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4DEA8">
      <w:pPr>
        <w:pStyle w:val="9"/>
        <w:spacing w:line="241" w:lineRule="auto"/>
        <w:rPr>
          <w:rFonts w:hint="default" w:ascii="Times New Roman" w:hAnsi="Times New Roman" w:eastAsia="宋体" w:cs="Times New Roman"/>
          <w:color w:val="auto"/>
          <w:lang w:val="en-US" w:eastAsia="zh-CN"/>
        </w:rPr>
      </w:pPr>
    </w:p>
    <w:p w14:paraId="6AA56BBF">
      <w:pPr>
        <w:pStyle w:val="9"/>
        <w:spacing w:line="241" w:lineRule="auto"/>
        <w:rPr>
          <w:rFonts w:hint="default" w:ascii="Times New Roman" w:hAnsi="Times New Roman" w:cs="Times New Roman"/>
          <w:color w:val="auto"/>
        </w:rPr>
      </w:pPr>
    </w:p>
    <w:p w14:paraId="0480CC66">
      <w:pPr>
        <w:pStyle w:val="9"/>
        <w:spacing w:line="241" w:lineRule="auto"/>
        <w:rPr>
          <w:rFonts w:hint="default" w:ascii="Times New Roman" w:hAnsi="Times New Roman" w:cs="Times New Roman"/>
          <w:color w:val="auto"/>
        </w:rPr>
      </w:pPr>
    </w:p>
    <w:p w14:paraId="37044CDA">
      <w:pPr>
        <w:pStyle w:val="9"/>
        <w:spacing w:line="241" w:lineRule="auto"/>
        <w:rPr>
          <w:rFonts w:hint="default" w:ascii="Times New Roman" w:hAnsi="Times New Roman" w:cs="Times New Roman"/>
          <w:color w:val="auto"/>
        </w:rPr>
      </w:pPr>
    </w:p>
    <w:p w14:paraId="0E6C819D">
      <w:pPr>
        <w:pStyle w:val="9"/>
        <w:spacing w:line="241" w:lineRule="auto"/>
        <w:rPr>
          <w:rFonts w:hint="default" w:ascii="Times New Roman" w:hAnsi="Times New Roman" w:cs="Times New Roman"/>
          <w:color w:val="auto"/>
        </w:rPr>
      </w:pPr>
    </w:p>
    <w:p w14:paraId="601D4B88">
      <w:pPr>
        <w:pStyle w:val="9"/>
        <w:spacing w:line="241" w:lineRule="auto"/>
        <w:rPr>
          <w:rFonts w:hint="default" w:ascii="Times New Roman" w:hAnsi="Times New Roman" w:cs="Times New Roman"/>
          <w:color w:val="auto"/>
        </w:rPr>
      </w:pPr>
    </w:p>
    <w:p w14:paraId="25DCF6E6">
      <w:pPr>
        <w:pStyle w:val="9"/>
        <w:spacing w:line="241" w:lineRule="auto"/>
        <w:rPr>
          <w:rFonts w:hint="default" w:ascii="Times New Roman" w:hAnsi="Times New Roman" w:cs="Times New Roman"/>
          <w:color w:val="auto"/>
        </w:rPr>
      </w:pPr>
    </w:p>
    <w:p w14:paraId="7E81EF81">
      <w:pPr>
        <w:pStyle w:val="9"/>
        <w:spacing w:line="241" w:lineRule="auto"/>
        <w:rPr>
          <w:rFonts w:hint="default" w:ascii="Times New Roman" w:hAnsi="Times New Roman" w:cs="Times New Roman"/>
          <w:color w:val="auto"/>
        </w:rPr>
      </w:pPr>
    </w:p>
    <w:p w14:paraId="7B74706C">
      <w:pPr>
        <w:pStyle w:val="9"/>
        <w:spacing w:line="241" w:lineRule="auto"/>
        <w:rPr>
          <w:rFonts w:hint="default" w:ascii="Times New Roman" w:hAnsi="Times New Roman" w:cs="Times New Roman"/>
          <w:color w:val="auto"/>
        </w:rPr>
      </w:pPr>
    </w:p>
    <w:p w14:paraId="76DC32AB">
      <w:pPr>
        <w:pStyle w:val="9"/>
        <w:spacing w:line="242" w:lineRule="auto"/>
        <w:rPr>
          <w:rFonts w:hint="default" w:ascii="Times New Roman" w:hAnsi="Times New Roman" w:cs="Times New Roman"/>
          <w:color w:val="auto"/>
        </w:rPr>
      </w:pPr>
    </w:p>
    <w:p w14:paraId="1E329A19">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outlineLvl w:val="0"/>
        <w:rPr>
          <w:rFonts w:hint="default" w:ascii="Times New Roman" w:hAnsi="Times New Roman" w:eastAsia="宋体" w:cs="Times New Roman"/>
          <w:b/>
          <w:bCs/>
          <w:color w:val="auto"/>
          <w:spacing w:val="4"/>
          <w:sz w:val="56"/>
          <w:szCs w:val="56"/>
          <w:lang w:eastAsia="zh-CN"/>
        </w:rPr>
      </w:pPr>
      <w:bookmarkStart w:id="0" w:name="_Toc17309"/>
      <w:bookmarkStart w:id="1" w:name="_Toc10386"/>
      <w:bookmarkStart w:id="2" w:name="_Toc22575"/>
      <w:bookmarkStart w:id="3" w:name="_Toc12945"/>
      <w:bookmarkStart w:id="4" w:name="_Toc637"/>
      <w:bookmarkStart w:id="5" w:name="_Toc30529"/>
      <w:bookmarkStart w:id="6" w:name="_Toc22709"/>
      <w:bookmarkStart w:id="7" w:name="_Toc5426"/>
      <w:bookmarkStart w:id="8" w:name="_Toc328"/>
      <w:bookmarkStart w:id="9" w:name="_Toc12495"/>
      <w:bookmarkStart w:id="10" w:name="_Toc5858"/>
      <w:bookmarkStart w:id="11" w:name="_Toc31016"/>
      <w:r>
        <w:rPr>
          <w:rFonts w:hint="default" w:ascii="Times New Roman" w:hAnsi="Times New Roman" w:eastAsia="宋体" w:cs="Times New Roman"/>
          <w:b/>
          <w:bCs/>
          <w:color w:val="auto"/>
          <w:spacing w:val="4"/>
          <w:sz w:val="56"/>
          <w:szCs w:val="56"/>
          <w:lang w:eastAsia="zh-CN"/>
        </w:rPr>
        <w:t>云南曲煤焦化实业发展有限公司</w:t>
      </w:r>
      <w:bookmarkEnd w:id="0"/>
      <w:bookmarkEnd w:id="1"/>
      <w:bookmarkEnd w:id="2"/>
      <w:bookmarkEnd w:id="3"/>
      <w:bookmarkEnd w:id="4"/>
      <w:bookmarkEnd w:id="5"/>
      <w:bookmarkEnd w:id="6"/>
    </w:p>
    <w:p w14:paraId="6222E2CD">
      <w:pPr>
        <w:keepNext w:val="0"/>
        <w:keepLines w:val="0"/>
        <w:pageBreakBefore w:val="0"/>
        <w:widowControl/>
        <w:tabs>
          <w:tab w:val="center" w:pos="4227"/>
          <w:tab w:val="right" w:pos="8335"/>
        </w:tabs>
        <w:kinsoku w:val="0"/>
        <w:wordWrap/>
        <w:overflowPunct/>
        <w:topLinePunct w:val="0"/>
        <w:autoSpaceDE w:val="0"/>
        <w:autoSpaceDN w:val="0"/>
        <w:bidi w:val="0"/>
        <w:adjustRightInd/>
        <w:snapToGrid/>
        <w:spacing w:line="360" w:lineRule="auto"/>
        <w:ind w:left="0"/>
        <w:jc w:val="left"/>
        <w:textAlignment w:val="baseline"/>
        <w:outlineLvl w:val="0"/>
        <w:rPr>
          <w:rFonts w:hint="default" w:ascii="Times New Roman" w:hAnsi="Times New Roman" w:eastAsia="宋体" w:cs="Times New Roman"/>
          <w:b/>
          <w:bCs/>
          <w:color w:val="auto"/>
          <w:spacing w:val="4"/>
          <w:sz w:val="56"/>
          <w:szCs w:val="56"/>
          <w:lang w:eastAsia="zh-CN"/>
        </w:rPr>
      </w:pPr>
      <w:bookmarkStart w:id="12" w:name="_Toc30506"/>
      <w:bookmarkStart w:id="13" w:name="_Toc24278"/>
      <w:bookmarkStart w:id="14" w:name="_Toc3514"/>
      <w:bookmarkStart w:id="15" w:name="_Toc18615"/>
      <w:bookmarkStart w:id="16" w:name="_Toc30677"/>
      <w:bookmarkStart w:id="17" w:name="_Toc19655"/>
      <w:r>
        <w:rPr>
          <w:rFonts w:hint="eastAsia" w:ascii="Times New Roman" w:hAnsi="Times New Roman" w:eastAsia="宋体" w:cs="Times New Roman"/>
          <w:b/>
          <w:bCs/>
          <w:color w:val="auto"/>
          <w:spacing w:val="4"/>
          <w:sz w:val="56"/>
          <w:szCs w:val="56"/>
          <w:lang w:eastAsia="zh-CN"/>
        </w:rPr>
        <w:tab/>
      </w:r>
      <w:bookmarkStart w:id="18" w:name="_Toc22599"/>
      <w:r>
        <w:rPr>
          <w:rFonts w:hint="default" w:ascii="Times New Roman" w:hAnsi="Times New Roman" w:eastAsia="宋体" w:cs="Times New Roman"/>
          <w:b/>
          <w:bCs/>
          <w:color w:val="auto"/>
          <w:spacing w:val="4"/>
          <w:sz w:val="56"/>
          <w:szCs w:val="56"/>
          <w:lang w:eastAsia="zh-CN"/>
        </w:rPr>
        <w:t>集装箱堆场提质改造项目</w:t>
      </w:r>
      <w:bookmarkEnd w:id="7"/>
      <w:bookmarkEnd w:id="8"/>
      <w:bookmarkEnd w:id="9"/>
      <w:bookmarkEnd w:id="10"/>
      <w:bookmarkEnd w:id="11"/>
      <w:bookmarkEnd w:id="12"/>
      <w:bookmarkEnd w:id="13"/>
      <w:bookmarkEnd w:id="14"/>
      <w:bookmarkEnd w:id="15"/>
      <w:bookmarkEnd w:id="16"/>
      <w:bookmarkEnd w:id="17"/>
      <w:bookmarkEnd w:id="18"/>
      <w:r>
        <w:rPr>
          <w:rFonts w:hint="eastAsia" w:ascii="Times New Roman" w:hAnsi="Times New Roman" w:eastAsia="宋体" w:cs="Times New Roman"/>
          <w:b/>
          <w:bCs/>
          <w:color w:val="auto"/>
          <w:spacing w:val="4"/>
          <w:sz w:val="56"/>
          <w:szCs w:val="56"/>
          <w:lang w:eastAsia="zh-CN"/>
        </w:rPr>
        <w:tab/>
      </w:r>
    </w:p>
    <w:p w14:paraId="44CE7B46">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rFonts w:hint="eastAsia" w:ascii="Times New Roman" w:hAnsi="Times New Roman" w:eastAsia="宋体" w:cs="Times New Roman"/>
          <w:b/>
          <w:bCs/>
          <w:color w:val="auto"/>
          <w:spacing w:val="3"/>
          <w:sz w:val="51"/>
          <w:szCs w:val="51"/>
          <w:lang w:eastAsia="zh-CN"/>
        </w:rPr>
      </w:pPr>
      <w:r>
        <w:rPr>
          <w:rFonts w:hint="eastAsia" w:ascii="Times New Roman" w:hAnsi="Times New Roman" w:eastAsia="宋体" w:cs="Times New Roman"/>
          <w:b/>
          <w:bCs/>
          <w:color w:val="auto"/>
          <w:spacing w:val="3"/>
          <w:sz w:val="51"/>
          <w:szCs w:val="51"/>
          <w:lang w:eastAsia="zh-CN"/>
        </w:rPr>
        <w:t>生态环境影响报告书</w:t>
      </w:r>
    </w:p>
    <w:p w14:paraId="0F067CE5">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rFonts w:hint="eastAsia" w:ascii="Times New Roman" w:hAnsi="Times New Roman" w:eastAsia="宋体" w:cs="Times New Roman"/>
          <w:b/>
          <w:bCs/>
          <w:color w:val="auto"/>
          <w:spacing w:val="3"/>
          <w:sz w:val="36"/>
          <w:szCs w:val="36"/>
          <w:lang w:eastAsia="zh-CN"/>
        </w:rPr>
      </w:pPr>
      <w:r>
        <w:rPr>
          <w:rFonts w:hint="eastAsia" w:ascii="Times New Roman" w:hAnsi="Times New Roman" w:eastAsia="宋体" w:cs="Times New Roman"/>
          <w:b/>
          <w:bCs/>
          <w:color w:val="auto"/>
          <w:spacing w:val="3"/>
          <w:sz w:val="36"/>
          <w:szCs w:val="36"/>
          <w:lang w:eastAsia="zh-CN"/>
        </w:rPr>
        <w:t>（</w:t>
      </w:r>
      <w:r>
        <w:rPr>
          <w:rFonts w:hint="eastAsia" w:ascii="Times New Roman" w:hAnsi="Times New Roman" w:eastAsia="宋体" w:cs="Times New Roman"/>
          <w:b/>
          <w:bCs/>
          <w:color w:val="auto"/>
          <w:spacing w:val="3"/>
          <w:sz w:val="36"/>
          <w:szCs w:val="36"/>
          <w:lang w:val="en-US" w:eastAsia="zh-CN"/>
        </w:rPr>
        <w:t>报批稿</w:t>
      </w:r>
      <w:r>
        <w:rPr>
          <w:rFonts w:hint="eastAsia" w:ascii="Times New Roman" w:hAnsi="Times New Roman" w:eastAsia="宋体" w:cs="Times New Roman"/>
          <w:b/>
          <w:bCs/>
          <w:color w:val="auto"/>
          <w:spacing w:val="3"/>
          <w:sz w:val="36"/>
          <w:szCs w:val="36"/>
          <w:lang w:eastAsia="zh-CN"/>
        </w:rPr>
        <w:t>）</w:t>
      </w:r>
    </w:p>
    <w:p w14:paraId="7FA6D6A0">
      <w:pPr>
        <w:pStyle w:val="9"/>
        <w:spacing w:line="243" w:lineRule="auto"/>
        <w:rPr>
          <w:rFonts w:hint="default" w:ascii="Times New Roman" w:hAnsi="Times New Roman" w:cs="Times New Roman"/>
          <w:color w:val="auto"/>
        </w:rPr>
      </w:pPr>
    </w:p>
    <w:p w14:paraId="38FFC405">
      <w:pPr>
        <w:pStyle w:val="9"/>
        <w:spacing w:line="243" w:lineRule="auto"/>
        <w:rPr>
          <w:rFonts w:hint="default" w:ascii="Times New Roman" w:hAnsi="Times New Roman" w:cs="Times New Roman"/>
          <w:color w:val="auto"/>
        </w:rPr>
      </w:pPr>
    </w:p>
    <w:p w14:paraId="6A5A5558">
      <w:pPr>
        <w:pStyle w:val="9"/>
        <w:spacing w:line="243" w:lineRule="auto"/>
        <w:rPr>
          <w:rFonts w:hint="default" w:ascii="Times New Roman" w:hAnsi="Times New Roman" w:cs="Times New Roman"/>
          <w:color w:val="auto"/>
        </w:rPr>
      </w:pPr>
    </w:p>
    <w:p w14:paraId="18600B2A">
      <w:pPr>
        <w:pStyle w:val="9"/>
        <w:spacing w:line="243" w:lineRule="auto"/>
        <w:rPr>
          <w:rFonts w:hint="default" w:ascii="Times New Roman" w:hAnsi="Times New Roman" w:cs="Times New Roman"/>
          <w:color w:val="auto"/>
        </w:rPr>
      </w:pPr>
    </w:p>
    <w:p w14:paraId="3F654881">
      <w:pPr>
        <w:pStyle w:val="9"/>
        <w:spacing w:line="243" w:lineRule="auto"/>
        <w:rPr>
          <w:rFonts w:hint="default" w:ascii="Times New Roman" w:hAnsi="Times New Roman" w:cs="Times New Roman"/>
          <w:color w:val="auto"/>
        </w:rPr>
      </w:pPr>
    </w:p>
    <w:p w14:paraId="3FE6A415">
      <w:pPr>
        <w:pStyle w:val="9"/>
        <w:spacing w:line="243" w:lineRule="auto"/>
        <w:rPr>
          <w:rFonts w:hint="default" w:ascii="Times New Roman" w:hAnsi="Times New Roman" w:cs="Times New Roman"/>
          <w:color w:val="auto"/>
        </w:rPr>
      </w:pPr>
    </w:p>
    <w:p w14:paraId="4BE693DB">
      <w:pPr>
        <w:pStyle w:val="9"/>
        <w:spacing w:line="244" w:lineRule="auto"/>
        <w:rPr>
          <w:rFonts w:hint="default" w:ascii="Times New Roman" w:hAnsi="Times New Roman" w:cs="Times New Roman"/>
          <w:color w:val="auto"/>
        </w:rPr>
      </w:pPr>
    </w:p>
    <w:p w14:paraId="431D25D8">
      <w:pPr>
        <w:pStyle w:val="9"/>
        <w:spacing w:line="244" w:lineRule="auto"/>
        <w:rPr>
          <w:rFonts w:hint="default" w:ascii="Times New Roman" w:hAnsi="Times New Roman" w:cs="Times New Roman"/>
          <w:color w:val="auto"/>
        </w:rPr>
      </w:pPr>
    </w:p>
    <w:p w14:paraId="26033A7E">
      <w:pPr>
        <w:pStyle w:val="9"/>
        <w:spacing w:line="244" w:lineRule="auto"/>
        <w:rPr>
          <w:rFonts w:hint="default" w:ascii="Times New Roman" w:hAnsi="Times New Roman" w:cs="Times New Roman"/>
          <w:color w:val="auto"/>
        </w:rPr>
      </w:pPr>
    </w:p>
    <w:p w14:paraId="62B9E6A1">
      <w:pPr>
        <w:pStyle w:val="9"/>
        <w:spacing w:line="244" w:lineRule="auto"/>
        <w:rPr>
          <w:rFonts w:hint="default" w:ascii="Times New Roman" w:hAnsi="Times New Roman" w:cs="Times New Roman"/>
          <w:color w:val="auto"/>
        </w:rPr>
      </w:pPr>
    </w:p>
    <w:p w14:paraId="217CE193">
      <w:pPr>
        <w:pStyle w:val="9"/>
        <w:spacing w:line="244" w:lineRule="auto"/>
        <w:rPr>
          <w:rFonts w:hint="default" w:ascii="Times New Roman" w:hAnsi="Times New Roman" w:cs="Times New Roman"/>
          <w:color w:val="auto"/>
        </w:rPr>
      </w:pPr>
    </w:p>
    <w:p w14:paraId="271A46C9">
      <w:pPr>
        <w:pStyle w:val="9"/>
        <w:spacing w:line="244" w:lineRule="auto"/>
        <w:rPr>
          <w:rFonts w:hint="default" w:ascii="Times New Roman" w:hAnsi="Times New Roman" w:cs="Times New Roman"/>
          <w:color w:val="auto"/>
        </w:rPr>
      </w:pPr>
    </w:p>
    <w:p w14:paraId="0708885A">
      <w:pPr>
        <w:pStyle w:val="9"/>
        <w:spacing w:line="244" w:lineRule="auto"/>
        <w:rPr>
          <w:rFonts w:hint="default" w:ascii="Times New Roman" w:hAnsi="Times New Roman" w:cs="Times New Roman"/>
          <w:color w:val="auto"/>
        </w:rPr>
      </w:pPr>
    </w:p>
    <w:p w14:paraId="1D46CB91">
      <w:pPr>
        <w:pStyle w:val="9"/>
        <w:spacing w:line="244" w:lineRule="auto"/>
        <w:rPr>
          <w:rFonts w:hint="default" w:ascii="Times New Roman" w:hAnsi="Times New Roman" w:cs="Times New Roman"/>
          <w:color w:val="auto"/>
        </w:rPr>
      </w:pPr>
    </w:p>
    <w:p w14:paraId="4D5D15AA">
      <w:pPr>
        <w:pStyle w:val="9"/>
        <w:spacing w:line="244" w:lineRule="auto"/>
        <w:rPr>
          <w:rFonts w:hint="default" w:ascii="Times New Roman" w:hAnsi="Times New Roman" w:cs="Times New Roman"/>
          <w:color w:val="auto"/>
        </w:rPr>
      </w:pPr>
    </w:p>
    <w:p w14:paraId="4C4D0A68">
      <w:pPr>
        <w:pStyle w:val="9"/>
        <w:spacing w:line="244" w:lineRule="auto"/>
        <w:rPr>
          <w:rFonts w:hint="default" w:ascii="Times New Roman" w:hAnsi="Times New Roman" w:cs="Times New Roman"/>
          <w:color w:val="auto"/>
        </w:rPr>
      </w:pPr>
    </w:p>
    <w:p w14:paraId="2157765F">
      <w:pPr>
        <w:pStyle w:val="9"/>
        <w:spacing w:line="244" w:lineRule="auto"/>
        <w:rPr>
          <w:rFonts w:hint="default" w:ascii="Times New Roman" w:hAnsi="Times New Roman" w:cs="Times New Roman"/>
          <w:color w:val="auto"/>
        </w:rPr>
      </w:pPr>
    </w:p>
    <w:p w14:paraId="724348F1">
      <w:pPr>
        <w:pStyle w:val="9"/>
        <w:spacing w:line="244" w:lineRule="auto"/>
        <w:rPr>
          <w:rFonts w:hint="default" w:ascii="Times New Roman" w:hAnsi="Times New Roman" w:cs="Times New Roman"/>
          <w:color w:val="auto"/>
        </w:rPr>
      </w:pPr>
    </w:p>
    <w:p w14:paraId="6BB6A4FF">
      <w:pPr>
        <w:pStyle w:val="9"/>
        <w:spacing w:line="244" w:lineRule="auto"/>
        <w:rPr>
          <w:rFonts w:hint="default" w:ascii="Times New Roman" w:hAnsi="Times New Roman" w:cs="Times New Roman"/>
          <w:color w:val="auto"/>
        </w:rPr>
      </w:pPr>
    </w:p>
    <w:p w14:paraId="57D7F45F">
      <w:pPr>
        <w:pStyle w:val="9"/>
        <w:spacing w:line="244" w:lineRule="auto"/>
        <w:rPr>
          <w:rFonts w:hint="default" w:ascii="Times New Roman" w:hAnsi="Times New Roman" w:cs="Times New Roman"/>
          <w:color w:val="auto"/>
        </w:rPr>
      </w:pPr>
    </w:p>
    <w:p w14:paraId="4812D26D">
      <w:pPr>
        <w:keepNext w:val="0"/>
        <w:keepLines w:val="0"/>
        <w:pageBreakBefore w:val="0"/>
        <w:widowControl/>
        <w:kinsoku w:val="0"/>
        <w:wordWrap/>
        <w:overflowPunct/>
        <w:topLinePunct w:val="0"/>
        <w:autoSpaceDE w:val="0"/>
        <w:autoSpaceDN w:val="0"/>
        <w:bidi w:val="0"/>
        <w:adjustRightInd/>
        <w:snapToGrid/>
        <w:spacing w:line="360" w:lineRule="auto"/>
        <w:ind w:left="0" w:leftChars="0"/>
        <w:jc w:val="center"/>
        <w:textAlignment w:val="baseline"/>
        <w:rPr>
          <w:rFonts w:hint="default" w:ascii="Times New Roman" w:hAnsi="Times New Roman" w:eastAsia="宋体" w:cs="Times New Roman"/>
          <w:color w:val="auto"/>
          <w:sz w:val="31"/>
          <w:szCs w:val="31"/>
          <w:lang w:eastAsia="zh-CN"/>
        </w:rPr>
      </w:pPr>
      <w:r>
        <w:rPr>
          <w:rFonts w:hint="default" w:ascii="Times New Roman" w:hAnsi="Times New Roman" w:eastAsia="宋体" w:cs="Times New Roman"/>
          <w:b/>
          <w:bCs/>
          <w:color w:val="auto"/>
          <w:spacing w:val="7"/>
          <w:sz w:val="31"/>
          <w:szCs w:val="31"/>
        </w:rPr>
        <w:t>建设单位：</w:t>
      </w:r>
      <w:r>
        <w:rPr>
          <w:rFonts w:hint="default" w:ascii="Times New Roman" w:hAnsi="Times New Roman" w:eastAsia="宋体" w:cs="Times New Roman"/>
          <w:b/>
          <w:bCs/>
          <w:color w:val="auto"/>
          <w:spacing w:val="7"/>
          <w:sz w:val="31"/>
          <w:szCs w:val="31"/>
          <w:lang w:eastAsia="zh-CN"/>
        </w:rPr>
        <w:t>云南曲煤焦化实业发展有限公司</w:t>
      </w:r>
    </w:p>
    <w:p w14:paraId="5DC73B4A">
      <w:pPr>
        <w:keepNext w:val="0"/>
        <w:keepLines w:val="0"/>
        <w:pageBreakBefore w:val="0"/>
        <w:widowControl/>
        <w:kinsoku w:val="0"/>
        <w:wordWrap/>
        <w:overflowPunct/>
        <w:topLinePunct w:val="0"/>
        <w:autoSpaceDE w:val="0"/>
        <w:autoSpaceDN w:val="0"/>
        <w:bidi w:val="0"/>
        <w:adjustRightInd/>
        <w:snapToGrid/>
        <w:spacing w:line="360" w:lineRule="auto"/>
        <w:ind w:left="0" w:leftChars="0"/>
        <w:jc w:val="center"/>
        <w:textAlignment w:val="baseline"/>
        <w:rPr>
          <w:rFonts w:hint="default" w:ascii="Times New Roman" w:hAnsi="Times New Roman" w:eastAsia="宋体" w:cs="Times New Roman"/>
          <w:b/>
          <w:bCs/>
          <w:color w:val="auto"/>
          <w:spacing w:val="7"/>
          <w:sz w:val="31"/>
          <w:szCs w:val="31"/>
          <w:lang w:eastAsia="zh-CN"/>
        </w:rPr>
      </w:pPr>
      <w:r>
        <w:rPr>
          <w:rFonts w:hint="default" w:ascii="Times New Roman" w:hAnsi="Times New Roman" w:eastAsia="宋体" w:cs="Times New Roman"/>
          <w:b/>
          <w:bCs/>
          <w:color w:val="auto"/>
          <w:spacing w:val="7"/>
          <w:sz w:val="31"/>
          <w:szCs w:val="31"/>
        </w:rPr>
        <w:t>评价单位：</w:t>
      </w:r>
      <w:r>
        <w:rPr>
          <w:rFonts w:hint="default" w:ascii="Times New Roman" w:hAnsi="Times New Roman" w:eastAsia="宋体" w:cs="Times New Roman"/>
          <w:b/>
          <w:bCs/>
          <w:color w:val="auto"/>
          <w:spacing w:val="7"/>
          <w:sz w:val="31"/>
          <w:szCs w:val="31"/>
          <w:lang w:eastAsia="zh-CN"/>
        </w:rPr>
        <w:t>昆明阳光恒业环境工程有限公司</w:t>
      </w:r>
    </w:p>
    <w:p w14:paraId="023D57D5">
      <w:pPr>
        <w:pStyle w:val="20"/>
        <w:keepNext w:val="0"/>
        <w:keepLines w:val="0"/>
        <w:pageBreakBefore w:val="0"/>
        <w:kinsoku w:val="0"/>
        <w:wordWrap/>
        <w:overflowPunct/>
        <w:topLinePunct w:val="0"/>
        <w:autoSpaceDE w:val="0"/>
        <w:autoSpaceDN w:val="0"/>
        <w:bidi w:val="0"/>
        <w:adjustRightInd/>
        <w:snapToGrid/>
        <w:spacing w:after="0" w:line="360" w:lineRule="auto"/>
        <w:ind w:left="0" w:leftChars="0"/>
        <w:jc w:val="center"/>
        <w:textAlignment w:val="baseline"/>
        <w:rPr>
          <w:rFonts w:hint="default" w:ascii="Times New Roman" w:hAnsi="Times New Roman" w:cs="Times New Roman"/>
          <w:color w:val="auto"/>
          <w:sz w:val="20"/>
          <w:szCs w:val="22"/>
          <w:lang w:val="en-US" w:eastAsia="zh-CN"/>
        </w:rPr>
      </w:pPr>
      <w:r>
        <w:rPr>
          <w:rFonts w:hint="default" w:ascii="Times New Roman" w:hAnsi="Times New Roman" w:cs="Times New Roman"/>
          <w:b/>
          <w:bCs/>
          <w:color w:val="auto"/>
          <w:spacing w:val="7"/>
          <w:sz w:val="28"/>
          <w:szCs w:val="28"/>
          <w:lang w:val="en-US" w:eastAsia="zh-CN"/>
        </w:rPr>
        <w:t>二零二六年</w:t>
      </w:r>
      <w:r>
        <w:rPr>
          <w:rFonts w:hint="eastAsia" w:ascii="Times New Roman" w:hAnsi="Times New Roman" w:cs="Times New Roman"/>
          <w:b/>
          <w:bCs/>
          <w:color w:val="auto"/>
          <w:spacing w:val="7"/>
          <w:sz w:val="28"/>
          <w:szCs w:val="28"/>
          <w:lang w:val="en-US" w:eastAsia="zh-CN"/>
        </w:rPr>
        <w:t>九</w:t>
      </w:r>
      <w:r>
        <w:rPr>
          <w:rFonts w:hint="default" w:ascii="Times New Roman" w:hAnsi="Times New Roman" w:cs="Times New Roman"/>
          <w:b/>
          <w:bCs/>
          <w:color w:val="auto"/>
          <w:spacing w:val="7"/>
          <w:sz w:val="28"/>
          <w:szCs w:val="28"/>
          <w:lang w:val="en-US" w:eastAsia="zh-CN"/>
        </w:rPr>
        <w:t>月</w:t>
      </w:r>
    </w:p>
    <w:p w14:paraId="7E57E55B">
      <w:pPr>
        <w:keepNext w:val="0"/>
        <w:keepLines w:val="0"/>
        <w:pageBreakBefore w:val="0"/>
        <w:widowControl/>
        <w:kinsoku w:val="0"/>
        <w:wordWrap/>
        <w:overflowPunct/>
        <w:topLinePunct w:val="0"/>
        <w:autoSpaceDE w:val="0"/>
        <w:autoSpaceDN w:val="0"/>
        <w:bidi w:val="0"/>
        <w:adjustRightInd/>
        <w:snapToGrid/>
        <w:spacing w:line="360" w:lineRule="auto"/>
        <w:ind w:left="0" w:leftChars="0"/>
        <w:jc w:val="center"/>
        <w:textAlignment w:val="baseline"/>
        <w:rPr>
          <w:rFonts w:hint="default" w:ascii="Times New Roman" w:hAnsi="Times New Roman" w:eastAsia="宋体" w:cs="Times New Roman"/>
          <w:color w:val="auto"/>
          <w:sz w:val="28"/>
          <w:szCs w:val="28"/>
        </w:rPr>
        <w:sectPr>
          <w:footerReference r:id="rId5" w:type="default"/>
          <w:pgSz w:w="11905" w:h="16840"/>
          <w:pgMar w:top="1431" w:right="1785" w:bottom="2517" w:left="1785" w:header="0" w:footer="2159" w:gutter="0"/>
          <w:pgNumType w:fmt="decimal"/>
          <w:cols w:space="720" w:num="1"/>
        </w:sectPr>
      </w:pPr>
    </w:p>
    <w:sdt>
      <w:sdtPr>
        <w:rPr>
          <w:rFonts w:hint="default" w:ascii="Times New Roman" w:hAnsi="Times New Roman" w:eastAsia="宋体" w:cs="Times New Roman"/>
          <w:snapToGrid w:val="0"/>
          <w:color w:val="auto"/>
          <w:kern w:val="0"/>
          <w:sz w:val="21"/>
          <w:szCs w:val="21"/>
          <w:lang w:val="en-US" w:eastAsia="en-US" w:bidi="ar-SA"/>
        </w:rPr>
        <w:id w:val="147483236"/>
        <w15:color w:val="DBDBDB"/>
        <w:docPartObj>
          <w:docPartGallery w:val="Table of Contents"/>
          <w:docPartUnique/>
        </w:docPartObj>
      </w:sdtPr>
      <w:sdtEndPr>
        <w:rPr>
          <w:rFonts w:hint="default" w:ascii="Times New Roman" w:hAnsi="Times New Roman" w:eastAsia="Times New Roman" w:cs="Times New Roman"/>
          <w:snapToGrid w:val="0"/>
          <w:color w:val="auto"/>
          <w:kern w:val="0"/>
          <w:sz w:val="24"/>
          <w:szCs w:val="24"/>
          <w:lang w:val="en-US" w:eastAsia="en-US" w:bidi="ar-SA"/>
        </w:rPr>
      </w:sdtEndPr>
      <w:sdtContent>
        <w:p w14:paraId="17CAC085">
          <w:pPr>
            <w:keepNext w:val="0"/>
            <w:keepLines w:val="0"/>
            <w:pageBreakBefore w:val="0"/>
            <w:widowControl/>
            <w:kinsoku w:val="0"/>
            <w:wordWrap/>
            <w:overflowPunct/>
            <w:topLinePunct w:val="0"/>
            <w:autoSpaceDE w:val="0"/>
            <w:autoSpaceDN w:val="0"/>
            <w:bidi w:val="0"/>
            <w:adjustRightInd/>
            <w:snapToGrid/>
            <w:spacing w:before="0" w:beforeLines="0" w:after="0" w:afterLines="0" w:line="360" w:lineRule="auto"/>
            <w:ind w:left="0" w:leftChars="0" w:right="0" w:rightChars="0" w:firstLine="0" w:firstLineChars="0"/>
            <w:jc w:val="center"/>
            <w:textAlignment w:val="baseline"/>
            <w:rPr>
              <w:rFonts w:hint="default" w:ascii="Times New Roman" w:hAnsi="Times New Roman" w:eastAsia="Times New Roman" w:cs="Times New Roman"/>
              <w:snapToGrid w:val="0"/>
              <w:color w:val="auto"/>
              <w:kern w:val="0"/>
              <w:sz w:val="21"/>
              <w:szCs w:val="24"/>
              <w:lang w:val="en-US" w:eastAsia="en-US" w:bidi="ar-SA"/>
            </w:rPr>
          </w:pPr>
          <w:r>
            <w:rPr>
              <w:rFonts w:hint="default" w:ascii="Times New Roman" w:hAnsi="Times New Roman" w:eastAsia="宋体" w:cs="Times New Roman"/>
              <w:b/>
              <w:bCs/>
              <w:color w:val="auto"/>
              <w:sz w:val="32"/>
              <w:szCs w:val="32"/>
            </w:rPr>
            <w:t>目</w:t>
          </w:r>
          <w:r>
            <w:rPr>
              <w:rFonts w:hint="eastAsia" w:ascii="Times New Roman" w:hAnsi="Times New Roman" w:eastAsia="宋体" w:cs="Times New Roman"/>
              <w:b/>
              <w:bCs/>
              <w:color w:val="auto"/>
              <w:sz w:val="32"/>
              <w:szCs w:val="32"/>
              <w:lang w:val="en-US" w:eastAsia="zh-CN"/>
            </w:rPr>
            <w:t xml:space="preserve">   </w:t>
          </w:r>
          <w:r>
            <w:rPr>
              <w:rFonts w:hint="default" w:ascii="Times New Roman" w:hAnsi="Times New Roman" w:eastAsia="宋体" w:cs="Times New Roman"/>
              <w:b/>
              <w:bCs/>
              <w:color w:val="auto"/>
              <w:sz w:val="32"/>
              <w:szCs w:val="32"/>
            </w:rPr>
            <w:t>录</w:t>
          </w:r>
          <w:r>
            <w:rPr>
              <w:rFonts w:hint="default" w:ascii="Times New Roman" w:hAnsi="Times New Roman" w:eastAsia="Times New Roman" w:cs="Times New Roman"/>
              <w:snapToGrid w:val="0"/>
              <w:color w:val="auto"/>
              <w:kern w:val="0"/>
              <w:sz w:val="21"/>
              <w:szCs w:val="24"/>
              <w:lang w:val="en-US" w:eastAsia="en-US" w:bidi="ar-SA"/>
            </w:rPr>
            <w:fldChar w:fldCharType="begin"/>
          </w:r>
          <w:r>
            <w:rPr>
              <w:rFonts w:hint="default" w:ascii="Times New Roman" w:hAnsi="Times New Roman" w:eastAsia="Times New Roman" w:cs="Times New Roman"/>
              <w:snapToGrid w:val="0"/>
              <w:color w:val="auto"/>
              <w:kern w:val="0"/>
              <w:sz w:val="21"/>
              <w:szCs w:val="24"/>
              <w:lang w:val="en-US" w:eastAsia="en-US" w:bidi="ar-SA"/>
            </w:rPr>
            <w:instrText xml:space="preserve">TOC \o "1-3" \h \u </w:instrText>
          </w:r>
          <w:r>
            <w:rPr>
              <w:rFonts w:hint="default" w:ascii="Times New Roman" w:hAnsi="Times New Roman" w:eastAsia="Times New Roman" w:cs="Times New Roman"/>
              <w:snapToGrid w:val="0"/>
              <w:color w:val="auto"/>
              <w:kern w:val="0"/>
              <w:sz w:val="21"/>
              <w:szCs w:val="24"/>
              <w:lang w:val="en-US" w:eastAsia="en-US" w:bidi="ar-SA"/>
            </w:rPr>
            <w:fldChar w:fldCharType="separate"/>
          </w:r>
        </w:p>
        <w:p w14:paraId="3DC19063">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_Toc31271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rPr>
            <w:t>概</w:t>
          </w:r>
          <w:r>
            <w:rPr>
              <w:rFonts w:hint="default" w:ascii="Times New Roman" w:hAnsi="Times New Roman" w:eastAsia="宋体" w:cs="Times New Roman"/>
              <w:bCs/>
              <w:color w:val="auto"/>
              <w:spacing w:val="-2"/>
              <w:sz w:val="24"/>
              <w:szCs w:val="24"/>
              <w:lang w:val="en-US" w:eastAsia="zh-CN"/>
            </w:rPr>
            <w:t xml:space="preserve">  </w:t>
          </w:r>
          <w:r>
            <w:rPr>
              <w:rFonts w:hint="default" w:ascii="Times New Roman" w:hAnsi="Times New Roman" w:eastAsia="宋体" w:cs="Times New Roman"/>
              <w:bCs/>
              <w:color w:val="auto"/>
              <w:spacing w:val="-2"/>
              <w:sz w:val="24"/>
              <w:szCs w:val="24"/>
            </w:rPr>
            <w:t>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_Toc31271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7996FD7">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_Toc15995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lang w:val="en-US" w:eastAsia="zh-CN"/>
            </w:rPr>
            <w:t>一、</w:t>
          </w:r>
          <w:r>
            <w:rPr>
              <w:rFonts w:hint="default" w:ascii="Times New Roman" w:hAnsi="Times New Roman" w:eastAsia="宋体" w:cs="Times New Roman"/>
              <w:bCs/>
              <w:color w:val="auto"/>
              <w:spacing w:val="4"/>
              <w:sz w:val="24"/>
              <w:szCs w:val="24"/>
            </w:rPr>
            <w:t>建设项目的特点</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_Toc15995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C6ECA5B">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_Toc597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二、</w:t>
          </w:r>
          <w:r>
            <w:rPr>
              <w:rFonts w:hint="default" w:ascii="Times New Roman" w:hAnsi="Times New Roman" w:eastAsia="宋体" w:cs="Times New Roman"/>
              <w:bCs/>
              <w:color w:val="auto"/>
              <w:spacing w:val="5"/>
              <w:sz w:val="24"/>
              <w:szCs w:val="24"/>
            </w:rPr>
            <w:t>环境影响评价的工作过程</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_Toc597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677B101">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_Toc6201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lang w:val="en-US" w:eastAsia="zh-CN"/>
            </w:rPr>
            <w:t>三、</w:t>
          </w:r>
          <w:r>
            <w:rPr>
              <w:rFonts w:hint="default" w:ascii="Times New Roman" w:hAnsi="Times New Roman" w:eastAsia="宋体" w:cs="Times New Roman"/>
              <w:bCs/>
              <w:color w:val="auto"/>
              <w:spacing w:val="4"/>
              <w:sz w:val="24"/>
              <w:szCs w:val="24"/>
            </w:rPr>
            <w:t>分析判定相关情况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_Toc6201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D1A349F">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_Toc13922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eastAsia="zh-CN"/>
            </w:rPr>
            <w:t>（</w:t>
          </w:r>
          <w:r>
            <w:rPr>
              <w:rFonts w:hint="default" w:ascii="Times New Roman" w:hAnsi="Times New Roman" w:eastAsia="宋体" w:cs="Times New Roman"/>
              <w:bCs/>
              <w:color w:val="auto"/>
              <w:spacing w:val="-3"/>
              <w:sz w:val="24"/>
              <w:szCs w:val="24"/>
              <w:lang w:val="en-US" w:eastAsia="zh-CN"/>
            </w:rPr>
            <w:t>一</w:t>
          </w:r>
          <w:r>
            <w:rPr>
              <w:rFonts w:hint="default" w:ascii="Times New Roman" w:hAnsi="Times New Roman" w:eastAsia="宋体" w:cs="Times New Roman"/>
              <w:bCs/>
              <w:color w:val="auto"/>
              <w:spacing w:val="-3"/>
              <w:sz w:val="24"/>
              <w:szCs w:val="24"/>
              <w:lang w:eastAsia="zh-CN"/>
            </w:rPr>
            <w:t>）</w:t>
          </w:r>
          <w:r>
            <w:rPr>
              <w:rFonts w:hint="default" w:ascii="Times New Roman" w:hAnsi="Times New Roman" w:eastAsia="宋体" w:cs="Times New Roman"/>
              <w:bCs/>
              <w:color w:val="auto"/>
              <w:spacing w:val="-3"/>
              <w:sz w:val="24"/>
              <w:szCs w:val="24"/>
            </w:rPr>
            <w:t>项目与产业政策符合性分析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_Toc13922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5B0D7D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_Toc28629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eastAsia="zh-CN"/>
            </w:rPr>
            <w:t>（</w:t>
          </w:r>
          <w:r>
            <w:rPr>
              <w:rFonts w:hint="default" w:ascii="Times New Roman" w:hAnsi="Times New Roman" w:eastAsia="宋体" w:cs="Times New Roman"/>
              <w:bCs/>
              <w:color w:val="auto"/>
              <w:spacing w:val="-3"/>
              <w:sz w:val="24"/>
              <w:szCs w:val="24"/>
              <w:lang w:val="en-US" w:eastAsia="zh-CN"/>
            </w:rPr>
            <w:t>二</w:t>
          </w:r>
          <w:r>
            <w:rPr>
              <w:rFonts w:hint="default" w:ascii="Times New Roman" w:hAnsi="Times New Roman" w:eastAsia="宋体" w:cs="Times New Roman"/>
              <w:bCs/>
              <w:color w:val="auto"/>
              <w:spacing w:val="-3"/>
              <w:sz w:val="24"/>
              <w:szCs w:val="24"/>
              <w:lang w:eastAsia="zh-CN"/>
            </w:rPr>
            <w:t>）</w:t>
          </w:r>
          <w:r>
            <w:rPr>
              <w:rFonts w:hint="default" w:ascii="Times New Roman" w:hAnsi="Times New Roman" w:eastAsia="宋体" w:cs="Times New Roman"/>
              <w:bCs/>
              <w:color w:val="auto"/>
              <w:spacing w:val="-3"/>
              <w:sz w:val="24"/>
              <w:szCs w:val="24"/>
            </w:rPr>
            <w:t>与相关规划、规划环评符合性分析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_Toc28629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72242F3">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_Toc11619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eastAsia="zh-CN"/>
            </w:rPr>
            <w:t>（</w:t>
          </w:r>
          <w:r>
            <w:rPr>
              <w:rFonts w:hint="default" w:ascii="Times New Roman" w:hAnsi="Times New Roman" w:eastAsia="宋体" w:cs="Times New Roman"/>
              <w:bCs/>
              <w:color w:val="auto"/>
              <w:spacing w:val="-3"/>
              <w:sz w:val="24"/>
              <w:szCs w:val="24"/>
              <w:lang w:val="en-US" w:eastAsia="zh-CN"/>
            </w:rPr>
            <w:t>三</w:t>
          </w:r>
          <w:r>
            <w:rPr>
              <w:rFonts w:hint="default" w:ascii="Times New Roman" w:hAnsi="Times New Roman" w:eastAsia="宋体" w:cs="Times New Roman"/>
              <w:bCs/>
              <w:color w:val="auto"/>
              <w:spacing w:val="-3"/>
              <w:sz w:val="24"/>
              <w:szCs w:val="24"/>
              <w:lang w:eastAsia="zh-CN"/>
            </w:rPr>
            <w:t>）</w:t>
          </w:r>
          <w:r>
            <w:rPr>
              <w:rFonts w:hint="default" w:ascii="Times New Roman" w:hAnsi="Times New Roman" w:eastAsia="宋体" w:cs="Times New Roman"/>
              <w:bCs/>
              <w:color w:val="auto"/>
              <w:spacing w:val="-3"/>
              <w:sz w:val="24"/>
              <w:szCs w:val="24"/>
            </w:rPr>
            <w:t>与生态环境分区管控的符合性分析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_Toc11619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87202F2">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_Toc1524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（四）与相关法律法规、规划的符合性分析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_Toc1524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9C424CA">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_Toc7105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（五）</w:t>
          </w:r>
          <w:r>
            <w:rPr>
              <w:rFonts w:hint="default" w:ascii="Times New Roman" w:hAnsi="Times New Roman" w:eastAsia="宋体" w:cs="Times New Roman"/>
              <w:bCs/>
              <w:color w:val="auto"/>
              <w:spacing w:val="-2"/>
              <w:sz w:val="24"/>
              <w:szCs w:val="24"/>
            </w:rPr>
            <w:t>与铁路相关政策符合性分析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_Toc7105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4C6CB88">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_Toc16974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四、</w:t>
          </w:r>
          <w:r>
            <w:rPr>
              <w:rFonts w:hint="default" w:ascii="Times New Roman" w:hAnsi="Times New Roman" w:eastAsia="宋体" w:cs="Times New Roman"/>
              <w:bCs/>
              <w:color w:val="auto"/>
              <w:spacing w:val="5"/>
              <w:sz w:val="24"/>
              <w:szCs w:val="24"/>
            </w:rPr>
            <w:t>关注的主要环境问题及环境影响</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_Toc16974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FCF9827">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_Toc892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五、</w:t>
          </w:r>
          <w:r>
            <w:rPr>
              <w:rFonts w:hint="default" w:ascii="Times New Roman" w:hAnsi="Times New Roman" w:eastAsia="宋体" w:cs="Times New Roman"/>
              <w:bCs/>
              <w:color w:val="auto"/>
              <w:spacing w:val="5"/>
              <w:sz w:val="24"/>
              <w:szCs w:val="24"/>
            </w:rPr>
            <w:t>环境影响评价的主要结论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_Toc892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E7856AE">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_Toc7010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1</w:t>
          </w:r>
          <w:r>
            <w:rPr>
              <w:rFonts w:hint="default" w:ascii="Times New Roman" w:hAnsi="Times New Roman" w:eastAsia="宋体" w:cs="Times New Roman"/>
              <w:bCs/>
              <w:color w:val="auto"/>
              <w:spacing w:val="2"/>
              <w:sz w:val="24"/>
              <w:szCs w:val="24"/>
            </w:rPr>
            <w:t>.总则</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_Toc7010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3FE6750">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_Toc5011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lang w:val="en-US" w:eastAsia="zh-CN"/>
            </w:rPr>
            <w:t>1</w:t>
          </w:r>
          <w:r>
            <w:rPr>
              <w:rFonts w:hint="default" w:ascii="Times New Roman" w:hAnsi="Times New Roman" w:eastAsia="宋体" w:cs="Times New Roman"/>
              <w:bCs/>
              <w:color w:val="auto"/>
              <w:spacing w:val="4"/>
              <w:sz w:val="24"/>
              <w:szCs w:val="24"/>
            </w:rPr>
            <w:t>.1.编制依据</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_Toc5011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B8EEBA1">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_Toc13508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rPr>
            <w:t>1.2.评价目的与评价原则</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_Toc13508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CE56801">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_Toc6034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rPr>
            <w:t>1.3 评价时段及重点</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_Toc6034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7EA4A2C">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_Toc12534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1.4 环境影响因素识别和评价因子筛选</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_Toc12534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14B18E1">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_Toc8334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rPr>
            <w:t>1.5 评价等级</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_Toc8334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254D326">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_Toc23273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rPr>
            <w:t>1.6 评价范围</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_Toc23273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776052E">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_Toc6945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rPr>
            <w:t>1.7.评价标准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_Toc6945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2EF1E85">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_Toc11410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1.7.1 环境质量标准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_Toc11410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23C0417">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_Toc25119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1.7.2 污染物排放标准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_Toc25119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396A719">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_Toc9029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rPr>
            <w:t>1.8  环境功能区划</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_Toc9029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3FF5EAC">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_Toc7197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rPr>
            <w:t>1.9 环境保护目标</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_Toc7197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E2957DB">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_Toc6057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7"/>
              <w:sz w:val="24"/>
              <w:szCs w:val="24"/>
              <w:lang w:val="en-US" w:eastAsia="zh-CN"/>
            </w:rPr>
            <w:t>1.9.</w:t>
          </w:r>
          <w:r>
            <w:rPr>
              <w:rFonts w:hint="default" w:ascii="Times New Roman" w:hAnsi="Times New Roman" w:eastAsia="宋体" w:cs="Times New Roman"/>
              <w:bCs/>
              <w:color w:val="auto"/>
              <w:spacing w:val="-7"/>
              <w:sz w:val="24"/>
              <w:szCs w:val="24"/>
            </w:rPr>
            <w:t>1、污染控制目标</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_Toc6057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FFA22E1">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_Toc25087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1.9.</w:t>
          </w:r>
          <w:r>
            <w:rPr>
              <w:rFonts w:hint="default" w:ascii="Times New Roman" w:hAnsi="Times New Roman" w:eastAsia="宋体" w:cs="Times New Roman"/>
              <w:bCs/>
              <w:color w:val="auto"/>
              <w:spacing w:val="-5"/>
              <w:sz w:val="24"/>
              <w:szCs w:val="24"/>
            </w:rPr>
            <w:t>2</w:t>
          </w:r>
          <w:r>
            <w:rPr>
              <w:rFonts w:hint="default" w:ascii="Times New Roman" w:hAnsi="Times New Roman" w:eastAsia="宋体" w:cs="Times New Roman"/>
              <w:bCs/>
              <w:color w:val="auto"/>
              <w:spacing w:val="-33"/>
              <w:sz w:val="24"/>
              <w:szCs w:val="24"/>
            </w:rPr>
            <w:t xml:space="preserve"> </w:t>
          </w:r>
          <w:r>
            <w:rPr>
              <w:rFonts w:hint="default" w:ascii="Times New Roman" w:hAnsi="Times New Roman" w:eastAsia="宋体" w:cs="Times New Roman"/>
              <w:bCs/>
              <w:color w:val="auto"/>
              <w:spacing w:val="-5"/>
              <w:sz w:val="24"/>
              <w:szCs w:val="24"/>
            </w:rPr>
            <w:t>、主要环境保护目标</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_Toc25087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7C8B517">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_Toc15999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rPr>
            <w:t>1.10.评价工作程序</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_Toc15999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C6AB725">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_Toc24361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2</w:t>
          </w:r>
          <w:r>
            <w:rPr>
              <w:rFonts w:hint="default" w:ascii="Times New Roman" w:hAnsi="Times New Roman" w:eastAsia="宋体" w:cs="Times New Roman"/>
              <w:bCs/>
              <w:color w:val="auto"/>
              <w:spacing w:val="5"/>
              <w:sz w:val="24"/>
              <w:szCs w:val="24"/>
            </w:rPr>
            <w:t>.建设项目工程分析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_Toc24361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4761B20">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_Toc24737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2</w:t>
          </w:r>
          <w:r>
            <w:rPr>
              <w:rFonts w:hint="default" w:ascii="Times New Roman" w:hAnsi="Times New Roman" w:eastAsia="宋体" w:cs="Times New Roman"/>
              <w:bCs/>
              <w:color w:val="auto"/>
              <w:spacing w:val="5"/>
              <w:sz w:val="24"/>
              <w:szCs w:val="24"/>
            </w:rPr>
            <w:t>.1.现有工程概况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_Toc24737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7091E55">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_Toc24583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val="0"/>
              <w:color w:val="auto"/>
              <w:sz w:val="24"/>
              <w:szCs w:val="24"/>
              <w:lang w:val="en-US" w:eastAsia="zh-CN"/>
            </w:rPr>
            <w:t>2.1.1基本情况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_Toc24583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905E1FC">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_Toc3032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val="0"/>
              <w:color w:val="auto"/>
              <w:sz w:val="24"/>
              <w:szCs w:val="24"/>
              <w:lang w:val="en-US" w:eastAsia="zh-CN"/>
            </w:rPr>
            <w:t>2.1.2环保手续情况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_Toc3032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96D17C7">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_Toc10761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kern w:val="0"/>
              <w:sz w:val="24"/>
              <w:szCs w:val="24"/>
              <w:lang w:val="en-US" w:eastAsia="zh-CN" w:bidi="ar"/>
            </w:rPr>
            <w:t>2.1.3现有工程污染物情况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_Toc10761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0E3F4AF">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_Toc19323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kern w:val="0"/>
              <w:sz w:val="24"/>
              <w:szCs w:val="24"/>
              <w:lang w:val="en-US" w:eastAsia="zh-CN" w:bidi="ar"/>
            </w:rPr>
            <w:t>2.1.4与项目有关的原有环境污染和生态破坏问题</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_Toc19323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8939986">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_Toc4165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2.1.5以新带老措施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_Toc4165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080C4CA">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_Toc12024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2</w:t>
          </w:r>
          <w:r>
            <w:rPr>
              <w:rFonts w:hint="default" w:ascii="Times New Roman" w:hAnsi="Times New Roman" w:eastAsia="宋体" w:cs="Times New Roman"/>
              <w:bCs/>
              <w:color w:val="auto"/>
              <w:spacing w:val="5"/>
              <w:sz w:val="24"/>
              <w:szCs w:val="24"/>
            </w:rPr>
            <w:t>.2.建设项目概况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_Toc12024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1CDDD91">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_Toc4698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2.2.1项目概况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_Toc4698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7E3E7C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_Toc21941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2.2.2工程建设内容</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_Toc21941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47CE467">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_Toc32591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2.2.3项目运输量及运输物品</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_Toc32591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CC1C03D">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_Toc13037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2.2.4主要设备</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_Toc13037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AC89C45">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_Toc9344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2.2.5站场布局</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_Toc9344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E1F06B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_Toc4463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2.2.6运输组织方案</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_Toc4463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186F3B5">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_Toc4311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2.2.7劳动定员及工作制度</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_Toc4311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121802C">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_Toc24177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2.3.施工组织</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_Toc24177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63060E7">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_Toc30433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2.3.1施工工艺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_Toc30433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30B975B">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_Toc15310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z w:val="24"/>
              <w:szCs w:val="24"/>
              <w:lang w:val="en-US" w:eastAsia="zh-CN"/>
            </w:rPr>
            <w:t>2.3.2施工计划</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_Toc15310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158B6AD">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_Toc19584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2.</w:t>
          </w:r>
          <w:r>
            <w:rPr>
              <w:rFonts w:hint="default" w:ascii="Times New Roman" w:hAnsi="Times New Roman" w:eastAsia="宋体" w:cs="Times New Roman"/>
              <w:bCs/>
              <w:color w:val="auto"/>
              <w:spacing w:val="-3"/>
              <w:sz w:val="24"/>
              <w:szCs w:val="24"/>
              <w:lang w:val="en-US" w:eastAsia="zh-CN"/>
            </w:rPr>
            <w:t>4</w:t>
          </w:r>
          <w:r>
            <w:rPr>
              <w:rFonts w:hint="default" w:ascii="Times New Roman" w:hAnsi="Times New Roman" w:eastAsia="宋体" w:cs="Times New Roman"/>
              <w:bCs/>
              <w:color w:val="auto"/>
              <w:spacing w:val="-3"/>
              <w:sz w:val="24"/>
              <w:szCs w:val="24"/>
            </w:rPr>
            <w:t xml:space="preserve"> 污染影响因素分析及污染源源强核算</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_Toc19584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66FE8A1">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_Toc7531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rPr>
            <w:t>2.</w:t>
          </w:r>
          <w:r>
            <w:rPr>
              <w:rFonts w:hint="default" w:ascii="Times New Roman" w:hAnsi="Times New Roman" w:eastAsia="宋体" w:cs="Times New Roman"/>
              <w:bCs/>
              <w:color w:val="auto"/>
              <w:spacing w:val="-2"/>
              <w:sz w:val="24"/>
              <w:szCs w:val="24"/>
              <w:lang w:val="en-US" w:eastAsia="zh-CN"/>
            </w:rPr>
            <w:t>4</w:t>
          </w:r>
          <w:r>
            <w:rPr>
              <w:rFonts w:hint="default" w:ascii="Times New Roman" w:hAnsi="Times New Roman" w:eastAsia="宋体" w:cs="Times New Roman"/>
              <w:bCs/>
              <w:color w:val="auto"/>
              <w:spacing w:val="-2"/>
              <w:sz w:val="24"/>
              <w:szCs w:val="24"/>
            </w:rPr>
            <w:t>.1 施工期污染物产生及排放情况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_Toc7531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11A8026">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_Toc32081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rPr>
            <w:t>2.</w:t>
          </w:r>
          <w:r>
            <w:rPr>
              <w:rFonts w:hint="default" w:ascii="Times New Roman" w:hAnsi="Times New Roman" w:eastAsia="宋体" w:cs="Times New Roman"/>
              <w:bCs/>
              <w:color w:val="auto"/>
              <w:spacing w:val="-2"/>
              <w:sz w:val="24"/>
              <w:szCs w:val="24"/>
              <w:lang w:val="en-US" w:eastAsia="zh-CN"/>
            </w:rPr>
            <w:t>4</w:t>
          </w:r>
          <w:r>
            <w:rPr>
              <w:rFonts w:hint="default" w:ascii="Times New Roman" w:hAnsi="Times New Roman" w:eastAsia="宋体" w:cs="Times New Roman"/>
              <w:bCs/>
              <w:color w:val="auto"/>
              <w:spacing w:val="-2"/>
              <w:sz w:val="24"/>
              <w:szCs w:val="24"/>
            </w:rPr>
            <w:t>.2  运营期污染影响因素分析及污染源源强核算</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_Toc32081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71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9C5F0BC">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_Toc4766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3</w:t>
          </w:r>
          <w:r>
            <w:rPr>
              <w:rFonts w:hint="default" w:ascii="Times New Roman" w:hAnsi="Times New Roman" w:eastAsia="宋体" w:cs="Times New Roman"/>
              <w:bCs/>
              <w:color w:val="auto"/>
              <w:spacing w:val="5"/>
              <w:sz w:val="24"/>
              <w:szCs w:val="24"/>
            </w:rPr>
            <w:t>.环境现状调查与评价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_Toc4766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88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F08C9E8">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_Toc9145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6"/>
              <w:sz w:val="24"/>
              <w:szCs w:val="24"/>
              <w:lang w:val="en-US" w:eastAsia="zh-CN"/>
            </w:rPr>
            <w:t>3</w:t>
          </w:r>
          <w:r>
            <w:rPr>
              <w:rFonts w:hint="default" w:ascii="Times New Roman" w:hAnsi="Times New Roman" w:eastAsia="宋体" w:cs="Times New Roman"/>
              <w:bCs/>
              <w:color w:val="auto"/>
              <w:spacing w:val="6"/>
              <w:sz w:val="24"/>
              <w:szCs w:val="24"/>
            </w:rPr>
            <w:t>.1.自然环境现状调查与评价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_Toc9145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88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56A33D2">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_Toc12492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w:t>
          </w:r>
          <w:r>
            <w:rPr>
              <w:rFonts w:hint="default" w:ascii="Times New Roman" w:hAnsi="Times New Roman" w:eastAsia="宋体" w:cs="Times New Roman"/>
              <w:bCs/>
              <w:color w:val="auto"/>
              <w:spacing w:val="-2"/>
              <w:sz w:val="24"/>
              <w:szCs w:val="24"/>
            </w:rPr>
            <w:t>.1.1.地理位置</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_Toc12492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88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9B87E9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_Toc11579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3.1.2.地形地貌地质</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_Toc11579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88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9CC2159">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_Toc25895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3.1.3.气候与气象</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_Toc25895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139712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_Toc11565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3.1.4.地震</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_Toc11565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28D6A45">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_Toc24427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3.1.5.地表水</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_Toc24427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5CF69A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_Toc23729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3.1.6.土壤、植被及动物</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_Toc23729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F1B64B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_Toc20495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3.1.7矿产资源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_Toc20495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8325EC2">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_Toc32469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6"/>
              <w:sz w:val="24"/>
              <w:szCs w:val="24"/>
              <w:lang w:val="en-US" w:eastAsia="zh-CN"/>
            </w:rPr>
            <w:t>3</w:t>
          </w:r>
          <w:r>
            <w:rPr>
              <w:rFonts w:hint="default" w:ascii="Times New Roman" w:hAnsi="Times New Roman" w:eastAsia="宋体" w:cs="Times New Roman"/>
              <w:bCs/>
              <w:color w:val="auto"/>
              <w:spacing w:val="6"/>
              <w:sz w:val="24"/>
              <w:szCs w:val="24"/>
            </w:rPr>
            <w:t>.2.环境质量现状调查与评价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_Toc32469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28267E4">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_Toc14481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w:t>
          </w:r>
          <w:r>
            <w:rPr>
              <w:rFonts w:hint="default" w:ascii="Times New Roman" w:hAnsi="Times New Roman" w:eastAsia="宋体" w:cs="Times New Roman"/>
              <w:bCs/>
              <w:color w:val="auto"/>
              <w:spacing w:val="-2"/>
              <w:sz w:val="24"/>
              <w:szCs w:val="24"/>
            </w:rPr>
            <w:t>.2.1.生态现状调查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_Toc14481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E66C678">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_Toc22306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3</w:t>
          </w:r>
          <w:r>
            <w:rPr>
              <w:rFonts w:hint="default" w:ascii="Times New Roman" w:hAnsi="Times New Roman" w:eastAsia="宋体" w:cs="Times New Roman"/>
              <w:bCs/>
              <w:color w:val="auto"/>
              <w:spacing w:val="-3"/>
              <w:sz w:val="24"/>
              <w:szCs w:val="24"/>
            </w:rPr>
            <w:t>.2.</w:t>
          </w:r>
          <w:r>
            <w:rPr>
              <w:rFonts w:hint="default" w:ascii="Times New Roman" w:hAnsi="Times New Roman" w:eastAsia="宋体" w:cs="Times New Roman"/>
              <w:bCs/>
              <w:color w:val="auto"/>
              <w:spacing w:val="-3"/>
              <w:sz w:val="24"/>
              <w:szCs w:val="24"/>
              <w:lang w:val="en-US" w:eastAsia="zh-CN"/>
            </w:rPr>
            <w:t>2</w:t>
          </w:r>
          <w:r>
            <w:rPr>
              <w:rFonts w:hint="default" w:ascii="Times New Roman" w:hAnsi="Times New Roman" w:eastAsia="宋体" w:cs="Times New Roman"/>
              <w:bCs/>
              <w:color w:val="auto"/>
              <w:spacing w:val="-3"/>
              <w:sz w:val="24"/>
              <w:szCs w:val="24"/>
            </w:rPr>
            <w:t>.环境空气质量现状监测与评价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_Toc22306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FB79748">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_Toc32340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w:t>
          </w:r>
          <w:r>
            <w:rPr>
              <w:rFonts w:hint="default" w:ascii="Times New Roman" w:hAnsi="Times New Roman" w:eastAsia="宋体" w:cs="Times New Roman"/>
              <w:bCs/>
              <w:color w:val="auto"/>
              <w:spacing w:val="-2"/>
              <w:sz w:val="24"/>
              <w:szCs w:val="24"/>
            </w:rPr>
            <w:t>.2.</w:t>
          </w:r>
          <w:r>
            <w:rPr>
              <w:rFonts w:hint="default" w:ascii="Times New Roman" w:hAnsi="Times New Roman" w:eastAsia="宋体" w:cs="Times New Roman"/>
              <w:bCs/>
              <w:color w:val="auto"/>
              <w:spacing w:val="-2"/>
              <w:sz w:val="24"/>
              <w:szCs w:val="24"/>
              <w:lang w:val="en-US" w:eastAsia="zh-CN"/>
            </w:rPr>
            <w:t>3</w:t>
          </w:r>
          <w:r>
            <w:rPr>
              <w:rFonts w:hint="default" w:ascii="Times New Roman" w:hAnsi="Times New Roman" w:eastAsia="宋体" w:cs="Times New Roman"/>
              <w:bCs/>
              <w:color w:val="auto"/>
              <w:spacing w:val="-2"/>
              <w:sz w:val="24"/>
              <w:szCs w:val="24"/>
            </w:rPr>
            <w:t>.地表水现状调查与评价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_Toc32340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97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880D072">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_Toc3456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3</w:t>
          </w:r>
          <w:r>
            <w:rPr>
              <w:rFonts w:hint="default" w:ascii="Times New Roman" w:hAnsi="Times New Roman" w:eastAsia="宋体" w:cs="Times New Roman"/>
              <w:bCs/>
              <w:color w:val="auto"/>
              <w:spacing w:val="-2"/>
              <w:sz w:val="24"/>
              <w:szCs w:val="24"/>
            </w:rPr>
            <w:t>.2.</w:t>
          </w:r>
          <w:r>
            <w:rPr>
              <w:rFonts w:hint="default" w:ascii="Times New Roman" w:hAnsi="Times New Roman" w:eastAsia="宋体" w:cs="Times New Roman"/>
              <w:bCs/>
              <w:color w:val="auto"/>
              <w:spacing w:val="-2"/>
              <w:sz w:val="24"/>
              <w:szCs w:val="24"/>
              <w:lang w:val="en-US" w:eastAsia="zh-CN"/>
            </w:rPr>
            <w:t>4</w:t>
          </w:r>
          <w:r>
            <w:rPr>
              <w:rFonts w:hint="default" w:ascii="Times New Roman" w:hAnsi="Times New Roman" w:eastAsia="宋体" w:cs="Times New Roman"/>
              <w:bCs/>
              <w:color w:val="auto"/>
              <w:spacing w:val="-2"/>
              <w:sz w:val="24"/>
              <w:szCs w:val="24"/>
            </w:rPr>
            <w:t>.</w:t>
          </w:r>
          <w:r>
            <w:rPr>
              <w:rFonts w:hint="default" w:ascii="Times New Roman" w:hAnsi="Times New Roman" w:eastAsia="宋体" w:cs="Times New Roman"/>
              <w:bCs/>
              <w:color w:val="auto"/>
              <w:spacing w:val="-2"/>
              <w:sz w:val="24"/>
              <w:szCs w:val="24"/>
              <w:lang w:val="en-US" w:eastAsia="zh-CN"/>
            </w:rPr>
            <w:t>地下水</w:t>
          </w:r>
          <w:r>
            <w:rPr>
              <w:rFonts w:hint="default" w:ascii="Times New Roman" w:hAnsi="Times New Roman" w:eastAsia="宋体" w:cs="Times New Roman"/>
              <w:bCs/>
              <w:color w:val="auto"/>
              <w:spacing w:val="-2"/>
              <w:sz w:val="24"/>
              <w:szCs w:val="24"/>
            </w:rPr>
            <w:t>现状调查与评价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_Toc3456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ED271A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_Toc26981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val="0"/>
              <w:color w:val="auto"/>
              <w:kern w:val="2"/>
              <w:sz w:val="24"/>
              <w:szCs w:val="24"/>
              <w:highlight w:val="none"/>
              <w:lang w:val="en-US" w:eastAsia="zh-CN" w:bidi="ar-SA"/>
            </w:rPr>
            <w:t>3.2.5声环境质量现状评价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_Toc26981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D1C66C2">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_Toc12904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4</w:t>
          </w:r>
          <w:r>
            <w:rPr>
              <w:rFonts w:hint="default" w:ascii="Times New Roman" w:hAnsi="Times New Roman" w:eastAsia="宋体" w:cs="Times New Roman"/>
              <w:bCs/>
              <w:color w:val="auto"/>
              <w:spacing w:val="5"/>
              <w:sz w:val="24"/>
              <w:szCs w:val="24"/>
            </w:rPr>
            <w:t>.环境影响预测与评价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_Toc12904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111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7BC576E">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_Toc5749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4.1.施工期环境影响预测与评价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_Toc5749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111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99633E2">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_Toc28029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rPr>
            <w:t>4.1.1 已施工部分回顾性分析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_Toc28029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111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9ADF378">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_Toc23942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rPr>
            <w:t>4.1.</w:t>
          </w:r>
          <w:r>
            <w:rPr>
              <w:rFonts w:hint="default" w:ascii="Times New Roman" w:hAnsi="Times New Roman" w:eastAsia="宋体" w:cs="Times New Roman"/>
              <w:bCs/>
              <w:color w:val="auto"/>
              <w:spacing w:val="-2"/>
              <w:sz w:val="24"/>
              <w:szCs w:val="24"/>
              <w:lang w:val="en-US" w:eastAsia="zh-CN"/>
            </w:rPr>
            <w:t>2待建工程</w:t>
          </w:r>
          <w:r>
            <w:rPr>
              <w:rFonts w:hint="default" w:ascii="Times New Roman" w:hAnsi="Times New Roman" w:eastAsia="宋体" w:cs="Times New Roman"/>
              <w:bCs/>
              <w:color w:val="auto"/>
              <w:spacing w:val="-2"/>
              <w:sz w:val="24"/>
              <w:szCs w:val="24"/>
            </w:rPr>
            <w:t>施工期环境影响预测与评价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_Toc23942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111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5355E0A">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_Toc29180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rPr>
            <w:t>4.2.  运营期大气环境影响分析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_Toc29180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118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BD1BF14">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_Toc31516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4.3.运营期地表水环境影响分析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_Toc31516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120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FEAA18F">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_Toc28582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4.4 运营期声环境影响分析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_Toc28582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121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8A0102B">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_Toc30714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4.5 运营期振动影响分析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_Toc30714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0A0C04B">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_Toc11286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rPr>
            <w:t>4.6.运营期固体废物影响分析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_Toc11286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8B97391">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_Toc27563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4.7</w:t>
          </w:r>
          <w:r>
            <w:rPr>
              <w:rFonts w:hint="default" w:ascii="Times New Roman" w:hAnsi="Times New Roman" w:eastAsia="宋体" w:cs="Times New Roman"/>
              <w:bCs/>
              <w:color w:val="auto"/>
              <w:spacing w:val="-3"/>
              <w:sz w:val="24"/>
              <w:szCs w:val="24"/>
            </w:rPr>
            <w:t>环境风险评价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_Toc27563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92CEED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_Toc3998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w:t>
          </w:r>
          <w:r>
            <w:rPr>
              <w:rFonts w:hint="default" w:ascii="Times New Roman" w:hAnsi="Times New Roman" w:eastAsia="宋体" w:cs="Times New Roman"/>
              <w:bCs/>
              <w:color w:val="auto"/>
              <w:spacing w:val="-2"/>
              <w:sz w:val="24"/>
              <w:szCs w:val="24"/>
            </w:rPr>
            <w:t>.1</w:t>
          </w:r>
          <w:r>
            <w:rPr>
              <w:rFonts w:hint="default" w:ascii="Times New Roman" w:hAnsi="Times New Roman" w:eastAsia="宋体" w:cs="Times New Roman"/>
              <w:bCs/>
              <w:color w:val="auto"/>
              <w:spacing w:val="-3"/>
              <w:sz w:val="24"/>
              <w:szCs w:val="24"/>
            </w:rPr>
            <w:t>评价目的与重点</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_Toc3998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29179C5">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_Toc22631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4.7.2 环境风险调查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_Toc22631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4FA8489">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_Toc2582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4.7.3 环境风险识别</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_Toc2582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4EE3B06">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_Toc4887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4.7.4风险评价等级及评价范围</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_Toc4887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81679EB">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_Toc5974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4.7.5 风险评价</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_Toc5974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6AB0678">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_Toc133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4.7.6 环境风险防范及管理措施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4243EB6">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_Toc10275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4.7.7 风险发生后的措施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_Toc10275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CA7557C">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_Toc30969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4.7.8 应急预案</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_Toc30969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2893392">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_Toc7126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4.7.9 环境风险评价结论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_Toc7126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A1DA3E5">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_Toc28115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4.8.运营期地下水影响分析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_Toc28115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6AA2184">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_Toc6162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color w:val="auto"/>
              <w:sz w:val="24"/>
              <w:szCs w:val="24"/>
              <w:lang w:val="en-US" w:eastAsia="zh-CN"/>
            </w:rPr>
            <w:t>4.8.1场地</w:t>
          </w:r>
          <w:r>
            <w:rPr>
              <w:rFonts w:hint="default" w:ascii="Times New Roman" w:hAnsi="Times New Roman" w:eastAsia="宋体" w:cs="Times New Roman"/>
              <w:color w:val="auto"/>
              <w:sz w:val="24"/>
              <w:szCs w:val="24"/>
            </w:rPr>
            <w:t>地质概况及区域水文地质条件</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_Toc6162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148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CCA2326">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_Toc2274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color w:val="auto"/>
              <w:sz w:val="24"/>
              <w:szCs w:val="24"/>
              <w:lang w:val="en-US" w:eastAsia="zh-CN"/>
            </w:rPr>
            <w:t>4.8.2地下水监测点代表性分析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_Toc2274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156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D9E2092">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_Toc14138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color w:val="auto"/>
              <w:sz w:val="24"/>
              <w:szCs w:val="24"/>
              <w:lang w:val="en-US" w:eastAsia="zh-CN"/>
            </w:rPr>
            <w:t>4.8.3项目区地下水补给、径流、排泄条件</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_Toc14138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156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CCBAEF0">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_Toc31625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color w:val="auto"/>
              <w:sz w:val="24"/>
              <w:szCs w:val="24"/>
              <w:lang w:val="en-US" w:eastAsia="zh-CN"/>
            </w:rPr>
            <w:t>4.8.4地下水环境影响分析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_Toc31625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157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5A8C17C">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_Toc2953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color w:val="auto"/>
              <w:sz w:val="24"/>
              <w:szCs w:val="24"/>
              <w:lang w:val="en-US" w:eastAsia="zh-CN"/>
            </w:rPr>
            <w:t>4.8.5地下水污染防治措施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_Toc2953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165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D34EBD5">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_Toc9199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color w:val="auto"/>
              <w:sz w:val="24"/>
              <w:szCs w:val="24"/>
              <w:lang w:val="en-US" w:eastAsia="zh-CN"/>
            </w:rPr>
            <w:t>4.8.6地下水环境影响评价结论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_Toc9199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167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4C48B5A">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_Toc9210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4.9.运营期土壤环境影响分析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_Toc9210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168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DD465CB">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_Toc8398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4.10.运营期生态环境影响分析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_Toc8398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169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CC35062">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_Toc26980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4.10.1 对于陆生动物的影响</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_Toc26980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169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6298851">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_Toc28830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4.10.2 对于植被的影响</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_Toc28830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169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DA74CD3">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_Toc7535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4.10.3</w:t>
          </w:r>
          <w:r>
            <w:rPr>
              <w:rFonts w:hint="default" w:ascii="Times New Roman" w:hAnsi="Times New Roman" w:eastAsia="宋体" w:cs="Times New Roman"/>
              <w:bCs/>
              <w:color w:val="auto"/>
              <w:spacing w:val="-3"/>
              <w:sz w:val="24"/>
              <w:szCs w:val="24"/>
              <w:lang w:val="en-US" w:eastAsia="zh-CN"/>
            </w:rPr>
            <w:t>水土保持影响分析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_Toc7535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6BBBEEA">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_Toc24364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5</w:t>
          </w:r>
          <w:r>
            <w:rPr>
              <w:rFonts w:hint="default" w:ascii="Times New Roman" w:hAnsi="Times New Roman" w:eastAsia="宋体" w:cs="Times New Roman"/>
              <w:bCs/>
              <w:color w:val="auto"/>
              <w:spacing w:val="5"/>
              <w:sz w:val="24"/>
              <w:szCs w:val="24"/>
            </w:rPr>
            <w:t>.环境保护措施及其可行性论证</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_Toc24364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6DA3476">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_Toc21079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5</w:t>
          </w:r>
          <w:r>
            <w:rPr>
              <w:rFonts w:hint="default" w:ascii="Times New Roman" w:hAnsi="Times New Roman" w:eastAsia="宋体" w:cs="Times New Roman"/>
              <w:bCs/>
              <w:color w:val="auto"/>
              <w:spacing w:val="-3"/>
              <w:sz w:val="24"/>
              <w:szCs w:val="24"/>
            </w:rPr>
            <w:t>.1 施工期污染防治措施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_Toc21079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137943E">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_Toc23776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5</w:t>
          </w:r>
          <w:r>
            <w:rPr>
              <w:rFonts w:hint="default" w:ascii="Times New Roman" w:hAnsi="Times New Roman" w:eastAsia="宋体" w:cs="Times New Roman"/>
              <w:bCs/>
              <w:color w:val="auto"/>
              <w:spacing w:val="-2"/>
              <w:sz w:val="24"/>
              <w:szCs w:val="24"/>
            </w:rPr>
            <w:t>.1.1 大气防治措施及可行性论证</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_Toc23776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F68E358">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_Toc10643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5</w:t>
          </w:r>
          <w:r>
            <w:rPr>
              <w:rFonts w:hint="default" w:ascii="Times New Roman" w:hAnsi="Times New Roman" w:eastAsia="宋体" w:cs="Times New Roman"/>
              <w:bCs/>
              <w:color w:val="auto"/>
              <w:spacing w:val="-2"/>
              <w:sz w:val="24"/>
              <w:szCs w:val="24"/>
            </w:rPr>
            <w:t>.1.2 废水污染防治措施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_Toc10643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41216DB">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_Toc30017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5.1.3 噪声污染防治措施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_Toc30017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BA9CE8C">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_Toc22741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5</w:t>
          </w:r>
          <w:r>
            <w:rPr>
              <w:rFonts w:hint="default" w:ascii="Times New Roman" w:hAnsi="Times New Roman" w:eastAsia="宋体" w:cs="Times New Roman"/>
              <w:bCs/>
              <w:color w:val="auto"/>
              <w:spacing w:val="-2"/>
              <w:sz w:val="24"/>
              <w:szCs w:val="24"/>
            </w:rPr>
            <w:t>.1.4 振动污染防治措施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_Toc22741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5C4B083">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_Toc1648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5</w:t>
          </w:r>
          <w:r>
            <w:rPr>
              <w:rFonts w:hint="default" w:ascii="Times New Roman" w:hAnsi="Times New Roman" w:eastAsia="宋体" w:cs="Times New Roman"/>
              <w:bCs/>
              <w:color w:val="auto"/>
              <w:spacing w:val="-5"/>
              <w:sz w:val="24"/>
              <w:szCs w:val="24"/>
            </w:rPr>
            <w:t>.1.5</w:t>
          </w:r>
          <w:r>
            <w:rPr>
              <w:rFonts w:hint="default" w:ascii="Times New Roman" w:hAnsi="Times New Roman" w:eastAsia="宋体" w:cs="Times New Roman"/>
              <w:bCs/>
              <w:color w:val="auto"/>
              <w:spacing w:val="37"/>
              <w:w w:val="101"/>
              <w:sz w:val="24"/>
              <w:szCs w:val="24"/>
            </w:rPr>
            <w:t xml:space="preserve"> </w:t>
          </w:r>
          <w:r>
            <w:rPr>
              <w:rFonts w:hint="default" w:ascii="Times New Roman" w:hAnsi="Times New Roman" w:eastAsia="宋体" w:cs="Times New Roman"/>
              <w:bCs/>
              <w:color w:val="auto"/>
              <w:spacing w:val="-5"/>
              <w:sz w:val="24"/>
              <w:szCs w:val="24"/>
            </w:rPr>
            <w:t>固体废物处置措施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_Toc1648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1141216">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_Toc12297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5</w:t>
          </w:r>
          <w:r>
            <w:rPr>
              <w:rFonts w:hint="default" w:ascii="Times New Roman" w:hAnsi="Times New Roman" w:eastAsia="宋体" w:cs="Times New Roman"/>
              <w:bCs/>
              <w:color w:val="auto"/>
              <w:spacing w:val="-2"/>
              <w:sz w:val="24"/>
              <w:szCs w:val="24"/>
            </w:rPr>
            <w:t>.1.6 生态环境保护措施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_Toc12297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AA3B36F">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_Toc10679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5.2 运营期污染防治措施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_Toc10679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177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590C81A">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_Toc28721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5"/>
              <w:sz w:val="24"/>
              <w:szCs w:val="24"/>
              <w:lang w:val="en-US" w:eastAsia="zh-CN"/>
            </w:rPr>
            <w:t>6</w:t>
          </w:r>
          <w:r>
            <w:rPr>
              <w:rFonts w:hint="default" w:ascii="Times New Roman" w:hAnsi="Times New Roman" w:eastAsia="宋体" w:cs="Times New Roman"/>
              <w:bCs/>
              <w:color w:val="auto"/>
              <w:spacing w:val="5"/>
              <w:sz w:val="24"/>
              <w:szCs w:val="24"/>
            </w:rPr>
            <w:t>.环境影响经济损益分析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_Toc28721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DB2F0BE">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_Toc32098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10"/>
              <w:sz w:val="24"/>
              <w:szCs w:val="24"/>
              <w:lang w:val="en-US" w:eastAsia="zh-CN"/>
            </w:rPr>
            <w:t>6</w:t>
          </w:r>
          <w:r>
            <w:rPr>
              <w:rFonts w:hint="default" w:ascii="Times New Roman" w:hAnsi="Times New Roman" w:eastAsia="宋体" w:cs="Times New Roman"/>
              <w:bCs/>
              <w:color w:val="auto"/>
              <w:spacing w:val="-10"/>
              <w:sz w:val="24"/>
              <w:szCs w:val="24"/>
            </w:rPr>
            <w:t>.1  目的与意义</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_Toc32098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94E9D34">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_Toc605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6</w:t>
          </w:r>
          <w:r>
            <w:rPr>
              <w:rFonts w:hint="default" w:ascii="Times New Roman" w:hAnsi="Times New Roman" w:eastAsia="宋体" w:cs="Times New Roman"/>
              <w:bCs/>
              <w:color w:val="auto"/>
              <w:spacing w:val="-3"/>
              <w:sz w:val="24"/>
              <w:szCs w:val="24"/>
            </w:rPr>
            <w:t>.2 环保投资估算</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_Toc605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3283FB8">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_Toc17014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6</w:t>
          </w:r>
          <w:r>
            <w:rPr>
              <w:rFonts w:hint="default" w:ascii="Times New Roman" w:hAnsi="Times New Roman" w:eastAsia="宋体" w:cs="Times New Roman"/>
              <w:bCs/>
              <w:color w:val="auto"/>
              <w:spacing w:val="-3"/>
              <w:sz w:val="24"/>
              <w:szCs w:val="24"/>
            </w:rPr>
            <w:t>.3 社会效益分析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_Toc17014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4DB5BC6">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_Toc22276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6</w:t>
          </w:r>
          <w:r>
            <w:rPr>
              <w:rFonts w:hint="default" w:ascii="Times New Roman" w:hAnsi="Times New Roman" w:eastAsia="宋体" w:cs="Times New Roman"/>
              <w:bCs/>
              <w:color w:val="auto"/>
              <w:spacing w:val="-3"/>
              <w:sz w:val="24"/>
              <w:szCs w:val="24"/>
            </w:rPr>
            <w:t>.4  环境经济效益分析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_Toc22276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5A0A543">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_Toc5375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8"/>
              <w:sz w:val="24"/>
              <w:szCs w:val="24"/>
            </w:rPr>
            <w:t>.</w:t>
          </w:r>
          <w:r>
            <w:rPr>
              <w:rFonts w:hint="default" w:ascii="Times New Roman" w:hAnsi="Times New Roman" w:eastAsia="宋体" w:cs="Times New Roman"/>
              <w:bCs/>
              <w:color w:val="auto"/>
              <w:spacing w:val="-8"/>
              <w:sz w:val="24"/>
              <w:szCs w:val="24"/>
              <w:lang w:val="en-US" w:eastAsia="zh-CN"/>
            </w:rPr>
            <w:t>6.</w:t>
          </w:r>
          <w:r>
            <w:rPr>
              <w:rFonts w:hint="default" w:ascii="Times New Roman" w:hAnsi="Times New Roman" w:eastAsia="宋体" w:cs="Times New Roman"/>
              <w:bCs/>
              <w:color w:val="auto"/>
              <w:spacing w:val="-8"/>
              <w:sz w:val="24"/>
              <w:szCs w:val="24"/>
            </w:rPr>
            <w:t>5</w:t>
          </w:r>
          <w:r>
            <w:rPr>
              <w:rFonts w:hint="default" w:ascii="Times New Roman" w:hAnsi="Times New Roman" w:eastAsia="宋体" w:cs="Times New Roman"/>
              <w:bCs/>
              <w:color w:val="auto"/>
              <w:spacing w:val="21"/>
              <w:sz w:val="24"/>
              <w:szCs w:val="24"/>
            </w:rPr>
            <w:t xml:space="preserve"> </w:t>
          </w:r>
          <w:r>
            <w:rPr>
              <w:rFonts w:hint="default" w:ascii="Times New Roman" w:hAnsi="Times New Roman" w:eastAsia="宋体" w:cs="Times New Roman"/>
              <w:bCs/>
              <w:color w:val="auto"/>
              <w:spacing w:val="-8"/>
              <w:sz w:val="24"/>
              <w:szCs w:val="24"/>
            </w:rPr>
            <w:t>小结</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_Toc5375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5791568">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_Toc14732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4"/>
              <w:sz w:val="24"/>
              <w:szCs w:val="24"/>
              <w:lang w:val="en-US" w:eastAsia="zh-CN"/>
            </w:rPr>
            <w:t>7</w:t>
          </w:r>
          <w:r>
            <w:rPr>
              <w:rFonts w:hint="default" w:ascii="Times New Roman" w:hAnsi="Times New Roman" w:eastAsia="宋体" w:cs="Times New Roman"/>
              <w:bCs/>
              <w:color w:val="auto"/>
              <w:spacing w:val="4"/>
              <w:sz w:val="24"/>
              <w:szCs w:val="24"/>
            </w:rPr>
            <w:t>.环境管理与监测计划</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_Toc14732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AA4DCEB">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_Toc31767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10"/>
              <w:sz w:val="24"/>
              <w:szCs w:val="24"/>
              <w:lang w:val="en-US" w:eastAsia="zh-CN"/>
            </w:rPr>
            <w:t>7</w:t>
          </w:r>
          <w:r>
            <w:rPr>
              <w:rFonts w:hint="default" w:ascii="Times New Roman" w:hAnsi="Times New Roman" w:eastAsia="宋体" w:cs="Times New Roman"/>
              <w:bCs/>
              <w:color w:val="auto"/>
              <w:spacing w:val="-10"/>
              <w:sz w:val="24"/>
              <w:szCs w:val="24"/>
            </w:rPr>
            <w:t>.1  目的和意义</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_Toc31767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B326A86">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_Toc206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7</w:t>
          </w:r>
          <w:r>
            <w:rPr>
              <w:rFonts w:hint="default" w:ascii="Times New Roman" w:hAnsi="Times New Roman" w:eastAsia="宋体" w:cs="Times New Roman"/>
              <w:bCs/>
              <w:color w:val="auto"/>
              <w:spacing w:val="-3"/>
              <w:sz w:val="24"/>
              <w:szCs w:val="24"/>
            </w:rPr>
            <w:t>.2 环境管理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_Toc206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EADE74C">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_Toc14032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7</w:t>
          </w:r>
          <w:r>
            <w:rPr>
              <w:rFonts w:hint="default" w:ascii="Times New Roman" w:hAnsi="Times New Roman" w:eastAsia="宋体" w:cs="Times New Roman"/>
              <w:bCs/>
              <w:color w:val="auto"/>
              <w:spacing w:val="-2"/>
              <w:sz w:val="24"/>
              <w:szCs w:val="24"/>
            </w:rPr>
            <w:t>.2.</w:t>
          </w:r>
          <w:r>
            <w:rPr>
              <w:rFonts w:hint="default" w:ascii="Times New Roman" w:hAnsi="Times New Roman" w:eastAsia="宋体" w:cs="Times New Roman"/>
              <w:bCs/>
              <w:color w:val="auto"/>
              <w:spacing w:val="-2"/>
              <w:sz w:val="24"/>
              <w:szCs w:val="24"/>
              <w:lang w:val="en-US" w:eastAsia="zh-CN"/>
            </w:rPr>
            <w:t>1</w:t>
          </w:r>
          <w:r>
            <w:rPr>
              <w:rFonts w:hint="default" w:ascii="Times New Roman" w:hAnsi="Times New Roman" w:eastAsia="宋体" w:cs="Times New Roman"/>
              <w:bCs/>
              <w:color w:val="auto"/>
              <w:spacing w:val="-2"/>
              <w:sz w:val="24"/>
              <w:szCs w:val="24"/>
            </w:rPr>
            <w:t>施工期环境管理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_Toc14032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D8F4171">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_Toc3271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7.2.2运营期环境管理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_Toc3271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438DD881">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_Toc5532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7.2.3环境监理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_Toc5532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3FC56B0">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_Toc17120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7</w:t>
          </w:r>
          <w:r>
            <w:rPr>
              <w:rFonts w:hint="default" w:ascii="Times New Roman" w:hAnsi="Times New Roman" w:eastAsia="宋体" w:cs="Times New Roman"/>
              <w:bCs/>
              <w:color w:val="auto"/>
              <w:spacing w:val="-3"/>
              <w:sz w:val="24"/>
              <w:szCs w:val="24"/>
            </w:rPr>
            <w:t>.3 污染物排放管理要求</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_Toc17120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630EC28A">
          <w:pPr>
            <w:pStyle w:val="11"/>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_Toc27641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2"/>
              <w:sz w:val="24"/>
              <w:szCs w:val="24"/>
              <w:lang w:val="en-US" w:eastAsia="zh-CN"/>
            </w:rPr>
            <w:t>7.3.1 污染物排放清单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_Toc27641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196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C245529">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_Toc1396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3"/>
              <w:sz w:val="24"/>
              <w:szCs w:val="24"/>
              <w:lang w:val="en-US" w:eastAsia="zh-CN"/>
            </w:rPr>
            <w:t>7</w:t>
          </w:r>
          <w:r>
            <w:rPr>
              <w:rFonts w:hint="default" w:ascii="Times New Roman" w:hAnsi="Times New Roman" w:eastAsia="宋体" w:cs="Times New Roman"/>
              <w:bCs/>
              <w:color w:val="auto"/>
              <w:spacing w:val="-3"/>
              <w:sz w:val="24"/>
              <w:szCs w:val="24"/>
            </w:rPr>
            <w:t>.4 环境监测计划</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_Toc1396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5EF31479">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_Toc17503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0"/>
              <w:w w:val="100"/>
              <w:sz w:val="24"/>
              <w:szCs w:val="24"/>
              <w:lang w:val="en-US" w:eastAsia="zh-CN"/>
            </w:rPr>
            <w:t>7</w:t>
          </w:r>
          <w:r>
            <w:rPr>
              <w:rFonts w:hint="default" w:ascii="Times New Roman" w:hAnsi="Times New Roman" w:eastAsia="宋体" w:cs="Times New Roman"/>
              <w:bCs/>
              <w:color w:val="auto"/>
              <w:spacing w:val="0"/>
              <w:w w:val="100"/>
              <w:sz w:val="24"/>
              <w:szCs w:val="24"/>
            </w:rPr>
            <w:t>.5 环保竣工验收</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_Toc17503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2E396CB">
          <w:pPr>
            <w:pStyle w:val="15"/>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_Toc18553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1"/>
              <w:sz w:val="24"/>
              <w:szCs w:val="24"/>
              <w:lang w:val="en-US" w:eastAsia="zh-CN"/>
            </w:rPr>
            <w:t>8</w:t>
          </w:r>
          <w:r>
            <w:rPr>
              <w:rFonts w:hint="default" w:ascii="Times New Roman" w:hAnsi="Times New Roman" w:eastAsia="宋体" w:cs="Times New Roman"/>
              <w:bCs/>
              <w:color w:val="auto"/>
              <w:spacing w:val="1"/>
              <w:sz w:val="24"/>
              <w:szCs w:val="24"/>
            </w:rPr>
            <w:t>.环境影响评价结论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_Toc18553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918F2EA">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_Toc4297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0"/>
              <w:w w:val="100"/>
              <w:sz w:val="24"/>
              <w:szCs w:val="24"/>
              <w:lang w:val="en-US" w:eastAsia="zh-CN"/>
            </w:rPr>
            <w:t>8</w:t>
          </w:r>
          <w:r>
            <w:rPr>
              <w:rFonts w:hint="default" w:ascii="Times New Roman" w:hAnsi="Times New Roman" w:eastAsia="宋体" w:cs="Times New Roman"/>
              <w:bCs/>
              <w:color w:val="auto"/>
              <w:spacing w:val="0"/>
              <w:w w:val="100"/>
              <w:sz w:val="24"/>
              <w:szCs w:val="24"/>
            </w:rPr>
            <w:t>.1 项目概况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_Toc4297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7A4563C4">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_Toc13430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0"/>
              <w:w w:val="100"/>
              <w:sz w:val="24"/>
              <w:szCs w:val="24"/>
              <w:lang w:val="en-US" w:eastAsia="zh-CN"/>
            </w:rPr>
            <w:t>8</w:t>
          </w:r>
          <w:r>
            <w:rPr>
              <w:rFonts w:hint="default" w:ascii="Times New Roman" w:hAnsi="Times New Roman" w:eastAsia="宋体" w:cs="Times New Roman"/>
              <w:bCs/>
              <w:color w:val="auto"/>
              <w:spacing w:val="0"/>
              <w:w w:val="100"/>
              <w:sz w:val="24"/>
              <w:szCs w:val="24"/>
            </w:rPr>
            <w:t>.2 环境质量现状</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_Toc13430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2BCA00E">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_Toc9289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0"/>
              <w:w w:val="100"/>
              <w:sz w:val="24"/>
              <w:szCs w:val="24"/>
              <w:lang w:val="en-US" w:eastAsia="zh-CN"/>
            </w:rPr>
            <w:t>8</w:t>
          </w:r>
          <w:r>
            <w:rPr>
              <w:rFonts w:hint="default" w:ascii="Times New Roman" w:hAnsi="Times New Roman" w:eastAsia="宋体" w:cs="Times New Roman"/>
              <w:bCs/>
              <w:color w:val="auto"/>
              <w:spacing w:val="0"/>
              <w:w w:val="100"/>
              <w:sz w:val="24"/>
              <w:szCs w:val="24"/>
            </w:rPr>
            <w:t>.3 环境影响分析与评价结论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_Toc9289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1A5CAE2E">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_Toc4655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0"/>
              <w:w w:val="100"/>
              <w:sz w:val="24"/>
              <w:szCs w:val="24"/>
              <w:lang w:val="en-US" w:eastAsia="zh-CN"/>
            </w:rPr>
            <w:t>8</w:t>
          </w:r>
          <w:r>
            <w:rPr>
              <w:rFonts w:hint="default" w:ascii="Times New Roman" w:hAnsi="Times New Roman" w:eastAsia="宋体" w:cs="Times New Roman"/>
              <w:bCs/>
              <w:color w:val="auto"/>
              <w:spacing w:val="0"/>
              <w:w w:val="100"/>
              <w:sz w:val="24"/>
              <w:szCs w:val="24"/>
            </w:rPr>
            <w:t>.</w:t>
          </w:r>
          <w:r>
            <w:rPr>
              <w:rFonts w:hint="default" w:ascii="Times New Roman" w:hAnsi="Times New Roman" w:eastAsia="宋体" w:cs="Times New Roman"/>
              <w:bCs/>
              <w:color w:val="auto"/>
              <w:spacing w:val="0"/>
              <w:w w:val="100"/>
              <w:sz w:val="24"/>
              <w:szCs w:val="24"/>
              <w:lang w:val="en-US" w:eastAsia="zh-CN"/>
            </w:rPr>
            <w:t>9</w:t>
          </w:r>
          <w:r>
            <w:rPr>
              <w:rFonts w:hint="default" w:ascii="Times New Roman" w:hAnsi="Times New Roman" w:eastAsia="宋体" w:cs="Times New Roman"/>
              <w:bCs/>
              <w:color w:val="auto"/>
              <w:spacing w:val="0"/>
              <w:w w:val="100"/>
              <w:sz w:val="24"/>
              <w:szCs w:val="24"/>
            </w:rPr>
            <w:t>公众参与意见调查结论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_Toc4655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20C0FCD1">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_Toc26254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0"/>
              <w:w w:val="100"/>
              <w:sz w:val="24"/>
              <w:szCs w:val="24"/>
              <w:lang w:val="en-US" w:eastAsia="zh-CN"/>
            </w:rPr>
            <w:t>8</w:t>
          </w:r>
          <w:r>
            <w:rPr>
              <w:rFonts w:hint="default" w:ascii="Times New Roman" w:hAnsi="Times New Roman" w:eastAsia="宋体" w:cs="Times New Roman"/>
              <w:bCs/>
              <w:color w:val="auto"/>
              <w:spacing w:val="0"/>
              <w:w w:val="100"/>
              <w:sz w:val="24"/>
              <w:szCs w:val="24"/>
            </w:rPr>
            <w:t>.5 产业政策及规划符合性</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_Toc26254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3529AD73">
          <w:pPr>
            <w:pStyle w:val="17"/>
            <w:keepNext w:val="0"/>
            <w:keepLines w:val="0"/>
            <w:pageBreakBefore w:val="0"/>
            <w:widowControl/>
            <w:tabs>
              <w:tab w:val="right" w:leader="dot" w:pos="8960"/>
            </w:tabs>
            <w:kinsoku w:val="0"/>
            <w:wordWrap/>
            <w:overflowPunct/>
            <w:topLinePunct w:val="0"/>
            <w:autoSpaceDE w:val="0"/>
            <w:autoSpaceDN w:val="0"/>
            <w:bidi w:val="0"/>
            <w:adjustRightInd w:val="0"/>
            <w:snapToGrid w:val="0"/>
            <w:spacing w:line="360" w:lineRule="auto"/>
            <w:textAlignment w:val="baseline"/>
            <w:rPr>
              <w:color w:val="auto"/>
            </w:rPr>
          </w:pPr>
          <w:r>
            <w:rPr>
              <w:rFonts w:hint="default" w:ascii="Times New Roman" w:hAnsi="Times New Roman" w:eastAsia="宋体" w:cs="Times New Roman"/>
              <w:snapToGrid w:val="0"/>
              <w:color w:val="auto"/>
              <w:kern w:val="0"/>
              <w:sz w:val="24"/>
              <w:szCs w:val="24"/>
              <w:lang w:val="en-US" w:eastAsia="en-US" w:bidi="ar-SA"/>
            </w:rPr>
            <w:fldChar w:fldCharType="begin"/>
          </w:r>
          <w:r>
            <w:rPr>
              <w:rFonts w:hint="default" w:ascii="Times New Roman" w:hAnsi="Times New Roman" w:eastAsia="宋体" w:cs="Times New Roman"/>
              <w:snapToGrid w:val="0"/>
              <w:color w:val="auto"/>
              <w:kern w:val="0"/>
              <w:sz w:val="24"/>
              <w:szCs w:val="24"/>
              <w:lang w:val="en-US" w:eastAsia="en-US" w:bidi="ar-SA"/>
            </w:rPr>
            <w:instrText xml:space="preserve"> HYPERLINK \l _Toc19630 </w:instrText>
          </w:r>
          <w:r>
            <w:rPr>
              <w:rFonts w:hint="default" w:ascii="Times New Roman" w:hAnsi="Times New Roman" w:eastAsia="宋体" w:cs="Times New Roman"/>
              <w:snapToGrid w:val="0"/>
              <w:color w:val="auto"/>
              <w:kern w:val="0"/>
              <w:sz w:val="24"/>
              <w:szCs w:val="24"/>
              <w:lang w:val="en-US" w:eastAsia="en-US" w:bidi="ar-SA"/>
            </w:rPr>
            <w:fldChar w:fldCharType="separate"/>
          </w:r>
          <w:r>
            <w:rPr>
              <w:rFonts w:hint="default" w:ascii="Times New Roman" w:hAnsi="Times New Roman" w:eastAsia="宋体" w:cs="Times New Roman"/>
              <w:bCs/>
              <w:color w:val="auto"/>
              <w:spacing w:val="0"/>
              <w:w w:val="100"/>
              <w:sz w:val="24"/>
              <w:szCs w:val="24"/>
              <w:lang w:val="en-US" w:eastAsia="zh-CN"/>
            </w:rPr>
            <w:t>8</w:t>
          </w:r>
          <w:r>
            <w:rPr>
              <w:rFonts w:hint="default" w:ascii="Times New Roman" w:hAnsi="Times New Roman" w:eastAsia="宋体" w:cs="Times New Roman"/>
              <w:bCs/>
              <w:color w:val="auto"/>
              <w:spacing w:val="0"/>
              <w:w w:val="100"/>
              <w:sz w:val="24"/>
              <w:szCs w:val="24"/>
            </w:rPr>
            <w:t>.6 总结论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_Toc19630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snapToGrid w:val="0"/>
              <w:color w:val="auto"/>
              <w:kern w:val="0"/>
              <w:sz w:val="24"/>
              <w:szCs w:val="24"/>
              <w:lang w:val="en-US" w:eastAsia="en-US" w:bidi="ar-SA"/>
            </w:rPr>
            <w:fldChar w:fldCharType="end"/>
          </w:r>
        </w:p>
        <w:p w14:paraId="0DC4C7C7">
          <w:pPr>
            <w:keepNext w:val="0"/>
            <w:keepLines w:val="0"/>
            <w:pageBreakBefore w:val="0"/>
            <w:widowControl/>
            <w:kinsoku w:val="0"/>
            <w:wordWrap/>
            <w:overflowPunct/>
            <w:topLinePunct w:val="0"/>
            <w:autoSpaceDE w:val="0"/>
            <w:autoSpaceDN w:val="0"/>
            <w:bidi w:val="0"/>
            <w:adjustRightInd/>
            <w:snapToGrid/>
            <w:spacing w:before="0" w:beforeLines="0" w:after="0" w:afterLines="0" w:line="360" w:lineRule="auto"/>
            <w:ind w:left="0" w:leftChars="0" w:right="0" w:rightChars="0" w:firstLine="0" w:firstLineChars="0"/>
            <w:jc w:val="center"/>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Cs w:val="24"/>
              <w:lang w:val="en-US" w:eastAsia="en-US" w:bidi="ar-SA"/>
            </w:rPr>
            <w:fldChar w:fldCharType="end"/>
          </w:r>
        </w:p>
      </w:sdtContent>
    </w:sdt>
    <w:p w14:paraId="6716CC4D">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附图</w:t>
      </w:r>
    </w:p>
    <w:p w14:paraId="28B01A7B">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附图1</w:t>
      </w:r>
      <w:r>
        <w:rPr>
          <w:rFonts w:hint="eastAsia" w:ascii="Times New Roman" w:hAnsi="Times New Roman" w:eastAsia="宋体" w:cs="Times New Roman"/>
          <w:snapToGrid w:val="0"/>
          <w:color w:val="auto"/>
          <w:kern w:val="0"/>
          <w:sz w:val="24"/>
          <w:szCs w:val="24"/>
          <w:lang w:val="en-US" w:eastAsia="zh-CN" w:bidi="ar-SA"/>
        </w:rPr>
        <w:t xml:space="preserve"> </w:t>
      </w:r>
      <w:r>
        <w:rPr>
          <w:rFonts w:hint="default" w:ascii="Times New Roman" w:hAnsi="Times New Roman" w:eastAsia="Times New Roman" w:cs="Times New Roman"/>
          <w:snapToGrid w:val="0"/>
          <w:color w:val="auto"/>
          <w:kern w:val="0"/>
          <w:sz w:val="24"/>
          <w:szCs w:val="24"/>
          <w:lang w:val="en-US" w:eastAsia="en-US" w:bidi="ar-SA"/>
        </w:rPr>
        <w:t>项目地理位置图</w:t>
      </w:r>
    </w:p>
    <w:p w14:paraId="3BDF2DDB">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附图2</w:t>
      </w:r>
      <w:r>
        <w:rPr>
          <w:rFonts w:hint="eastAsia" w:ascii="Times New Roman" w:hAnsi="Times New Roman" w:eastAsia="宋体" w:cs="Times New Roman"/>
          <w:snapToGrid w:val="0"/>
          <w:color w:val="auto"/>
          <w:kern w:val="0"/>
          <w:sz w:val="24"/>
          <w:szCs w:val="24"/>
          <w:lang w:val="en-US" w:eastAsia="zh-CN" w:bidi="ar-SA"/>
        </w:rPr>
        <w:t xml:space="preserve"> </w:t>
      </w:r>
      <w:r>
        <w:rPr>
          <w:rFonts w:hint="default" w:ascii="Times New Roman" w:hAnsi="Times New Roman" w:eastAsia="Times New Roman" w:cs="Times New Roman"/>
          <w:snapToGrid w:val="0"/>
          <w:color w:val="auto"/>
          <w:kern w:val="0"/>
          <w:sz w:val="24"/>
          <w:szCs w:val="24"/>
          <w:lang w:val="en-US" w:eastAsia="en-US" w:bidi="ar-SA"/>
        </w:rPr>
        <w:t>环境保护目标及评价范围图</w:t>
      </w:r>
    </w:p>
    <w:p w14:paraId="49615AF6">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附图3</w:t>
      </w:r>
      <w:r>
        <w:rPr>
          <w:rFonts w:hint="eastAsia" w:ascii="Times New Roman" w:hAnsi="Times New Roman" w:eastAsia="宋体" w:cs="Times New Roman"/>
          <w:snapToGrid w:val="0"/>
          <w:color w:val="auto"/>
          <w:kern w:val="0"/>
          <w:sz w:val="24"/>
          <w:szCs w:val="24"/>
          <w:lang w:val="en-US" w:eastAsia="zh-CN" w:bidi="ar-SA"/>
        </w:rPr>
        <w:t xml:space="preserve"> </w:t>
      </w:r>
      <w:r>
        <w:rPr>
          <w:rFonts w:hint="default" w:ascii="Times New Roman" w:hAnsi="Times New Roman" w:eastAsia="Times New Roman" w:cs="Times New Roman"/>
          <w:snapToGrid w:val="0"/>
          <w:color w:val="auto"/>
          <w:kern w:val="0"/>
          <w:sz w:val="24"/>
          <w:szCs w:val="24"/>
          <w:lang w:val="en-US" w:eastAsia="en-US" w:bidi="ar-SA"/>
        </w:rPr>
        <w:t>项目总平面布置图</w:t>
      </w:r>
    </w:p>
    <w:p w14:paraId="2C689BD5">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附图4</w:t>
      </w:r>
      <w:r>
        <w:rPr>
          <w:rFonts w:hint="eastAsia" w:ascii="Times New Roman" w:hAnsi="Times New Roman" w:eastAsia="宋体" w:cs="Times New Roman"/>
          <w:snapToGrid w:val="0"/>
          <w:color w:val="auto"/>
          <w:kern w:val="0"/>
          <w:sz w:val="24"/>
          <w:szCs w:val="24"/>
          <w:lang w:val="en-US" w:eastAsia="zh-CN" w:bidi="ar-SA"/>
        </w:rPr>
        <w:t xml:space="preserve"> </w:t>
      </w:r>
      <w:r>
        <w:rPr>
          <w:rFonts w:hint="default" w:ascii="Times New Roman" w:hAnsi="Times New Roman" w:eastAsia="Times New Roman" w:cs="Times New Roman"/>
          <w:snapToGrid w:val="0"/>
          <w:color w:val="auto"/>
          <w:kern w:val="0"/>
          <w:sz w:val="24"/>
          <w:szCs w:val="24"/>
          <w:lang w:val="en-US" w:eastAsia="en-US" w:bidi="ar-SA"/>
        </w:rPr>
        <w:t>项目所在区域水系图</w:t>
      </w:r>
    </w:p>
    <w:p w14:paraId="0CF65AC9">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附图5</w:t>
      </w:r>
      <w:r>
        <w:rPr>
          <w:rFonts w:hint="eastAsia" w:ascii="Times New Roman" w:hAnsi="Times New Roman" w:eastAsia="宋体" w:cs="Times New Roman"/>
          <w:snapToGrid w:val="0"/>
          <w:color w:val="auto"/>
          <w:kern w:val="0"/>
          <w:sz w:val="24"/>
          <w:szCs w:val="24"/>
          <w:lang w:val="en-US" w:eastAsia="zh-CN" w:bidi="ar-SA"/>
        </w:rPr>
        <w:t xml:space="preserve"> </w:t>
      </w:r>
      <w:r>
        <w:rPr>
          <w:rFonts w:hint="default" w:ascii="Times New Roman" w:hAnsi="Times New Roman" w:eastAsia="Times New Roman" w:cs="Times New Roman"/>
          <w:snapToGrid w:val="0"/>
          <w:color w:val="auto"/>
          <w:kern w:val="0"/>
          <w:sz w:val="24"/>
          <w:szCs w:val="24"/>
          <w:lang w:val="en-US" w:eastAsia="en-US" w:bidi="ar-SA"/>
        </w:rPr>
        <w:t>项目与云南省环境管控单元分布关系图</w:t>
      </w:r>
    </w:p>
    <w:p w14:paraId="30160190">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附图6</w:t>
      </w:r>
      <w:r>
        <w:rPr>
          <w:rFonts w:hint="eastAsia" w:ascii="Times New Roman" w:hAnsi="Times New Roman" w:eastAsia="宋体" w:cs="Times New Roman"/>
          <w:snapToGrid w:val="0"/>
          <w:color w:val="auto"/>
          <w:kern w:val="0"/>
          <w:sz w:val="24"/>
          <w:szCs w:val="24"/>
          <w:lang w:val="en-US" w:eastAsia="zh-CN" w:bidi="ar-SA"/>
        </w:rPr>
        <w:t xml:space="preserve"> </w:t>
      </w:r>
      <w:r>
        <w:rPr>
          <w:rFonts w:hint="default" w:ascii="Times New Roman" w:hAnsi="Times New Roman" w:eastAsia="Times New Roman" w:cs="Times New Roman"/>
          <w:snapToGrid w:val="0"/>
          <w:color w:val="auto"/>
          <w:kern w:val="0"/>
          <w:sz w:val="24"/>
          <w:szCs w:val="24"/>
          <w:lang w:val="en-US" w:eastAsia="en-US" w:bidi="ar-SA"/>
        </w:rPr>
        <w:t>项目与花山片区产业布局规划关系图</w:t>
      </w:r>
    </w:p>
    <w:p w14:paraId="2AE29F69">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附图7</w:t>
      </w:r>
      <w:r>
        <w:rPr>
          <w:rFonts w:hint="eastAsia" w:ascii="Times New Roman" w:hAnsi="Times New Roman" w:eastAsia="宋体" w:cs="Times New Roman"/>
          <w:snapToGrid w:val="0"/>
          <w:color w:val="auto"/>
          <w:kern w:val="0"/>
          <w:sz w:val="24"/>
          <w:szCs w:val="24"/>
          <w:lang w:val="en-US" w:eastAsia="zh-CN" w:bidi="ar-SA"/>
        </w:rPr>
        <w:t xml:space="preserve"> </w:t>
      </w:r>
      <w:r>
        <w:rPr>
          <w:rFonts w:hint="default" w:ascii="Times New Roman" w:hAnsi="Times New Roman" w:eastAsia="Times New Roman" w:cs="Times New Roman"/>
          <w:snapToGrid w:val="0"/>
          <w:color w:val="auto"/>
          <w:kern w:val="0"/>
          <w:sz w:val="24"/>
          <w:szCs w:val="24"/>
          <w:lang w:val="en-US" w:eastAsia="en-US" w:bidi="ar-SA"/>
        </w:rPr>
        <w:t>项目与花山片区士地利用规划关系图</w:t>
      </w:r>
    </w:p>
    <w:p w14:paraId="108B2850">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附图8项目与云南省主体功能区规划分布图</w:t>
      </w:r>
    </w:p>
    <w:p w14:paraId="3137346B">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附图9项目与云南省生态功能区划分布图</w:t>
      </w:r>
    </w:p>
    <w:p w14:paraId="1AC8E2B7">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r>
        <w:rPr>
          <w:rFonts w:hint="default" w:ascii="Times New Roman" w:hAnsi="Times New Roman" w:eastAsia="Times New Roman" w:cs="Times New Roman"/>
          <w:snapToGrid w:val="0"/>
          <w:color w:val="auto"/>
          <w:kern w:val="0"/>
          <w:sz w:val="24"/>
          <w:szCs w:val="24"/>
          <w:lang w:val="en-US" w:eastAsia="en-US" w:bidi="ar-SA"/>
        </w:rPr>
        <w:t>附图</w:t>
      </w:r>
      <w:r>
        <w:rPr>
          <w:rFonts w:hint="eastAsia" w:ascii="Times New Roman" w:hAnsi="Times New Roman" w:eastAsia="宋体" w:cs="Times New Roman"/>
          <w:snapToGrid w:val="0"/>
          <w:color w:val="auto"/>
          <w:kern w:val="0"/>
          <w:sz w:val="24"/>
          <w:szCs w:val="24"/>
          <w:lang w:val="en-US" w:eastAsia="zh-CN" w:bidi="ar-SA"/>
        </w:rPr>
        <w:t>10</w:t>
      </w:r>
      <w:r>
        <w:rPr>
          <w:rFonts w:hint="default" w:ascii="Times New Roman" w:hAnsi="Times New Roman" w:eastAsia="Times New Roman" w:cs="Times New Roman"/>
          <w:snapToGrid w:val="0"/>
          <w:color w:val="auto"/>
          <w:kern w:val="0"/>
          <w:sz w:val="24"/>
          <w:szCs w:val="24"/>
          <w:lang w:val="en-US" w:eastAsia="en-US" w:bidi="ar-SA"/>
        </w:rPr>
        <w:t>项目区士地利用现状图</w:t>
      </w:r>
    </w:p>
    <w:p w14:paraId="205A0E1A">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附图11项目现状监测布点图</w:t>
      </w:r>
    </w:p>
    <w:p w14:paraId="191D2F64">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附图12跟踪监测点位分布图</w:t>
      </w:r>
    </w:p>
    <w:p w14:paraId="01B4FDEE">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snapToGrid w:val="0"/>
          <w:color w:val="auto"/>
          <w:kern w:val="0"/>
          <w:sz w:val="24"/>
          <w:szCs w:val="24"/>
          <w:lang w:val="en-US" w:eastAsia="en-US" w:bidi="ar-SA"/>
        </w:rPr>
        <w:t>附图1</w:t>
      </w:r>
      <w:r>
        <w:rPr>
          <w:rFonts w:hint="eastAsia" w:ascii="Times New Roman" w:hAnsi="Times New Roman" w:eastAsia="宋体" w:cs="Times New Roman"/>
          <w:snapToGrid w:val="0"/>
          <w:color w:val="auto"/>
          <w:kern w:val="0"/>
          <w:sz w:val="24"/>
          <w:szCs w:val="24"/>
          <w:lang w:val="en-US" w:eastAsia="zh-CN" w:bidi="ar-SA"/>
        </w:rPr>
        <w:t>3</w:t>
      </w:r>
      <w:r>
        <w:rPr>
          <w:rFonts w:hint="default" w:ascii="Times New Roman" w:hAnsi="Times New Roman" w:eastAsia="宋体" w:cs="Times New Roman"/>
          <w:snapToGrid w:val="0"/>
          <w:color w:val="auto"/>
          <w:kern w:val="0"/>
          <w:sz w:val="24"/>
          <w:szCs w:val="24"/>
          <w:lang w:val="en-US" w:eastAsia="en-US" w:bidi="ar-SA"/>
        </w:rPr>
        <w:t>项目区水文地质图</w:t>
      </w:r>
    </w:p>
    <w:p w14:paraId="60BACCE5">
      <w:pPr>
        <w:pStyle w:val="9"/>
        <w:rPr>
          <w:rFonts w:hint="default" w:eastAsia="宋体"/>
          <w:color w:val="auto"/>
          <w:lang w:val="en-US" w:eastAsia="zh-CN"/>
        </w:rPr>
      </w:pPr>
      <w:r>
        <w:rPr>
          <w:rFonts w:hint="eastAsia" w:ascii="Times New Roman" w:hAnsi="Times New Roman" w:eastAsia="宋体" w:cs="Times New Roman"/>
          <w:snapToGrid w:val="0"/>
          <w:color w:val="auto"/>
          <w:kern w:val="0"/>
          <w:sz w:val="24"/>
          <w:szCs w:val="24"/>
          <w:lang w:val="en-US" w:eastAsia="zh-CN" w:bidi="ar-SA"/>
        </w:rPr>
        <w:t>附图14项目分区防渗图</w:t>
      </w:r>
    </w:p>
    <w:p w14:paraId="4E7C8EFC">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p>
    <w:p w14:paraId="675EDFA1">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p>
    <w:p w14:paraId="2E59D344">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Times New Roman" w:cs="Times New Roman"/>
          <w:snapToGrid w:val="0"/>
          <w:color w:val="auto"/>
          <w:kern w:val="0"/>
          <w:sz w:val="24"/>
          <w:szCs w:val="24"/>
          <w:lang w:val="en-US" w:eastAsia="en-US" w:bidi="ar-SA"/>
        </w:rPr>
      </w:pPr>
    </w:p>
    <w:p w14:paraId="092F6CD3">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w:t>
      </w:r>
    </w:p>
    <w:p w14:paraId="34D59B51">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附件1委托书</w:t>
      </w:r>
    </w:p>
    <w:p w14:paraId="0DC5EFCF">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附件2投资备案证</w:t>
      </w:r>
    </w:p>
    <w:p w14:paraId="3926DF6B">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附件3 营业执照</w:t>
      </w:r>
    </w:p>
    <w:p w14:paraId="05FBB49A">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附件4三区三线查询结果</w:t>
      </w:r>
    </w:p>
    <w:p w14:paraId="0FFCC92F">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附件5园区规划环评审查意见</w:t>
      </w:r>
    </w:p>
    <w:p w14:paraId="0F7D96F9">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附件6云南省环境保护厅关于云南云维珠江源专用铁路改扩建工程环境影响报告书的批复</w:t>
      </w:r>
    </w:p>
    <w:p w14:paraId="0251E35C">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附件7节能登记表</w:t>
      </w:r>
    </w:p>
    <w:p w14:paraId="75D452BD">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附件8曲高新入[2025]8号云南曲煤焦化实业发展有限公司集装箱堆场提质改造项目入园通知</w:t>
      </w:r>
    </w:p>
    <w:p w14:paraId="644757FF">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附件9合同</w:t>
      </w:r>
    </w:p>
    <w:p w14:paraId="2308C95A">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附件10士地买卖意向协议</w:t>
      </w:r>
    </w:p>
    <w:p w14:paraId="27BBA2DF">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附件11引用环境质量现状监测报告</w:t>
      </w:r>
    </w:p>
    <w:p w14:paraId="6E771478">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附件12昆明局集团公司货运部关于云南曲煤焦化实业发展有限公司专用铁路改造工程现场路勘的意见（货运函（2025]9号）</w:t>
      </w:r>
    </w:p>
    <w:p w14:paraId="53EC6EAF">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附件13云南曲煤焦化实业发展有限公司集装箱堆场提质改造项目环境空气、声环境质量现状监测</w:t>
      </w:r>
    </w:p>
    <w:p w14:paraId="171590E4">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附件14云南曲煤焦化实业发展有限公司集装箱堆场提质改造项目地下水补充监测</w:t>
      </w:r>
    </w:p>
    <w:p w14:paraId="57790E6D">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附件15内审表</w:t>
      </w:r>
    </w:p>
    <w:p w14:paraId="74853E1B">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 xml:space="preserve">附件16 </w:t>
      </w:r>
      <w:r>
        <w:rPr>
          <w:rFonts w:hint="eastAsia" w:ascii="Times New Roman" w:hAnsi="Times New Roman" w:cs="Times New Roman"/>
          <w:color w:val="auto"/>
          <w:sz w:val="24"/>
          <w:szCs w:val="24"/>
          <w:lang w:val="en-US" w:eastAsia="zh-CN"/>
        </w:rPr>
        <w:t>焦炭检验报告1</w:t>
      </w:r>
    </w:p>
    <w:p w14:paraId="4126F120">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附件17</w:t>
      </w:r>
      <w:r>
        <w:rPr>
          <w:rFonts w:hint="eastAsia" w:ascii="Times New Roman" w:hAnsi="Times New Roman" w:cs="Times New Roman"/>
          <w:color w:val="auto"/>
          <w:sz w:val="24"/>
          <w:szCs w:val="24"/>
          <w:lang w:val="en-US" w:eastAsia="zh-CN"/>
        </w:rPr>
        <w:t>焦炭检验报告2</w:t>
      </w:r>
    </w:p>
    <w:p w14:paraId="04954D61">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附件18施工图审查批复</w:t>
      </w:r>
    </w:p>
    <w:p w14:paraId="2407232A">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附件19项目进度表</w:t>
      </w:r>
    </w:p>
    <w:p w14:paraId="557890F4">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附件20铁路边界噪声检测报告</w:t>
      </w:r>
    </w:p>
    <w:p w14:paraId="1FC0C894">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附件21免于处罚情况说明</w:t>
      </w:r>
    </w:p>
    <w:p w14:paraId="148D94FC">
      <w:pPr>
        <w:pStyle w:val="25"/>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附件22 花山街道周边村庄居民饮用水说明</w:t>
      </w:r>
    </w:p>
    <w:p w14:paraId="4C40F9EF">
      <w:pPr>
        <w:pStyle w:val="25"/>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附件23 东干渠汇入南盘江地表水监测引用报告</w:t>
      </w:r>
    </w:p>
    <w:p w14:paraId="29AB8F53">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snapToGrid w:val="0"/>
          <w:color w:val="auto"/>
          <w:kern w:val="0"/>
          <w:sz w:val="24"/>
          <w:szCs w:val="24"/>
          <w:lang w:val="en-US" w:eastAsia="zh-CN" w:bidi="ar-SA"/>
        </w:rPr>
      </w:pPr>
      <w:r>
        <w:rPr>
          <w:rFonts w:hint="eastAsia" w:ascii="Times New Roman" w:hAnsi="Times New Roman" w:eastAsia="宋体" w:cs="Times New Roman"/>
          <w:snapToGrid w:val="0"/>
          <w:color w:val="auto"/>
          <w:kern w:val="0"/>
          <w:sz w:val="24"/>
          <w:szCs w:val="24"/>
          <w:lang w:val="en-US" w:eastAsia="zh-CN" w:bidi="ar-SA"/>
        </w:rPr>
        <w:t>附件24 花山街道兴源社区辖区居民饮用水情况说明</w:t>
      </w:r>
    </w:p>
    <w:p w14:paraId="60DB980E">
      <w:pPr>
        <w:keepNext w:val="0"/>
        <w:keepLines w:val="0"/>
        <w:pageBreakBefore w:val="0"/>
        <w:widowControl/>
        <w:kinsoku w:val="0"/>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snapToGrid w:val="0"/>
          <w:color w:val="auto"/>
          <w:kern w:val="0"/>
          <w:sz w:val="24"/>
          <w:szCs w:val="24"/>
          <w:lang w:val="en-US" w:eastAsia="zh-CN" w:bidi="ar-SA"/>
        </w:rPr>
        <w:sectPr>
          <w:footerReference r:id="rId6" w:type="default"/>
          <w:pgSz w:w="11905" w:h="16840"/>
          <w:pgMar w:top="1161" w:right="1472" w:bottom="1206" w:left="1473" w:header="829" w:footer="1048" w:gutter="0"/>
          <w:pgNumType w:fmt="upperRoman" w:start="1"/>
          <w:cols w:space="720" w:num="1"/>
        </w:sectPr>
      </w:pPr>
    </w:p>
    <w:p w14:paraId="36269E9A">
      <w:pPr>
        <w:pStyle w:val="9"/>
        <w:spacing w:line="295" w:lineRule="auto"/>
        <w:rPr>
          <w:rFonts w:hint="default" w:ascii="Times New Roman" w:hAnsi="Times New Roman" w:cs="Times New Roman"/>
          <w:color w:val="auto"/>
        </w:rPr>
      </w:pPr>
    </w:p>
    <w:p w14:paraId="7B027F79">
      <w:pPr>
        <w:spacing w:before="140" w:line="225" w:lineRule="auto"/>
        <w:ind w:left="3900"/>
        <w:jc w:val="left"/>
        <w:outlineLvl w:val="0"/>
        <w:rPr>
          <w:rFonts w:hint="default" w:ascii="Times New Roman" w:hAnsi="Times New Roman" w:eastAsia="宋体" w:cs="Times New Roman"/>
          <w:color w:val="auto"/>
          <w:sz w:val="43"/>
          <w:szCs w:val="43"/>
        </w:rPr>
      </w:pPr>
      <w:bookmarkStart w:id="19" w:name="_Toc18312"/>
      <w:bookmarkStart w:id="20" w:name="_Toc29079"/>
      <w:bookmarkStart w:id="21" w:name="_Toc31271"/>
      <w:r>
        <w:rPr>
          <w:rFonts w:hint="default" w:ascii="Times New Roman" w:hAnsi="Times New Roman" w:eastAsia="宋体" w:cs="Times New Roman"/>
          <w:b/>
          <w:bCs/>
          <w:color w:val="auto"/>
          <w:spacing w:val="-2"/>
          <w:sz w:val="43"/>
          <w:szCs w:val="43"/>
        </w:rPr>
        <w:t>概</w:t>
      </w:r>
      <w:r>
        <w:rPr>
          <w:rFonts w:hint="eastAsia" w:ascii="Times New Roman" w:hAnsi="Times New Roman" w:eastAsia="宋体" w:cs="Times New Roman"/>
          <w:b/>
          <w:bCs/>
          <w:color w:val="auto"/>
          <w:spacing w:val="-2"/>
          <w:sz w:val="43"/>
          <w:szCs w:val="43"/>
          <w:lang w:val="en-US" w:eastAsia="zh-CN"/>
        </w:rPr>
        <w:t xml:space="preserve">  </w:t>
      </w:r>
      <w:r>
        <w:rPr>
          <w:rFonts w:hint="default" w:ascii="Times New Roman" w:hAnsi="Times New Roman" w:eastAsia="宋体" w:cs="Times New Roman"/>
          <w:b/>
          <w:bCs/>
          <w:color w:val="auto"/>
          <w:spacing w:val="-2"/>
          <w:sz w:val="43"/>
          <w:szCs w:val="43"/>
        </w:rPr>
        <w:t>述</w:t>
      </w:r>
      <w:bookmarkEnd w:id="19"/>
      <w:bookmarkEnd w:id="20"/>
      <w:bookmarkEnd w:id="21"/>
    </w:p>
    <w:p w14:paraId="5E3906C8">
      <w:pPr>
        <w:spacing w:before="101" w:line="226" w:lineRule="auto"/>
        <w:ind w:left="19"/>
        <w:outlineLvl w:val="1"/>
        <w:rPr>
          <w:rFonts w:hint="default" w:ascii="Times New Roman" w:hAnsi="Times New Roman" w:eastAsia="宋体" w:cs="Times New Roman"/>
          <w:color w:val="auto"/>
          <w:sz w:val="31"/>
          <w:szCs w:val="31"/>
        </w:rPr>
      </w:pPr>
      <w:bookmarkStart w:id="22" w:name="_Toc17898"/>
      <w:bookmarkStart w:id="23" w:name="_Toc15995"/>
      <w:bookmarkStart w:id="24" w:name="_Toc12263"/>
      <w:r>
        <w:rPr>
          <w:rFonts w:hint="eastAsia" w:ascii="Times New Roman" w:hAnsi="Times New Roman" w:eastAsia="宋体" w:cs="Times New Roman"/>
          <w:b/>
          <w:bCs/>
          <w:color w:val="auto"/>
          <w:spacing w:val="4"/>
          <w:sz w:val="31"/>
          <w:szCs w:val="31"/>
          <w:lang w:val="en-US" w:eastAsia="zh-CN"/>
        </w:rPr>
        <w:t>一、</w:t>
      </w:r>
      <w:r>
        <w:rPr>
          <w:rFonts w:hint="default" w:ascii="Times New Roman" w:hAnsi="Times New Roman" w:eastAsia="宋体" w:cs="Times New Roman"/>
          <w:b/>
          <w:bCs/>
          <w:color w:val="auto"/>
          <w:spacing w:val="4"/>
          <w:sz w:val="31"/>
          <w:szCs w:val="31"/>
        </w:rPr>
        <w:t>建设项目的特点</w:t>
      </w:r>
      <w:bookmarkEnd w:id="22"/>
      <w:bookmarkEnd w:id="23"/>
      <w:bookmarkEnd w:id="24"/>
    </w:p>
    <w:p w14:paraId="152C9458">
      <w:pPr>
        <w:pStyle w:val="9"/>
        <w:spacing w:line="341" w:lineRule="auto"/>
        <w:rPr>
          <w:rFonts w:hint="default" w:ascii="Times New Roman" w:hAnsi="Times New Roman" w:cs="Times New Roman"/>
          <w:color w:val="auto"/>
        </w:rPr>
      </w:pPr>
    </w:p>
    <w:p w14:paraId="1A9FB976">
      <w:pPr>
        <w:keepNext/>
        <w:keepLines w:val="0"/>
        <w:pageBreakBefore w:val="0"/>
        <w:widowControl/>
        <w:kinsoku/>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cs="Times New Roman"/>
          <w:color w:val="auto"/>
          <w:sz w:val="24"/>
        </w:rPr>
      </w:pPr>
      <w:r>
        <w:rPr>
          <w:rFonts w:hint="default" w:ascii="Times New Roman" w:hAnsi="Times New Roman" w:eastAsia="宋体" w:cs="Times New Roman"/>
          <w:color w:val="auto"/>
          <w:sz w:val="24"/>
          <w:lang w:val="en-US" w:eastAsia="zh-CN"/>
        </w:rPr>
        <w:t>云南曲煤焦化实业发展有限公司</w:t>
      </w:r>
      <w:r>
        <w:rPr>
          <w:rFonts w:hint="eastAsia" w:ascii="Times New Roman" w:hAnsi="Times New Roman" w:eastAsia="宋体" w:cs="Times New Roman"/>
          <w:color w:val="auto"/>
          <w:sz w:val="24"/>
          <w:lang w:val="en-US" w:eastAsia="zh-CN"/>
        </w:rPr>
        <w:t>（以下简称“</w:t>
      </w:r>
      <w:r>
        <w:rPr>
          <w:rFonts w:hint="default" w:ascii="Times New Roman" w:hAnsi="Times New Roman" w:eastAsia="宋体" w:cs="Times New Roman"/>
          <w:color w:val="auto"/>
          <w:sz w:val="24"/>
          <w:lang w:val="en-US" w:eastAsia="zh-CN"/>
        </w:rPr>
        <w:t>曲煤焦化</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成立于2016年11月30日，经营范围包括煤炭产品、矿产品、建筑材料、化工原料及产品（危险化学品凭许可证经营）生产、销售；货物及技术进出口业务；仓储、装卸搬运服务；化肥、塑料编织包装袋购销；机械、机电、五金交电、金属材料的批发、零售、代购代销等。</w:t>
      </w:r>
    </w:p>
    <w:p w14:paraId="4F9FCA2A">
      <w:pPr>
        <w:keepNext/>
        <w:keepLines w:val="0"/>
        <w:pageBreakBefore w:val="0"/>
        <w:widowControl/>
        <w:kinsoku/>
        <w:wordWrap/>
        <w:overflowPunct w:val="0"/>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2017年云南云维集团有限公司将</w:t>
      </w:r>
      <w:bookmarkStart w:id="25" w:name="OLE_LINK33"/>
      <w:bookmarkStart w:id="26" w:name="OLE_LINK32"/>
      <w:r>
        <w:rPr>
          <w:rFonts w:hint="default" w:ascii="Times New Roman" w:hAnsi="Times New Roman" w:eastAsia="宋体" w:cs="Times New Roman"/>
          <w:color w:val="auto"/>
          <w:sz w:val="24"/>
          <w:lang w:val="en-US" w:eastAsia="zh-CN"/>
        </w:rPr>
        <w:t>云维集团专用铁路</w:t>
      </w:r>
      <w:bookmarkEnd w:id="25"/>
      <w:bookmarkEnd w:id="26"/>
      <w:r>
        <w:rPr>
          <w:rFonts w:hint="default" w:ascii="Times New Roman" w:hAnsi="Times New Roman" w:eastAsia="宋体" w:cs="Times New Roman"/>
          <w:color w:val="auto"/>
          <w:sz w:val="24"/>
          <w:lang w:val="en-US" w:eastAsia="zh-CN"/>
        </w:rPr>
        <w:t>所有资产出售给曲煤焦化</w:t>
      </w:r>
      <w:r>
        <w:rPr>
          <w:rFonts w:hint="eastAsia" w:ascii="Times New Roman" w:hAnsi="Times New Roman" w:eastAsia="宋体" w:cs="Times New Roman"/>
          <w:color w:val="auto"/>
          <w:sz w:val="24"/>
          <w:lang w:val="en-US" w:eastAsia="zh-CN"/>
        </w:rPr>
        <w:t>。此后</w:t>
      </w:r>
      <w:r>
        <w:rPr>
          <w:rFonts w:hint="default" w:ascii="Times New Roman" w:hAnsi="Times New Roman" w:eastAsia="宋体" w:cs="Times New Roman"/>
          <w:color w:val="auto"/>
          <w:sz w:val="24"/>
          <w:lang w:val="en-US" w:eastAsia="zh-CN"/>
        </w:rPr>
        <w:t>曲煤焦化将</w:t>
      </w:r>
      <w:r>
        <w:rPr>
          <w:rFonts w:hint="eastAsia" w:ascii="Times New Roman" w:hAnsi="Times New Roman" w:eastAsia="宋体" w:cs="Times New Roman"/>
          <w:color w:val="auto"/>
          <w:sz w:val="24"/>
          <w:lang w:val="en-US" w:eastAsia="zh-CN"/>
        </w:rPr>
        <w:t>该</w:t>
      </w:r>
      <w:r>
        <w:rPr>
          <w:rFonts w:hint="default" w:ascii="Times New Roman" w:hAnsi="Times New Roman" w:eastAsia="宋体" w:cs="Times New Roman"/>
          <w:color w:val="auto"/>
          <w:sz w:val="24"/>
          <w:lang w:val="en-US" w:eastAsia="zh-CN"/>
        </w:rPr>
        <w:t>专用铁路更名为曲煤焦化专用铁路。</w:t>
      </w:r>
    </w:p>
    <w:p w14:paraId="536F30AD">
      <w:pPr>
        <w:keepNext/>
        <w:keepLines w:val="0"/>
        <w:pageBreakBefore w:val="0"/>
        <w:widowControl/>
        <w:kinsoku/>
        <w:wordWrap/>
        <w:overflowPunct w:val="0"/>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本项目利用曲煤焦化专用铁路开展集装箱堆场</w:t>
      </w:r>
      <w:r>
        <w:rPr>
          <w:rFonts w:hint="eastAsia"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lang w:val="en-US" w:eastAsia="zh-CN"/>
        </w:rPr>
        <w:t>提质改造，</w:t>
      </w:r>
      <w:r>
        <w:rPr>
          <w:rFonts w:hint="eastAsia" w:ascii="Times New Roman" w:hAnsi="Times New Roman" w:eastAsia="宋体" w:cs="Times New Roman"/>
          <w:color w:val="auto"/>
          <w:sz w:val="24"/>
          <w:lang w:val="en-US" w:eastAsia="zh-CN"/>
        </w:rPr>
        <w:t>以此</w:t>
      </w:r>
      <w:r>
        <w:rPr>
          <w:rFonts w:hint="default" w:ascii="Times New Roman" w:hAnsi="Times New Roman" w:eastAsia="宋体" w:cs="Times New Roman"/>
          <w:color w:val="auto"/>
          <w:sz w:val="24"/>
          <w:lang w:val="en-US" w:eastAsia="zh-CN"/>
        </w:rPr>
        <w:t>开通集装箱装卸业务。本项目</w:t>
      </w:r>
      <w:r>
        <w:rPr>
          <w:rFonts w:hint="eastAsia" w:ascii="Times New Roman" w:hAnsi="Times New Roman" w:eastAsia="宋体" w:cs="Times New Roman"/>
          <w:color w:val="auto"/>
          <w:sz w:val="24"/>
          <w:lang w:val="en-US" w:eastAsia="zh-CN"/>
        </w:rPr>
        <w:t>建设</w:t>
      </w:r>
      <w:r>
        <w:rPr>
          <w:rFonts w:hint="default" w:ascii="Times New Roman" w:hAnsi="Times New Roman" w:eastAsia="宋体" w:cs="Times New Roman"/>
          <w:color w:val="auto"/>
          <w:sz w:val="24"/>
          <w:lang w:val="en-US" w:eastAsia="zh-CN"/>
        </w:rPr>
        <w:t>地块为云南</w:t>
      </w:r>
      <w:bookmarkStart w:id="27" w:name="OLE_LINK34"/>
      <w:r>
        <w:rPr>
          <w:rFonts w:hint="default" w:ascii="Times New Roman" w:hAnsi="Times New Roman" w:eastAsia="宋体" w:cs="Times New Roman"/>
          <w:color w:val="auto"/>
          <w:sz w:val="24"/>
          <w:lang w:val="en-US" w:eastAsia="zh-CN"/>
        </w:rPr>
        <w:t>云维集团</w:t>
      </w:r>
      <w:bookmarkEnd w:id="27"/>
      <w:r>
        <w:rPr>
          <w:rFonts w:hint="default" w:ascii="Times New Roman" w:hAnsi="Times New Roman" w:eastAsia="宋体" w:cs="Times New Roman"/>
          <w:color w:val="auto"/>
          <w:sz w:val="24"/>
          <w:lang w:val="en-US" w:eastAsia="zh-CN"/>
        </w:rPr>
        <w:t>有限公司原云南沾益化肥厂空地，曲煤焦化已与云维集团达成土地购买意向协议（见附件</w:t>
      </w:r>
      <w:r>
        <w:rPr>
          <w:rFonts w:hint="eastAsia" w:ascii="Times New Roman" w:hAnsi="Times New Roman" w:eastAsia="宋体" w:cs="Times New Roman"/>
          <w:color w:val="auto"/>
          <w:sz w:val="24"/>
          <w:lang w:val="en-US" w:eastAsia="zh-CN"/>
        </w:rPr>
        <w:t>10</w:t>
      </w:r>
      <w:r>
        <w:rPr>
          <w:rFonts w:hint="default" w:ascii="Times New Roman" w:hAnsi="Times New Roman" w:eastAsia="宋体" w:cs="Times New Roman"/>
          <w:color w:val="auto"/>
          <w:sz w:val="24"/>
          <w:lang w:val="en-US" w:eastAsia="zh-CN"/>
        </w:rPr>
        <w:t>），目前正在办理土地购买手续；</w:t>
      </w:r>
      <w:r>
        <w:rPr>
          <w:rFonts w:hint="eastAsia" w:ascii="Times New Roman" w:hAnsi="Times New Roman" w:eastAsia="宋体" w:cs="Times New Roman"/>
          <w:color w:val="auto"/>
          <w:sz w:val="24"/>
          <w:lang w:val="en-US" w:eastAsia="zh-CN"/>
        </w:rPr>
        <w:t>项目</w:t>
      </w:r>
      <w:r>
        <w:rPr>
          <w:rFonts w:hint="default" w:ascii="Times New Roman" w:hAnsi="Times New Roman" w:eastAsia="宋体" w:cs="Times New Roman"/>
          <w:color w:val="auto"/>
          <w:sz w:val="24"/>
          <w:lang w:val="en-US" w:eastAsia="zh-CN"/>
        </w:rPr>
        <w:t>占地约148亩，设计运量为250万吨/年（</w:t>
      </w:r>
      <w:r>
        <w:rPr>
          <w:rFonts w:hint="default" w:ascii="Times New Roman" w:hAnsi="Times New Roman" w:cs="Times New Roman"/>
          <w:color w:val="auto"/>
          <w:sz w:val="24"/>
          <w:lang w:val="en-US" w:eastAsia="zh-CN"/>
        </w:rPr>
        <w:t>转运</w:t>
      </w:r>
      <w:r>
        <w:rPr>
          <w:rFonts w:hint="default" w:ascii="Times New Roman" w:hAnsi="Times New Roman" w:eastAsia="宋体" w:cs="Times New Roman"/>
          <w:color w:val="auto"/>
          <w:sz w:val="24"/>
          <w:lang w:val="en-US" w:eastAsia="zh-CN"/>
        </w:rPr>
        <w:t>密闭集装箱，箱内</w:t>
      </w:r>
      <w:r>
        <w:rPr>
          <w:rFonts w:hint="eastAsia" w:ascii="Times New Roman" w:hAnsi="Times New Roman" w:eastAsia="宋体" w:cs="Times New Roman"/>
          <w:color w:val="auto"/>
          <w:sz w:val="24"/>
          <w:lang w:val="en-US" w:eastAsia="zh-CN"/>
        </w:rPr>
        <w:t>只装</w:t>
      </w:r>
      <w:r>
        <w:rPr>
          <w:rFonts w:hint="default" w:ascii="Times New Roman" w:hAnsi="Times New Roman" w:eastAsia="宋体" w:cs="Times New Roman"/>
          <w:color w:val="auto"/>
          <w:sz w:val="24"/>
          <w:lang w:val="en-US" w:eastAsia="zh-CN"/>
        </w:rPr>
        <w:t>煤焦），投资估算为8418万元。新修建H1道及H2道尽头式货物线采用整体道床，将曲煤焦化专用铁路</w:t>
      </w:r>
      <w:r>
        <w:rPr>
          <w:rFonts w:hint="eastAsia" w:ascii="Times New Roman" w:hAnsi="Times New Roman" w:eastAsia="宋体" w:cs="Times New Roman"/>
          <w:color w:val="auto"/>
          <w:sz w:val="24"/>
          <w:lang w:val="en-US" w:eastAsia="zh-CN"/>
        </w:rPr>
        <w:t>现有到发4条货运线的使用性质变更</w:t>
      </w:r>
      <w:r>
        <w:rPr>
          <w:rFonts w:hint="default" w:ascii="Times New Roman" w:hAnsi="Times New Roman" w:eastAsia="宋体" w:cs="Times New Roman"/>
          <w:color w:val="auto"/>
          <w:sz w:val="24"/>
          <w:lang w:val="en-US" w:eastAsia="zh-CN"/>
        </w:rPr>
        <w:t>为集装箱到发兼货物线（</w:t>
      </w:r>
      <w:r>
        <w:rPr>
          <w:rFonts w:hint="eastAsia" w:ascii="Times New Roman" w:hAnsi="Times New Roman" w:eastAsia="宋体" w:cs="Times New Roman"/>
          <w:color w:val="auto"/>
          <w:sz w:val="24"/>
          <w:lang w:val="en-US" w:eastAsia="zh-CN"/>
        </w:rPr>
        <w:t>现有到发4条货运线</w:t>
      </w:r>
      <w:r>
        <w:rPr>
          <w:rFonts w:hint="eastAsia" w:ascii="Times New Roman" w:hAnsi="Times New Roman" w:cs="Times New Roman"/>
          <w:color w:val="auto"/>
          <w:sz w:val="24"/>
          <w:lang w:val="en-US" w:eastAsia="zh-CN"/>
        </w:rPr>
        <w:t>不涉及改造建设，只改变其用途性质</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项目</w:t>
      </w:r>
      <w:r>
        <w:rPr>
          <w:rFonts w:hint="default" w:ascii="Times New Roman" w:hAnsi="Times New Roman" w:eastAsia="宋体" w:cs="Times New Roman"/>
          <w:color w:val="auto"/>
          <w:sz w:val="24"/>
          <w:lang w:val="en-US" w:eastAsia="zh-CN"/>
        </w:rPr>
        <w:t>新建2处采用平过道沟通</w:t>
      </w:r>
      <w:r>
        <w:rPr>
          <w:rFonts w:hint="eastAsia" w:ascii="Times New Roman" w:hAnsi="Times New Roman" w:eastAsia="宋体" w:cs="Times New Roman"/>
          <w:color w:val="auto"/>
          <w:sz w:val="24"/>
          <w:lang w:val="en-US" w:eastAsia="zh-CN"/>
        </w:rPr>
        <w:t>且</w:t>
      </w:r>
      <w:r>
        <w:rPr>
          <w:rFonts w:hint="default" w:ascii="Times New Roman" w:hAnsi="Times New Roman" w:eastAsia="宋体" w:cs="Times New Roman"/>
          <w:color w:val="auto"/>
          <w:sz w:val="24"/>
          <w:lang w:val="en-US" w:eastAsia="zh-CN"/>
        </w:rPr>
        <w:t>双面配筋的集装箱堆场，</w:t>
      </w:r>
      <w:r>
        <w:rPr>
          <w:rFonts w:hint="eastAsia" w:ascii="Times New Roman" w:hAnsi="Times New Roman" w:eastAsia="宋体" w:cs="Times New Roman"/>
          <w:color w:val="auto"/>
          <w:sz w:val="24"/>
          <w:lang w:val="en-US" w:eastAsia="zh-CN"/>
        </w:rPr>
        <w:t>同时</w:t>
      </w:r>
      <w:r>
        <w:rPr>
          <w:rFonts w:hint="default" w:ascii="Times New Roman" w:hAnsi="Times New Roman" w:eastAsia="宋体" w:cs="Times New Roman"/>
          <w:color w:val="auto"/>
          <w:sz w:val="24"/>
          <w:lang w:val="en-US" w:eastAsia="zh-CN"/>
        </w:rPr>
        <w:t>在集装箱货场配置电动正面吊2台、1台重型叉车进行装卸作业及配套附属设施等。本项目的建设可以实现利用既有曲煤焦化专用铁路开展集装箱装卸的业务，</w:t>
      </w:r>
      <w:r>
        <w:rPr>
          <w:rFonts w:hint="eastAsia" w:ascii="Times New Roman" w:hAnsi="Times New Roman" w:eastAsia="宋体" w:cs="Times New Roman"/>
          <w:color w:val="auto"/>
          <w:sz w:val="24"/>
          <w:lang w:val="en-US" w:eastAsia="zh-CN"/>
        </w:rPr>
        <w:t>可</w:t>
      </w:r>
      <w:r>
        <w:rPr>
          <w:rFonts w:hint="default" w:ascii="Times New Roman" w:hAnsi="Times New Roman" w:eastAsia="宋体" w:cs="Times New Roman"/>
          <w:color w:val="auto"/>
          <w:sz w:val="24"/>
          <w:lang w:val="en-US" w:eastAsia="zh-CN"/>
        </w:rPr>
        <w:t>极大地提高物流效率、降低企业物流成本，</w:t>
      </w:r>
      <w:r>
        <w:rPr>
          <w:rFonts w:hint="eastAsia" w:ascii="Times New Roman" w:hAnsi="Times New Roman" w:eastAsia="宋体" w:cs="Times New Roman"/>
          <w:color w:val="auto"/>
          <w:sz w:val="24"/>
          <w:lang w:val="en-US" w:eastAsia="zh-CN"/>
        </w:rPr>
        <w:t>能</w:t>
      </w:r>
      <w:r>
        <w:rPr>
          <w:rFonts w:hint="default" w:ascii="Times New Roman" w:hAnsi="Times New Roman" w:eastAsia="宋体" w:cs="Times New Roman"/>
          <w:color w:val="auto"/>
          <w:sz w:val="24"/>
          <w:lang w:val="en-US" w:eastAsia="zh-CN"/>
        </w:rPr>
        <w:t>给企业带来较好的经济效益。</w:t>
      </w:r>
    </w:p>
    <w:p w14:paraId="542840E8">
      <w:pPr>
        <w:keepLines w:val="0"/>
        <w:pageBreakBefore w:val="0"/>
        <w:widowControl/>
        <w:kinsoku/>
        <w:wordWrap/>
        <w:overflowPunct w:val="0"/>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szCs w:val="24"/>
          <w:lang w:val="en-US" w:eastAsia="zh-CN"/>
        </w:rPr>
        <w:t>由于</w:t>
      </w:r>
      <w:r>
        <w:rPr>
          <w:rFonts w:hint="default" w:ascii="Times New Roman" w:hAnsi="Times New Roman" w:cs="Times New Roman"/>
          <w:color w:val="auto"/>
          <w:sz w:val="24"/>
          <w:szCs w:val="24"/>
          <w:lang w:val="en-US" w:eastAsia="zh-CN"/>
        </w:rPr>
        <w:t>本项目新修建H1道及H2道</w:t>
      </w:r>
      <w:r>
        <w:rPr>
          <w:rFonts w:hint="default" w:ascii="Times New Roman" w:hAnsi="Times New Roman" w:eastAsia="宋体" w:cs="Times New Roman"/>
          <w:color w:val="auto"/>
          <w:sz w:val="24"/>
          <w:lang w:val="en-US" w:eastAsia="zh-CN"/>
        </w:rPr>
        <w:t>尽头式货物线</w:t>
      </w:r>
      <w:r>
        <w:rPr>
          <w:rFonts w:hint="default" w:ascii="Times New Roman" w:hAnsi="Times New Roman" w:cs="Times New Roman"/>
          <w:color w:val="auto"/>
          <w:sz w:val="24"/>
          <w:szCs w:val="24"/>
          <w:lang w:val="en-US" w:eastAsia="zh-CN"/>
        </w:rPr>
        <w:t>连接</w:t>
      </w:r>
      <w:r>
        <w:rPr>
          <w:rFonts w:hint="eastAsia" w:ascii="Times New Roman" w:hAnsi="Times New Roman" w:cs="Times New Roman"/>
          <w:color w:val="auto"/>
          <w:sz w:val="24"/>
          <w:szCs w:val="24"/>
          <w:lang w:val="en-US" w:eastAsia="zh-CN"/>
        </w:rPr>
        <w:t>了</w:t>
      </w:r>
      <w:r>
        <w:rPr>
          <w:rFonts w:hint="default" w:ascii="Times New Roman" w:hAnsi="Times New Roman" w:cs="Times New Roman"/>
          <w:color w:val="auto"/>
          <w:sz w:val="24"/>
          <w:szCs w:val="24"/>
          <w:lang w:val="en-US" w:eastAsia="zh-CN"/>
        </w:rPr>
        <w:t>曲煤焦化专用铁路线</w:t>
      </w:r>
      <w:r>
        <w:rPr>
          <w:rFonts w:hint="eastAsia" w:ascii="Times New Roman" w:hAnsi="Times New Roman" w:cs="Times New Roman"/>
          <w:color w:val="auto"/>
          <w:sz w:val="24"/>
          <w:szCs w:val="24"/>
          <w:lang w:val="en-US" w:eastAsia="zh-CN"/>
        </w:rPr>
        <w:t>现有到发4条货运线</w:t>
      </w:r>
      <w:r>
        <w:rPr>
          <w:rFonts w:hint="default" w:ascii="Times New Roman" w:hAnsi="Times New Roman" w:cs="Times New Roman"/>
          <w:color w:val="auto"/>
          <w:sz w:val="24"/>
          <w:lang w:val="en-US" w:eastAsia="zh-CN"/>
        </w:rPr>
        <w:t>，</w:t>
      </w:r>
      <w:r>
        <w:rPr>
          <w:rFonts w:hint="eastAsia" w:ascii="Times New Roman" w:hAnsi="Times New Roman" w:cs="Times New Roman"/>
          <w:color w:val="auto"/>
          <w:sz w:val="24"/>
          <w:lang w:val="en-US" w:eastAsia="zh-CN"/>
        </w:rPr>
        <w:t>故</w:t>
      </w:r>
      <w:r>
        <w:rPr>
          <w:rFonts w:hint="default" w:ascii="Times New Roman" w:hAnsi="Times New Roman" w:cs="Times New Roman"/>
          <w:color w:val="auto"/>
          <w:sz w:val="24"/>
          <w:szCs w:val="24"/>
          <w:lang w:val="en-US" w:eastAsia="zh-CN"/>
        </w:rPr>
        <w:t>曲煤焦化</w:t>
      </w:r>
      <w:r>
        <w:rPr>
          <w:rFonts w:hint="default" w:ascii="Times New Roman" w:hAnsi="Times New Roman" w:cs="Times New Roman"/>
          <w:color w:val="auto"/>
          <w:sz w:val="24"/>
          <w:lang w:val="en-US" w:eastAsia="zh-CN"/>
        </w:rPr>
        <w:t>按铁路改建进行</w:t>
      </w:r>
      <w:r>
        <w:rPr>
          <w:rFonts w:hint="eastAsia" w:ascii="Times New Roman" w:hAnsi="Times New Roman" w:cs="Times New Roman"/>
          <w:color w:val="auto"/>
          <w:sz w:val="24"/>
          <w:lang w:val="en-US" w:eastAsia="zh-CN"/>
        </w:rPr>
        <w:t>了</w:t>
      </w:r>
      <w:r>
        <w:rPr>
          <w:rFonts w:hint="default" w:ascii="Times New Roman" w:hAnsi="Times New Roman" w:cs="Times New Roman"/>
          <w:color w:val="auto"/>
          <w:sz w:val="24"/>
          <w:lang w:val="en-US" w:eastAsia="zh-CN"/>
        </w:rPr>
        <w:t>备案，</w:t>
      </w:r>
      <w:r>
        <w:rPr>
          <w:rFonts w:hint="eastAsia" w:ascii="Times New Roman" w:hAnsi="Times New Roman" w:eastAsia="宋体" w:cs="Times New Roman"/>
          <w:color w:val="auto"/>
          <w:sz w:val="24"/>
          <w:lang w:val="en-US" w:eastAsia="zh-CN"/>
        </w:rPr>
        <w:t>项目已</w:t>
      </w:r>
      <w:r>
        <w:rPr>
          <w:rFonts w:hint="default" w:ascii="Times New Roman" w:hAnsi="Times New Roman" w:eastAsia="宋体" w:cs="Times New Roman"/>
          <w:color w:val="auto"/>
          <w:sz w:val="24"/>
          <w:lang w:val="en-US" w:eastAsia="zh-CN"/>
        </w:rPr>
        <w:t>于2025年2月10日取得曲靖市沾益区发展和改革局</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云南省固定资产投资备案证</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szCs w:val="24"/>
          <w:highlight w:val="none"/>
          <w:lang w:val="en-US" w:eastAsia="zh-CN"/>
        </w:rPr>
        <w:t>（2502-530303-04-02-395253）</w:t>
      </w:r>
      <w:r>
        <w:rPr>
          <w:rFonts w:hint="default" w:ascii="Times New Roman" w:hAnsi="Times New Roman" w:eastAsia="宋体" w:cs="Times New Roman"/>
          <w:color w:val="auto"/>
          <w:sz w:val="24"/>
          <w:lang w:val="en-US" w:eastAsia="zh-CN"/>
        </w:rPr>
        <w:t>；</w:t>
      </w:r>
      <w:r>
        <w:rPr>
          <w:rFonts w:hint="default" w:ascii="Times New Roman" w:hAnsi="Times New Roman" w:cs="Times New Roman"/>
          <w:color w:val="auto"/>
          <w:sz w:val="24"/>
          <w:lang w:val="en-US" w:eastAsia="zh-CN"/>
        </w:rPr>
        <w:t>于</w:t>
      </w:r>
      <w:r>
        <w:rPr>
          <w:rFonts w:hint="default" w:ascii="Times New Roman" w:hAnsi="Times New Roman" w:eastAsia="宋体" w:cs="Times New Roman"/>
          <w:color w:val="auto"/>
          <w:sz w:val="24"/>
          <w:lang w:val="en-US" w:eastAsia="zh-CN"/>
        </w:rPr>
        <w:t>2025年1月17日取得中国铁路昆明局集团有限公司货运部关于专用铁路技术改造项目现场踏勘意见，支持曲煤焦化新建集装箱货场，配套货物装卸线、堆场和装卸机械设备</w:t>
      </w:r>
      <w:r>
        <w:rPr>
          <w:rFonts w:hint="default" w:ascii="Times New Roman" w:hAnsi="Times New Roman" w:cs="Times New Roman"/>
          <w:color w:val="auto"/>
          <w:sz w:val="24"/>
          <w:lang w:val="en-US" w:eastAsia="zh-CN"/>
        </w:rPr>
        <w:t>（见附件1</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val="en-US" w:eastAsia="zh-CN"/>
        </w:rPr>
        <w:t>）</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pacing w:val="1"/>
          <w:sz w:val="24"/>
          <w:szCs w:val="24"/>
          <w:lang w:val="en-US" w:eastAsia="zh-CN"/>
        </w:rPr>
        <w:t>项目施工图已于2025年9月30日通过中铁第六勘察设计院集团有限公司的审查（附件18），水土保持方案报告目前处于编制完成，待审批阶段。</w:t>
      </w:r>
    </w:p>
    <w:p w14:paraId="08CFA26C">
      <w:pPr>
        <w:keepLines w:val="0"/>
        <w:pageBreakBefore w:val="0"/>
        <w:widowControl/>
        <w:kinsoku/>
        <w:wordWrap/>
        <w:overflowPunct w:val="0"/>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cs="Times New Roman"/>
          <w:color w:val="auto"/>
          <w:lang w:val="en-US" w:eastAsia="zh-CN"/>
        </w:rPr>
      </w:pPr>
      <w:r>
        <w:rPr>
          <w:rFonts w:hint="default" w:ascii="Times New Roman" w:hAnsi="Times New Roman" w:cs="Times New Roman"/>
          <w:color w:val="auto"/>
          <w:sz w:val="24"/>
          <w:szCs w:val="24"/>
          <w:lang w:val="en-US" w:eastAsia="zh-CN"/>
        </w:rPr>
        <w:t>本项目</w:t>
      </w:r>
      <w:r>
        <w:rPr>
          <w:rFonts w:hint="eastAsia" w:ascii="Times New Roman" w:hAnsi="Times New Roman" w:cs="Times New Roman"/>
          <w:color w:val="auto"/>
          <w:sz w:val="24"/>
          <w:szCs w:val="24"/>
          <w:lang w:val="en-US" w:eastAsia="zh-CN"/>
        </w:rPr>
        <w:t>已于</w:t>
      </w:r>
      <w:r>
        <w:rPr>
          <w:rFonts w:hint="default" w:ascii="Times New Roman" w:hAnsi="Times New Roman" w:cs="Times New Roman"/>
          <w:color w:val="auto"/>
          <w:sz w:val="24"/>
          <w:szCs w:val="24"/>
          <w:lang w:val="en-US" w:eastAsia="zh-CN"/>
        </w:rPr>
        <w:t>2026年01月动工，</w:t>
      </w:r>
      <w:r>
        <w:rPr>
          <w:rFonts w:hint="eastAsia" w:ascii="Times New Roman" w:hAnsi="Times New Roman" w:cs="Times New Roman"/>
          <w:color w:val="auto"/>
          <w:sz w:val="24"/>
          <w:szCs w:val="24"/>
          <w:lang w:val="en-US" w:eastAsia="zh-CN"/>
        </w:rPr>
        <w:t>目前已完成大部分建设内容，预计剩余内容将于</w:t>
      </w:r>
      <w:r>
        <w:rPr>
          <w:rFonts w:hint="default" w:ascii="Times New Roman" w:hAnsi="Times New Roman" w:cs="Times New Roman"/>
          <w:color w:val="auto"/>
          <w:sz w:val="24"/>
          <w:szCs w:val="24"/>
          <w:lang w:val="en-US" w:eastAsia="zh-CN"/>
        </w:rPr>
        <w:t>2026年0</w:t>
      </w:r>
      <w:r>
        <w:rPr>
          <w:rFonts w:hint="eastAsia" w:ascii="Times New Roman" w:hAnsi="Times New Roman" w:cs="Times New Roman"/>
          <w:color w:val="auto"/>
          <w:sz w:val="24"/>
          <w:szCs w:val="24"/>
          <w:lang w:val="en-US" w:eastAsia="zh-CN"/>
        </w:rPr>
        <w:t>9</w:t>
      </w:r>
      <w:r>
        <w:rPr>
          <w:rFonts w:hint="default" w:ascii="Times New Roman" w:hAnsi="Times New Roman" w:cs="Times New Roman"/>
          <w:color w:val="auto"/>
          <w:sz w:val="24"/>
          <w:szCs w:val="24"/>
          <w:lang w:val="en-US" w:eastAsia="zh-CN"/>
        </w:rPr>
        <w:t>月竣工，建设期</w:t>
      </w:r>
      <w:r>
        <w:rPr>
          <w:rFonts w:hint="eastAsia" w:ascii="Times New Roman" w:hAnsi="Times New Roman" w:cs="Times New Roman"/>
          <w:color w:val="auto"/>
          <w:sz w:val="24"/>
          <w:szCs w:val="24"/>
          <w:lang w:val="en-US" w:eastAsia="zh-CN"/>
        </w:rPr>
        <w:t>剩余1</w:t>
      </w:r>
      <w:r>
        <w:rPr>
          <w:rFonts w:hint="default" w:ascii="Times New Roman" w:hAnsi="Times New Roman" w:cs="Times New Roman"/>
          <w:color w:val="auto"/>
          <w:sz w:val="24"/>
          <w:szCs w:val="24"/>
          <w:lang w:val="en-US" w:eastAsia="zh-CN"/>
        </w:rPr>
        <w:t>个月</w:t>
      </w:r>
      <w:r>
        <w:rPr>
          <w:rFonts w:hint="eastAsia" w:ascii="Times New Roman" w:hAnsi="Times New Roman" w:cs="Times New Roman"/>
          <w:color w:val="auto"/>
          <w:sz w:val="24"/>
          <w:szCs w:val="24"/>
          <w:lang w:val="en-US" w:eastAsia="zh-CN"/>
        </w:rPr>
        <w:t>。剩余建设内容</w:t>
      </w:r>
      <w:r>
        <w:rPr>
          <w:color w:val="auto"/>
          <w:spacing w:val="-8"/>
          <w:sz w:val="24"/>
          <w:szCs w:val="24"/>
        </w:rPr>
        <w:t>主要是</w:t>
      </w:r>
      <w:r>
        <w:rPr>
          <w:rFonts w:hint="eastAsia"/>
          <w:color w:val="auto"/>
          <w:spacing w:val="-8"/>
          <w:sz w:val="24"/>
          <w:szCs w:val="24"/>
        </w:rPr>
        <w:t>箱检平台、车位、防渗工程的建设</w:t>
      </w:r>
      <w:r>
        <w:rPr>
          <w:color w:val="auto"/>
          <w:spacing w:val="-8"/>
          <w:sz w:val="24"/>
          <w:szCs w:val="24"/>
        </w:rPr>
        <w:t>以及</w:t>
      </w:r>
      <w:r>
        <w:rPr>
          <w:rFonts w:hint="eastAsia" w:eastAsia="宋体"/>
          <w:color w:val="auto"/>
          <w:spacing w:val="-8"/>
          <w:sz w:val="24"/>
          <w:szCs w:val="24"/>
          <w:lang w:val="en-US" w:eastAsia="zh-CN"/>
        </w:rPr>
        <w:t>建筑</w:t>
      </w:r>
      <w:r>
        <w:rPr>
          <w:color w:val="auto"/>
          <w:spacing w:val="-8"/>
          <w:sz w:val="24"/>
          <w:szCs w:val="24"/>
        </w:rPr>
        <w:t>、</w:t>
      </w:r>
      <w:r>
        <w:rPr>
          <w:color w:val="auto"/>
          <w:spacing w:val="-1"/>
          <w:sz w:val="24"/>
          <w:szCs w:val="24"/>
        </w:rPr>
        <w:t>电力、通信等配套工程的建设等</w:t>
      </w:r>
      <w:r>
        <w:rPr>
          <w:rFonts w:hint="default" w:ascii="Times New Roman" w:hAnsi="Times New Roman" w:cs="Times New Roman"/>
          <w:color w:val="auto"/>
          <w:spacing w:val="-1"/>
          <w:sz w:val="24"/>
          <w:szCs w:val="24"/>
        </w:rPr>
        <w:t>。</w:t>
      </w:r>
      <w:r>
        <w:rPr>
          <w:rFonts w:hint="default" w:ascii="Times New Roman" w:hAnsi="Times New Roman" w:eastAsia="宋体" w:cs="Times New Roman"/>
          <w:color w:val="auto"/>
          <w:spacing w:val="-1"/>
          <w:sz w:val="24"/>
          <w:szCs w:val="24"/>
          <w:lang w:val="en-US" w:eastAsia="zh-CN"/>
        </w:rPr>
        <w:t>由于本项目</w:t>
      </w:r>
      <w:r>
        <w:rPr>
          <w:rFonts w:hint="default" w:ascii="Times New Roman" w:hAnsi="Times New Roman" w:cs="Times New Roman"/>
          <w:color w:val="auto"/>
          <w:spacing w:val="-1"/>
          <w:sz w:val="24"/>
          <w:szCs w:val="24"/>
        </w:rPr>
        <w:t>属于初次违法且项目建设对周围环境没有造成严重危害，</w:t>
      </w:r>
      <w:r>
        <w:rPr>
          <w:rFonts w:hint="eastAsia" w:ascii="Times New Roman" w:hAnsi="Times New Roman" w:eastAsia="宋体" w:cs="Times New Roman"/>
          <w:color w:val="auto"/>
          <w:spacing w:val="-1"/>
          <w:sz w:val="24"/>
          <w:szCs w:val="24"/>
          <w:lang w:val="en-US" w:eastAsia="zh-CN"/>
        </w:rPr>
        <w:t>符合</w:t>
      </w:r>
      <w:r>
        <w:rPr>
          <w:rFonts w:hint="eastAsia" w:ascii="Times New Roman" w:hAnsi="Times New Roman" w:eastAsia="宋体" w:cs="Times New Roman"/>
          <w:color w:val="auto"/>
          <w:spacing w:val="-1"/>
          <w:sz w:val="24"/>
          <w:szCs w:val="24"/>
          <w:lang w:eastAsia="zh-CN"/>
        </w:rPr>
        <w:t>《中华人民共和国行政处罚法》</w:t>
      </w:r>
      <w:r>
        <w:rPr>
          <w:rFonts w:hint="default" w:ascii="Times New Roman" w:hAnsi="Times New Roman" w:cs="Times New Roman"/>
          <w:color w:val="auto"/>
          <w:spacing w:val="-1"/>
          <w:sz w:val="24"/>
          <w:szCs w:val="24"/>
        </w:rPr>
        <w:t>、《云南省生态环境行政执法包容审慎监管“减免责任清单”的通知》（云环通[2022]158号）</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lang w:val="en-US" w:eastAsia="zh-CN"/>
        </w:rPr>
        <w:t>2026年8月14日，</w:t>
      </w:r>
      <w:r>
        <w:rPr>
          <w:rFonts w:hint="default" w:ascii="Times New Roman" w:hAnsi="Times New Roman" w:cs="Times New Roman"/>
          <w:color w:val="auto"/>
          <w:spacing w:val="-1"/>
          <w:sz w:val="24"/>
          <w:szCs w:val="24"/>
        </w:rPr>
        <w:t>经</w:t>
      </w:r>
      <w:r>
        <w:rPr>
          <w:rFonts w:hint="default" w:ascii="Times New Roman" w:hAnsi="Times New Roman" w:eastAsia="宋体" w:cs="Times New Roman"/>
          <w:color w:val="auto"/>
          <w:spacing w:val="-1"/>
          <w:sz w:val="24"/>
          <w:szCs w:val="24"/>
          <w:lang w:val="en-US" w:eastAsia="zh-CN"/>
        </w:rPr>
        <w:t>曲靖市生态环境局沾益分局</w:t>
      </w:r>
      <w:r>
        <w:rPr>
          <w:rFonts w:hint="default" w:ascii="Times New Roman" w:hAnsi="Times New Roman" w:cs="Times New Roman"/>
          <w:color w:val="auto"/>
          <w:spacing w:val="-1"/>
          <w:sz w:val="24"/>
          <w:szCs w:val="24"/>
        </w:rPr>
        <w:t>研究，对该公司违法行为免于行政处罚</w:t>
      </w:r>
      <w:r>
        <w:rPr>
          <w:rFonts w:hint="default" w:ascii="Times New Roman" w:hAnsi="Times New Roman" w:eastAsia="宋体" w:cs="Times New Roman"/>
          <w:color w:val="auto"/>
          <w:spacing w:val="-1"/>
          <w:sz w:val="24"/>
          <w:szCs w:val="24"/>
          <w:lang w:val="en-US" w:eastAsia="zh-CN"/>
        </w:rPr>
        <w:t>。</w:t>
      </w:r>
    </w:p>
    <w:p w14:paraId="49E4E5DB">
      <w:pPr>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outlineLvl w:val="1"/>
        <w:rPr>
          <w:rFonts w:hint="default" w:ascii="Times New Roman" w:hAnsi="Times New Roman" w:eastAsia="宋体" w:cs="Times New Roman"/>
          <w:color w:val="auto"/>
          <w:sz w:val="31"/>
          <w:szCs w:val="31"/>
        </w:rPr>
      </w:pPr>
      <w:bookmarkStart w:id="28" w:name="_Toc4187"/>
      <w:bookmarkStart w:id="29" w:name="_Toc597"/>
      <w:bookmarkStart w:id="30" w:name="_Toc12183"/>
      <w:r>
        <w:rPr>
          <w:rFonts w:hint="eastAsia" w:ascii="Times New Roman" w:hAnsi="Times New Roman" w:eastAsia="宋体" w:cs="Times New Roman"/>
          <w:b/>
          <w:bCs/>
          <w:color w:val="auto"/>
          <w:spacing w:val="5"/>
          <w:sz w:val="31"/>
          <w:szCs w:val="31"/>
          <w:lang w:val="en-US" w:eastAsia="zh-CN"/>
        </w:rPr>
        <w:t>二、</w:t>
      </w:r>
      <w:r>
        <w:rPr>
          <w:rFonts w:hint="default" w:ascii="Times New Roman" w:hAnsi="Times New Roman" w:eastAsia="宋体" w:cs="Times New Roman"/>
          <w:b/>
          <w:bCs/>
          <w:color w:val="auto"/>
          <w:spacing w:val="5"/>
          <w:sz w:val="31"/>
          <w:szCs w:val="31"/>
        </w:rPr>
        <w:t>环境影响评价的工作过程</w:t>
      </w:r>
      <w:bookmarkEnd w:id="28"/>
      <w:bookmarkEnd w:id="29"/>
      <w:bookmarkEnd w:id="30"/>
    </w:p>
    <w:p w14:paraId="6C3BA877">
      <w:pPr>
        <w:keepNext w:val="0"/>
        <w:keepLines w:val="0"/>
        <w:pageBreakBefore w:val="0"/>
        <w:widowControl/>
        <w:kinsoku w:val="0"/>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1"/>
          <w:sz w:val="24"/>
          <w:szCs w:val="24"/>
          <w:lang w:val="en-US" w:eastAsia="zh-CN"/>
        </w:rPr>
        <w:t>根据</w:t>
      </w:r>
      <w:r>
        <w:rPr>
          <w:rFonts w:hint="eastAsia" w:ascii="Times New Roman" w:hAnsi="Times New Roman" w:eastAsia="宋体" w:cs="Times New Roman"/>
          <w:color w:val="auto"/>
          <w:spacing w:val="-1"/>
          <w:sz w:val="24"/>
          <w:szCs w:val="24"/>
          <w:lang w:val="en-US" w:eastAsia="zh-CN"/>
        </w:rPr>
        <w:t>《中华人民共和国环境保护法》（2015.1.1）、国务院令第682号《建设项目环境保护管理条例》（2017.10.1）、《中华人民共和国环境影响评价法》（2018.12.29修订）</w:t>
      </w:r>
      <w:r>
        <w:rPr>
          <w:rFonts w:hint="default" w:ascii="Times New Roman" w:hAnsi="Times New Roman" w:eastAsia="宋体" w:cs="Times New Roman"/>
          <w:color w:val="auto"/>
          <w:spacing w:val="-1"/>
          <w:sz w:val="24"/>
          <w:szCs w:val="24"/>
          <w:lang w:val="en-US" w:eastAsia="zh-CN"/>
        </w:rPr>
        <w:t>、《建设项目环境影响评价分类管理名录（2021年版）》（生态环境部令第16号），本项目</w:t>
      </w:r>
      <w:r>
        <w:rPr>
          <w:rFonts w:hint="eastAsia" w:ascii="Times New Roman" w:hAnsi="Times New Roman" w:eastAsia="宋体" w:cs="Times New Roman"/>
          <w:color w:val="auto"/>
          <w:spacing w:val="-1"/>
          <w:sz w:val="24"/>
          <w:szCs w:val="24"/>
          <w:lang w:val="en-US" w:eastAsia="zh-CN"/>
        </w:rPr>
        <w:t>涉及“五十三、装卸搬运和仓储业59”及“五十二、交通运输业、管道运输业—132.新建、增建铁路—涉及环境敏感区的”</w:t>
      </w:r>
      <w:r>
        <w:rPr>
          <w:rFonts w:hint="default" w:ascii="Times New Roman" w:hAnsi="Times New Roman" w:eastAsia="宋体" w:cs="Times New Roman"/>
          <w:color w:val="auto"/>
          <w:spacing w:val="-1"/>
          <w:sz w:val="24"/>
          <w:szCs w:val="24"/>
        </w:rPr>
        <w:t>，项目占地涉及环境敏感区（金沙江—珠江分水岭省级水土流失重点预防区</w:t>
      </w:r>
      <w:r>
        <w:rPr>
          <w:rFonts w:hint="default" w:ascii="Times New Roman" w:hAnsi="Times New Roman" w:eastAsia="宋体" w:cs="Times New Roman"/>
          <w:color w:val="auto"/>
          <w:spacing w:val="7"/>
          <w:sz w:val="24"/>
          <w:szCs w:val="24"/>
        </w:rPr>
        <w:t>）</w:t>
      </w:r>
      <w:r>
        <w:rPr>
          <w:rFonts w:hint="default" w:ascii="Times New Roman" w:hAnsi="Times New Roman" w:eastAsia="宋体" w:cs="Times New Roman"/>
          <w:color w:val="auto"/>
          <w:spacing w:val="-3"/>
          <w:sz w:val="24"/>
          <w:szCs w:val="24"/>
        </w:rPr>
        <w:t>，应编制</w:t>
      </w:r>
      <w:r>
        <w:rPr>
          <w:rFonts w:hint="eastAsia" w:ascii="Times New Roman" w:hAnsi="Times New Roman" w:eastAsia="宋体" w:cs="Times New Roman"/>
          <w:color w:val="auto"/>
          <w:spacing w:val="-3"/>
          <w:sz w:val="24"/>
          <w:szCs w:val="24"/>
          <w:lang w:eastAsia="zh-CN"/>
        </w:rPr>
        <w:t>生态环境影响报告书</w:t>
      </w:r>
      <w:r>
        <w:rPr>
          <w:rFonts w:hint="default" w:ascii="Times New Roman" w:hAnsi="Times New Roman" w:eastAsia="宋体" w:cs="Times New Roman"/>
          <w:color w:val="auto"/>
          <w:spacing w:val="-3"/>
          <w:sz w:val="24"/>
          <w:szCs w:val="24"/>
        </w:rPr>
        <w:t>。</w:t>
      </w:r>
    </w:p>
    <w:p w14:paraId="3064C5A1">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lang w:val="en-US" w:eastAsia="zh-CN"/>
        </w:rPr>
        <w:t>202</w:t>
      </w:r>
      <w:r>
        <w:rPr>
          <w:rFonts w:hint="eastAsia" w:ascii="Times New Roman" w:hAnsi="Times New Roman" w:eastAsia="宋体" w:cs="Times New Roman"/>
          <w:color w:val="auto"/>
          <w:spacing w:val="0"/>
          <w:sz w:val="24"/>
          <w:szCs w:val="24"/>
          <w:lang w:val="en-US" w:eastAsia="zh-CN"/>
        </w:rPr>
        <w:t>6年2月，云南曲煤焦化实业发展有限公司委托昆明阳光恒业环境工程有限公司承担“云南曲煤焦化实业发展有限公司集装箱堆场提质改造项目”的环境影响评价工作。接受委托后，我公司迅速组成项目工作小组，按照《环境影响评价技术导则》所规定的原则、方法、内容的和要求开展工作。在调研、收集和核实有关资料的基础上进行实地踏勘、现场监测、公众参与调查以及报告编制等工作。具体环境影响评价工作过程如下：</w:t>
      </w:r>
    </w:p>
    <w:p w14:paraId="0548D3F1">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lang w:val="en-US" w:eastAsia="zh-CN"/>
        </w:rPr>
        <w:t>1</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20</w:t>
      </w:r>
      <w:r>
        <w:rPr>
          <w:rFonts w:hint="eastAsia" w:ascii="Times New Roman" w:hAnsi="Times New Roman" w:eastAsia="宋体" w:cs="Times New Roman"/>
          <w:color w:val="auto"/>
          <w:spacing w:val="0"/>
          <w:sz w:val="24"/>
          <w:szCs w:val="24"/>
          <w:lang w:val="en-US" w:eastAsia="zh-CN"/>
        </w:rPr>
        <w:t>26年2月10日，组织现场踏勘，考察了项目周围地区的环境状况，收集了项目相关资料。</w:t>
      </w:r>
    </w:p>
    <w:p w14:paraId="403B40BE">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lang w:val="en-US" w:eastAsia="zh-CN"/>
        </w:rPr>
        <w:t>2</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2026年2月13日，在曲靖信息网网站进行第一次公众参与网络公示，对本项目基本情况，建设单位和</w:t>
      </w:r>
      <w:r>
        <w:rPr>
          <w:rFonts w:hint="eastAsia" w:ascii="Times New Roman" w:hAnsi="Times New Roman" w:eastAsia="宋体" w:cs="Times New Roman"/>
          <w:color w:val="auto"/>
          <w:spacing w:val="0"/>
          <w:sz w:val="24"/>
          <w:szCs w:val="24"/>
          <w:lang w:val="en-US" w:eastAsia="zh-CN"/>
        </w:rPr>
        <w:t>生态环境影响报告书</w:t>
      </w:r>
      <w:r>
        <w:rPr>
          <w:rFonts w:hint="default" w:ascii="Times New Roman" w:hAnsi="Times New Roman" w:eastAsia="宋体" w:cs="Times New Roman"/>
          <w:color w:val="auto"/>
          <w:spacing w:val="0"/>
          <w:sz w:val="24"/>
          <w:szCs w:val="24"/>
          <w:lang w:val="en-US" w:eastAsia="zh-CN"/>
        </w:rPr>
        <w:t>编制单位名称、联系方式及公众意见表的网络链接，提交公众意见表的方式和途径进行公示。</w:t>
      </w:r>
    </w:p>
    <w:p w14:paraId="67DF09E9">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lang w:val="en-US" w:eastAsia="zh-CN"/>
        </w:rPr>
        <w:t>3</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2026</w:t>
      </w:r>
      <w:r>
        <w:rPr>
          <w:rFonts w:hint="eastAsia" w:ascii="Times New Roman" w:hAnsi="Times New Roman" w:eastAsia="宋体" w:cs="Times New Roman"/>
          <w:color w:val="auto"/>
          <w:spacing w:val="0"/>
          <w:sz w:val="24"/>
          <w:szCs w:val="24"/>
          <w:lang w:val="en-US" w:eastAsia="zh-CN"/>
        </w:rPr>
        <w:t>年4月，环评小组人员在现场踏勘、资料收集、环境监测、公众参与调查的基础上，根据国家建设项目环境管理的相关法律法规、部门规章、管理办法及相关技术导则等有关要求，编制完成了《云南曲煤焦化实业发展有限公司集装箱堆场提质改造项目环境影响报告书（征求意见稿）》。</w:t>
      </w:r>
    </w:p>
    <w:p w14:paraId="2F4F49FF">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4</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2026年</w:t>
      </w:r>
      <w:r>
        <w:rPr>
          <w:rFonts w:hint="eastAsia" w:ascii="Times New Roman" w:hAnsi="Times New Roman" w:eastAsia="宋体" w:cs="Times New Roman"/>
          <w:color w:val="auto"/>
          <w:spacing w:val="0"/>
          <w:sz w:val="24"/>
          <w:szCs w:val="24"/>
          <w:lang w:val="en-US" w:eastAsia="zh-CN"/>
        </w:rPr>
        <w:t>4</w:t>
      </w:r>
      <w:r>
        <w:rPr>
          <w:rFonts w:hint="default" w:ascii="Times New Roman" w:hAnsi="Times New Roman" w:eastAsia="宋体" w:cs="Times New Roman"/>
          <w:color w:val="auto"/>
          <w:spacing w:val="0"/>
          <w:sz w:val="24"/>
          <w:szCs w:val="24"/>
          <w:lang w:val="en-US" w:eastAsia="zh-CN"/>
        </w:rPr>
        <w:t>月</w:t>
      </w:r>
      <w:r>
        <w:rPr>
          <w:rFonts w:hint="eastAsia" w:ascii="Times New Roman" w:hAnsi="Times New Roman" w:eastAsia="宋体" w:cs="Times New Roman"/>
          <w:color w:val="auto"/>
          <w:spacing w:val="0"/>
          <w:sz w:val="24"/>
          <w:szCs w:val="24"/>
          <w:lang w:val="en-US" w:eastAsia="zh-CN"/>
        </w:rPr>
        <w:t>3</w:t>
      </w:r>
      <w:r>
        <w:rPr>
          <w:rFonts w:hint="default" w:ascii="Times New Roman" w:hAnsi="Times New Roman" w:eastAsia="宋体" w:cs="Times New Roman"/>
          <w:color w:val="auto"/>
          <w:spacing w:val="0"/>
          <w:sz w:val="24"/>
          <w:szCs w:val="24"/>
          <w:lang w:val="en-US" w:eastAsia="zh-CN"/>
        </w:rPr>
        <w:t>日</w:t>
      </w:r>
      <w:r>
        <w:rPr>
          <w:rFonts w:hint="eastAsia" w:ascii="Times New Roman" w:hAnsi="Times New Roman" w:eastAsia="宋体" w:cs="Times New Roman"/>
          <w:color w:val="auto"/>
          <w:spacing w:val="0"/>
          <w:sz w:val="24"/>
          <w:szCs w:val="24"/>
          <w:lang w:val="en-US" w:eastAsia="zh-CN"/>
        </w:rPr>
        <w:t>-2026年4月17日，在此基础上，按《环境影响评价公众参与办法》（生态环境部令第</w:t>
      </w:r>
      <w:r>
        <w:rPr>
          <w:rFonts w:hint="default" w:ascii="Times New Roman" w:hAnsi="Times New Roman" w:eastAsia="宋体" w:cs="Times New Roman"/>
          <w:color w:val="auto"/>
          <w:spacing w:val="0"/>
          <w:sz w:val="24"/>
          <w:szCs w:val="24"/>
          <w:lang w:val="en-US" w:eastAsia="zh-CN"/>
        </w:rPr>
        <w:t>4</w:t>
      </w:r>
      <w:r>
        <w:rPr>
          <w:rFonts w:hint="eastAsia" w:ascii="Times New Roman" w:hAnsi="Times New Roman" w:eastAsia="宋体" w:cs="Times New Roman"/>
          <w:color w:val="auto"/>
          <w:spacing w:val="0"/>
          <w:sz w:val="24"/>
          <w:szCs w:val="24"/>
          <w:lang w:val="en-US" w:eastAsia="zh-CN"/>
        </w:rPr>
        <w:t>号）要求，建设单位以</w:t>
      </w:r>
      <w:r>
        <w:rPr>
          <w:rFonts w:hint="default" w:ascii="Times New Roman" w:hAnsi="Times New Roman" w:eastAsia="宋体" w:cs="Times New Roman"/>
          <w:color w:val="auto"/>
          <w:spacing w:val="0"/>
          <w:sz w:val="24"/>
          <w:szCs w:val="24"/>
          <w:lang w:val="en-US" w:eastAsia="zh-CN"/>
        </w:rPr>
        <w:t>3</w:t>
      </w:r>
      <w:r>
        <w:rPr>
          <w:rFonts w:hint="eastAsia" w:ascii="Times New Roman" w:hAnsi="Times New Roman" w:eastAsia="宋体" w:cs="Times New Roman"/>
          <w:color w:val="auto"/>
          <w:spacing w:val="0"/>
          <w:sz w:val="24"/>
          <w:szCs w:val="24"/>
          <w:lang w:val="en-US" w:eastAsia="zh-CN"/>
        </w:rPr>
        <w:t>种形式进行了信息公示。分别为：一、在</w:t>
      </w:r>
      <w:r>
        <w:rPr>
          <w:rFonts w:hint="default" w:ascii="Times New Roman" w:hAnsi="Times New Roman" w:eastAsia="宋体" w:cs="Times New Roman"/>
          <w:color w:val="auto"/>
          <w:spacing w:val="0"/>
          <w:sz w:val="24"/>
          <w:szCs w:val="24"/>
          <w:lang w:val="en-US" w:eastAsia="zh-CN"/>
        </w:rPr>
        <w:t>曲靖信息网网站</w:t>
      </w:r>
      <w:r>
        <w:rPr>
          <w:rFonts w:hint="eastAsia" w:ascii="Times New Roman" w:hAnsi="Times New Roman" w:eastAsia="宋体" w:cs="Times New Roman"/>
          <w:color w:val="auto"/>
          <w:spacing w:val="0"/>
          <w:sz w:val="24"/>
          <w:szCs w:val="24"/>
          <w:lang w:val="en-US" w:eastAsia="zh-CN"/>
        </w:rPr>
        <w:t>上进行网络公示；二、报纸公示：在云南信息报上</w:t>
      </w:r>
      <w:r>
        <w:rPr>
          <w:rFonts w:hint="default" w:ascii="Times New Roman" w:hAnsi="Times New Roman" w:eastAsia="宋体" w:cs="Times New Roman"/>
          <w:color w:val="auto"/>
          <w:spacing w:val="0"/>
          <w:sz w:val="24"/>
          <w:szCs w:val="24"/>
          <w:lang w:val="en-US" w:eastAsia="zh-CN"/>
        </w:rPr>
        <w:t>2</w:t>
      </w:r>
      <w:r>
        <w:rPr>
          <w:rFonts w:hint="eastAsia" w:ascii="Times New Roman" w:hAnsi="Times New Roman" w:eastAsia="宋体" w:cs="Times New Roman"/>
          <w:color w:val="auto"/>
          <w:spacing w:val="0"/>
          <w:sz w:val="24"/>
          <w:szCs w:val="24"/>
          <w:lang w:val="en-US" w:eastAsia="zh-CN"/>
        </w:rPr>
        <w:t>次登报公示，公示时间分别为</w:t>
      </w:r>
      <w:r>
        <w:rPr>
          <w:rFonts w:hint="default" w:ascii="Times New Roman" w:hAnsi="Times New Roman" w:eastAsia="宋体" w:cs="Times New Roman"/>
          <w:color w:val="auto"/>
          <w:spacing w:val="0"/>
          <w:sz w:val="24"/>
          <w:szCs w:val="24"/>
          <w:lang w:val="en-US" w:eastAsia="zh-CN"/>
        </w:rPr>
        <w:t>2026</w:t>
      </w:r>
      <w:r>
        <w:rPr>
          <w:rFonts w:hint="eastAsia" w:ascii="Times New Roman" w:hAnsi="Times New Roman" w:eastAsia="宋体" w:cs="Times New Roman"/>
          <w:color w:val="auto"/>
          <w:spacing w:val="0"/>
          <w:sz w:val="24"/>
          <w:szCs w:val="24"/>
          <w:lang w:val="en-US" w:eastAsia="zh-CN"/>
        </w:rPr>
        <w:t>年4月3日、4月10日；三、现场粘贴公示，在距离项目最近的兴源社区张贴告示的方式进行了第二次环评信息公示，公示期间未收到公众反馈意见。</w:t>
      </w:r>
    </w:p>
    <w:p w14:paraId="2C4A83D9">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5、后由于项目缺少环境空气现状监测数据，且地下水需进行三级评价，需补充地下水现状监测数据，鉴于场地内无地下水出露点，建设单位自打监测井。于2026年6月4日至6月10日委托云南加莱希安全检测有限公司进行了环境空气和噪声的补充监测，于</w:t>
      </w:r>
      <w:r>
        <w:rPr>
          <w:rFonts w:hint="default" w:ascii="Times New Roman" w:hAnsi="Times New Roman" w:eastAsia="宋体" w:cs="Times New Roman"/>
          <w:color w:val="auto"/>
          <w:spacing w:val="0"/>
          <w:sz w:val="24"/>
          <w:szCs w:val="24"/>
          <w:lang w:val="en-US" w:eastAsia="zh-CN"/>
        </w:rPr>
        <w:t>2026年</w:t>
      </w:r>
      <w:r>
        <w:rPr>
          <w:rFonts w:hint="eastAsia" w:ascii="Times New Roman" w:hAnsi="Times New Roman" w:eastAsia="宋体" w:cs="Times New Roman"/>
          <w:color w:val="auto"/>
          <w:spacing w:val="0"/>
          <w:sz w:val="24"/>
          <w:szCs w:val="24"/>
          <w:lang w:val="en-US" w:eastAsia="zh-CN"/>
        </w:rPr>
        <w:t>7</w:t>
      </w:r>
      <w:r>
        <w:rPr>
          <w:rFonts w:hint="default" w:ascii="Times New Roman" w:hAnsi="Times New Roman" w:eastAsia="宋体" w:cs="Times New Roman"/>
          <w:color w:val="auto"/>
          <w:spacing w:val="0"/>
          <w:sz w:val="24"/>
          <w:szCs w:val="24"/>
          <w:lang w:val="en-US" w:eastAsia="zh-CN"/>
        </w:rPr>
        <w:t>月</w:t>
      </w:r>
      <w:r>
        <w:rPr>
          <w:rFonts w:hint="eastAsia" w:ascii="Times New Roman" w:hAnsi="Times New Roman" w:eastAsia="宋体" w:cs="Times New Roman"/>
          <w:color w:val="auto"/>
          <w:spacing w:val="0"/>
          <w:sz w:val="24"/>
          <w:szCs w:val="24"/>
          <w:lang w:val="en-US" w:eastAsia="zh-CN"/>
        </w:rPr>
        <w:t>1</w:t>
      </w:r>
      <w:r>
        <w:rPr>
          <w:rFonts w:hint="default" w:ascii="Times New Roman" w:hAnsi="Times New Roman" w:eastAsia="宋体" w:cs="Times New Roman"/>
          <w:color w:val="auto"/>
          <w:spacing w:val="0"/>
          <w:sz w:val="24"/>
          <w:szCs w:val="24"/>
          <w:lang w:val="en-US" w:eastAsia="zh-CN"/>
        </w:rPr>
        <w:t>日</w:t>
      </w:r>
      <w:r>
        <w:rPr>
          <w:rFonts w:hint="eastAsia" w:ascii="Times New Roman" w:hAnsi="Times New Roman" w:eastAsia="宋体" w:cs="Times New Roman"/>
          <w:color w:val="auto"/>
          <w:spacing w:val="0"/>
          <w:sz w:val="24"/>
          <w:szCs w:val="24"/>
          <w:lang w:val="en-US" w:eastAsia="zh-CN"/>
        </w:rPr>
        <w:t>委托国瑞检测科技（云南）有限公司进行了地下水的补充监测。</w:t>
      </w:r>
    </w:p>
    <w:p w14:paraId="03CC5693">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6、</w:t>
      </w:r>
      <w:r>
        <w:rPr>
          <w:rFonts w:hint="default" w:ascii="Times New Roman" w:hAnsi="Times New Roman" w:eastAsia="宋体" w:cs="Times New Roman"/>
          <w:color w:val="auto"/>
          <w:spacing w:val="0"/>
          <w:sz w:val="24"/>
          <w:szCs w:val="24"/>
          <w:lang w:val="en-US" w:eastAsia="zh-CN"/>
        </w:rPr>
        <w:t>2026</w:t>
      </w:r>
      <w:r>
        <w:rPr>
          <w:rFonts w:hint="eastAsia" w:ascii="Times New Roman" w:hAnsi="Times New Roman" w:eastAsia="宋体" w:cs="Times New Roman"/>
          <w:color w:val="auto"/>
          <w:spacing w:val="0"/>
          <w:sz w:val="24"/>
          <w:szCs w:val="24"/>
          <w:lang w:val="en-US" w:eastAsia="zh-CN"/>
        </w:rPr>
        <w:t>年8月，在以上基础上，我公司编制完成《云南曲煤焦化实业发展有限公司集装箱堆场提质改造项目环境影响报告书（送审稿）》，供建设单位上报审批，作为企业环境管理的依据。</w:t>
      </w:r>
    </w:p>
    <w:p w14:paraId="27F3E25B">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7、2026年8月13日，曲靖市环境工程评估中心组织了该项目生态环境影响报告书的技术审查工作，评价单位根据生态环境影响报告书专家组意见进行了认真修改完善，形成了《云南曲煤焦化实业发展有限公司集装箱堆场提质改造项目生态环境影响报告书》（报批稿），供建设单位上报审批。</w:t>
      </w:r>
    </w:p>
    <w:p w14:paraId="26F0B48B">
      <w:pPr>
        <w:spacing w:before="100" w:line="227" w:lineRule="auto"/>
        <w:ind w:left="19"/>
        <w:outlineLvl w:val="1"/>
        <w:rPr>
          <w:rFonts w:hint="default" w:ascii="Times New Roman" w:hAnsi="Times New Roman" w:eastAsia="宋体" w:cs="Times New Roman"/>
          <w:color w:val="auto"/>
          <w:sz w:val="31"/>
          <w:szCs w:val="31"/>
        </w:rPr>
      </w:pPr>
      <w:bookmarkStart w:id="31" w:name="_Toc6201"/>
      <w:bookmarkStart w:id="32" w:name="_Toc8527"/>
      <w:bookmarkStart w:id="33" w:name="_Toc30838"/>
      <w:r>
        <w:rPr>
          <w:rFonts w:hint="eastAsia" w:ascii="Times New Roman" w:hAnsi="Times New Roman" w:eastAsia="宋体" w:cs="Times New Roman"/>
          <w:b/>
          <w:bCs/>
          <w:color w:val="auto"/>
          <w:spacing w:val="4"/>
          <w:sz w:val="31"/>
          <w:szCs w:val="31"/>
          <w:lang w:val="en-US" w:eastAsia="zh-CN"/>
        </w:rPr>
        <w:t>三、</w:t>
      </w:r>
      <w:r>
        <w:rPr>
          <w:rFonts w:hint="default" w:ascii="Times New Roman" w:hAnsi="Times New Roman" w:eastAsia="宋体" w:cs="Times New Roman"/>
          <w:b/>
          <w:bCs/>
          <w:color w:val="auto"/>
          <w:spacing w:val="4"/>
          <w:sz w:val="31"/>
          <w:szCs w:val="31"/>
        </w:rPr>
        <w:t>分析判定相关情况</w:t>
      </w:r>
      <w:bookmarkEnd w:id="31"/>
      <w:bookmarkEnd w:id="32"/>
      <w:bookmarkEnd w:id="33"/>
    </w:p>
    <w:p w14:paraId="224C8FB8">
      <w:pPr>
        <w:pStyle w:val="9"/>
        <w:spacing w:line="308" w:lineRule="auto"/>
        <w:rPr>
          <w:rFonts w:hint="default" w:ascii="Times New Roman" w:hAnsi="Times New Roman" w:cs="Times New Roman"/>
          <w:color w:val="auto"/>
        </w:rPr>
      </w:pPr>
    </w:p>
    <w:p w14:paraId="5AC4842A">
      <w:pPr>
        <w:keepNext w:val="0"/>
        <w:keepLines w:val="0"/>
        <w:pageBreakBefore w:val="0"/>
        <w:widowControl/>
        <w:kinsoku w:val="0"/>
        <w:wordWrap/>
        <w:overflowPunct/>
        <w:topLinePunct w:val="0"/>
        <w:autoSpaceDE w:val="0"/>
        <w:autoSpaceDN w:val="0"/>
        <w:bidi w:val="0"/>
        <w:adjustRightInd w:val="0"/>
        <w:snapToGrid w:val="0"/>
        <w:spacing w:before="98" w:line="221" w:lineRule="auto"/>
        <w:ind w:left="317"/>
        <w:textAlignment w:val="baseline"/>
        <w:outlineLvl w:val="2"/>
        <w:rPr>
          <w:rFonts w:hint="default" w:ascii="Times New Roman" w:hAnsi="Times New Roman" w:eastAsia="宋体" w:cs="Times New Roman"/>
          <w:color w:val="auto"/>
          <w:sz w:val="28"/>
          <w:szCs w:val="28"/>
        </w:rPr>
      </w:pPr>
      <w:bookmarkStart w:id="34" w:name="_Toc13922"/>
      <w:r>
        <w:rPr>
          <w:rFonts w:hint="eastAsia" w:ascii="Times New Roman" w:hAnsi="Times New Roman" w:eastAsia="宋体" w:cs="Times New Roman"/>
          <w:b/>
          <w:bCs/>
          <w:color w:val="auto"/>
          <w:spacing w:val="-3"/>
          <w:sz w:val="28"/>
          <w:szCs w:val="28"/>
          <w:lang w:eastAsia="zh-CN"/>
        </w:rPr>
        <w:t>（</w:t>
      </w:r>
      <w:r>
        <w:rPr>
          <w:rFonts w:hint="eastAsia" w:ascii="Times New Roman" w:hAnsi="Times New Roman" w:eastAsia="宋体" w:cs="Times New Roman"/>
          <w:b/>
          <w:bCs/>
          <w:color w:val="auto"/>
          <w:spacing w:val="-3"/>
          <w:sz w:val="28"/>
          <w:szCs w:val="28"/>
          <w:lang w:val="en-US" w:eastAsia="zh-CN"/>
        </w:rPr>
        <w:t>一</w:t>
      </w:r>
      <w:r>
        <w:rPr>
          <w:rFonts w:hint="eastAsia" w:ascii="Times New Roman" w:hAnsi="Times New Roman" w:eastAsia="宋体" w:cs="Times New Roman"/>
          <w:b/>
          <w:bCs/>
          <w:color w:val="auto"/>
          <w:spacing w:val="-3"/>
          <w:sz w:val="28"/>
          <w:szCs w:val="28"/>
          <w:lang w:eastAsia="zh-CN"/>
        </w:rPr>
        <w:t>）</w:t>
      </w:r>
      <w:r>
        <w:rPr>
          <w:rFonts w:hint="default" w:ascii="Times New Roman" w:hAnsi="Times New Roman" w:eastAsia="宋体" w:cs="Times New Roman"/>
          <w:b/>
          <w:bCs/>
          <w:color w:val="auto"/>
          <w:spacing w:val="-3"/>
          <w:sz w:val="28"/>
          <w:szCs w:val="28"/>
        </w:rPr>
        <w:t>项目与产业政策符合性分析</w:t>
      </w:r>
      <w:bookmarkEnd w:id="34"/>
    </w:p>
    <w:p w14:paraId="14840A2F">
      <w:pPr>
        <w:pStyle w:val="9"/>
        <w:spacing w:line="360" w:lineRule="auto"/>
        <w:rPr>
          <w:rFonts w:hint="default" w:ascii="Times New Roman" w:hAnsi="Times New Roman" w:cs="Times New Roman"/>
          <w:color w:val="auto"/>
        </w:rPr>
      </w:pPr>
    </w:p>
    <w:p w14:paraId="1DCE0FB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根据中华人民共和国国家发展和改革委员会令第7号《产业结构调整指导目录（2024年本）》（自2024年2月1日起施行）中的相关内容，</w:t>
      </w:r>
      <w:r>
        <w:rPr>
          <w:rFonts w:hint="default" w:ascii="Times New Roman" w:hAnsi="Times New Roman" w:eastAsia="宋体" w:cs="Times New Roman"/>
          <w:color w:val="auto"/>
          <w:sz w:val="24"/>
          <w:szCs w:val="24"/>
        </w:rPr>
        <w:t>项目属于产业政策中的</w:t>
      </w:r>
      <w:r>
        <w:rPr>
          <w:rFonts w:hint="default" w:ascii="Times New Roman" w:hAnsi="Times New Roman" w:eastAsia="宋体" w:cs="Times New Roman"/>
          <w:color w:val="auto"/>
          <w:sz w:val="24"/>
          <w:szCs w:val="24"/>
          <w:lang w:val="en-US" w:eastAsia="zh-CN"/>
        </w:rPr>
        <w:t>鼓励类</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二十三、铁路：1．铁路建设和改造：铁路新线、铁路专用线</w:t>
      </w:r>
      <w:r>
        <w:rPr>
          <w:rFonts w:hint="default" w:ascii="Times New Roman" w:hAnsi="Times New Roman" w:eastAsia="宋体" w:cs="Times New Roman"/>
          <w:color w:val="auto"/>
          <w:kern w:val="0"/>
          <w:sz w:val="24"/>
          <w:szCs w:val="24"/>
          <w:highlight w:val="none"/>
          <w:lang w:val="en-US" w:eastAsia="zh-CN"/>
        </w:rPr>
        <w:t>。</w:t>
      </w:r>
    </w:p>
    <w:p w14:paraId="07B2653F">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根据可研，项目</w:t>
      </w:r>
      <w:r>
        <w:rPr>
          <w:rFonts w:hint="default" w:ascii="Times New Roman" w:hAnsi="Times New Roman" w:eastAsia="宋体" w:cs="Times New Roman"/>
          <w:snapToGrid w:val="0"/>
          <w:color w:val="auto"/>
          <w:kern w:val="0"/>
          <w:sz w:val="24"/>
          <w:lang w:val="en-US" w:eastAsia="zh-CN"/>
        </w:rPr>
        <w:t>新修建H1道及H2道尽头式货物线采用整体道床，新建双面配筋的集装箱堆场2处，在集装箱货场配置电动正面吊2台及1台重型叉车进行装卸作业，在货场道路设置3台汽车衡（2用1备）及检箱平台一座，增设1台100t动态轨道衡（带超偏载功能）</w:t>
      </w:r>
      <w:r>
        <w:rPr>
          <w:rFonts w:hint="eastAsia" w:ascii="Times New Roman" w:hAnsi="Times New Roman" w:eastAsia="宋体" w:cs="Times New Roman"/>
          <w:snapToGrid w:val="0"/>
          <w:color w:val="auto"/>
          <w:kern w:val="0"/>
          <w:sz w:val="24"/>
          <w:lang w:val="en-US" w:eastAsia="zh-CN"/>
        </w:rPr>
        <w:t>，曲煤焦化专用铁路既有自营机车2台，1台为DF</w:t>
      </w:r>
      <w:r>
        <w:rPr>
          <w:rFonts w:hint="eastAsia" w:ascii="Times New Roman" w:hAnsi="Times New Roman" w:eastAsia="宋体" w:cs="Times New Roman"/>
          <w:snapToGrid w:val="0"/>
          <w:color w:val="auto"/>
          <w:kern w:val="0"/>
          <w:sz w:val="24"/>
          <w:vertAlign w:val="subscript"/>
          <w:lang w:val="en-US" w:eastAsia="zh-CN"/>
        </w:rPr>
        <w:t>5D</w:t>
      </w:r>
      <w:r>
        <w:rPr>
          <w:rFonts w:hint="eastAsia" w:ascii="Times New Roman" w:hAnsi="Times New Roman" w:eastAsia="宋体" w:cs="Times New Roman"/>
          <w:snapToGrid w:val="0"/>
          <w:color w:val="auto"/>
          <w:kern w:val="0"/>
          <w:sz w:val="24"/>
          <w:lang w:val="en-US" w:eastAsia="zh-CN"/>
        </w:rPr>
        <w:t>、一台为DF</w:t>
      </w:r>
      <w:r>
        <w:rPr>
          <w:rFonts w:hint="eastAsia" w:ascii="Times New Roman" w:hAnsi="Times New Roman" w:eastAsia="宋体" w:cs="Times New Roman"/>
          <w:snapToGrid w:val="0"/>
          <w:color w:val="auto"/>
          <w:kern w:val="0"/>
          <w:sz w:val="24"/>
          <w:vertAlign w:val="subscript"/>
          <w:lang w:val="en-US" w:eastAsia="zh-CN"/>
        </w:rPr>
        <w:t>10D</w:t>
      </w:r>
      <w:r>
        <w:rPr>
          <w:rFonts w:hint="eastAsia" w:ascii="Times New Roman" w:hAnsi="Times New Roman" w:eastAsia="宋体" w:cs="Times New Roman"/>
          <w:snapToGrid w:val="0"/>
          <w:color w:val="auto"/>
          <w:kern w:val="0"/>
          <w:sz w:val="24"/>
          <w:lang w:val="en-US" w:eastAsia="zh-CN"/>
        </w:rPr>
        <w:t>。</w:t>
      </w:r>
      <w:r>
        <w:rPr>
          <w:rFonts w:hint="default" w:ascii="Times New Roman" w:hAnsi="Times New Roman" w:eastAsia="宋体" w:cs="Times New Roman"/>
          <w:snapToGrid w:val="0"/>
          <w:color w:val="auto"/>
          <w:kern w:val="0"/>
          <w:sz w:val="24"/>
          <w:lang w:val="en-US" w:eastAsia="zh-CN"/>
        </w:rPr>
        <w:t>均</w:t>
      </w:r>
      <w:r>
        <w:rPr>
          <w:rFonts w:hint="default" w:ascii="Times New Roman" w:hAnsi="Times New Roman" w:eastAsia="宋体" w:cs="Times New Roman"/>
          <w:color w:val="auto"/>
          <w:kern w:val="0"/>
          <w:sz w:val="24"/>
          <w:szCs w:val="24"/>
          <w:highlight w:val="none"/>
          <w:lang w:val="en-US" w:eastAsia="zh-CN"/>
        </w:rPr>
        <w:t>不属于</w:t>
      </w:r>
      <w:r>
        <w:rPr>
          <w:rFonts w:hint="default" w:ascii="Times New Roman" w:hAnsi="Times New Roman" w:eastAsia="宋体" w:cs="Times New Roman"/>
          <w:color w:val="auto"/>
          <w:sz w:val="24"/>
          <w:szCs w:val="24"/>
          <w:highlight w:val="none"/>
          <w:lang w:val="en-US" w:eastAsia="zh-CN"/>
        </w:rPr>
        <w:t>《产业结构调整指导目录（2024年本）》中</w:t>
      </w:r>
      <w:r>
        <w:rPr>
          <w:rFonts w:hint="default" w:ascii="Times New Roman" w:hAnsi="Times New Roman" w:eastAsia="宋体" w:cs="Times New Roman"/>
          <w:color w:val="auto"/>
          <w:kern w:val="0"/>
          <w:sz w:val="24"/>
          <w:szCs w:val="24"/>
          <w:highlight w:val="none"/>
          <w:lang w:val="en-US" w:eastAsia="zh-CN"/>
        </w:rPr>
        <w:t>落后产品</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（二）铁路：1．G60型、G17型罐车，P62型棚车，K13型矿石车，U60型水泥车，N16型、N17型平车，L17型粮食车，C62A型、C62B型敞车，轨道平车（载重40吨及以下）。</w:t>
      </w:r>
    </w:p>
    <w:p w14:paraId="57BA53BB">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highlight w:val="none"/>
          <w:lang w:val="en-US" w:eastAsia="zh-CN"/>
        </w:rPr>
        <w:t>综上，</w:t>
      </w:r>
      <w:r>
        <w:rPr>
          <w:rFonts w:hint="default" w:ascii="Times New Roman" w:hAnsi="Times New Roman" w:eastAsia="宋体" w:cs="Times New Roman"/>
          <w:color w:val="auto"/>
          <w:kern w:val="0"/>
          <w:sz w:val="24"/>
          <w:szCs w:val="24"/>
          <w:lang w:val="en-US" w:eastAsia="zh-CN" w:bidi="ar"/>
        </w:rPr>
        <w:t>项目的建设符合国家现行产业政策。</w:t>
      </w:r>
    </w:p>
    <w:p w14:paraId="66296851">
      <w:pPr>
        <w:keepNext w:val="0"/>
        <w:keepLines w:val="0"/>
        <w:pageBreakBefore w:val="0"/>
        <w:widowControl/>
        <w:kinsoku w:val="0"/>
        <w:wordWrap/>
        <w:overflowPunct/>
        <w:topLinePunct w:val="0"/>
        <w:autoSpaceDE w:val="0"/>
        <w:autoSpaceDN w:val="0"/>
        <w:bidi w:val="0"/>
        <w:adjustRightInd w:val="0"/>
        <w:snapToGrid w:val="0"/>
        <w:spacing w:before="98" w:line="221" w:lineRule="auto"/>
        <w:ind w:left="317"/>
        <w:textAlignment w:val="baseline"/>
        <w:outlineLvl w:val="2"/>
        <w:rPr>
          <w:rFonts w:hint="default" w:ascii="Times New Roman" w:hAnsi="Times New Roman" w:eastAsia="Times New Roman" w:cs="Times New Roman"/>
          <w:b/>
          <w:bCs/>
          <w:color w:val="auto"/>
          <w:spacing w:val="-3"/>
          <w:sz w:val="28"/>
          <w:szCs w:val="28"/>
        </w:rPr>
      </w:pPr>
      <w:bookmarkStart w:id="35" w:name="_Toc28629"/>
      <w:r>
        <w:rPr>
          <w:rFonts w:hint="eastAsia" w:ascii="Times New Roman" w:hAnsi="Times New Roman" w:eastAsia="宋体" w:cs="Times New Roman"/>
          <w:b/>
          <w:bCs/>
          <w:color w:val="auto"/>
          <w:spacing w:val="-3"/>
          <w:sz w:val="28"/>
          <w:szCs w:val="28"/>
          <w:lang w:eastAsia="zh-CN"/>
        </w:rPr>
        <w:t>（</w:t>
      </w:r>
      <w:r>
        <w:rPr>
          <w:rFonts w:hint="eastAsia" w:ascii="Times New Roman" w:hAnsi="Times New Roman" w:eastAsia="宋体" w:cs="Times New Roman"/>
          <w:b/>
          <w:bCs/>
          <w:color w:val="auto"/>
          <w:spacing w:val="-3"/>
          <w:sz w:val="28"/>
          <w:szCs w:val="28"/>
          <w:lang w:val="en-US" w:eastAsia="zh-CN"/>
        </w:rPr>
        <w:t>二</w:t>
      </w:r>
      <w:r>
        <w:rPr>
          <w:rFonts w:hint="eastAsia" w:ascii="Times New Roman" w:hAnsi="Times New Roman" w:eastAsia="宋体" w:cs="Times New Roman"/>
          <w:b/>
          <w:bCs/>
          <w:color w:val="auto"/>
          <w:spacing w:val="-3"/>
          <w:sz w:val="28"/>
          <w:szCs w:val="28"/>
          <w:lang w:eastAsia="zh-CN"/>
        </w:rPr>
        <w:t>）</w:t>
      </w:r>
      <w:r>
        <w:rPr>
          <w:rFonts w:hint="default" w:ascii="Times New Roman" w:hAnsi="Times New Roman" w:eastAsia="Times New Roman" w:cs="Times New Roman"/>
          <w:b/>
          <w:bCs/>
          <w:color w:val="auto"/>
          <w:spacing w:val="-3"/>
          <w:sz w:val="28"/>
          <w:szCs w:val="28"/>
        </w:rPr>
        <w:t>与相关规划、规划环评符合性分析</w:t>
      </w:r>
      <w:bookmarkEnd w:id="35"/>
    </w:p>
    <w:p w14:paraId="15FB64ED">
      <w:pPr>
        <w:pStyle w:val="9"/>
        <w:spacing w:line="359" w:lineRule="auto"/>
        <w:rPr>
          <w:rFonts w:hint="default" w:ascii="Times New Roman" w:hAnsi="Times New Roman" w:cs="Times New Roman"/>
          <w:color w:val="auto"/>
        </w:rPr>
      </w:pPr>
    </w:p>
    <w:p w14:paraId="34813FA5">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360" w:lineRule="auto"/>
        <w:ind w:left="0" w:right="0" w:rightChars="0"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u w:val="none"/>
        </w:rPr>
        <w:t>本项目</w:t>
      </w:r>
      <w:r>
        <w:rPr>
          <w:rFonts w:hint="default" w:ascii="Times New Roman" w:hAnsi="Times New Roman" w:eastAsia="宋体" w:cs="Times New Roman"/>
          <w:b w:val="0"/>
          <w:bCs w:val="0"/>
          <w:color w:val="auto"/>
          <w:sz w:val="24"/>
          <w:szCs w:val="24"/>
          <w:u w:val="none"/>
          <w:lang w:val="en-US" w:eastAsia="zh-CN"/>
        </w:rPr>
        <w:t>为</w:t>
      </w:r>
      <w:r>
        <w:rPr>
          <w:rFonts w:hint="default" w:ascii="Times New Roman" w:hAnsi="Times New Roman" w:eastAsia="宋体" w:cs="Times New Roman"/>
          <w:b w:val="0"/>
          <w:bCs w:val="0"/>
          <w:color w:val="auto"/>
          <w:sz w:val="24"/>
          <w:szCs w:val="24"/>
          <w:lang w:val="en-US" w:eastAsia="zh-CN"/>
        </w:rPr>
        <w:t>云南曲煤焦化实业发展有限公司集装箱堆场提质改造项目，位于曲靖高新技术产业开发区</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花山片区。相关规划符合性分析对照花山片区进行分析。</w:t>
      </w:r>
    </w:p>
    <w:p w14:paraId="0FDA51E6">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bCs/>
          <w:color w:val="auto"/>
          <w:sz w:val="24"/>
          <w:szCs w:val="24"/>
        </w:rPr>
      </w:pPr>
      <w:r>
        <w:rPr>
          <w:rFonts w:hint="eastAsia" w:ascii="Times New Roman" w:hAnsi="Times New Roman" w:cs="Times New Roman"/>
          <w:b/>
          <w:bCs/>
          <w:color w:val="auto"/>
          <w:sz w:val="24"/>
          <w:szCs w:val="24"/>
          <w:lang w:val="en-US" w:eastAsia="zh-CN"/>
        </w:rPr>
        <w:t>1、</w:t>
      </w:r>
      <w:r>
        <w:rPr>
          <w:rFonts w:hint="default" w:ascii="Times New Roman" w:hAnsi="Times New Roman" w:eastAsia="宋体" w:cs="Times New Roman"/>
          <w:b/>
          <w:bCs/>
          <w:color w:val="auto"/>
          <w:sz w:val="24"/>
          <w:szCs w:val="24"/>
          <w:lang w:val="en-US" w:eastAsia="zh-CN"/>
        </w:rPr>
        <w:t>本项目</w:t>
      </w:r>
      <w:r>
        <w:rPr>
          <w:rFonts w:hint="default" w:ascii="Times New Roman" w:hAnsi="Times New Roman" w:eastAsia="宋体" w:cs="Times New Roman"/>
          <w:b/>
          <w:bCs/>
          <w:color w:val="auto"/>
          <w:sz w:val="24"/>
          <w:szCs w:val="24"/>
        </w:rPr>
        <w:t>与</w:t>
      </w:r>
      <w:r>
        <w:rPr>
          <w:rFonts w:hint="default" w:ascii="Times New Roman" w:hAnsi="Times New Roman" w:eastAsia="宋体" w:cs="Times New Roman"/>
          <w:b/>
          <w:bCs/>
          <w:color w:val="auto"/>
          <w:sz w:val="24"/>
          <w:szCs w:val="24"/>
          <w:lang w:val="en-US" w:eastAsia="zh-CN"/>
        </w:rPr>
        <w:t>《曲靖高新技术产业开发区总体规划（202</w:t>
      </w:r>
      <w:r>
        <w:rPr>
          <w:rFonts w:hint="default" w:ascii="Times New Roman" w:hAnsi="Times New Roman"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2035年）》</w:t>
      </w:r>
      <w:r>
        <w:rPr>
          <w:rFonts w:hint="default" w:ascii="Times New Roman" w:hAnsi="Times New Roman" w:eastAsia="宋体" w:cs="Times New Roman"/>
          <w:b/>
          <w:bCs/>
          <w:color w:val="auto"/>
          <w:sz w:val="24"/>
          <w:szCs w:val="24"/>
        </w:rPr>
        <w:t>符合性分析</w:t>
      </w:r>
    </w:p>
    <w:p w14:paraId="4891676E">
      <w:pPr>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aps w:val="0"/>
          <w:color w:val="auto"/>
          <w:spacing w:val="0"/>
          <w:kern w:val="0"/>
          <w:sz w:val="24"/>
          <w:szCs w:val="24"/>
          <w:highlight w:val="none"/>
          <w:lang w:val="en-US" w:eastAsia="zh-CN"/>
        </w:rPr>
      </w:pPr>
      <w:r>
        <w:rPr>
          <w:rFonts w:hint="default" w:ascii="Times New Roman" w:hAnsi="Times New Roman" w:eastAsia="宋体" w:cs="Times New Roman"/>
          <w:b/>
          <w:bCs/>
          <w:caps w:val="0"/>
          <w:color w:val="auto"/>
          <w:spacing w:val="0"/>
          <w:kern w:val="0"/>
          <w:sz w:val="24"/>
          <w:szCs w:val="24"/>
          <w:highlight w:val="none"/>
          <w:lang w:val="en-US" w:eastAsia="zh-CN"/>
        </w:rPr>
        <w:t>（1）</w:t>
      </w:r>
      <w:r>
        <w:rPr>
          <w:rFonts w:hint="default" w:ascii="Times New Roman" w:hAnsi="Times New Roman" w:eastAsia="宋体" w:cs="Times New Roman"/>
          <w:b/>
          <w:bCs/>
          <w:color w:val="auto"/>
          <w:sz w:val="24"/>
          <w:szCs w:val="24"/>
          <w:lang w:val="en-US" w:eastAsia="zh-CN"/>
        </w:rPr>
        <w:t>园区</w:t>
      </w:r>
      <w:r>
        <w:rPr>
          <w:rFonts w:hint="default" w:ascii="Times New Roman" w:hAnsi="Times New Roman" w:eastAsia="宋体" w:cs="Times New Roman"/>
          <w:b/>
          <w:bCs/>
          <w:caps w:val="0"/>
          <w:color w:val="auto"/>
          <w:spacing w:val="0"/>
          <w:kern w:val="0"/>
          <w:sz w:val="24"/>
          <w:szCs w:val="24"/>
          <w:highlight w:val="none"/>
          <w:lang w:val="en-US" w:eastAsia="zh-CN"/>
        </w:rPr>
        <w:t>概况</w:t>
      </w:r>
    </w:p>
    <w:p w14:paraId="73B561E1">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曲靖高新技术产业开发区定位以化工、新材料、先进制造为主导的高端化、智能化、绿色化、融合化省级高新技术产业开发区。</w:t>
      </w:r>
    </w:p>
    <w:p w14:paraId="4C90DB76">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花山片区：以化工为主，重点发展新型煤化工、精细化工、硅基新材料、新能源电池材料、绿色建材及节能环保等产业。</w:t>
      </w:r>
    </w:p>
    <w:p w14:paraId="1353CBF0">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白水片区：以金属新材料为主，发展有色金属冶炼及精深加工、汽车摩托及机械制造、煤化工配套及资源循环利用、能源生产供应及装备配套等产业。</w:t>
      </w:r>
    </w:p>
    <w:p w14:paraId="5FB0D519">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城西片区：以先进制造为主，重点发展新能源电池及硅产品组装、光伏配套、生物医药、食品轻工及现代服务等产业。</w:t>
      </w:r>
    </w:p>
    <w:p w14:paraId="33F38087">
      <w:pPr>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aps w:val="0"/>
          <w:color w:val="auto"/>
          <w:spacing w:val="0"/>
          <w:kern w:val="0"/>
          <w:sz w:val="24"/>
          <w:szCs w:val="24"/>
          <w:highlight w:val="none"/>
          <w:lang w:val="en-US" w:eastAsia="zh-CN"/>
        </w:rPr>
      </w:pPr>
      <w:r>
        <w:rPr>
          <w:rFonts w:hint="default" w:ascii="Times New Roman" w:hAnsi="Times New Roman" w:eastAsia="宋体" w:cs="Times New Roman"/>
          <w:b/>
          <w:bCs/>
          <w:caps w:val="0"/>
          <w:color w:val="auto"/>
          <w:spacing w:val="0"/>
          <w:kern w:val="0"/>
          <w:sz w:val="24"/>
          <w:szCs w:val="24"/>
          <w:highlight w:val="none"/>
          <w:lang w:val="en-US" w:eastAsia="zh-CN"/>
        </w:rPr>
        <w:t>（2）规划范围</w:t>
      </w:r>
    </w:p>
    <w:p w14:paraId="544D36F4">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规划目标年（2035年）规划用地面积为20.51平方公里。其中： </w:t>
      </w:r>
    </w:p>
    <w:p w14:paraId="063A91F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花山片区规划范围面积13.88平方公里； </w:t>
      </w:r>
    </w:p>
    <w:p w14:paraId="38112D53">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城西片区规划范围面积1.71平方公里； </w:t>
      </w:r>
    </w:p>
    <w:p w14:paraId="022C6BFA">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白水片区规划范围面积4.92平方公里。</w:t>
      </w:r>
    </w:p>
    <w:p w14:paraId="2EF16F76">
      <w:pPr>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aps w:val="0"/>
          <w:color w:val="auto"/>
          <w:spacing w:val="0"/>
          <w:kern w:val="0"/>
          <w:sz w:val="24"/>
          <w:szCs w:val="24"/>
          <w:highlight w:val="none"/>
          <w:lang w:val="en-US" w:eastAsia="zh-CN"/>
        </w:rPr>
      </w:pPr>
      <w:r>
        <w:rPr>
          <w:rFonts w:hint="default" w:ascii="Times New Roman" w:hAnsi="Times New Roman" w:eastAsia="宋体" w:cs="Times New Roman"/>
          <w:b/>
          <w:bCs/>
          <w:caps w:val="0"/>
          <w:color w:val="auto"/>
          <w:spacing w:val="0"/>
          <w:kern w:val="0"/>
          <w:sz w:val="24"/>
          <w:szCs w:val="24"/>
          <w:highlight w:val="none"/>
          <w:lang w:val="en-US" w:eastAsia="zh-CN"/>
        </w:rPr>
        <w:t>（</w:t>
      </w:r>
      <w:r>
        <w:rPr>
          <w:rFonts w:hint="default" w:ascii="Times New Roman" w:hAnsi="Times New Roman" w:cs="Times New Roman"/>
          <w:b/>
          <w:bCs/>
          <w:caps w:val="0"/>
          <w:color w:val="auto"/>
          <w:spacing w:val="0"/>
          <w:kern w:val="0"/>
          <w:sz w:val="24"/>
          <w:szCs w:val="24"/>
          <w:highlight w:val="none"/>
          <w:lang w:val="en-US" w:eastAsia="zh-CN"/>
        </w:rPr>
        <w:t>3</w:t>
      </w:r>
      <w:r>
        <w:rPr>
          <w:rFonts w:hint="default" w:ascii="Times New Roman" w:hAnsi="Times New Roman" w:eastAsia="宋体" w:cs="Times New Roman"/>
          <w:b/>
          <w:bCs/>
          <w:caps w:val="0"/>
          <w:color w:val="auto"/>
          <w:spacing w:val="0"/>
          <w:kern w:val="0"/>
          <w:sz w:val="24"/>
          <w:szCs w:val="24"/>
          <w:highlight w:val="none"/>
          <w:lang w:val="en-US" w:eastAsia="zh-CN"/>
        </w:rPr>
        <w:t>）产业布局规划</w:t>
      </w:r>
    </w:p>
    <w:p w14:paraId="2942966F">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曲靖高新技术产业开发区形成</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一核多点、两轴两廊，一园三片</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的空间结构。</w:t>
      </w:r>
    </w:p>
    <w:p w14:paraId="4020DD94">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一核多点：</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一核</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即沾益中心城区综合服务核心，是整个园区的管理与服</w:t>
      </w:r>
    </w:p>
    <w:p w14:paraId="5EA5016B">
      <w:pPr>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务核心；</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多点</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即花山集镇服务中心、白水集镇服务中心、城西高新现代服务中心、松林科技创新孵化基地，是高新区各片区服务中心，为园区提供公共服务与科技创新孵化。</w:t>
      </w:r>
    </w:p>
    <w:p w14:paraId="70087391">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两轴两廊：</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两轴</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分别为南北产业发展轴（依托宣天一级公路）、东西产业发展轴</w:t>
      </w:r>
      <w:r>
        <w:rPr>
          <w:rFonts w:hint="default" w:ascii="Times New Roman" w:hAnsi="Times New Roman"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依托沪昆高速、寻沾高速，是未来园区对外联系与空间布局的主要轴线；</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两廊</w:t>
      </w:r>
      <w:r>
        <w:rPr>
          <w:rFonts w:hint="eastAsia" w:ascii="Times New Roman" w:hAnsi="Times New Roman" w:eastAsia="宋体"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分别为南盘江</w:t>
      </w:r>
      <w:r>
        <w:rPr>
          <w:rFonts w:hint="default" w:ascii="Times New Roman" w:hAnsi="Times New Roman"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北盘江生态绿廊、西河</w:t>
      </w:r>
      <w:r>
        <w:rPr>
          <w:rFonts w:hint="default" w:ascii="Times New Roman" w:hAnsi="Times New Roman"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海峰湿地</w:t>
      </w:r>
      <w:r>
        <w:rPr>
          <w:rFonts w:hint="default" w:ascii="Times New Roman" w:hAnsi="Times New Roman" w:cs="Times New Roman"/>
          <w:caps w:val="0"/>
          <w:color w:val="auto"/>
          <w:spacing w:val="0"/>
          <w:kern w:val="0"/>
          <w:sz w:val="24"/>
          <w:szCs w:val="24"/>
          <w:highlight w:val="none"/>
          <w:lang w:val="en-US" w:eastAsia="zh-CN"/>
        </w:rPr>
        <w:t>－</w:t>
      </w:r>
      <w:r>
        <w:rPr>
          <w:rFonts w:hint="default" w:ascii="Times New Roman" w:hAnsi="Times New Roman" w:eastAsia="宋体" w:cs="Times New Roman"/>
          <w:caps w:val="0"/>
          <w:color w:val="auto"/>
          <w:spacing w:val="0"/>
          <w:kern w:val="0"/>
          <w:sz w:val="24"/>
          <w:szCs w:val="24"/>
          <w:highlight w:val="none"/>
          <w:lang w:val="en-US" w:eastAsia="zh-CN"/>
        </w:rPr>
        <w:t>牛栏江生态绿廊，是沾益区县域及园区周边区域重要的生态保护廊道。</w:t>
      </w:r>
    </w:p>
    <w:p w14:paraId="20FF909D">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一园：曲靖高新技术产业开发区。</w:t>
      </w:r>
    </w:p>
    <w:p w14:paraId="48C48D21">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rPr>
      </w:pPr>
      <w:r>
        <w:rPr>
          <w:rFonts w:hint="default" w:ascii="Times New Roman" w:hAnsi="Times New Roman" w:eastAsia="宋体" w:cs="Times New Roman"/>
          <w:caps w:val="0"/>
          <w:color w:val="auto"/>
          <w:spacing w:val="0"/>
          <w:kern w:val="0"/>
          <w:sz w:val="24"/>
          <w:szCs w:val="24"/>
          <w:highlight w:val="none"/>
          <w:lang w:val="en-US" w:eastAsia="zh-CN"/>
        </w:rPr>
        <w:t>三片：包括花山片区、白水片区、城西片区。</w:t>
      </w:r>
    </w:p>
    <w:p w14:paraId="5451835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rightChars="0" w:firstLine="480" w:firstLineChars="200"/>
        <w:jc w:val="both"/>
        <w:textAlignment w:val="auto"/>
        <w:rPr>
          <w:rFonts w:hint="default" w:ascii="Times New Roman" w:hAnsi="Times New Roman" w:eastAsia="宋体" w:cs="Times New Roman"/>
          <w:b w:val="0"/>
          <w:bCs w:val="0"/>
          <w:color w:val="auto"/>
          <w:sz w:val="24"/>
          <w:szCs w:val="24"/>
          <w:u w:val="none"/>
          <w:lang w:val="en-US" w:eastAsia="zh-CN"/>
        </w:rPr>
      </w:pPr>
      <w:r>
        <w:rPr>
          <w:rFonts w:hint="default" w:ascii="Times New Roman" w:hAnsi="Times New Roman" w:eastAsia="宋体" w:cs="Times New Roman"/>
          <w:b w:val="0"/>
          <w:bCs w:val="0"/>
          <w:color w:val="auto"/>
          <w:sz w:val="24"/>
          <w:szCs w:val="24"/>
          <w:u w:val="none"/>
          <w:lang w:val="en-US" w:eastAsia="zh-CN"/>
        </w:rPr>
        <w:t>其中花山</w:t>
      </w:r>
      <w:r>
        <w:rPr>
          <w:rFonts w:hint="default" w:ascii="Times New Roman" w:hAnsi="Times New Roman" w:cs="Times New Roman"/>
          <w:b w:val="0"/>
          <w:bCs w:val="0"/>
          <w:color w:val="auto"/>
          <w:sz w:val="24"/>
          <w:szCs w:val="24"/>
          <w:u w:val="none"/>
          <w:lang w:val="en-US" w:eastAsia="zh-CN"/>
        </w:rPr>
        <w:t>片区</w:t>
      </w:r>
      <w:r>
        <w:rPr>
          <w:rFonts w:hint="default" w:ascii="Times New Roman" w:hAnsi="Times New Roman" w:eastAsia="宋体" w:cs="Times New Roman"/>
          <w:b w:val="0"/>
          <w:bCs w:val="0"/>
          <w:color w:val="auto"/>
          <w:sz w:val="24"/>
          <w:szCs w:val="24"/>
          <w:u w:val="none"/>
          <w:lang w:val="en-US" w:eastAsia="zh-CN"/>
        </w:rPr>
        <w:t>：主要分为硅基新材料产业区、先进制造区、化工及冶金配套区、建材及节能环保产业区、生产性综合服务区5个功能区。硅基新材料产业区：位于片区东北部，壮大硅基新材料产业集群；以有机硅新材料产业为主，重点发展硅油、硅烷、硅胶、硅树脂等有机硅新材料应用产业；延伸晶硅新材料下游产业。先进制造区：位于片区北部，在保留现状化工产业基础上，壮大先进制造业集群，重点发展电子信息配套非金属制品制造、非化工硅基新材料、新能源电池产业，延伸发展氢能及储能、碳基材料、新型电子元器件制造等产业。化工及冶金配套区：位于片区中部，壮大新型煤化工及精细化工产业集群；以化工为主，重点发展新型煤化工、精细化工、新能源电池产业，延伸铝用碳素及铝材等冶金相关配套产业。建材及节能环保产业区：位于片区南部，培育新型绿色建材产业集群，发展特种玻璃、高端陶瓷及其他新型建材产业；配套节能环保产业集群，发展废旧光伏组件回收处理与再利用、新能源电池回收利用、消费领域再生资源加工利用、固体废物资源化回收处理等产业。生产性综合服务区：由北部珠江源物流园区、花山集镇片区和中部松林科技孵化园三个部分组成；完善园区生产性综合服务保障体系，配套发展现代物流、科技研发、商贸服务、商务会务、职住服务、轻工配套等功能。</w:t>
      </w:r>
    </w:p>
    <w:p w14:paraId="639F840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rightChars="0"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val="en-US" w:eastAsia="zh-CN"/>
        </w:rPr>
        <w:t>本项目</w:t>
      </w:r>
      <w:r>
        <w:rPr>
          <w:rFonts w:hint="default" w:ascii="Times New Roman" w:hAnsi="Times New Roman" w:eastAsia="宋体" w:cs="Times New Roman"/>
          <w:color w:val="auto"/>
          <w:sz w:val="24"/>
          <w:szCs w:val="24"/>
          <w:lang w:val="en-US" w:eastAsia="zh-CN"/>
        </w:rPr>
        <w:t>位于花山</w:t>
      </w:r>
      <w:r>
        <w:rPr>
          <w:rFonts w:hint="default" w:ascii="Times New Roman" w:hAnsi="Times New Roman" w:cs="Times New Roman"/>
          <w:color w:val="auto"/>
          <w:sz w:val="24"/>
          <w:szCs w:val="24"/>
          <w:lang w:val="en-US" w:eastAsia="zh-CN"/>
        </w:rPr>
        <w:t>片区，</w:t>
      </w:r>
      <w:r>
        <w:rPr>
          <w:rFonts w:hint="default" w:ascii="Times New Roman" w:hAnsi="Times New Roman" w:eastAsia="宋体" w:cs="Times New Roman"/>
          <w:color w:val="auto"/>
          <w:sz w:val="24"/>
          <w:szCs w:val="24"/>
          <w:lang w:val="en-US" w:eastAsia="zh-CN"/>
        </w:rPr>
        <w:t>对照花山片区产业布局规划图，</w:t>
      </w:r>
      <w:r>
        <w:rPr>
          <w:rFonts w:hint="default" w:ascii="Times New Roman" w:hAnsi="Times New Roman" w:cs="Times New Roman"/>
          <w:color w:val="auto"/>
          <w:sz w:val="24"/>
          <w:szCs w:val="24"/>
          <w:lang w:val="en-US" w:eastAsia="zh-CN"/>
        </w:rPr>
        <w:t>功能为</w:t>
      </w:r>
      <w:r>
        <w:rPr>
          <w:rFonts w:hint="default" w:ascii="Times New Roman" w:hAnsi="Times New Roman" w:eastAsia="宋体" w:cs="Times New Roman"/>
          <w:color w:val="auto"/>
          <w:sz w:val="24"/>
          <w:szCs w:val="24"/>
          <w:lang w:val="en-US" w:eastAsia="zh-CN"/>
        </w:rPr>
        <w:t>先进制造区（</w:t>
      </w:r>
      <w:r>
        <w:rPr>
          <w:rFonts w:hint="default" w:ascii="Times New Roman" w:hAnsi="Times New Roman" w:cs="Times New Roman"/>
          <w:color w:val="auto"/>
          <w:sz w:val="24"/>
          <w:szCs w:val="24"/>
          <w:lang w:val="en-US" w:eastAsia="zh-CN"/>
        </w:rPr>
        <w:t>见</w:t>
      </w:r>
      <w:r>
        <w:rPr>
          <w:rFonts w:hint="default" w:ascii="Times New Roman" w:hAnsi="Times New Roman" w:eastAsia="宋体" w:cs="Times New Roman"/>
          <w:color w:val="auto"/>
          <w:sz w:val="24"/>
          <w:szCs w:val="24"/>
          <w:lang w:val="en-US" w:eastAsia="zh-CN"/>
        </w:rPr>
        <w:t>附图6）</w:t>
      </w:r>
      <w:r>
        <w:rPr>
          <w:rFonts w:hint="default" w:ascii="Times New Roman" w:hAnsi="Times New Roman" w:cs="Times New Roman"/>
          <w:color w:val="auto"/>
          <w:sz w:val="24"/>
          <w:szCs w:val="24"/>
          <w:lang w:val="en-US" w:eastAsia="zh-CN"/>
        </w:rPr>
        <w:t>，用地性质为三类工业用地（见</w:t>
      </w:r>
      <w:r>
        <w:rPr>
          <w:rFonts w:hint="default" w:ascii="Times New Roman" w:hAnsi="Times New Roman" w:eastAsia="宋体" w:cs="Times New Roman"/>
          <w:color w:val="auto"/>
          <w:sz w:val="24"/>
          <w:szCs w:val="24"/>
          <w:lang w:val="en-US" w:eastAsia="zh-CN"/>
        </w:rPr>
        <w:t>附图7</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。本项目为</w:t>
      </w:r>
      <w:r>
        <w:rPr>
          <w:rFonts w:hint="eastAsia" w:ascii="Times New Roman" w:hAnsi="Times New Roman" w:eastAsia="宋体" w:cs="Times New Roman"/>
          <w:snapToGrid w:val="0"/>
          <w:color w:val="auto"/>
          <w:spacing w:val="0"/>
          <w:kern w:val="0"/>
          <w:sz w:val="24"/>
          <w:szCs w:val="24"/>
          <w:lang w:val="en-US" w:eastAsia="zh-CN" w:bidi="ar-SA"/>
        </w:rPr>
        <w:t>装卸搬运仓储业和铁路专用线建设项目</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目前已取得入园证明（附件</w:t>
      </w:r>
      <w:r>
        <w:rPr>
          <w:rFonts w:hint="eastAsia"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，与《曲靖高新技术产业开发区总体规划（2023—2035年）》规划不冲突</w:t>
      </w:r>
      <w:r>
        <w:rPr>
          <w:rFonts w:hint="default" w:ascii="Times New Roman" w:hAnsi="Times New Roman" w:eastAsia="宋体" w:cs="Times New Roman"/>
          <w:color w:val="auto"/>
          <w:sz w:val="24"/>
          <w:szCs w:val="24"/>
          <w:lang w:eastAsia="zh-CN"/>
        </w:rPr>
        <w:t>。</w:t>
      </w:r>
    </w:p>
    <w:p w14:paraId="7ACF1A0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bCs/>
          <w:color w:val="auto"/>
          <w:sz w:val="24"/>
          <w:szCs w:val="24"/>
          <w:lang w:eastAsia="zh-CN"/>
        </w:rPr>
      </w:pPr>
      <w:r>
        <w:rPr>
          <w:rFonts w:hint="eastAsia"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本</w:t>
      </w:r>
      <w:r>
        <w:rPr>
          <w:rFonts w:hint="default" w:ascii="Times New Roman" w:hAnsi="Times New Roman" w:eastAsia="宋体" w:cs="Times New Roman"/>
          <w:b/>
          <w:bCs/>
          <w:color w:val="auto"/>
          <w:sz w:val="24"/>
          <w:szCs w:val="24"/>
        </w:rPr>
        <w:t>项目与</w:t>
      </w:r>
      <w:r>
        <w:rPr>
          <w:rFonts w:hint="default" w:ascii="Times New Roman" w:hAnsi="Times New Roman" w:eastAsia="宋体" w:cs="Times New Roman"/>
          <w:b/>
          <w:bCs/>
          <w:color w:val="auto"/>
          <w:sz w:val="24"/>
          <w:szCs w:val="24"/>
          <w:lang w:val="en-US" w:eastAsia="zh-CN"/>
        </w:rPr>
        <w:t>《曲靖高新技术产业开发区总体规划（2023</w:t>
      </w:r>
      <w:r>
        <w:rPr>
          <w:rFonts w:hint="default" w:ascii="Times New Roman" w:hAnsi="Times New Roman" w:cs="Times New Roman"/>
          <w:b/>
          <w:bCs/>
          <w:color w:val="auto"/>
          <w:sz w:val="24"/>
          <w:szCs w:val="24"/>
          <w:lang w:val="en-US" w:eastAsia="zh-CN"/>
        </w:rPr>
        <w:t>—</w:t>
      </w:r>
      <w:r>
        <w:rPr>
          <w:rFonts w:hint="default" w:ascii="Times New Roman" w:hAnsi="Times New Roman" w:eastAsia="宋体" w:cs="Times New Roman"/>
          <w:b/>
          <w:bCs/>
          <w:color w:val="auto"/>
          <w:sz w:val="24"/>
          <w:szCs w:val="24"/>
          <w:lang w:val="en-US" w:eastAsia="zh-CN"/>
        </w:rPr>
        <w:t>2035年）环境影响报告书》</w:t>
      </w:r>
      <w:r>
        <w:rPr>
          <w:rFonts w:hint="default" w:ascii="Times New Roman" w:hAnsi="Times New Roman" w:eastAsia="宋体" w:cs="Times New Roman"/>
          <w:b/>
          <w:bCs/>
          <w:color w:val="auto"/>
          <w:sz w:val="24"/>
          <w:szCs w:val="24"/>
        </w:rPr>
        <w:t>及其审查意见的符合性分析</w:t>
      </w:r>
    </w:p>
    <w:p w14:paraId="6FFF003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本</w:t>
      </w:r>
      <w:r>
        <w:rPr>
          <w:rFonts w:hint="default" w:ascii="Times New Roman" w:hAnsi="Times New Roman" w:eastAsia="宋体" w:cs="Times New Roman"/>
          <w:color w:val="auto"/>
          <w:sz w:val="24"/>
          <w:szCs w:val="24"/>
        </w:rPr>
        <w:t>项目与</w:t>
      </w:r>
      <w:r>
        <w:rPr>
          <w:rFonts w:hint="default" w:ascii="Times New Roman" w:hAnsi="Times New Roman" w:eastAsia="宋体" w:cs="Times New Roman"/>
          <w:color w:val="auto"/>
          <w:sz w:val="24"/>
          <w:szCs w:val="24"/>
          <w:lang w:val="en-US" w:eastAsia="zh-CN"/>
        </w:rPr>
        <w:t>《曲靖高新技术产业开发区总体规划（2023</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2035年）环境影响报告书》</w:t>
      </w:r>
      <w:r>
        <w:rPr>
          <w:rFonts w:hint="default" w:ascii="Times New Roman" w:hAnsi="Times New Roman" w:eastAsia="宋体" w:cs="Times New Roman"/>
          <w:color w:val="auto"/>
          <w:sz w:val="24"/>
          <w:szCs w:val="24"/>
        </w:rPr>
        <w:t>的符合性分析详见表1-</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 xml:space="preserve">其审查意见的符合性分析详见表1。 </w:t>
      </w:r>
    </w:p>
    <w:p w14:paraId="7D3D30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表1</w:t>
      </w:r>
      <w:r>
        <w:rPr>
          <w:rFonts w:hint="default" w:ascii="Times New Roman" w:hAnsi="Times New Roman" w:eastAsia="宋体" w:cs="Times New Roman"/>
          <w:b/>
          <w:color w:val="auto"/>
          <w:sz w:val="21"/>
          <w:szCs w:val="21"/>
          <w:lang w:val="en-US" w:eastAsia="zh-CN"/>
        </w:rPr>
        <w:t xml:space="preserve"> 本</w:t>
      </w:r>
      <w:r>
        <w:rPr>
          <w:rFonts w:hint="default" w:ascii="Times New Roman" w:hAnsi="Times New Roman" w:eastAsia="宋体" w:cs="Times New Roman"/>
          <w:b/>
          <w:color w:val="auto"/>
          <w:sz w:val="21"/>
          <w:szCs w:val="21"/>
        </w:rPr>
        <w:t>项目与</w:t>
      </w:r>
      <w:r>
        <w:rPr>
          <w:rFonts w:hint="default" w:ascii="Times New Roman" w:hAnsi="Times New Roman" w:eastAsia="宋体" w:cs="Times New Roman"/>
          <w:b/>
          <w:color w:val="auto"/>
          <w:sz w:val="21"/>
          <w:szCs w:val="21"/>
          <w:lang w:val="en-US" w:eastAsia="zh-CN"/>
        </w:rPr>
        <w:t>《曲靖高新技术产业开发区总体规划（2023</w:t>
      </w:r>
      <w:r>
        <w:rPr>
          <w:rFonts w:hint="default" w:ascii="Times New Roman" w:hAnsi="Times New Roman" w:cs="Times New Roman"/>
          <w:b/>
          <w:color w:val="auto"/>
          <w:sz w:val="21"/>
          <w:szCs w:val="21"/>
          <w:lang w:val="en-US" w:eastAsia="zh-CN"/>
        </w:rPr>
        <w:t>—</w:t>
      </w:r>
      <w:r>
        <w:rPr>
          <w:rFonts w:hint="default" w:ascii="Times New Roman" w:hAnsi="Times New Roman" w:eastAsia="宋体" w:cs="Times New Roman"/>
          <w:b/>
          <w:color w:val="auto"/>
          <w:sz w:val="21"/>
          <w:szCs w:val="21"/>
          <w:lang w:val="en-US" w:eastAsia="zh-CN"/>
        </w:rPr>
        <w:t>2035年）环境影响报告书》的</w:t>
      </w:r>
      <w:r>
        <w:rPr>
          <w:rFonts w:hint="default" w:ascii="Times New Roman" w:hAnsi="Times New Roman" w:eastAsia="宋体" w:cs="Times New Roman"/>
          <w:b/>
          <w:color w:val="auto"/>
          <w:sz w:val="21"/>
          <w:szCs w:val="21"/>
        </w:rPr>
        <w:t>符合性分析</w:t>
      </w:r>
    </w:p>
    <w:tbl>
      <w:tblPr>
        <w:tblStyle w:val="21"/>
        <w:tblW w:w="49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4999"/>
        <w:gridCol w:w="2382"/>
        <w:gridCol w:w="784"/>
      </w:tblGrid>
      <w:tr w14:paraId="35DE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79" w:type="pct"/>
            <w:noWrap w:val="0"/>
            <w:vAlign w:val="center"/>
          </w:tcPr>
          <w:p w14:paraId="0229170E">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2890" w:type="pct"/>
            <w:noWrap w:val="0"/>
            <w:vAlign w:val="center"/>
          </w:tcPr>
          <w:p w14:paraId="43FE55F2">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rPr>
            </w:pPr>
            <w:r>
              <w:rPr>
                <w:rFonts w:hint="eastAsia" w:ascii="Times New Roman" w:hAnsi="Times New Roman" w:eastAsia="宋体" w:cs="Times New Roman"/>
                <w:b/>
                <w:bCs/>
                <w:color w:val="auto"/>
                <w:kern w:val="0"/>
                <w:sz w:val="21"/>
                <w:szCs w:val="21"/>
                <w:lang w:eastAsia="zh-CN"/>
              </w:rPr>
              <w:t>“</w:t>
            </w:r>
            <w:r>
              <w:rPr>
                <w:rFonts w:hint="default" w:ascii="Times New Roman" w:hAnsi="Times New Roman" w:eastAsia="宋体" w:cs="Times New Roman"/>
                <w:b/>
                <w:bCs/>
                <w:color w:val="auto"/>
                <w:kern w:val="0"/>
                <w:sz w:val="21"/>
                <w:szCs w:val="21"/>
                <w:lang w:val="en-US" w:eastAsia="zh-CN"/>
              </w:rPr>
              <w:t>报告书</w:t>
            </w:r>
            <w:r>
              <w:rPr>
                <w:rFonts w:hint="eastAsia" w:ascii="Times New Roman" w:hAnsi="Times New Roman" w:eastAsia="宋体" w:cs="Times New Roman"/>
                <w:b/>
                <w:bCs/>
                <w:color w:val="auto"/>
                <w:kern w:val="0"/>
                <w:sz w:val="21"/>
                <w:szCs w:val="21"/>
                <w:lang w:eastAsia="zh-CN"/>
              </w:rPr>
              <w:t>”</w:t>
            </w:r>
            <w:r>
              <w:rPr>
                <w:rFonts w:hint="default" w:ascii="Times New Roman" w:hAnsi="Times New Roman" w:eastAsia="宋体" w:cs="Times New Roman"/>
                <w:b/>
                <w:bCs/>
                <w:color w:val="auto"/>
                <w:kern w:val="0"/>
                <w:sz w:val="21"/>
                <w:szCs w:val="21"/>
                <w:lang w:eastAsia="zh-CN"/>
              </w:rPr>
              <w:t>要求</w:t>
            </w:r>
          </w:p>
        </w:tc>
        <w:tc>
          <w:tcPr>
            <w:tcW w:w="1377" w:type="pct"/>
            <w:noWrap w:val="0"/>
            <w:vAlign w:val="center"/>
          </w:tcPr>
          <w:p w14:paraId="4B60F59B">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本项目情况</w:t>
            </w:r>
          </w:p>
        </w:tc>
        <w:tc>
          <w:tcPr>
            <w:tcW w:w="453" w:type="pct"/>
            <w:noWrap w:val="0"/>
            <w:vAlign w:val="center"/>
          </w:tcPr>
          <w:p w14:paraId="558256BA">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bCs/>
                <w:color w:val="auto"/>
                <w:kern w:val="0"/>
                <w:sz w:val="21"/>
                <w:szCs w:val="21"/>
              </w:rPr>
              <w:t>符合</w:t>
            </w:r>
            <w:r>
              <w:rPr>
                <w:rFonts w:hint="default" w:ascii="Times New Roman" w:hAnsi="Times New Roman" w:eastAsia="宋体" w:cs="Times New Roman"/>
                <w:b/>
                <w:bCs/>
                <w:color w:val="auto"/>
                <w:kern w:val="0"/>
                <w:sz w:val="21"/>
                <w:szCs w:val="21"/>
                <w:lang w:val="en-US" w:eastAsia="zh-CN"/>
              </w:rPr>
              <w:t>情况</w:t>
            </w:r>
          </w:p>
        </w:tc>
      </w:tr>
      <w:tr w14:paraId="6E8D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9" w:type="pct"/>
            <w:noWrap w:val="0"/>
            <w:vAlign w:val="center"/>
          </w:tcPr>
          <w:p w14:paraId="1E90E201">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2890" w:type="pct"/>
            <w:noWrap w:val="0"/>
            <w:vAlign w:val="center"/>
          </w:tcPr>
          <w:p w14:paraId="53C92220">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生态保护红线管控建议如下：</w:t>
            </w:r>
          </w:p>
          <w:p w14:paraId="65F8E3F4">
            <w:pPr>
              <w:numPr>
                <w:ilvl w:val="0"/>
                <w:numId w:val="1"/>
              </w:num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严格控制开发边界。建设用地严禁占用基本农田和生态公益林，园区在今后的开发过程中，应当严格控制开发边界，避免与生态保护红线相冲突。</w:t>
            </w:r>
          </w:p>
          <w:p w14:paraId="5F760A48">
            <w:pPr>
              <w:numPr>
                <w:ilvl w:val="0"/>
                <w:numId w:val="1"/>
              </w:numPr>
              <w:adjustRightInd w:val="0"/>
              <w:snapToGrid w:val="0"/>
              <w:spacing w:line="240" w:lineRule="auto"/>
              <w:ind w:left="0" w:leftChars="0"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合理规划产业布局。园区在引进对环境影响较大的项目时，应当尽可能布局在远离生态红线的开发用地上，确保生态保护红线内的敏感区域环境质量不下降。</w:t>
            </w:r>
          </w:p>
          <w:p w14:paraId="73EA7946">
            <w:pPr>
              <w:numPr>
                <w:ilvl w:val="0"/>
                <w:numId w:val="0"/>
              </w:numPr>
              <w:adjustRightInd w:val="0"/>
              <w:snapToGrid w:val="0"/>
              <w:spacing w:line="240" w:lineRule="auto"/>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（3）规范排水去向。加快园区污水管网等基础设施建设，尽快实现园区污水统一收集处理，严格控制新建入园企业单独设置排污口，防止废水排入生态保护红线管控区。</w:t>
            </w:r>
          </w:p>
        </w:tc>
        <w:tc>
          <w:tcPr>
            <w:tcW w:w="1377" w:type="pct"/>
            <w:noWrap w:val="0"/>
            <w:vAlign w:val="center"/>
          </w:tcPr>
          <w:p w14:paraId="4277AA9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根据2025年7月30日曲靖市沾益区自然资源局出具的《曲煤焦化集装箱堆场提质改造项目拟用地与</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划定成果关系查询结果告知单》：本项目用地位于城镇开发边界范围内，不涉及占用</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划定的永久基本农田，不涉及占用</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划定生态保护红线。项目主要污染物为粉尘</w:t>
            </w:r>
            <w:r>
              <w:rPr>
                <w:rFonts w:hint="default" w:ascii="Times New Roman" w:hAnsi="Times New Roman" w:cs="Times New Roman"/>
                <w:color w:val="auto"/>
                <w:kern w:val="0"/>
                <w:sz w:val="21"/>
                <w:szCs w:val="21"/>
                <w:lang w:val="en-US" w:eastAsia="zh-CN"/>
              </w:rPr>
              <w:t>，经洒水降尘后排放</w:t>
            </w:r>
            <w:r>
              <w:rPr>
                <w:rFonts w:hint="default" w:ascii="Times New Roman" w:hAnsi="Times New Roman" w:eastAsia="宋体" w:cs="Times New Roman"/>
                <w:color w:val="auto"/>
                <w:kern w:val="0"/>
                <w:sz w:val="21"/>
                <w:szCs w:val="21"/>
                <w:lang w:val="en-US" w:eastAsia="zh-CN"/>
              </w:rPr>
              <w:t>，不会降低区域环境质量。本项目初期雨水经收集处理后回用于项目绿化、洒水降尘，回用不完的由曲煤焦化内部清运至铁路卸煤区洒水降尘。生活废水排入化粪池处理后委托</w:t>
            </w:r>
            <w:r>
              <w:rPr>
                <w:rFonts w:hint="default" w:ascii="Times New Roman" w:hAnsi="Times New Roman" w:cs="Times New Roman"/>
                <w:color w:val="auto"/>
                <w:kern w:val="0"/>
                <w:sz w:val="21"/>
                <w:szCs w:val="21"/>
                <w:lang w:val="en-US" w:eastAsia="zh-CN"/>
              </w:rPr>
              <w:t>环卫部门清运处置，本项目废水不外排</w:t>
            </w:r>
            <w:r>
              <w:rPr>
                <w:rFonts w:hint="default" w:ascii="Times New Roman" w:hAnsi="Times New Roman" w:eastAsia="宋体" w:cs="Times New Roman"/>
                <w:color w:val="auto"/>
                <w:kern w:val="0"/>
                <w:sz w:val="21"/>
                <w:szCs w:val="21"/>
                <w:lang w:val="en-US" w:eastAsia="zh-CN"/>
              </w:rPr>
              <w:t>。</w:t>
            </w:r>
          </w:p>
        </w:tc>
        <w:tc>
          <w:tcPr>
            <w:tcW w:w="453" w:type="pct"/>
            <w:noWrap w:val="0"/>
            <w:vAlign w:val="center"/>
          </w:tcPr>
          <w:p w14:paraId="5F66661B">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符合</w:t>
            </w:r>
          </w:p>
        </w:tc>
      </w:tr>
      <w:tr w14:paraId="23DA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279" w:type="pct"/>
            <w:noWrap w:val="0"/>
            <w:vAlign w:val="center"/>
          </w:tcPr>
          <w:p w14:paraId="34576528">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2</w:t>
            </w:r>
          </w:p>
        </w:tc>
        <w:tc>
          <w:tcPr>
            <w:tcW w:w="2890" w:type="pct"/>
            <w:noWrap w:val="0"/>
            <w:vAlign w:val="center"/>
          </w:tcPr>
          <w:p w14:paraId="2882D1F5">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对于达不到进区企业要求的建设项目不支持进入。主要体现为：</w:t>
            </w:r>
          </w:p>
          <w:p w14:paraId="36ED75A1">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（1）不符合产业政策及园区产业定位的行业；</w:t>
            </w:r>
          </w:p>
          <w:p w14:paraId="71F00587">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（2）工艺废气中含有难处理的、有毒</w:t>
            </w:r>
            <w:r>
              <w:rPr>
                <w:rFonts w:hint="default" w:ascii="Times New Roman" w:hAnsi="Times New Roman" w:cs="Times New Roman"/>
                <w:color w:val="auto"/>
                <w:kern w:val="0"/>
                <w:sz w:val="21"/>
                <w:szCs w:val="21"/>
                <w:lang w:eastAsia="zh-CN"/>
              </w:rPr>
              <w:t>有害物质</w:t>
            </w:r>
            <w:r>
              <w:rPr>
                <w:rFonts w:hint="default" w:ascii="Times New Roman" w:hAnsi="Times New Roman" w:eastAsia="宋体" w:cs="Times New Roman"/>
                <w:color w:val="auto"/>
                <w:kern w:val="0"/>
                <w:sz w:val="21"/>
                <w:szCs w:val="21"/>
                <w:lang w:eastAsia="zh-CN"/>
              </w:rPr>
              <w:t>不能达标排放的项目；</w:t>
            </w:r>
          </w:p>
          <w:p w14:paraId="718FB3B6">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（3）采用落后的生产工艺或生产设备，不符合国家相关产业政策、达不到规模经济的项目。</w:t>
            </w:r>
          </w:p>
          <w:p w14:paraId="55F38FAF">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（4）以有机废气、烟尘、粉尘为特征污染物且排放量大、治理难度较大、对周边居民区或花山水库、一类保护区等敏感目标造成显著影响的产业；</w:t>
            </w:r>
          </w:p>
          <w:p w14:paraId="41DE8A0B">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这类项目包括：</w:t>
            </w:r>
          </w:p>
          <w:p w14:paraId="099F6EEC">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①国际上和国家各部门禁止或准备禁止生产的项目、明令淘汰项目；</w:t>
            </w:r>
          </w:p>
          <w:p w14:paraId="6C8704A1">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②生产方式落后、高能耗、严重浪费资源和污染资源的项目；</w:t>
            </w:r>
          </w:p>
          <w:p w14:paraId="31C488D3">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③污染严重、破坏自然生态和损害人体健康又无治理技术或难以治理的项目；</w:t>
            </w:r>
          </w:p>
          <w:p w14:paraId="24B3C67A">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④严禁引进不符合《产业结构调整指导目录（2024年本）》《云南省工业产业结构调整指导目录》（2006年本）等国家法律、法规的项目。</w:t>
            </w:r>
          </w:p>
        </w:tc>
        <w:tc>
          <w:tcPr>
            <w:tcW w:w="1377" w:type="pct"/>
            <w:noWrap w:val="0"/>
            <w:vAlign w:val="center"/>
          </w:tcPr>
          <w:p w14:paraId="75EA0B3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项目</w:t>
            </w:r>
            <w:r>
              <w:rPr>
                <w:rFonts w:hint="default" w:ascii="Times New Roman" w:hAnsi="Times New Roman" w:eastAsia="宋体" w:cs="Times New Roman"/>
                <w:color w:val="auto"/>
                <w:kern w:val="0"/>
                <w:sz w:val="21"/>
                <w:szCs w:val="21"/>
                <w:lang w:val="en-US" w:eastAsia="zh-CN"/>
              </w:rPr>
              <w:t>已取得入园证明（附件</w:t>
            </w:r>
            <w:r>
              <w:rPr>
                <w:rFonts w:hint="eastAsia"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，本项目粉尘经洒水降尘后排放，不会对</w:t>
            </w:r>
            <w:r>
              <w:rPr>
                <w:rFonts w:hint="default" w:ascii="Times New Roman" w:hAnsi="Times New Roman" w:eastAsia="宋体" w:cs="Times New Roman"/>
                <w:color w:val="auto"/>
                <w:kern w:val="0"/>
                <w:sz w:val="21"/>
                <w:szCs w:val="21"/>
                <w:lang w:eastAsia="zh-CN"/>
              </w:rPr>
              <w:t>周边居民区或花山水库</w:t>
            </w:r>
            <w:r>
              <w:rPr>
                <w:rFonts w:hint="default" w:ascii="Times New Roman" w:hAnsi="Times New Roman" w:cs="Times New Roman"/>
                <w:color w:val="auto"/>
                <w:kern w:val="0"/>
                <w:sz w:val="21"/>
                <w:szCs w:val="21"/>
                <w:lang w:val="en-US" w:eastAsia="zh-CN"/>
              </w:rPr>
              <w:t>产生显著影响</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根据本项目与产业政策符合性分析结论：本项目符合相关产业政策</w:t>
            </w:r>
            <w:r>
              <w:rPr>
                <w:rFonts w:hint="default" w:ascii="Times New Roman" w:hAnsi="Times New Roman" w:eastAsia="宋体" w:cs="Times New Roman"/>
                <w:color w:val="auto"/>
                <w:kern w:val="0"/>
                <w:sz w:val="21"/>
                <w:szCs w:val="21"/>
                <w:lang w:val="en-US" w:eastAsia="zh-CN"/>
              </w:rPr>
              <w:t>。</w:t>
            </w:r>
          </w:p>
        </w:tc>
        <w:tc>
          <w:tcPr>
            <w:tcW w:w="453" w:type="pct"/>
            <w:noWrap w:val="0"/>
            <w:vAlign w:val="center"/>
          </w:tcPr>
          <w:p w14:paraId="422BF4C6">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2AA4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9" w:type="pct"/>
            <w:noWrap w:val="0"/>
            <w:vAlign w:val="center"/>
          </w:tcPr>
          <w:p w14:paraId="226C12D9">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3</w:t>
            </w:r>
          </w:p>
        </w:tc>
        <w:tc>
          <w:tcPr>
            <w:tcW w:w="2890" w:type="pct"/>
            <w:noWrap w:val="0"/>
            <w:vAlign w:val="center"/>
          </w:tcPr>
          <w:p w14:paraId="6A6C7D2F">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 xml:space="preserve">生态环境准入清单执行要求如下： </w:t>
            </w:r>
          </w:p>
          <w:p w14:paraId="7116A586">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1、对鼓励类符合规划产业非禁即入：对园区鼓励类主导产业项目，在符合安全、环保等</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三同时</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 xml:space="preserve">条件下，优化项目布局，加强产业项目审批、验收等关键环节协调服务，推进产业加快实施；对关联产业配套项目，要简化办事流程，提高办事效率，推动产业集聚发展。 </w:t>
            </w:r>
          </w:p>
          <w:p w14:paraId="120D5E62">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2、对禁止新建类产业严格审批：对园区禁止新建类产业严把审批关口，实行环保</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一票否决</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 xml:space="preserve">，任何部门不得给禁止新建类项目办理审批手续，坚决不得准予禁止新建类产业项目入园发展，推进园区按规划产业定位发展。 </w:t>
            </w:r>
          </w:p>
          <w:p w14:paraId="0B421909">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3、对限制类产业严格管理：</w:t>
            </w:r>
          </w:p>
          <w:p w14:paraId="39673D80">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 xml:space="preserve">对园区限制类产业原则上不予新批新建，或可根据全区传统产业改造提升的具体要求，进行连片循环化、新产品、新工艺、新装备建设发展，对既有存量限制类产业，必须完全符合环保、安全、能耗等要求后，允许在原有生产规模的基础上进行技术改造提升，原则上不允许低水平重复性扩规模改造。按投入强度和单位产出水平，实施差别化资源配置，提升产业竞争力。 </w:t>
            </w:r>
          </w:p>
          <w:p w14:paraId="7EFE6CB4">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4、对存量产业逐步消化出清：对符合产业定位的非禁止类、非限制类其他既有新建扩能项目，实施正向激励和反向倒逼机制，引导和支持企业发展壮大；对长期停产的问题企业实施兼并重组、倒逼转型升级，逼其退出园区，推进闲置土地等要素资源有效再利用，实现园区绿色发展。</w:t>
            </w:r>
          </w:p>
        </w:tc>
        <w:tc>
          <w:tcPr>
            <w:tcW w:w="1377" w:type="pct"/>
            <w:noWrap w:val="0"/>
            <w:vAlign w:val="center"/>
          </w:tcPr>
          <w:p w14:paraId="7CD05F9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项目已取得入园证明</w:t>
            </w:r>
            <w:r>
              <w:rPr>
                <w:rFonts w:hint="default" w:ascii="Times New Roman" w:hAnsi="Times New Roman" w:eastAsia="宋体" w:cs="Times New Roman"/>
                <w:color w:val="auto"/>
                <w:kern w:val="0"/>
                <w:sz w:val="21"/>
                <w:szCs w:val="21"/>
                <w:lang w:val="en-US" w:eastAsia="zh-CN"/>
              </w:rPr>
              <w:t>（附件</w:t>
            </w:r>
            <w:r>
              <w:rPr>
                <w:rFonts w:hint="eastAsia"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lang w:val="en-US" w:eastAsia="zh-CN"/>
              </w:rPr>
              <w:t>）；根据曲靖高新区产业准入负面清单，本项目不属于园区限制类、禁止类建设项目。</w:t>
            </w:r>
          </w:p>
        </w:tc>
        <w:tc>
          <w:tcPr>
            <w:tcW w:w="453" w:type="pct"/>
            <w:noWrap w:val="0"/>
            <w:vAlign w:val="center"/>
          </w:tcPr>
          <w:p w14:paraId="72DC508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40F0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5000" w:type="pct"/>
            <w:gridSpan w:val="4"/>
            <w:noWrap w:val="0"/>
            <w:vAlign w:val="center"/>
          </w:tcPr>
          <w:p w14:paraId="3C507236">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曲靖高新区环境准入要求</w:t>
            </w:r>
          </w:p>
        </w:tc>
      </w:tr>
      <w:tr w14:paraId="4296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9" w:type="pct"/>
            <w:noWrap w:val="0"/>
            <w:vAlign w:val="center"/>
          </w:tcPr>
          <w:p w14:paraId="085E20FC">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2890" w:type="pct"/>
            <w:noWrap w:val="0"/>
            <w:vAlign w:val="center"/>
          </w:tcPr>
          <w:p w14:paraId="3066ACB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空间布局约束：</w:t>
            </w:r>
          </w:p>
          <w:p w14:paraId="669799F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1、执行云南省</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三线一单</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各类空间管控要求及曲靖市管控总体要求。</w:t>
            </w:r>
          </w:p>
          <w:p w14:paraId="6FE606E4">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2、严格执行《长江经济带发展负面清单指南（试行，2022 年版）》等产业准入有关要求。</w:t>
            </w:r>
          </w:p>
          <w:p w14:paraId="323098A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3、严格实施化解过剩产能和淘汰落后产能，制定产能过剩行业淘汰计划，确保国家、省下达的淘汰落后产能目标任务全面完成。</w:t>
            </w:r>
          </w:p>
          <w:p w14:paraId="5D66B19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4、将资源承载能力、生态环境容量作为承接产业转移的基础和前提，具备条件的工业园区实现集中供热。</w:t>
            </w:r>
          </w:p>
          <w:p w14:paraId="4958233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5、严格控制在生态脆弱或环境敏感地区建设《环境保护综合名录》中</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高污染、高环境风险</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行业项目。</w:t>
            </w:r>
          </w:p>
          <w:p w14:paraId="13ECCE42">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6、园区从空间布局约束、污染物排放管控、环境风险防控、资源利用效率四个维度严格执行现行有效的园区规划、规划环评及其审查意见。</w:t>
            </w:r>
          </w:p>
          <w:p w14:paraId="50ADC5F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7、园区现有企业在符合行业发展规划、产业布局和产业政策等要求的前提下开展节能降耗、治污减排、提升生产工艺技术装备水平等方面的技术改造，进一步降低污染物排放。</w:t>
            </w:r>
          </w:p>
          <w:p w14:paraId="1AB27252">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1"/>
                <w:szCs w:val="21"/>
                <w:lang w:val="en-US" w:eastAsia="zh-CN"/>
              </w:rPr>
              <w:t>8、花山片区、白水片区现有煤化工、钢铁、建材、有色金属冶炼等</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两高</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产业严格执行国家有关产能削减或替代方案，其中属于落后低端、低效产能的应依法依规有序退出。</w:t>
            </w:r>
          </w:p>
          <w:p w14:paraId="17B5AC0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9、白水片区在没有新的管理文件明确许可的前提下，不建议引入新的化工企业。现有化工企业技术的升级改造、污染物超低排放改造，改扩建应满足国家及地方其他法律法规关于化工企业改扩建管理要求。</w:t>
            </w:r>
          </w:p>
          <w:p w14:paraId="424BF74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val="en-US" w:eastAsia="zh-CN"/>
              </w:rPr>
              <w:t>10、花山片区控制用地规模，不可以向北推进；在靠近水库和珠江源自然保护区一侧应规划必要的防护林带，留出相应防护距离。</w:t>
            </w:r>
          </w:p>
        </w:tc>
        <w:tc>
          <w:tcPr>
            <w:tcW w:w="1377" w:type="pct"/>
            <w:noWrap w:val="0"/>
            <w:vAlign w:val="center"/>
          </w:tcPr>
          <w:p w14:paraId="047F8868">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rPr>
            </w:pPr>
            <w:r>
              <w:rPr>
                <w:rFonts w:hint="default" w:ascii="Times New Roman" w:hAnsi="Times New Roman" w:eastAsia="宋体" w:cs="Times New Roman"/>
                <w:color w:val="auto"/>
                <w:kern w:val="0"/>
                <w:sz w:val="21"/>
                <w:szCs w:val="21"/>
                <w:lang w:val="en-US" w:eastAsia="zh-CN"/>
              </w:rPr>
              <w:t>根据本项目与曲靖市</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三线一单</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和《曲靖市生态环境分区管控动态更新方案（2023年）》的符合性分析，本项目符合要求。本项目符合《长江经济带发展负面清单指南（试行，2022年版）》等产业准入有关要求。本项目为装卸搬运仓储和新建铁路专用线项目，不属于</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两高</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行业项目。本项目严格执行现行有效的园区规划、规划环评及其审查意见，符合性分析均不冲突。本项目位于花山片区，不属于现有两高企业。本项目已取得节能登记表。</w:t>
            </w:r>
            <w:r>
              <w:rPr>
                <w:rFonts w:hint="default" w:ascii="Times New Roman" w:hAnsi="Times New Roman" w:eastAsia="宋体" w:cs="Times New Roman"/>
                <w:color w:val="auto"/>
                <w:kern w:val="0"/>
                <w:sz w:val="21"/>
                <w:szCs w:val="21"/>
                <w:lang w:val="en-US" w:eastAsia="zh-CN" w:bidi="ar"/>
              </w:rPr>
              <w:t>本项目</w:t>
            </w:r>
            <w:r>
              <w:rPr>
                <w:rFonts w:hint="default" w:ascii="Times New Roman" w:hAnsi="Times New Roman" w:cs="Times New Roman"/>
                <w:color w:val="auto"/>
                <w:kern w:val="0"/>
                <w:sz w:val="21"/>
                <w:szCs w:val="21"/>
                <w:lang w:val="en-US" w:eastAsia="zh-CN" w:bidi="ar"/>
              </w:rPr>
              <w:t>边界</w:t>
            </w:r>
            <w:r>
              <w:rPr>
                <w:rFonts w:hint="default" w:ascii="Times New Roman" w:hAnsi="Times New Roman" w:eastAsia="宋体" w:cs="Times New Roman"/>
                <w:color w:val="auto"/>
                <w:kern w:val="0"/>
                <w:sz w:val="21"/>
                <w:szCs w:val="21"/>
                <w:lang w:val="en-US" w:eastAsia="zh-CN" w:bidi="ar"/>
              </w:rPr>
              <w:t>距离珠江源风景名胜区</w:t>
            </w:r>
            <w:r>
              <w:rPr>
                <w:rFonts w:hint="default" w:ascii="Times New Roman" w:hAnsi="Times New Roman" w:cs="Times New Roman"/>
                <w:color w:val="auto"/>
                <w:kern w:val="0"/>
                <w:sz w:val="21"/>
                <w:szCs w:val="21"/>
                <w:lang w:val="en-US" w:eastAsia="zh-CN" w:bidi="ar"/>
              </w:rPr>
              <w:t>3000</w:t>
            </w:r>
            <w:r>
              <w:rPr>
                <w:rFonts w:hint="default" w:ascii="Times New Roman" w:hAnsi="Times New Roman" w:eastAsia="宋体" w:cs="Times New Roman"/>
                <w:color w:val="auto"/>
                <w:kern w:val="0"/>
                <w:sz w:val="21"/>
                <w:szCs w:val="21"/>
                <w:lang w:val="en-US" w:eastAsia="zh-CN" w:bidi="ar"/>
              </w:rPr>
              <w:t>m</w:t>
            </w:r>
            <w:r>
              <w:rPr>
                <w:rFonts w:hint="default" w:ascii="Times New Roman" w:hAnsi="Times New Roman" w:cs="Times New Roman"/>
                <w:color w:val="auto"/>
                <w:kern w:val="0"/>
                <w:sz w:val="21"/>
                <w:szCs w:val="21"/>
                <w:lang w:val="en-US" w:eastAsia="zh-CN" w:bidi="ar"/>
              </w:rPr>
              <w:t>、距离珠江源省级自然保护区2</w:t>
            </w:r>
            <w:r>
              <w:rPr>
                <w:rFonts w:hint="default" w:ascii="Times New Roman" w:hAnsi="Times New Roman" w:eastAsia="宋体" w:cs="Times New Roman"/>
                <w:color w:val="auto"/>
                <w:kern w:val="0"/>
                <w:sz w:val="21"/>
                <w:szCs w:val="21"/>
                <w:lang w:val="en-US" w:eastAsia="zh-CN" w:bidi="ar"/>
              </w:rPr>
              <w:t>000m、距离</w:t>
            </w:r>
            <w:r>
              <w:rPr>
                <w:rFonts w:hint="eastAsia" w:ascii="Times New Roman" w:hAnsi="Times New Roman" w:eastAsia="宋体" w:cs="Times New Roman"/>
                <w:color w:val="auto"/>
                <w:kern w:val="0"/>
                <w:sz w:val="21"/>
                <w:szCs w:val="21"/>
                <w:lang w:val="en-US" w:eastAsia="zh-CN" w:bidi="ar"/>
              </w:rPr>
              <w:t>花山水库饮用水水源保护区</w:t>
            </w:r>
            <w:r>
              <w:rPr>
                <w:rFonts w:hint="default" w:ascii="Times New Roman" w:hAnsi="Times New Roman" w:cs="Times New Roman"/>
                <w:color w:val="auto"/>
                <w:kern w:val="0"/>
                <w:sz w:val="21"/>
                <w:szCs w:val="21"/>
                <w:lang w:val="en-US" w:eastAsia="zh-CN" w:bidi="ar"/>
              </w:rPr>
              <w:t>2140</w:t>
            </w:r>
            <w:r>
              <w:rPr>
                <w:rFonts w:hint="default" w:ascii="Times New Roman" w:hAnsi="Times New Roman" w:eastAsia="宋体" w:cs="Times New Roman"/>
                <w:color w:val="auto"/>
                <w:kern w:val="0"/>
                <w:sz w:val="21"/>
                <w:szCs w:val="21"/>
                <w:lang w:val="en-US" w:eastAsia="zh-CN" w:bidi="ar"/>
              </w:rPr>
              <w:t>m</w:t>
            </w:r>
            <w:r>
              <w:rPr>
                <w:rFonts w:hint="default" w:ascii="Times New Roman" w:hAnsi="Times New Roman" w:eastAsia="宋体" w:cs="Times New Roman"/>
                <w:color w:val="auto"/>
                <w:kern w:val="0"/>
                <w:sz w:val="21"/>
                <w:szCs w:val="21"/>
                <w:lang w:val="en-US" w:eastAsia="zh-CN"/>
              </w:rPr>
              <w:t>。</w:t>
            </w:r>
          </w:p>
        </w:tc>
        <w:tc>
          <w:tcPr>
            <w:tcW w:w="453" w:type="pct"/>
            <w:noWrap w:val="0"/>
            <w:vAlign w:val="center"/>
          </w:tcPr>
          <w:p w14:paraId="6F647EEB">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604D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79" w:type="pct"/>
            <w:noWrap w:val="0"/>
            <w:vAlign w:val="center"/>
          </w:tcPr>
          <w:p w14:paraId="215366E4">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p>
        </w:tc>
        <w:tc>
          <w:tcPr>
            <w:tcW w:w="2890" w:type="pct"/>
            <w:noWrap w:val="0"/>
            <w:vAlign w:val="top"/>
          </w:tcPr>
          <w:p w14:paraId="65B6AD5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污染物排放管控</w:t>
            </w:r>
            <w:r>
              <w:rPr>
                <w:rFonts w:hint="default" w:ascii="Times New Roman" w:hAnsi="Times New Roman" w:eastAsia="宋体" w:cs="Times New Roman"/>
                <w:color w:val="auto"/>
                <w:kern w:val="0"/>
                <w:sz w:val="21"/>
                <w:szCs w:val="21"/>
                <w:lang w:eastAsia="zh-CN"/>
              </w:rPr>
              <w:t>：</w:t>
            </w:r>
          </w:p>
          <w:p w14:paraId="521B13A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1、执行云南省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三线一单</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各类空间管控要求及曲靖市管控总体准入要求。</w:t>
            </w:r>
          </w:p>
          <w:p w14:paraId="043BDE1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推进以能源、化工、冶金、建材、农副食品加工等行业为重点的清洁生产审核工作，具体行业包括但不限于火力发电、甲醇、焦化、氮肥、磷肥、氯碱、电石、制药、农药生产、建筑陶瓷、平板玻璃，新能源电池（正负极材料），多晶硅、单晶硅、有机硅，工业涂装和包装印刷等行业。</w:t>
            </w:r>
          </w:p>
          <w:p w14:paraId="6CACB10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3、落实云南省碳达峰碳中和相关要求，处理好发展和减排、整体和局部、长远目标和短期目标、政府和市场的关系，加快推动减污降碳协同创新试点，坚定不移走生态优先、绿色低碳的高质量发展道路。</w:t>
            </w:r>
          </w:p>
          <w:p w14:paraId="055F019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4、加大重点流域水污染防治，确保水质如期达标。</w:t>
            </w:r>
          </w:p>
          <w:p w14:paraId="1C6267A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5、园区白水片区废水严禁排放，花山片区、城西片区污水集中处理设施污染物排放标准严格执行《地表水环境质量标准》</w:t>
            </w:r>
            <w:r>
              <w:rPr>
                <w:rFonts w:hint="default" w:ascii="Times New Roman" w:hAnsi="Times New Roman" w:cs="Times New Roman"/>
                <w:color w:val="auto"/>
                <w:sz w:val="21"/>
                <w:szCs w:val="21"/>
                <w:highlight w:val="none"/>
                <w:lang w:val="en-US" w:eastAsia="zh-CN"/>
              </w:rPr>
              <w:t>Ⅳ</w:t>
            </w:r>
            <w:r>
              <w:rPr>
                <w:rFonts w:hint="default" w:ascii="Times New Roman" w:hAnsi="Times New Roman" w:eastAsia="宋体" w:cs="Times New Roman"/>
                <w:color w:val="auto"/>
                <w:sz w:val="21"/>
                <w:szCs w:val="21"/>
                <w:highlight w:val="none"/>
                <w:lang w:val="en-US" w:eastAsia="zh-CN"/>
              </w:rPr>
              <w:t xml:space="preserve">类标准 </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其中总氮&lt;10mg儿，粪大肠菌群&lt;1000个/L</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w:t>
            </w:r>
          </w:p>
          <w:p w14:paraId="0D81CED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6、严把新建、改扩建涉重金属重点行业建设项目审批关，切实降低区域重金属排放总量。园区新、改、扩建涉重金属重点行业建设项目重点重金属污染物排放遵循</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等量替代</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原则。</w:t>
            </w:r>
          </w:p>
          <w:p w14:paraId="1EFF4C1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7、杜绝各企业生产废水、生活污水及废油、废酸、固体废弃物任意乱排放进入岩溶(洼地、落水洞</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环境或农田、水体中保护地下水环境免受污染。</w:t>
            </w:r>
          </w:p>
          <w:p w14:paraId="43BA13A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花山片区、白水片区应慎重引入新化工企业，新的化工企业及其他可能对地下水造成污染的企业入驻园区时应对区域地下水作详细勘察，现有化工企业改扩建时必须进行地下水详细勘察，充分论证，在岩溶强发育、存在较多落水洞和岩溶漏斗的区域内，不得新建、改建、扩建可能造成地下水污染的建设项目。</w:t>
            </w:r>
          </w:p>
          <w:p w14:paraId="113DD95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9、花山片区现有重污染企业要开展技术升级改造和环保设施提标改造。</w:t>
            </w:r>
          </w:p>
          <w:p w14:paraId="6261A32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10、白水片区不新设废水排污口，生产废水、生活污水、初期雨水经收集处理后全部回用</w:t>
            </w:r>
          </w:p>
          <w:p w14:paraId="69DEDC6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11、积极申报省级绿色低碳示范产业园区试点建设。</w:t>
            </w:r>
          </w:p>
          <w:p w14:paraId="3EB38D7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采用先进的生产工艺路线、装备、清洁能源与原料，从源头上控制污染物排放，重点做好外排废气中颗粒物削减、脱硫脱硝和挥发性有机物、异味等特征污染物的减排工作，制定大气污染物总量管控要求，合理确定产业规模、布局、建设时序。</w:t>
            </w:r>
          </w:p>
          <w:p w14:paraId="376890F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13、实行入河污染物总量控制，严格控制入河污染负荷，加强环保基础设施入河排污口论证确保区域影响范围内控制断面水质稳定达到水环境质量要求。</w:t>
            </w:r>
          </w:p>
          <w:p w14:paraId="0DF36B2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highlight w:val="none"/>
                <w:lang w:val="en-US" w:eastAsia="zh-CN"/>
              </w:rPr>
              <w:t>14、园区至规划末期建议新增主要大气污染物总量如下：SO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623.14t/a</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NO</w:t>
            </w:r>
            <w:r>
              <w:rPr>
                <w:rFonts w:hint="default" w:ascii="Times New Roman" w:hAnsi="Times New Roman" w:eastAsia="宋体" w:cs="Times New Roman"/>
                <w:color w:val="auto"/>
                <w:sz w:val="21"/>
                <w:szCs w:val="21"/>
                <w:highlight w:val="none"/>
                <w:vertAlign w:val="subscript"/>
                <w:lang w:val="en-US" w:eastAsia="zh-CN"/>
              </w:rPr>
              <w:t>x</w:t>
            </w:r>
            <w:r>
              <w:rPr>
                <w:rFonts w:hint="default" w:ascii="Times New Roman" w:hAnsi="Times New Roman" w:eastAsia="宋体" w:cs="Times New Roman"/>
                <w:color w:val="auto"/>
                <w:sz w:val="21"/>
                <w:szCs w:val="21"/>
                <w:highlight w:val="none"/>
                <w:lang w:val="en-US" w:eastAsia="zh-CN"/>
              </w:rPr>
              <w:t>1081.64t/a、TVOC87.61t/a。</w:t>
            </w:r>
          </w:p>
        </w:tc>
        <w:tc>
          <w:tcPr>
            <w:tcW w:w="1377" w:type="pct"/>
            <w:noWrap w:val="0"/>
            <w:vAlign w:val="center"/>
          </w:tcPr>
          <w:p w14:paraId="5A73A85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根据本项目与曲靖市</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三线一单</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和《曲靖市生态环境分区管控动态更新方案（2023年）》的符合性分析，本项目符合要求。本项目为铁路建设项目，不属于</w:t>
            </w:r>
            <w:r>
              <w:rPr>
                <w:rFonts w:hint="default" w:ascii="Times New Roman" w:hAnsi="Times New Roman" w:eastAsia="宋体" w:cs="Times New Roman"/>
                <w:color w:val="auto"/>
                <w:sz w:val="21"/>
                <w:szCs w:val="21"/>
                <w:highlight w:val="none"/>
                <w:lang w:val="en-US" w:eastAsia="zh-CN"/>
              </w:rPr>
              <w:t>能源、化工、冶金、建材、农副食品加工等行业，也不涉及重金属重点行业建设</w:t>
            </w:r>
            <w:r>
              <w:rPr>
                <w:rFonts w:hint="default" w:ascii="Times New Roman" w:hAnsi="Times New Roman" w:eastAsia="宋体" w:cs="Times New Roman"/>
                <w:color w:val="auto"/>
                <w:kern w:val="0"/>
                <w:sz w:val="21"/>
                <w:szCs w:val="21"/>
                <w:lang w:val="en-US" w:eastAsia="zh-CN"/>
              </w:rPr>
              <w:t>。本项目初期雨水经收集处理后回用于项目绿化、洒水降尘，回用不完的由曲煤焦化内部清运至铁路卸煤区洒水降尘。</w:t>
            </w:r>
          </w:p>
          <w:p w14:paraId="74A25A8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 w:val="0"/>
                <w:bCs w:val="0"/>
                <w:color w:val="auto"/>
                <w:sz w:val="21"/>
                <w:szCs w:val="21"/>
                <w:lang w:val="en-US" w:eastAsia="zh-CN"/>
              </w:rPr>
              <w:t>生活废水排入化粪池处理</w:t>
            </w:r>
            <w:r>
              <w:rPr>
                <w:rFonts w:hint="default" w:ascii="Times New Roman" w:hAnsi="Times New Roman" w:cs="Times New Roman"/>
                <w:b w:val="0"/>
                <w:bCs w:val="0"/>
                <w:color w:val="auto"/>
                <w:sz w:val="21"/>
                <w:szCs w:val="21"/>
                <w:lang w:val="en-US" w:eastAsia="zh-CN"/>
              </w:rPr>
              <w:t>后</w:t>
            </w:r>
            <w:r>
              <w:rPr>
                <w:rFonts w:hint="default" w:ascii="Times New Roman" w:hAnsi="Times New Roman" w:eastAsia="宋体" w:cs="Times New Roman"/>
                <w:color w:val="auto"/>
                <w:kern w:val="0"/>
                <w:sz w:val="21"/>
                <w:szCs w:val="21"/>
                <w:lang w:val="en-US" w:eastAsia="zh-CN"/>
              </w:rPr>
              <w:t>委托</w:t>
            </w:r>
            <w:r>
              <w:rPr>
                <w:rFonts w:hint="default" w:ascii="Times New Roman" w:hAnsi="Times New Roman" w:cs="Times New Roman"/>
                <w:color w:val="auto"/>
                <w:kern w:val="0"/>
                <w:sz w:val="21"/>
                <w:szCs w:val="21"/>
                <w:lang w:val="en-US" w:eastAsia="zh-CN"/>
              </w:rPr>
              <w:t>环卫部门清运处置</w:t>
            </w:r>
            <w:r>
              <w:rPr>
                <w:rFonts w:hint="default" w:ascii="Times New Roman" w:hAnsi="Times New Roman" w:eastAsia="宋体" w:cs="Times New Roman"/>
                <w:color w:val="auto"/>
                <w:kern w:val="0"/>
                <w:sz w:val="21"/>
                <w:szCs w:val="21"/>
                <w:lang w:val="en-US" w:eastAsia="zh-CN"/>
              </w:rPr>
              <w:t>。不随意排外环境。本项目粉尘通过洒水降尘后呈无组织排放。</w:t>
            </w:r>
          </w:p>
        </w:tc>
        <w:tc>
          <w:tcPr>
            <w:tcW w:w="453" w:type="pct"/>
            <w:noWrap w:val="0"/>
            <w:vAlign w:val="center"/>
          </w:tcPr>
          <w:p w14:paraId="29570FA5">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2A7A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279" w:type="pct"/>
            <w:noWrap w:val="0"/>
            <w:vAlign w:val="center"/>
          </w:tcPr>
          <w:p w14:paraId="675D7514">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6</w:t>
            </w:r>
          </w:p>
        </w:tc>
        <w:tc>
          <w:tcPr>
            <w:tcW w:w="2890" w:type="pct"/>
            <w:noWrap w:val="0"/>
            <w:vAlign w:val="top"/>
          </w:tcPr>
          <w:p w14:paraId="062659F9">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firstLine="0" w:firstLineChars="0"/>
              <w:jc w:val="left"/>
              <w:textAlignment w:val="baseline"/>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环境风险防控：</w:t>
            </w:r>
          </w:p>
          <w:p w14:paraId="0E4CA97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1、执行云南省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三线一单</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各类空间管控要求及曲靖市总体准入要求。</w:t>
            </w:r>
          </w:p>
          <w:p w14:paraId="40D2177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2、以南盘江流域为重点，按规范开展流域工业企业、工业集聚区环境风险评估，落实防控措施。</w:t>
            </w:r>
          </w:p>
          <w:p w14:paraId="615EB43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3、强化大气污染分区分时分类差异化精细化协同管控，加强监测预警应急能力建设，及时采取差异化管控措施。</w:t>
            </w:r>
          </w:p>
          <w:p w14:paraId="183E231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4、有色金属冶炼、化工、农药、焦化、危险废物处置等行业企业拆除生产设施设备、构筑物和污染治理设施，要事先制定残留污染物清理和安全处置方案。</w:t>
            </w:r>
          </w:p>
          <w:p w14:paraId="693521E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5、加强环境风险防控和应急管理，制定和完善突发环境事件应急预案，加强风险防控和突发环境事件应急处理处置能力。</w:t>
            </w:r>
          </w:p>
          <w:p w14:paraId="3848C33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6、涉重金属、持久性有机物等有毒有害污染物工业企业退出用地，须经评估符合建设用地、农用地土壤环境质量相关要求后，方可用于居住或农业用地。</w:t>
            </w:r>
          </w:p>
          <w:p w14:paraId="21D2655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7、完善园区综合环境应急预案</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加强区域应急物资调配管理，组织园区范围内的环境安全隐患排查、应急培训和演练构建区域环境风险联控机制。</w:t>
            </w:r>
          </w:p>
          <w:p w14:paraId="4DA007C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8、加强企业内部环境风险三级防护措施，对涉风险的生产和储存设施设置围堰防护，企业应配套事故应急池，并规范处置事故废水。</w:t>
            </w:r>
          </w:p>
          <w:p w14:paraId="1D914AE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highlight w:val="none"/>
                <w:lang w:val="en-US" w:eastAsia="zh-CN"/>
              </w:rPr>
              <w:t>9、重点化工、冶金类项目入驻园区应充分考虑对岩溶地下水的影响，优化布局，严格水文地质、</w:t>
            </w:r>
            <w:r>
              <w:rPr>
                <w:rFonts w:hint="default" w:ascii="Times New Roman" w:hAnsi="Times New Roman" w:cs="Times New Roman"/>
                <w:color w:val="auto"/>
                <w:sz w:val="21"/>
                <w:szCs w:val="21"/>
                <w:highlight w:val="none"/>
                <w:lang w:val="en-US" w:eastAsia="zh-CN"/>
              </w:rPr>
              <w:t>工程地质勘察</w:t>
            </w:r>
            <w:r>
              <w:rPr>
                <w:rFonts w:hint="default" w:ascii="Times New Roman" w:hAnsi="Times New Roman" w:eastAsia="宋体" w:cs="Times New Roman"/>
                <w:color w:val="auto"/>
                <w:sz w:val="21"/>
                <w:szCs w:val="21"/>
                <w:highlight w:val="none"/>
                <w:lang w:val="en-US" w:eastAsia="zh-CN"/>
              </w:rPr>
              <w:t>，合理避让地下暗河及落水洞发育区，做好地下水污染防治及监控，按照相关规范要求采取针对性防渗措施。</w:t>
            </w:r>
          </w:p>
        </w:tc>
        <w:tc>
          <w:tcPr>
            <w:tcW w:w="1377" w:type="pct"/>
            <w:noWrap w:val="0"/>
            <w:vAlign w:val="center"/>
          </w:tcPr>
          <w:p w14:paraId="7DE187A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rPr>
            </w:pPr>
            <w:r>
              <w:rPr>
                <w:rFonts w:hint="default" w:ascii="Times New Roman" w:hAnsi="Times New Roman" w:eastAsia="宋体" w:cs="Times New Roman"/>
                <w:color w:val="auto"/>
                <w:kern w:val="0"/>
                <w:sz w:val="21"/>
                <w:szCs w:val="21"/>
                <w:lang w:val="en-US" w:eastAsia="zh-CN"/>
              </w:rPr>
              <w:t>根据本项目与曲靖市</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三线一单</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和《曲靖市生态环境分区管控动态更新方案（2023年）》的符合性分析，本项目符合要求。本项目为</w:t>
            </w:r>
            <w:r>
              <w:rPr>
                <w:rFonts w:hint="eastAsia" w:ascii="Times New Roman" w:hAnsi="Times New Roman" w:eastAsia="宋体" w:cs="Times New Roman"/>
                <w:color w:val="auto"/>
                <w:kern w:val="0"/>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，不属于</w:t>
            </w:r>
            <w:r>
              <w:rPr>
                <w:rFonts w:hint="default" w:ascii="Times New Roman" w:hAnsi="Times New Roman" w:eastAsia="宋体" w:cs="Times New Roman"/>
                <w:color w:val="auto"/>
                <w:sz w:val="21"/>
                <w:szCs w:val="21"/>
                <w:highlight w:val="none"/>
                <w:lang w:val="en-US" w:eastAsia="zh-CN"/>
              </w:rPr>
              <w:t>有色金属冶炼、化工、农药、焦化、危险废物处置等行业，不</w:t>
            </w:r>
            <w:r>
              <w:rPr>
                <w:rFonts w:hint="default" w:ascii="Times New Roman" w:hAnsi="Times New Roman" w:cs="Times New Roman"/>
                <w:color w:val="auto"/>
                <w:sz w:val="21"/>
                <w:szCs w:val="21"/>
                <w:highlight w:val="none"/>
                <w:lang w:val="en-US" w:eastAsia="zh-CN"/>
              </w:rPr>
              <w:t>涉及</w:t>
            </w:r>
            <w:r>
              <w:rPr>
                <w:rFonts w:hint="default" w:ascii="Times New Roman" w:hAnsi="Times New Roman" w:eastAsia="宋体" w:cs="Times New Roman"/>
                <w:color w:val="auto"/>
                <w:sz w:val="21"/>
                <w:szCs w:val="21"/>
                <w:highlight w:val="none"/>
                <w:lang w:val="en-US" w:eastAsia="zh-CN"/>
              </w:rPr>
              <w:t>重金属、持久性有机物等有毒有害污染物。不涉风险的生产和储存设施。</w:t>
            </w:r>
          </w:p>
        </w:tc>
        <w:tc>
          <w:tcPr>
            <w:tcW w:w="453" w:type="pct"/>
            <w:noWrap w:val="0"/>
            <w:vAlign w:val="center"/>
          </w:tcPr>
          <w:p w14:paraId="2AF73EA6">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2EF4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279" w:type="pct"/>
            <w:noWrap w:val="0"/>
            <w:vAlign w:val="center"/>
          </w:tcPr>
          <w:p w14:paraId="788C26C4">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7</w:t>
            </w:r>
          </w:p>
        </w:tc>
        <w:tc>
          <w:tcPr>
            <w:tcW w:w="2890" w:type="pct"/>
            <w:noWrap w:val="0"/>
            <w:vAlign w:val="center"/>
          </w:tcPr>
          <w:p w14:paraId="7724EAFE">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资源开发效率要求：</w:t>
            </w:r>
          </w:p>
          <w:p w14:paraId="6BFCC575">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1、执行云南省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三线一单</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各类空间管控要求及曲靖市总体准入要求。</w:t>
            </w:r>
          </w:p>
          <w:p w14:paraId="12A53754">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2、坚持以水而定、量水而行，统筹生活、生产和生态用水，科学合理配置水资源。</w:t>
            </w:r>
          </w:p>
          <w:p w14:paraId="0B6CC026">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3、建立水资源刚性约束制度，实行水资源消耗总量和强度双控，严格实施取水许可和水资源有偿使用制度，强化用水全过程管理，深入抓好工业用水量控制，严格规范取水许可审批管理。</w:t>
            </w:r>
          </w:p>
          <w:p w14:paraId="45B544A9">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4、企业需对自行用地范围内产生的初期雨水进行收集，并进行处理鼓励园区企业提高工业废水重复利用率，使用中水。</w:t>
            </w:r>
          </w:p>
          <w:p w14:paraId="7C383B01">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5、构建</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园区</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中水系统</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中水用户</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水资源综合利用体系，逐步提高园区中水回用率。</w:t>
            </w:r>
          </w:p>
          <w:p w14:paraId="7E196DC9">
            <w:pPr>
              <w:adjustRightInd w:val="0"/>
              <w:snapToGrid w:val="0"/>
              <w:spacing w:line="240" w:lineRule="auto"/>
              <w:ind w:firstLine="0" w:firstLineChars="0"/>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highlight w:val="none"/>
                <w:lang w:val="en-US" w:eastAsia="zh-CN"/>
              </w:rPr>
              <w:t>6、引进项目的生产工艺、设备、污染物排放和资源利用等，应达到清洁生产国内先进水平。推进技术研发型、创新型产业发展，提升产业的技术水平和园区的绿色循环化水平。</w:t>
            </w:r>
          </w:p>
        </w:tc>
        <w:tc>
          <w:tcPr>
            <w:tcW w:w="1377" w:type="pct"/>
            <w:noWrap w:val="0"/>
            <w:vAlign w:val="center"/>
          </w:tcPr>
          <w:p w14:paraId="4C0D740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根据本项目与曲靖市</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三线一单</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和《曲靖市生态环境分区管控动态更新方案（2023年）》的符合性分析，本项目符合要求。本项目初期雨水经收集处理后回用于项目绿化、洒水降尘，回用不完的由曲煤焦化内部清运至铁路卸煤区洒水降尘。</w:t>
            </w:r>
          </w:p>
        </w:tc>
        <w:tc>
          <w:tcPr>
            <w:tcW w:w="453" w:type="pct"/>
            <w:noWrap w:val="0"/>
            <w:vAlign w:val="center"/>
          </w:tcPr>
          <w:p w14:paraId="4A42AA39">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010F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4"/>
            <w:noWrap w:val="0"/>
            <w:vAlign w:val="center"/>
          </w:tcPr>
          <w:p w14:paraId="22A91B18">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曲靖高新区产业准入负面清单</w:t>
            </w:r>
          </w:p>
        </w:tc>
      </w:tr>
      <w:tr w14:paraId="3F02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279" w:type="pct"/>
            <w:noWrap w:val="0"/>
            <w:vAlign w:val="center"/>
          </w:tcPr>
          <w:p w14:paraId="1CB8C7E6">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8</w:t>
            </w:r>
          </w:p>
        </w:tc>
        <w:tc>
          <w:tcPr>
            <w:tcW w:w="2890" w:type="pct"/>
            <w:noWrap w:val="0"/>
            <w:vAlign w:val="top"/>
          </w:tcPr>
          <w:p w14:paraId="44BADCE5">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总体要求：</w:t>
            </w:r>
          </w:p>
          <w:p w14:paraId="03846A9D">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A、选址布局要求</w:t>
            </w:r>
          </w:p>
          <w:p w14:paraId="333DAFCD">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1.按园区规划要求布局相应产业；</w:t>
            </w:r>
          </w:p>
          <w:p w14:paraId="10B250F4">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2.生态红线范围内禁止开发建设活动；</w:t>
            </w:r>
          </w:p>
          <w:p w14:paraId="3FD9256D">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3.化工、冶金、有毒有害物质仓储区要避让地质灾害多发地段。</w:t>
            </w:r>
          </w:p>
          <w:p w14:paraId="31A8C3E6">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B、禁止/限制引进的产业或项目</w:t>
            </w:r>
          </w:p>
          <w:p w14:paraId="2C76A048">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1.禁止建设国家现行产业政策明令限制、禁止或淘汰的项目、产能严重过剩行业项目、落后生产工艺或设备、落后生产能力项目；</w:t>
            </w:r>
          </w:p>
          <w:p w14:paraId="21FDE6DE">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2.禁止建设不符合园区规划产业定位或与产业链条无关联的项目；</w:t>
            </w:r>
          </w:p>
          <w:p w14:paraId="09227F9A">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3.禁止生产、使用及排放含氰化合物、多氯联苯、多溴联苯、二噁英等致癌、致畸、致突变的高毒物质；</w:t>
            </w:r>
          </w:p>
          <w:p w14:paraId="7186A7CB">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4.禁止建设废水经预处理达不到污水处理厂接管标准的项目；</w:t>
            </w:r>
          </w:p>
          <w:p w14:paraId="65A22AD2">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5.禁止建设不符合国家相关行业准入条件的项目；</w:t>
            </w:r>
          </w:p>
          <w:p w14:paraId="02D6C31E">
            <w:pPr>
              <w:adjustRightInd w:val="0"/>
              <w:snapToGrid w:val="0"/>
              <w:spacing w:line="240" w:lineRule="auto"/>
              <w:ind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6.限制引进使用高VOCs含量的溶剂型涂料、胶粘剂的项目。</w:t>
            </w:r>
          </w:p>
          <w:p w14:paraId="220A65F5">
            <w:pPr>
              <w:adjustRightInd w:val="0"/>
              <w:snapToGrid w:val="0"/>
              <w:spacing w:line="240" w:lineRule="auto"/>
              <w:ind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7.禁止生产《重点管控新污染物清单（2023）年版）》已淘汰的第十四类产品。</w:t>
            </w:r>
          </w:p>
        </w:tc>
        <w:tc>
          <w:tcPr>
            <w:tcW w:w="1377" w:type="pct"/>
            <w:noWrap w:val="0"/>
            <w:vAlign w:val="center"/>
          </w:tcPr>
          <w:p w14:paraId="2AAB7A6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根据2025年7月30日曲靖市沾益区自然资源局出具的《曲煤焦化集装箱堆场提质改造项目拟用地与</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划定成果关系查询结果告知单》：本项目用地位于城镇开发边界范围内，不涉及占用</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划定的永久基本农田，不涉及占用</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生态保护红线。根据中华人民共和国国家发展和改革委员会令第7号《产业结构调整指导目录（2024年本）》（自2024年2月1日起施行）中的相关内容，项目属于产业政策中的鼓励类—二十三、铁路：1．铁路建设和改造：铁路新线、铁路专用线。</w:t>
            </w:r>
          </w:p>
        </w:tc>
        <w:tc>
          <w:tcPr>
            <w:tcW w:w="453" w:type="pct"/>
            <w:noWrap w:val="0"/>
            <w:vAlign w:val="center"/>
          </w:tcPr>
          <w:p w14:paraId="536BE86B">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bl>
    <w:p w14:paraId="5D6568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w:t>
      </w:r>
      <w:r>
        <w:rPr>
          <w:rFonts w:hint="default" w:ascii="Times New Roman" w:hAnsi="Times New Roman" w:eastAsia="宋体" w:cs="Times New Roman"/>
          <w:b/>
          <w:color w:val="auto"/>
          <w:sz w:val="21"/>
          <w:szCs w:val="21"/>
          <w:lang w:val="en-US" w:eastAsia="zh-CN"/>
        </w:rPr>
        <w:t>2 本</w:t>
      </w:r>
      <w:r>
        <w:rPr>
          <w:rFonts w:hint="default" w:ascii="Times New Roman" w:hAnsi="Times New Roman" w:eastAsia="宋体" w:cs="Times New Roman"/>
          <w:b/>
          <w:color w:val="auto"/>
          <w:sz w:val="21"/>
          <w:szCs w:val="21"/>
        </w:rPr>
        <w:t>项目与</w:t>
      </w:r>
      <w:r>
        <w:rPr>
          <w:rFonts w:hint="default" w:ascii="Times New Roman" w:hAnsi="Times New Roman" w:eastAsia="宋体" w:cs="Times New Roman"/>
          <w:b/>
          <w:color w:val="auto"/>
          <w:sz w:val="21"/>
          <w:szCs w:val="21"/>
          <w:lang w:val="en-US" w:eastAsia="zh-CN"/>
        </w:rPr>
        <w:t>审查意见（曲环函〔2025〕1号）的</w:t>
      </w:r>
      <w:r>
        <w:rPr>
          <w:rFonts w:hint="default" w:ascii="Times New Roman" w:hAnsi="Times New Roman" w:eastAsia="宋体" w:cs="Times New Roman"/>
          <w:b/>
          <w:color w:val="auto"/>
          <w:sz w:val="21"/>
          <w:szCs w:val="21"/>
        </w:rPr>
        <w:t>符合性分析</w:t>
      </w:r>
    </w:p>
    <w:tbl>
      <w:tblPr>
        <w:tblStyle w:val="21"/>
        <w:tblW w:w="49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4863"/>
        <w:gridCol w:w="2472"/>
        <w:gridCol w:w="825"/>
      </w:tblGrid>
      <w:tr w14:paraId="3C96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82" w:type="pct"/>
            <w:noWrap w:val="0"/>
            <w:vAlign w:val="center"/>
          </w:tcPr>
          <w:p w14:paraId="472D7E4C">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2812" w:type="pct"/>
            <w:noWrap w:val="0"/>
            <w:vAlign w:val="center"/>
          </w:tcPr>
          <w:p w14:paraId="627F349F">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rPr>
            </w:pPr>
            <w:r>
              <w:rPr>
                <w:rFonts w:hint="eastAsia" w:ascii="Times New Roman" w:hAnsi="Times New Roman" w:eastAsia="宋体" w:cs="Times New Roman"/>
                <w:b/>
                <w:bCs/>
                <w:color w:val="auto"/>
                <w:kern w:val="0"/>
                <w:sz w:val="21"/>
                <w:szCs w:val="21"/>
                <w:lang w:eastAsia="zh-CN"/>
              </w:rPr>
              <w:t>“</w:t>
            </w:r>
            <w:r>
              <w:rPr>
                <w:rFonts w:hint="default" w:ascii="Times New Roman" w:hAnsi="Times New Roman" w:eastAsia="宋体" w:cs="Times New Roman"/>
                <w:b/>
                <w:bCs/>
                <w:color w:val="auto"/>
                <w:kern w:val="0"/>
                <w:sz w:val="21"/>
                <w:szCs w:val="21"/>
                <w:lang w:val="en-US" w:eastAsia="zh-CN"/>
              </w:rPr>
              <w:t>意见</w:t>
            </w:r>
            <w:r>
              <w:rPr>
                <w:rFonts w:hint="eastAsia" w:ascii="Times New Roman" w:hAnsi="Times New Roman" w:eastAsia="宋体" w:cs="Times New Roman"/>
                <w:b/>
                <w:bCs/>
                <w:color w:val="auto"/>
                <w:kern w:val="0"/>
                <w:sz w:val="21"/>
                <w:szCs w:val="21"/>
                <w:lang w:eastAsia="zh-CN"/>
              </w:rPr>
              <w:t>”</w:t>
            </w:r>
            <w:r>
              <w:rPr>
                <w:rFonts w:hint="default" w:ascii="Times New Roman" w:hAnsi="Times New Roman" w:eastAsia="宋体" w:cs="Times New Roman"/>
                <w:b/>
                <w:bCs/>
                <w:color w:val="auto"/>
                <w:kern w:val="0"/>
                <w:sz w:val="21"/>
                <w:szCs w:val="21"/>
                <w:lang w:eastAsia="zh-CN"/>
              </w:rPr>
              <w:t>要求</w:t>
            </w:r>
          </w:p>
        </w:tc>
        <w:tc>
          <w:tcPr>
            <w:tcW w:w="1428" w:type="pct"/>
            <w:noWrap w:val="0"/>
            <w:vAlign w:val="center"/>
          </w:tcPr>
          <w:p w14:paraId="35C0F462">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本项目情况</w:t>
            </w:r>
          </w:p>
        </w:tc>
        <w:tc>
          <w:tcPr>
            <w:tcW w:w="476" w:type="pct"/>
            <w:noWrap w:val="0"/>
            <w:vAlign w:val="center"/>
          </w:tcPr>
          <w:p w14:paraId="3A977079">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bCs/>
                <w:color w:val="auto"/>
                <w:kern w:val="0"/>
                <w:sz w:val="21"/>
                <w:szCs w:val="21"/>
              </w:rPr>
              <w:t>符合</w:t>
            </w:r>
            <w:r>
              <w:rPr>
                <w:rFonts w:hint="default" w:ascii="Times New Roman" w:hAnsi="Times New Roman" w:eastAsia="宋体" w:cs="Times New Roman"/>
                <w:b/>
                <w:bCs/>
                <w:color w:val="auto"/>
                <w:kern w:val="0"/>
                <w:sz w:val="21"/>
                <w:szCs w:val="21"/>
                <w:lang w:val="en-US" w:eastAsia="zh-CN"/>
              </w:rPr>
              <w:t>情况</w:t>
            </w:r>
          </w:p>
        </w:tc>
      </w:tr>
      <w:tr w14:paraId="106F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noWrap w:val="0"/>
            <w:vAlign w:val="center"/>
          </w:tcPr>
          <w:p w14:paraId="07C6A5BD">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2812" w:type="pct"/>
            <w:noWrap w:val="0"/>
            <w:vAlign w:val="top"/>
          </w:tcPr>
          <w:p w14:paraId="0EFE9C83">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一）坚持生态优先、绿色发展贯彻绿色低碳高质量发展理念，加强与区域国土空间规划、生态环境分区管控要求的衔接，进一步优化功能布局、产业结构和实施时序，提升煤、硅、组产业链绿色低碳发展水平，发挥曲靖高新技术产业开发区对化工园区产业发展的支撑和服务功能，推进煤</w:t>
            </w:r>
            <w:r>
              <w:rPr>
                <w:rFonts w:hint="default" w:ascii="Times New Roman" w:hAnsi="Times New Roman" w:cs="Times New Roman"/>
                <w:color w:val="auto"/>
                <w:kern w:val="0"/>
                <w:sz w:val="21"/>
                <w:szCs w:val="21"/>
                <w:lang w:val="en-US" w:eastAsia="zh-CN"/>
              </w:rPr>
              <w:t>硅</w:t>
            </w:r>
            <w:r>
              <w:rPr>
                <w:rFonts w:hint="default" w:ascii="Times New Roman" w:hAnsi="Times New Roman" w:eastAsia="宋体" w:cs="Times New Roman"/>
                <w:color w:val="auto"/>
                <w:kern w:val="0"/>
                <w:sz w:val="21"/>
                <w:szCs w:val="21"/>
                <w:lang w:val="en-US" w:eastAsia="zh-CN"/>
              </w:rPr>
              <w:t>产业固体废物和园区废水在曲靖高新技术产业开发区内实施综合利用，提高固体废物、废水综合利用率产业开发应符合国家产业政策和相关规划，按照《中共中央国务院关于加快经济社会发展全面绿色转型的意见》《云南省推动重点产业园区高质量发展若干政策措施</w:t>
            </w:r>
            <w:r>
              <w:rPr>
                <w:rFonts w:hint="default" w:ascii="Times New Roman" w:hAnsi="Times New Roman" w:cs="Times New Roman"/>
                <w:color w:val="auto"/>
                <w:kern w:val="0"/>
                <w:sz w:val="21"/>
                <w:szCs w:val="21"/>
                <w:lang w:val="en-US" w:eastAsia="zh-CN"/>
              </w:rPr>
              <w:t>云</w:t>
            </w:r>
            <w:r>
              <w:rPr>
                <w:rFonts w:hint="default" w:ascii="Times New Roman" w:hAnsi="Times New Roman" w:eastAsia="宋体" w:cs="Times New Roman"/>
                <w:color w:val="auto"/>
                <w:kern w:val="0"/>
                <w:sz w:val="21"/>
                <w:szCs w:val="21"/>
                <w:lang w:val="en-US" w:eastAsia="zh-CN"/>
              </w:rPr>
              <w:t>南省</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十四五</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制造业高质量发展规划》等文件要求推进《规划》实施，引导园区低碳化、绿色化、循环化发展。</w:t>
            </w:r>
          </w:p>
        </w:tc>
        <w:tc>
          <w:tcPr>
            <w:tcW w:w="1428" w:type="pct"/>
            <w:noWrap w:val="0"/>
            <w:vAlign w:val="center"/>
          </w:tcPr>
          <w:p w14:paraId="1D2430DF">
            <w:pPr>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eastAsia="宋体" w:cs="Times New Roman"/>
                <w:color w:val="auto"/>
                <w:kern w:val="0"/>
                <w:sz w:val="21"/>
                <w:szCs w:val="21"/>
                <w:lang w:val="en-US"/>
              </w:rPr>
            </w:pPr>
            <w:r>
              <w:rPr>
                <w:rFonts w:hint="default" w:ascii="Times New Roman" w:hAnsi="Times New Roman" w:cs="Times New Roman"/>
                <w:color w:val="auto"/>
                <w:kern w:val="0"/>
                <w:sz w:val="21"/>
                <w:szCs w:val="21"/>
                <w:lang w:val="en-US" w:eastAsia="zh-CN"/>
              </w:rPr>
              <w:t>根据本项目与</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曲靖市生态</w:t>
            </w:r>
            <w:r>
              <w:rPr>
                <w:rFonts w:hint="default" w:ascii="Times New Roman" w:hAnsi="Times New Roman" w:eastAsia="宋体" w:cs="Times New Roman"/>
                <w:color w:val="auto"/>
                <w:kern w:val="0"/>
                <w:sz w:val="21"/>
                <w:szCs w:val="21"/>
                <w:lang w:val="en-US" w:eastAsia="zh-CN"/>
              </w:rPr>
              <w:t>环境分区管控</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符合性分析，本项目符合《曲靖市生态环境分区管控动态更新方案（2023年）》有关要求（见表1-3）；本项目已取得入园证明，用地性质为三类工业用地，与《曲靖高新技术产业开发区总体规划（2023—2035年）》空间规划不冲突。本项目初期雨水经收集处理后</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回用于项目绿化、洒水降尘，回用不完的由曲煤焦化内部清运至铁路卸煤区洒水降尘。</w:t>
            </w:r>
          </w:p>
        </w:tc>
        <w:tc>
          <w:tcPr>
            <w:tcW w:w="476" w:type="pct"/>
            <w:noWrap w:val="0"/>
            <w:vAlign w:val="center"/>
          </w:tcPr>
          <w:p w14:paraId="1E24E8CF">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符合</w:t>
            </w:r>
          </w:p>
        </w:tc>
      </w:tr>
      <w:tr w14:paraId="68D3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282" w:type="pct"/>
            <w:noWrap w:val="0"/>
            <w:vAlign w:val="center"/>
          </w:tcPr>
          <w:p w14:paraId="558E992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2</w:t>
            </w:r>
          </w:p>
        </w:tc>
        <w:tc>
          <w:tcPr>
            <w:tcW w:w="2812" w:type="pct"/>
            <w:noWrap w:val="0"/>
            <w:vAlign w:val="center"/>
          </w:tcPr>
          <w:p w14:paraId="7464733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（二）优化空间布局，加强空间管控进一步优化高新区空间布局，</w:t>
            </w:r>
            <w:r>
              <w:rPr>
                <w:rFonts w:hint="default" w:ascii="Times New Roman" w:hAnsi="Times New Roman" w:eastAsia="宋体" w:cs="Times New Roman"/>
                <w:color w:val="auto"/>
                <w:kern w:val="0"/>
                <w:sz w:val="21"/>
                <w:szCs w:val="21"/>
                <w:lang w:val="en-US" w:eastAsia="zh-CN"/>
              </w:rPr>
              <w:t>加</w:t>
            </w:r>
            <w:r>
              <w:rPr>
                <w:rFonts w:hint="default" w:ascii="Times New Roman" w:hAnsi="Times New Roman" w:eastAsia="宋体" w:cs="Times New Roman"/>
                <w:color w:val="auto"/>
                <w:kern w:val="0"/>
                <w:sz w:val="21"/>
                <w:szCs w:val="21"/>
                <w:lang w:eastAsia="zh-CN"/>
              </w:rPr>
              <w:t>大对环境敏感区的保护力度，严禁不符合管控要求的各类开发和建设活动，协调好生产、生活、生态等</w:t>
            </w:r>
            <w:r>
              <w:rPr>
                <w:rFonts w:hint="eastAsia"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lang w:eastAsia="zh-CN"/>
              </w:rPr>
              <w:t>三生</w:t>
            </w:r>
            <w:r>
              <w:rPr>
                <w:rFonts w:hint="eastAsia"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lang w:eastAsia="zh-CN"/>
              </w:rPr>
              <w:t>空间</w:t>
            </w:r>
            <w:r>
              <w:rPr>
                <w:rFonts w:hint="default" w:ascii="Times New Roman" w:hAnsi="Times New Roman" w:cs="Times New Roman"/>
                <w:color w:val="auto"/>
                <w:kern w:val="0"/>
                <w:sz w:val="21"/>
                <w:szCs w:val="21"/>
                <w:lang w:eastAsia="zh-CN"/>
              </w:rPr>
              <w:t>关系。</w:t>
            </w:r>
            <w:r>
              <w:rPr>
                <w:rFonts w:hint="default" w:ascii="Times New Roman" w:hAnsi="Times New Roman" w:eastAsia="宋体" w:cs="Times New Roman"/>
                <w:color w:val="auto"/>
                <w:kern w:val="0"/>
                <w:sz w:val="21"/>
                <w:szCs w:val="21"/>
                <w:lang w:eastAsia="zh-CN"/>
              </w:rPr>
              <w:t>高新区涉及化工、冶炼等</w:t>
            </w:r>
            <w:r>
              <w:rPr>
                <w:rFonts w:hint="default" w:ascii="Times New Roman" w:hAnsi="Times New Roman" w:eastAsia="宋体" w:cs="Times New Roman"/>
                <w:color w:val="auto"/>
                <w:kern w:val="0"/>
                <w:sz w:val="21"/>
                <w:szCs w:val="21"/>
                <w:lang w:val="en-US" w:eastAsia="zh-CN"/>
              </w:rPr>
              <w:t>各</w:t>
            </w:r>
            <w:r>
              <w:rPr>
                <w:rFonts w:hint="default" w:ascii="Times New Roman" w:hAnsi="Times New Roman" w:eastAsia="宋体" w:cs="Times New Roman"/>
                <w:color w:val="auto"/>
                <w:kern w:val="0"/>
                <w:sz w:val="21"/>
                <w:szCs w:val="21"/>
                <w:lang w:eastAsia="zh-CN"/>
              </w:rPr>
              <w:t>个产业，周边居民较多，应优化工业用地布局，严格控制区域用地规模 大气环境高排放重点管控区内应优化产业布局，严格论证煤化工、有色金属冶炼等高污染项目建设的环境可行性，落实产能置换要求花山片区靠近花山水库和珠江源自然保护区，工业用地与人口密集区间应设置绿化隔离带，留出必要防护距离；落实《规划》提出搬迁方案，防范和化解布局性环境风险新建化工项目应符合《长江经济带发展负面清单（试行，2022年版）》《云南省长江经济带发展负面清单指南实施细则（试行，2022年版）》等相关规定和产业布局规划，按规定需要进入化工园区发展的化工项目应在已认定的化工园区内布局现有高耗能项目应按照《高耗能行业重点领域节能降碳改造升级实施指南（2022年版）》确定的工作方向和目标，有序推进节能降碳改造升级，推进焦化行业及燃煤锅炉超低排放改造；按《云南省人民政府办公厅关于推动落后和低端低效产能退出的实施意见》（云政办发〔2022</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eastAsia="zh-CN"/>
              </w:rPr>
              <w:t>17号）相关要求，依法依规做好能耗、环保、质量、安全不达标和生产不合格产品等落后产能的关停退出工作。</w:t>
            </w:r>
          </w:p>
        </w:tc>
        <w:tc>
          <w:tcPr>
            <w:tcW w:w="1428" w:type="pct"/>
            <w:noWrap w:val="0"/>
            <w:vAlign w:val="center"/>
          </w:tcPr>
          <w:p w14:paraId="2C90E2A2">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rPr>
            </w:pPr>
            <w:r>
              <w:rPr>
                <w:rFonts w:hint="default" w:ascii="Times New Roman" w:hAnsi="Times New Roman" w:cs="Times New Roman"/>
                <w:color w:val="auto"/>
                <w:kern w:val="0"/>
                <w:sz w:val="21"/>
                <w:szCs w:val="21"/>
                <w:lang w:val="en-US" w:eastAsia="zh-CN"/>
              </w:rPr>
              <w:t>根据本项目与</w:t>
            </w:r>
            <w:r>
              <w:rPr>
                <w:rFonts w:hint="eastAsia" w:ascii="Times New Roman" w:hAnsi="Times New Roman"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曲靖市生态</w:t>
            </w:r>
            <w:r>
              <w:rPr>
                <w:rFonts w:hint="default" w:ascii="Times New Roman" w:hAnsi="Times New Roman" w:eastAsia="宋体" w:cs="Times New Roman"/>
                <w:color w:val="auto"/>
                <w:kern w:val="0"/>
                <w:sz w:val="21"/>
                <w:szCs w:val="21"/>
                <w:lang w:val="en-US" w:eastAsia="zh-CN"/>
              </w:rPr>
              <w:t>环境分区管控</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符合性分析，本项目符合《曲靖市生态环境分区管控动态更新方案（2023年）》有关要求（见表1-3），本项目为铁路建设项目，位于曲靖市高新技术产业开发区花山片区，距离</w:t>
            </w:r>
            <w:r>
              <w:rPr>
                <w:rFonts w:hint="eastAsia" w:ascii="Times New Roman" w:hAnsi="Times New Roman" w:eastAsia="宋体" w:cs="Times New Roman"/>
                <w:color w:val="auto"/>
                <w:kern w:val="0"/>
                <w:sz w:val="21"/>
                <w:szCs w:val="21"/>
                <w:lang w:val="en-US" w:eastAsia="zh-CN"/>
              </w:rPr>
              <w:t>花山水库饮用水水源保护区</w:t>
            </w:r>
            <w:r>
              <w:rPr>
                <w:rFonts w:hint="default" w:ascii="Times New Roman" w:hAnsi="Times New Roman" w:eastAsia="宋体" w:cs="Times New Roman"/>
                <w:color w:val="auto"/>
                <w:kern w:val="0"/>
                <w:sz w:val="21"/>
                <w:szCs w:val="21"/>
                <w:lang w:val="en-US" w:eastAsia="zh-CN"/>
              </w:rPr>
              <w:t>2140m</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bidi="ar"/>
              </w:rPr>
              <w:t>珠江源风景名胜区</w:t>
            </w:r>
            <w:r>
              <w:rPr>
                <w:rFonts w:hint="default" w:ascii="Times New Roman" w:hAnsi="Times New Roman" w:cs="Times New Roman"/>
                <w:color w:val="auto"/>
                <w:kern w:val="0"/>
                <w:sz w:val="21"/>
                <w:szCs w:val="21"/>
                <w:lang w:val="en-US" w:eastAsia="zh-CN" w:bidi="ar"/>
              </w:rPr>
              <w:t>3000</w:t>
            </w:r>
            <w:r>
              <w:rPr>
                <w:rFonts w:hint="default" w:ascii="Times New Roman" w:hAnsi="Times New Roman" w:eastAsia="宋体" w:cs="Times New Roman"/>
                <w:color w:val="auto"/>
                <w:kern w:val="0"/>
                <w:sz w:val="21"/>
                <w:szCs w:val="21"/>
                <w:lang w:val="en-US" w:eastAsia="zh-CN" w:bidi="ar"/>
              </w:rPr>
              <w:t>m</w:t>
            </w:r>
            <w:r>
              <w:rPr>
                <w:rFonts w:hint="default" w:ascii="Times New Roman" w:hAnsi="Times New Roman" w:cs="Times New Roman"/>
                <w:color w:val="auto"/>
                <w:kern w:val="0"/>
                <w:sz w:val="21"/>
                <w:szCs w:val="21"/>
                <w:lang w:val="en-US" w:eastAsia="zh-CN" w:bidi="ar"/>
              </w:rPr>
              <w:t>、珠江源省级自然保护区2</w:t>
            </w:r>
            <w:r>
              <w:rPr>
                <w:rFonts w:hint="default" w:ascii="Times New Roman" w:hAnsi="Times New Roman" w:eastAsia="宋体" w:cs="Times New Roman"/>
                <w:color w:val="auto"/>
                <w:kern w:val="0"/>
                <w:sz w:val="21"/>
                <w:szCs w:val="21"/>
                <w:lang w:val="en-US" w:eastAsia="zh-CN" w:bidi="ar"/>
              </w:rPr>
              <w:t>000m，本项目在北侧及南侧设置绿化</w:t>
            </w:r>
            <w:r>
              <w:rPr>
                <w:rFonts w:hint="default" w:ascii="Times New Roman" w:hAnsi="Times New Roman" w:eastAsia="宋体" w:cs="Times New Roman"/>
                <w:color w:val="auto"/>
                <w:kern w:val="0"/>
                <w:sz w:val="21"/>
                <w:szCs w:val="21"/>
                <w:lang w:val="en-US" w:eastAsia="zh-CN"/>
              </w:rPr>
              <w:t>，不属于化工项目。根据本项目与</w:t>
            </w:r>
            <w:r>
              <w:rPr>
                <w:rFonts w:hint="default" w:ascii="Times New Roman" w:hAnsi="Times New Roman" w:eastAsia="宋体" w:cs="Times New Roman"/>
                <w:color w:val="auto"/>
                <w:kern w:val="0"/>
                <w:sz w:val="21"/>
                <w:szCs w:val="21"/>
                <w:lang w:eastAsia="zh-CN"/>
              </w:rPr>
              <w:t>《云南省长江经济带发展负面清单指南实施细则（试行，2022年版）》</w:t>
            </w:r>
            <w:r>
              <w:rPr>
                <w:rFonts w:hint="default" w:ascii="Times New Roman" w:hAnsi="Times New Roman" w:eastAsia="宋体" w:cs="Times New Roman"/>
                <w:color w:val="auto"/>
                <w:kern w:val="0"/>
                <w:sz w:val="21"/>
                <w:szCs w:val="21"/>
                <w:lang w:val="en-US" w:eastAsia="zh-CN"/>
              </w:rPr>
              <w:t>符合性分析，本项目符合其要求。本项目不在花山化工园区。</w:t>
            </w:r>
          </w:p>
        </w:tc>
        <w:tc>
          <w:tcPr>
            <w:tcW w:w="476" w:type="pct"/>
            <w:noWrap w:val="0"/>
            <w:vAlign w:val="center"/>
          </w:tcPr>
          <w:p w14:paraId="2282E8C4">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36D6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82" w:type="pct"/>
            <w:noWrap w:val="0"/>
            <w:vAlign w:val="center"/>
          </w:tcPr>
          <w:p w14:paraId="6745EA85">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3</w:t>
            </w:r>
          </w:p>
        </w:tc>
        <w:tc>
          <w:tcPr>
            <w:tcW w:w="2812" w:type="pct"/>
            <w:noWrap w:val="0"/>
            <w:vAlign w:val="center"/>
          </w:tcPr>
          <w:p w14:paraId="0E19651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三）严守环境质量底线，强化生态环境分区管控根据生态环境分区管控、国家和云南省有关大气污染防治的相关要求，严格执行重金属污染防控要求和高新区大气污染物排放总量控制目标，合理确定产业规模、布局、建设时序入驻企业应采用先进的生产工艺路线、</w:t>
            </w:r>
            <w:r>
              <w:rPr>
                <w:rFonts w:hint="default" w:ascii="Times New Roman" w:hAnsi="Times New Roman" w:cs="Times New Roman"/>
                <w:color w:val="auto"/>
                <w:kern w:val="0"/>
                <w:sz w:val="21"/>
                <w:szCs w:val="21"/>
                <w:lang w:val="en-US" w:eastAsia="zh-CN"/>
              </w:rPr>
              <w:t>装备</w:t>
            </w:r>
            <w:r>
              <w:rPr>
                <w:rFonts w:hint="default" w:ascii="Times New Roman" w:hAnsi="Times New Roman" w:eastAsia="宋体" w:cs="Times New Roman"/>
                <w:color w:val="auto"/>
                <w:kern w:val="0"/>
                <w:sz w:val="21"/>
                <w:szCs w:val="21"/>
                <w:lang w:val="en-US" w:eastAsia="zh-CN"/>
              </w:rPr>
              <w:t>、清洁能源与原料，</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两高</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行业能效指标达到标杆水平，物耗、水耗及大气污染物排放水平等应达到国内先进水平，严格主要污染物区域削减替代，从源头控制污染物</w:t>
            </w:r>
          </w:p>
          <w:p w14:paraId="70EB566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的产生采用先进高效的污染防治措施，重点做好外排废气中颗粒物削减、脱硫脱硝、酸性废气、异味等特征污染物减排和新污染物管控工作焦化企业应达到超低排放要求。</w:t>
            </w:r>
          </w:p>
          <w:p w14:paraId="7D8FC952">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高度重视高新区废水收集、处理、回用、排放的环境管理全面建设初期雨水收集处理系统，实施</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雨污分流</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w:t>
            </w:r>
            <w:r>
              <w:rPr>
                <w:rFonts w:hint="eastAsia"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两高</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项目后期雨水排放应满足《地表水环境质量标准》（ GB3838</w:t>
            </w:r>
            <w:r>
              <w:rPr>
                <w:rFonts w:hint="default" w:ascii="Times New Roman" w:hAnsi="Times New Roman" w:cs="Times New Roman"/>
                <w:color w:val="auto"/>
                <w:kern w:val="0"/>
                <w:sz w:val="21"/>
                <w:szCs w:val="21"/>
                <w:lang w:val="en-US" w:eastAsia="zh-CN"/>
              </w:rPr>
              <w:t>）Ⅲ</w:t>
            </w:r>
            <w:r>
              <w:rPr>
                <w:rFonts w:hint="default" w:ascii="Times New Roman" w:hAnsi="Times New Roman" w:eastAsia="宋体" w:cs="Times New Roman"/>
                <w:color w:val="auto"/>
                <w:kern w:val="0"/>
                <w:sz w:val="21"/>
                <w:szCs w:val="21"/>
                <w:lang w:val="en-US" w:eastAsia="zh-CN"/>
              </w:rPr>
              <w:t>类水标准要求加快污水处理、中水回用等基础设施建设，制定高新区中水回用方案并加快实施。水资源重复利用率达到91%以上，做好入驻企业废水纳管管理严格污水处理设施入河水质管控，确保南盘江水质稳定达标白水片区不新设废水排污口，生产废水、生活污水、初期雨水经收集处理后全部回用不外排 严格水文地质、工程地质勘察，调查明确高新区内岩溶发育情况，按照《地下水管理条例》规定完善高新区地下水分区管控，做好地下水污染防治和监控，按相关规范要求采取针对性防</w:t>
            </w:r>
            <w:r>
              <w:rPr>
                <w:rFonts w:hint="default" w:ascii="Times New Roman" w:hAnsi="Times New Roman" w:cs="Times New Roman"/>
                <w:color w:val="auto"/>
                <w:kern w:val="0"/>
                <w:sz w:val="21"/>
                <w:szCs w:val="21"/>
                <w:lang w:val="en-US" w:eastAsia="zh-CN"/>
              </w:rPr>
              <w:t>渗</w:t>
            </w:r>
            <w:r>
              <w:rPr>
                <w:rFonts w:hint="default" w:ascii="Times New Roman" w:hAnsi="Times New Roman" w:eastAsia="宋体" w:cs="Times New Roman"/>
                <w:color w:val="auto"/>
                <w:kern w:val="0"/>
                <w:sz w:val="21"/>
                <w:szCs w:val="21"/>
                <w:lang w:val="en-US" w:eastAsia="zh-CN"/>
              </w:rPr>
              <w:t>措施，确保区域地下水安全。</w:t>
            </w:r>
          </w:p>
          <w:p w14:paraId="0185712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将土壤污染防治工作纳入高新区规划及相关环境保护规划，采取有效预防措施防止、减少土壤污染</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重视污染物通过大气一土壤一地下水等环境介质跨</w:t>
            </w:r>
            <w:r>
              <w:rPr>
                <w:rFonts w:hint="default" w:ascii="Times New Roman" w:hAnsi="Times New Roman" w:cs="Times New Roman"/>
                <w:color w:val="auto"/>
                <w:kern w:val="0"/>
                <w:sz w:val="21"/>
                <w:szCs w:val="21"/>
                <w:lang w:val="en-US" w:eastAsia="zh-CN"/>
              </w:rPr>
              <w:t>向</w:t>
            </w:r>
            <w:r>
              <w:rPr>
                <w:rFonts w:hint="default" w:ascii="Times New Roman" w:hAnsi="Times New Roman" w:eastAsia="宋体" w:cs="Times New Roman"/>
                <w:color w:val="auto"/>
                <w:kern w:val="0"/>
                <w:sz w:val="21"/>
                <w:szCs w:val="21"/>
                <w:lang w:val="en-US" w:eastAsia="zh-CN"/>
              </w:rPr>
              <w:t>输送、迁移和累积过程及影响，确保满足土壤环境管控要求。</w:t>
            </w:r>
          </w:p>
          <w:p w14:paraId="627F024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危险废物须按规定严格管控，积极推进工业固体废物综合利用，确实需要暂存或安全填埋</w:t>
            </w:r>
            <w:r>
              <w:rPr>
                <w:rFonts w:hint="default" w:ascii="Times New Roman" w:hAnsi="Times New Roman" w:cs="Times New Roman"/>
                <w:color w:val="auto"/>
                <w:kern w:val="0"/>
                <w:sz w:val="21"/>
                <w:szCs w:val="21"/>
                <w:lang w:val="en-US" w:eastAsia="zh-CN"/>
              </w:rPr>
              <w:t>处置</w:t>
            </w:r>
            <w:r>
              <w:rPr>
                <w:rFonts w:hint="default" w:ascii="Times New Roman" w:hAnsi="Times New Roman" w:eastAsia="宋体" w:cs="Times New Roman"/>
                <w:color w:val="auto"/>
                <w:kern w:val="0"/>
                <w:sz w:val="21"/>
                <w:szCs w:val="21"/>
                <w:lang w:val="en-US" w:eastAsia="zh-CN"/>
              </w:rPr>
              <w:t>的，暂存（处置）场的选址、建设必须按照相关要求严格落实污染防治措施。</w:t>
            </w:r>
          </w:p>
          <w:p w14:paraId="1D9655B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both"/>
              <w:textAlignment w:val="baseline"/>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按照国家关于做好碳达峰碳中和工作的政策要求，编制高新区碳排放与污排放融合清单，积极开展高新区减污降碳协同管控，建立健全高新区碳排放总量与碳排放强度双控机制，推广高新区能源梯级利用等节能低碳技术做好产业布局、结构调整、节能审查与能耗双控的衔接，推动高新区绿色低碳发展</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待碳达峰规划、行业达峰规划发布后，高新区碳排放管理相关要求从其规定执行。</w:t>
            </w:r>
          </w:p>
        </w:tc>
        <w:tc>
          <w:tcPr>
            <w:tcW w:w="1428" w:type="pct"/>
            <w:noWrap w:val="0"/>
            <w:vAlign w:val="center"/>
          </w:tcPr>
          <w:p w14:paraId="1BD731AB">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根据本项目与曲靖市</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三线一单</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和《曲靖市生态环境分区管控动态更新方案（2023年）》的符合性分析，本项目符合要求（见表1-3）。</w:t>
            </w:r>
            <w:r>
              <w:rPr>
                <w:rFonts w:hint="default" w:ascii="Times New Roman" w:hAnsi="Times New Roman" w:cs="Times New Roman"/>
                <w:color w:val="auto"/>
                <w:kern w:val="0"/>
                <w:sz w:val="21"/>
                <w:szCs w:val="21"/>
                <w:lang w:val="en-US" w:eastAsia="zh-CN"/>
              </w:rPr>
              <w:t>项目所在区域为达标区，</w:t>
            </w:r>
            <w:r>
              <w:rPr>
                <w:rFonts w:hint="default" w:ascii="Times New Roman" w:hAnsi="Times New Roman" w:eastAsia="宋体" w:cs="Times New Roman"/>
                <w:color w:val="auto"/>
                <w:kern w:val="0"/>
                <w:sz w:val="21"/>
                <w:szCs w:val="21"/>
                <w:lang w:val="en-US" w:eastAsia="zh-CN"/>
              </w:rPr>
              <w:t>本项目颗粒物通过洒水降尘后，呈无组织排放，</w:t>
            </w:r>
            <w:r>
              <w:rPr>
                <w:rFonts w:hint="default" w:ascii="Times New Roman" w:hAnsi="Times New Roman" w:cs="Times New Roman"/>
                <w:color w:val="auto"/>
                <w:kern w:val="0"/>
                <w:sz w:val="21"/>
                <w:szCs w:val="21"/>
                <w:lang w:val="en-US" w:eastAsia="zh-CN"/>
              </w:rPr>
              <w:t>不会突破</w:t>
            </w:r>
            <w:r>
              <w:rPr>
                <w:rFonts w:hint="default" w:ascii="Times New Roman" w:hAnsi="Times New Roman" w:eastAsia="宋体" w:cs="Times New Roman"/>
                <w:color w:val="auto"/>
                <w:kern w:val="0"/>
                <w:sz w:val="21"/>
                <w:szCs w:val="21"/>
                <w:lang w:val="en-US" w:eastAsia="zh-CN"/>
              </w:rPr>
              <w:t>环境质量底线；本项目不排放重金属污染物，</w:t>
            </w:r>
            <w:r>
              <w:rPr>
                <w:rFonts w:hint="eastAsia" w:ascii="Times New Roman" w:hAnsi="Times New Roman" w:eastAsia="宋体" w:cs="Times New Roman"/>
                <w:color w:val="auto"/>
                <w:kern w:val="0"/>
                <w:sz w:val="21"/>
                <w:szCs w:val="21"/>
                <w:lang w:val="en-US" w:eastAsia="zh-CN"/>
              </w:rPr>
              <w:t>只</w:t>
            </w:r>
            <w:r>
              <w:rPr>
                <w:rFonts w:hint="default" w:ascii="Times New Roman" w:hAnsi="Times New Roman" w:eastAsia="宋体" w:cs="Times New Roman"/>
                <w:color w:val="auto"/>
                <w:kern w:val="0"/>
                <w:sz w:val="21"/>
                <w:szCs w:val="21"/>
                <w:lang w:val="en-US" w:eastAsia="zh-CN"/>
              </w:rPr>
              <w:t>排放颗粒物</w:t>
            </w:r>
            <w:r>
              <w:rPr>
                <w:rFonts w:hint="default" w:ascii="Times New Roman" w:hAnsi="Times New Roman" w:eastAsia="宋体" w:cs="Times New Roman"/>
                <w:color w:val="auto"/>
                <w:sz w:val="21"/>
                <w:szCs w:val="21"/>
                <w:lang w:val="en-US" w:eastAsia="zh-CN"/>
              </w:rPr>
              <w:t>，不设总量控制，本项目符合要求</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本项目不属于</w:t>
            </w:r>
            <w:r>
              <w:rPr>
                <w:rFonts w:hint="eastAsia" w:ascii="Times New Roman" w:hAnsi="Times New Roman"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两高</w:t>
            </w:r>
            <w:r>
              <w:rPr>
                <w:rFonts w:hint="eastAsia" w:ascii="Times New Roman" w:hAnsi="Times New Roman"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项目，</w:t>
            </w:r>
            <w:r>
              <w:rPr>
                <w:rFonts w:hint="default" w:ascii="Times New Roman" w:hAnsi="Times New Roman" w:eastAsia="宋体" w:cs="Times New Roman"/>
                <w:color w:val="auto"/>
                <w:kern w:val="0"/>
                <w:sz w:val="21"/>
                <w:szCs w:val="21"/>
                <w:lang w:val="en-US" w:eastAsia="zh-CN"/>
              </w:rPr>
              <w:t>后期雨水排放不执行《地表水环境质量标准》（GB3838</w:t>
            </w:r>
            <w:r>
              <w:rPr>
                <w:rFonts w:hint="default" w:ascii="Times New Roman" w:hAnsi="Times New Roman" w:cs="Times New Roman"/>
                <w:color w:val="auto"/>
                <w:kern w:val="0"/>
                <w:sz w:val="21"/>
                <w:szCs w:val="21"/>
                <w:lang w:val="en-US" w:eastAsia="zh-CN"/>
              </w:rPr>
              <w:t>）Ⅲ</w:t>
            </w:r>
            <w:r>
              <w:rPr>
                <w:rFonts w:hint="default" w:ascii="Times New Roman" w:hAnsi="Times New Roman" w:eastAsia="宋体" w:cs="Times New Roman"/>
                <w:color w:val="auto"/>
                <w:kern w:val="0"/>
                <w:sz w:val="21"/>
                <w:szCs w:val="21"/>
                <w:lang w:val="en-US" w:eastAsia="zh-CN"/>
              </w:rPr>
              <w:t>类水标准</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本项目初期雨水经收集处理后，回用于项目绿化、洒水降尘，回用不完的由曲煤焦化内部清运至铁路卸煤区洒水降尘</w:t>
            </w:r>
            <w:r>
              <w:rPr>
                <w:rFonts w:hint="default" w:ascii="Times New Roman" w:hAnsi="Times New Roman" w:cs="Times New Roman"/>
                <w:color w:val="auto"/>
                <w:kern w:val="0"/>
                <w:sz w:val="21"/>
                <w:szCs w:val="21"/>
                <w:lang w:val="en-US" w:eastAsia="zh-CN"/>
              </w:rPr>
              <w:t>，设置雨水切换阀，后期雨水排入园区雨水管网</w:t>
            </w:r>
            <w:r>
              <w:rPr>
                <w:rFonts w:hint="eastAsia" w:ascii="Times New Roman" w:hAnsi="Times New Roman" w:cs="Times New Roman"/>
                <w:color w:val="auto"/>
                <w:kern w:val="0"/>
                <w:sz w:val="21"/>
                <w:szCs w:val="21"/>
                <w:lang w:val="en-US" w:eastAsia="zh-CN"/>
              </w:rPr>
              <w:t>，最后进入东干渠</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对</w:t>
            </w:r>
            <w:r>
              <w:rPr>
                <w:rFonts w:hint="default" w:ascii="Times New Roman" w:hAnsi="Times New Roman" w:eastAsia="宋体" w:cs="Times New Roman"/>
                <w:color w:val="auto"/>
                <w:kern w:val="0"/>
                <w:sz w:val="21"/>
                <w:szCs w:val="21"/>
                <w:lang w:val="en-US" w:eastAsia="zh-CN"/>
              </w:rPr>
              <w:t>项目场地进行分区防渗，对危废暂存间</w:t>
            </w:r>
            <w:r>
              <w:rPr>
                <w:rFonts w:hint="default" w:ascii="Times New Roman" w:hAnsi="Times New Roman" w:cs="Times New Roman"/>
                <w:color w:val="auto"/>
                <w:kern w:val="0"/>
                <w:sz w:val="21"/>
                <w:szCs w:val="21"/>
                <w:lang w:val="en-US" w:eastAsia="zh-CN"/>
              </w:rPr>
              <w:t>、</w:t>
            </w:r>
            <w:r>
              <w:rPr>
                <w:rFonts w:hint="default" w:ascii="Times New Roman" w:hAnsi="Times New Roman" w:cs="Times New Roman"/>
                <w:b w:val="0"/>
                <w:bCs/>
                <w:color w:val="auto"/>
                <w:kern w:val="2"/>
                <w:sz w:val="21"/>
                <w:szCs w:val="21"/>
                <w:highlight w:val="none"/>
                <w:vertAlign w:val="baseline"/>
                <w:lang w:val="en-US" w:eastAsia="zh-CN" w:bidi="ar-SA"/>
              </w:rPr>
              <w:t>正面吊维修区</w:t>
            </w:r>
            <w:r>
              <w:rPr>
                <w:rFonts w:hint="default" w:ascii="Times New Roman" w:hAnsi="Times New Roman" w:eastAsia="宋体" w:cs="Times New Roman"/>
                <w:color w:val="auto"/>
                <w:kern w:val="0"/>
                <w:sz w:val="21"/>
                <w:szCs w:val="21"/>
                <w:lang w:val="en-US" w:eastAsia="zh-CN"/>
              </w:rPr>
              <w:t>进行重点防渗，预防地下水土壤污染。本项目已取得节能登记表</w:t>
            </w:r>
            <w:r>
              <w:rPr>
                <w:rFonts w:hint="default" w:ascii="Times New Roman" w:hAnsi="Times New Roman" w:cs="Times New Roman"/>
                <w:color w:val="auto"/>
                <w:kern w:val="0"/>
                <w:sz w:val="21"/>
                <w:szCs w:val="21"/>
                <w:lang w:val="en-US" w:eastAsia="zh-CN"/>
              </w:rPr>
              <w:t>，本项目大气污染物主要为颗粒物经洒水降尘后排放，尾气较少经自然稀释扩散，不会对</w:t>
            </w:r>
            <w:r>
              <w:rPr>
                <w:rFonts w:hint="default" w:ascii="Times New Roman" w:hAnsi="Times New Roman" w:eastAsia="宋体" w:cs="Times New Roman"/>
                <w:color w:val="auto"/>
                <w:kern w:val="0"/>
                <w:sz w:val="21"/>
                <w:szCs w:val="21"/>
                <w:lang w:val="en-US" w:eastAsia="zh-CN"/>
              </w:rPr>
              <w:t>高新区碳排放控制产生影响。</w:t>
            </w:r>
          </w:p>
        </w:tc>
        <w:tc>
          <w:tcPr>
            <w:tcW w:w="476" w:type="pct"/>
            <w:noWrap w:val="0"/>
            <w:vAlign w:val="center"/>
          </w:tcPr>
          <w:p w14:paraId="30DCB9C3">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3C82C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noWrap w:val="0"/>
            <w:vAlign w:val="center"/>
          </w:tcPr>
          <w:p w14:paraId="7F264938">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2812" w:type="pct"/>
            <w:noWrap w:val="0"/>
            <w:vAlign w:val="top"/>
          </w:tcPr>
          <w:p w14:paraId="41AA0DC5">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（四）严格环境准入，加强污染源头防控落实蓝天、碧水、净土保卫战有关管控要求，系统开展高新区环境综合治理，妥善解决高新区突出环境问题加强</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两高</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行业生态环境源头防控，引进项目的生产工艺、设备、污染物排放和资源利用等，应达到清洁生产国内先进水平推进技术研发型、创新型产业发展，提升产业的技术水平和高新区的绿色低碳化水平项目招引应严格执行环境管控分区和环境准入要求，要以高新区的资源环境承载能力为基础，充分论证、有序发展，严禁引进工艺装备落后，不符合污染物排放总量控制要求的企业。</w:t>
            </w:r>
          </w:p>
        </w:tc>
        <w:tc>
          <w:tcPr>
            <w:tcW w:w="1428" w:type="pct"/>
            <w:noWrap w:val="0"/>
            <w:vAlign w:val="center"/>
          </w:tcPr>
          <w:p w14:paraId="70BCE5A0">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rPr>
            </w:pPr>
            <w:r>
              <w:rPr>
                <w:rFonts w:hint="default" w:ascii="Times New Roman" w:hAnsi="Times New Roman" w:eastAsia="宋体" w:cs="Times New Roman"/>
                <w:color w:val="auto"/>
                <w:kern w:val="0"/>
                <w:sz w:val="21"/>
                <w:szCs w:val="21"/>
                <w:lang w:val="en-US" w:eastAsia="zh-CN"/>
              </w:rPr>
              <w:t>本项目为铁路建设项目，不属于</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两高</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行业，不采用落后淘汰工艺设备。</w:t>
            </w:r>
            <w:r>
              <w:rPr>
                <w:rFonts w:hint="default" w:ascii="Times New Roman" w:hAnsi="Times New Roman" w:cs="Times New Roman"/>
                <w:color w:val="auto"/>
                <w:kern w:val="0"/>
                <w:sz w:val="21"/>
                <w:szCs w:val="21"/>
                <w:lang w:val="en-US" w:eastAsia="zh-CN"/>
              </w:rPr>
              <w:t>本项目大气污染物主要为颗粒物，经洒水降尘后排放，本项目初期雨水经收集处理后回用于项目绿化、洒水降尘，回用不完的由曲煤焦化内部清运至铁路卸煤区洒水降尘。本项目建设符合</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b w:val="0"/>
                <w:bCs w:val="0"/>
                <w:color w:val="auto"/>
                <w:kern w:val="0"/>
                <w:sz w:val="21"/>
                <w:szCs w:val="21"/>
                <w:lang w:val="en-US" w:eastAsia="zh-CN"/>
              </w:rPr>
              <w:t>曲靖高新区产业准入负面清单</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相关要求，本项目主要</w:t>
            </w:r>
            <w:r>
              <w:rPr>
                <w:rFonts w:hint="default" w:ascii="Times New Roman" w:hAnsi="Times New Roman" w:eastAsia="宋体" w:cs="Times New Roman"/>
                <w:color w:val="auto"/>
                <w:kern w:val="0"/>
                <w:sz w:val="21"/>
                <w:szCs w:val="21"/>
                <w:lang w:val="en-US" w:eastAsia="zh-CN"/>
              </w:rPr>
              <w:t>排放颗粒物</w:t>
            </w:r>
            <w:r>
              <w:rPr>
                <w:rFonts w:hint="default"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val="en-US" w:eastAsia="zh-CN"/>
              </w:rPr>
              <w:t>不涉及</w:t>
            </w:r>
            <w:r>
              <w:rPr>
                <w:rFonts w:hint="default" w:ascii="Times New Roman" w:hAnsi="Times New Roman" w:eastAsia="宋体" w:cs="Times New Roman"/>
                <w:color w:val="auto"/>
                <w:sz w:val="21"/>
                <w:szCs w:val="21"/>
                <w:lang w:val="en-US" w:eastAsia="zh-CN"/>
              </w:rPr>
              <w:t>总量控制，本项目符合要求</w:t>
            </w:r>
            <w:r>
              <w:rPr>
                <w:rFonts w:hint="default" w:ascii="Times New Roman" w:hAnsi="Times New Roman" w:eastAsia="宋体" w:cs="Times New Roman"/>
                <w:color w:val="auto"/>
                <w:kern w:val="0"/>
                <w:sz w:val="21"/>
                <w:szCs w:val="21"/>
                <w:lang w:val="en-US" w:eastAsia="zh-CN"/>
              </w:rPr>
              <w:t>。</w:t>
            </w:r>
          </w:p>
        </w:tc>
        <w:tc>
          <w:tcPr>
            <w:tcW w:w="476" w:type="pct"/>
            <w:noWrap w:val="0"/>
            <w:vAlign w:val="center"/>
          </w:tcPr>
          <w:p w14:paraId="07F7BD80">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623C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82" w:type="pct"/>
            <w:noWrap w:val="0"/>
            <w:vAlign w:val="center"/>
          </w:tcPr>
          <w:p w14:paraId="651AEA55">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p>
        </w:tc>
        <w:tc>
          <w:tcPr>
            <w:tcW w:w="2812" w:type="pct"/>
            <w:noWrap w:val="0"/>
            <w:vAlign w:val="center"/>
          </w:tcPr>
          <w:p w14:paraId="71139780">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（五）严控环境风险，保障环境安全 建立健全区域环境风险防范和生态安全保障体系加强高新区内易导致环境风险的有毒有害和易燃易爆物质的生产、使用、贮运等管理，统筹考虑区内污染防治、生态恢复与建设、环境风险防范、环境管理等事宜强化高新区危险化学品储运的环境风险管理，健全高新区事故废水三级防控措施，强化环境监测与预警能力建设、环境风险应急与防范措施，建立应急响应联动机制和风险防控体系并编制应急预案，防范环境风险，避免事故废水排入高新区外水体，保障区域环境安全。</w:t>
            </w:r>
          </w:p>
        </w:tc>
        <w:tc>
          <w:tcPr>
            <w:tcW w:w="1428" w:type="pct"/>
            <w:noWrap w:val="0"/>
            <w:vAlign w:val="center"/>
          </w:tcPr>
          <w:p w14:paraId="4C7058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本项目为</w:t>
            </w:r>
            <w:r>
              <w:rPr>
                <w:rFonts w:hint="eastAsia" w:ascii="Times New Roman" w:hAnsi="Times New Roman" w:eastAsia="宋体" w:cs="Times New Roman"/>
                <w:color w:val="auto"/>
                <w:kern w:val="0"/>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，不涉及有毒有害和易燃易爆物质的生产、使用、贮运等管理，环评已要求企业编制应急预案，加强防范措施。</w:t>
            </w:r>
          </w:p>
        </w:tc>
        <w:tc>
          <w:tcPr>
            <w:tcW w:w="476" w:type="pct"/>
            <w:noWrap w:val="0"/>
            <w:vAlign w:val="center"/>
          </w:tcPr>
          <w:p w14:paraId="61FE9A1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0984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282" w:type="pct"/>
            <w:noWrap w:val="0"/>
            <w:vAlign w:val="center"/>
          </w:tcPr>
          <w:p w14:paraId="4B964A96">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6</w:t>
            </w:r>
          </w:p>
        </w:tc>
        <w:tc>
          <w:tcPr>
            <w:tcW w:w="2812" w:type="pct"/>
            <w:noWrap w:val="0"/>
            <w:vAlign w:val="center"/>
          </w:tcPr>
          <w:p w14:paraId="7D629B78">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六）完善监测网络，强化环境质量管控。根据高新区功能分区、产业布局、重点企业分布、特征污染物的排放种类和状况、环境敏感目标分布等情况，统筹安排环境监测监控网络建设，按规定设置环境空气自动监测站，做好区内大气、地表水、地下水、土壤等环境的长期跟踪监测与管理，督促排污企业落实自行监测责任。根据监测结果、实际环境影响、不良环境影响减缓措施的有效性等提出完善环境管理方案并适时优化调整《规划》。</w:t>
            </w:r>
          </w:p>
        </w:tc>
        <w:tc>
          <w:tcPr>
            <w:tcW w:w="1428" w:type="pct"/>
            <w:noWrap w:val="0"/>
            <w:vAlign w:val="center"/>
          </w:tcPr>
          <w:p w14:paraId="028A4B3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本项目根据《排污单位自行监测技术指南 总则》（HJ 819-2017）要求对废气、噪声等制定了监测计划。</w:t>
            </w:r>
          </w:p>
        </w:tc>
        <w:tc>
          <w:tcPr>
            <w:tcW w:w="476" w:type="pct"/>
            <w:noWrap w:val="0"/>
            <w:vAlign w:val="center"/>
          </w:tcPr>
          <w:p w14:paraId="05925C24">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07D4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82" w:type="pct"/>
            <w:noWrap w:val="0"/>
            <w:vAlign w:val="center"/>
          </w:tcPr>
          <w:p w14:paraId="0AE01697">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7</w:t>
            </w:r>
          </w:p>
        </w:tc>
        <w:tc>
          <w:tcPr>
            <w:tcW w:w="2812" w:type="pct"/>
            <w:noWrap w:val="0"/>
            <w:vAlign w:val="center"/>
          </w:tcPr>
          <w:p w14:paraId="238B72F9">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七）健全环保基础设施，强化污染集中治理。推进高新区环保基础设施建设，统筹花山片区与花山化工园区环保基础设施共建共享，促进区域环境质量持续改善。加快建设配套的污水处理厂和再生水水厂，并同步建设污水管网、雨水管网及中水回用管网 做好</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雨污分流</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清污分流</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，做好废水及污染雨水收集处理、强化中水回用。督促高新区企业加强废气、废水、噪声固废等环保设施建设和运行管理。</w:t>
            </w:r>
          </w:p>
        </w:tc>
        <w:tc>
          <w:tcPr>
            <w:tcW w:w="1428" w:type="pct"/>
            <w:noWrap w:val="0"/>
            <w:vAlign w:val="center"/>
          </w:tcPr>
          <w:p w14:paraId="03D310C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废气经洒水降尘后排放，采用雨污分流系统，本项目初期雨水经收集处理后回用于项目绿化、洒水降尘，回用不完的由曲煤焦化内部清运至铁路卸煤区洒水降尘，设置雨水切换阀，后期雨水排入园区雨水管网。生活废水排入化粪池处理后委托环卫部门清运处置。固废处置100%。</w:t>
            </w:r>
          </w:p>
        </w:tc>
        <w:tc>
          <w:tcPr>
            <w:tcW w:w="476" w:type="pct"/>
            <w:noWrap w:val="0"/>
            <w:vAlign w:val="center"/>
          </w:tcPr>
          <w:p w14:paraId="74AA4482">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符合</w:t>
            </w:r>
          </w:p>
        </w:tc>
      </w:tr>
      <w:tr w14:paraId="2CBE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282" w:type="pct"/>
            <w:noWrap w:val="0"/>
            <w:vAlign w:val="center"/>
          </w:tcPr>
          <w:p w14:paraId="4D6AD810">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8</w:t>
            </w:r>
          </w:p>
        </w:tc>
        <w:tc>
          <w:tcPr>
            <w:tcW w:w="2812" w:type="pct"/>
            <w:noWrap w:val="0"/>
            <w:vAlign w:val="center"/>
          </w:tcPr>
          <w:p w14:paraId="2631ADEF">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（八）依法披露环境信息，畅通公众参与平台。依法披露高新区、企业环境信息，加强与周边公众的沟通，主动接受社会监督，妥善处理好高新区建设与居民搬迁安置工作，及时解决</w:t>
            </w:r>
            <w:r>
              <w:rPr>
                <w:rFonts w:hint="default" w:ascii="Times New Roman" w:hAnsi="Times New Roman" w:cs="Times New Roman"/>
                <w:color w:val="auto"/>
                <w:kern w:val="0"/>
                <w:sz w:val="21"/>
                <w:szCs w:val="21"/>
                <w:lang w:val="en-US" w:eastAsia="zh-CN"/>
              </w:rPr>
              <w:t>公众</w:t>
            </w:r>
            <w:r>
              <w:rPr>
                <w:rFonts w:hint="default" w:ascii="Times New Roman" w:hAnsi="Times New Roman" w:eastAsia="宋体" w:cs="Times New Roman"/>
                <w:color w:val="auto"/>
                <w:kern w:val="0"/>
                <w:sz w:val="21"/>
                <w:szCs w:val="21"/>
                <w:lang w:val="en-US" w:eastAsia="zh-CN"/>
              </w:rPr>
              <w:t>关心的环境问题，满足公众合理的环境诉求。</w:t>
            </w:r>
          </w:p>
        </w:tc>
        <w:tc>
          <w:tcPr>
            <w:tcW w:w="1428" w:type="pct"/>
            <w:noWrap w:val="0"/>
            <w:vAlign w:val="center"/>
          </w:tcPr>
          <w:p w14:paraId="229630F1">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本项目</w:t>
            </w:r>
            <w:r>
              <w:rPr>
                <w:rFonts w:hint="default" w:ascii="Times New Roman" w:hAnsi="Times New Roman" w:cs="Times New Roman"/>
                <w:color w:val="auto"/>
                <w:kern w:val="0"/>
                <w:sz w:val="21"/>
                <w:szCs w:val="21"/>
                <w:lang w:val="en-US" w:eastAsia="zh-CN"/>
              </w:rPr>
              <w:t>按相关规定依法建设，妥善处理与周边居民关系</w:t>
            </w:r>
            <w:r>
              <w:rPr>
                <w:rFonts w:hint="default" w:ascii="Times New Roman" w:hAnsi="Times New Roman" w:eastAsia="宋体" w:cs="Times New Roman"/>
                <w:color w:val="auto"/>
                <w:kern w:val="0"/>
                <w:sz w:val="21"/>
                <w:szCs w:val="21"/>
                <w:lang w:val="en-US" w:eastAsia="zh-CN"/>
              </w:rPr>
              <w:t>。</w:t>
            </w:r>
          </w:p>
        </w:tc>
        <w:tc>
          <w:tcPr>
            <w:tcW w:w="476" w:type="pct"/>
            <w:noWrap w:val="0"/>
            <w:vAlign w:val="center"/>
          </w:tcPr>
          <w:p w14:paraId="05A85457">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符合</w:t>
            </w:r>
          </w:p>
        </w:tc>
      </w:tr>
      <w:tr w14:paraId="56F5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noWrap w:val="0"/>
            <w:vAlign w:val="center"/>
          </w:tcPr>
          <w:p w14:paraId="30650F89">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9</w:t>
            </w:r>
          </w:p>
        </w:tc>
        <w:tc>
          <w:tcPr>
            <w:tcW w:w="2812" w:type="pct"/>
            <w:noWrap w:val="0"/>
            <w:vAlign w:val="center"/>
          </w:tcPr>
          <w:p w14:paraId="46EEC9D9">
            <w:pPr>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拟入高新区建设项目，应结合《报告书》提出的指导意见做好环境影响评价工作，落实《报告书》提出的要求，加强与规划环评的联动，重点开展大气污染物、水污染物允许排放量测算和周边大气环境影响、环境风险可接受论证、污废水不外排或纳管可行可靠性论证、环保措施可行性论证等内容，关注废气排放对花山水库及珠江源自然保护区影响、白水片区水环境风险防控，强化环境监测和环境保护相关措施的落实。对符合规划环评环境管控要求和生态环境准入清单的具体建设项目，其环评文件中选址、环境现状调查与评价结果仍具有时效性时，建设项目相应环境影响评价内容可结合实际情况予以简化。</w:t>
            </w:r>
          </w:p>
        </w:tc>
        <w:tc>
          <w:tcPr>
            <w:tcW w:w="1428" w:type="pct"/>
            <w:noWrap w:val="0"/>
            <w:vAlign w:val="center"/>
          </w:tcPr>
          <w:p w14:paraId="704AFDE7">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w:t>
            </w:r>
            <w:r>
              <w:rPr>
                <w:rFonts w:hint="default" w:ascii="Times New Roman" w:hAnsi="Times New Roman" w:cs="Times New Roman"/>
                <w:color w:val="auto"/>
                <w:kern w:val="0"/>
                <w:sz w:val="21"/>
                <w:szCs w:val="21"/>
                <w:lang w:val="en-US" w:eastAsia="zh-CN"/>
              </w:rPr>
              <w:t>正在</w:t>
            </w:r>
            <w:r>
              <w:rPr>
                <w:rFonts w:hint="default" w:ascii="Times New Roman" w:hAnsi="Times New Roman" w:eastAsia="宋体" w:cs="Times New Roman"/>
                <w:color w:val="auto"/>
                <w:kern w:val="0"/>
                <w:sz w:val="21"/>
                <w:szCs w:val="21"/>
                <w:lang w:val="en-US" w:eastAsia="zh-CN"/>
              </w:rPr>
              <w:t>办理</w:t>
            </w:r>
            <w:r>
              <w:rPr>
                <w:rFonts w:hint="eastAsia" w:ascii="Times New Roman" w:hAnsi="Times New Roman" w:eastAsia="宋体" w:cs="Times New Roman"/>
                <w:color w:val="auto"/>
                <w:kern w:val="0"/>
                <w:sz w:val="21"/>
                <w:szCs w:val="21"/>
                <w:lang w:val="en-US" w:eastAsia="zh-CN"/>
              </w:rPr>
              <w:t>环境影响手续</w:t>
            </w:r>
            <w:r>
              <w:rPr>
                <w:rFonts w:hint="default" w:ascii="Times New Roman" w:hAnsi="Times New Roman" w:eastAsia="宋体" w:cs="Times New Roman"/>
                <w:color w:val="auto"/>
                <w:kern w:val="0"/>
                <w:sz w:val="21"/>
                <w:szCs w:val="21"/>
                <w:lang w:val="en-US" w:eastAsia="zh-CN"/>
              </w:rPr>
              <w:t>，本项目符合规划环评环境管控要求和生态环境准入清单，见相关符合性分析。</w:t>
            </w:r>
          </w:p>
        </w:tc>
        <w:tc>
          <w:tcPr>
            <w:tcW w:w="476" w:type="pct"/>
            <w:noWrap w:val="0"/>
            <w:vAlign w:val="center"/>
          </w:tcPr>
          <w:p w14:paraId="279E3E84">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符合</w:t>
            </w:r>
          </w:p>
        </w:tc>
      </w:tr>
    </w:tbl>
    <w:p w14:paraId="550E24BB">
      <w:pPr>
        <w:spacing w:before="178" w:line="369" w:lineRule="auto"/>
        <w:ind w:left="132"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根据表</w:t>
      </w:r>
      <w:r>
        <w:rPr>
          <w:rFonts w:hint="default" w:ascii="Times New Roman" w:hAnsi="Times New Roman" w:eastAsia="宋体" w:cs="Times New Roman"/>
          <w:color w:val="auto"/>
          <w:sz w:val="24"/>
          <w:szCs w:val="24"/>
          <w:lang w:val="en-US" w:eastAsia="zh-CN"/>
        </w:rPr>
        <w:t>1和表</w:t>
      </w:r>
      <w:r>
        <w:rPr>
          <w:rFonts w:hint="eastAsia" w:ascii="Times New Roman" w:hAnsi="Times New Roman" w:eastAsia="宋体" w:cs="Times New Roman"/>
          <w:color w:val="auto"/>
          <w:sz w:val="24"/>
          <w:szCs w:val="24"/>
          <w:lang w:val="en-US" w:eastAsia="zh-CN"/>
        </w:rPr>
        <w:t>2分析，</w:t>
      </w: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符合《曲靖高新技术产业开发区总体规划（2023</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2035年）环境影响报告书》及其</w:t>
      </w:r>
      <w:r>
        <w:rPr>
          <w:rFonts w:hint="default" w:ascii="Times New Roman" w:hAnsi="Times New Roman" w:eastAsia="宋体" w:cs="Times New Roman"/>
          <w:color w:val="auto"/>
          <w:sz w:val="24"/>
          <w:szCs w:val="24"/>
        </w:rPr>
        <w:t>审查意见</w:t>
      </w:r>
      <w:r>
        <w:rPr>
          <w:rFonts w:hint="default" w:ascii="Times New Roman" w:hAnsi="Times New Roman" w:eastAsia="宋体" w:cs="Times New Roman"/>
          <w:color w:val="auto"/>
          <w:sz w:val="24"/>
          <w:szCs w:val="24"/>
          <w:lang w:val="en-US" w:eastAsia="zh-CN"/>
        </w:rPr>
        <w:t>有关要求</w:t>
      </w:r>
      <w:r>
        <w:rPr>
          <w:rFonts w:hint="default" w:ascii="Times New Roman" w:hAnsi="Times New Roman" w:eastAsia="宋体" w:cs="Times New Roman"/>
          <w:color w:val="auto"/>
          <w:sz w:val="24"/>
          <w:szCs w:val="24"/>
        </w:rPr>
        <w:t>。</w:t>
      </w:r>
    </w:p>
    <w:p w14:paraId="308DD813">
      <w:pPr>
        <w:keepNext w:val="0"/>
        <w:keepLines w:val="0"/>
        <w:pageBreakBefore w:val="0"/>
        <w:widowControl/>
        <w:kinsoku/>
        <w:wordWrap/>
        <w:overflowPunct/>
        <w:topLinePunct w:val="0"/>
        <w:autoSpaceDE w:val="0"/>
        <w:autoSpaceDN w:val="0"/>
        <w:bidi w:val="0"/>
        <w:adjustRightInd/>
        <w:snapToGrid/>
        <w:spacing w:before="98" w:line="360" w:lineRule="auto"/>
        <w:ind w:left="317"/>
        <w:textAlignment w:val="baseline"/>
        <w:outlineLvl w:val="2"/>
        <w:rPr>
          <w:rFonts w:hint="default" w:ascii="Times New Roman" w:hAnsi="Times New Roman" w:eastAsia="Times New Roman" w:cs="Times New Roman"/>
          <w:b/>
          <w:bCs/>
          <w:color w:val="auto"/>
          <w:spacing w:val="-3"/>
          <w:sz w:val="28"/>
          <w:szCs w:val="28"/>
        </w:rPr>
      </w:pPr>
      <w:bookmarkStart w:id="36" w:name="_Toc11619"/>
      <w:r>
        <w:rPr>
          <w:rFonts w:hint="eastAsia" w:ascii="Times New Roman" w:hAnsi="Times New Roman" w:eastAsia="宋体" w:cs="Times New Roman"/>
          <w:b/>
          <w:bCs/>
          <w:color w:val="auto"/>
          <w:spacing w:val="-3"/>
          <w:sz w:val="28"/>
          <w:szCs w:val="28"/>
          <w:lang w:eastAsia="zh-CN"/>
        </w:rPr>
        <w:t>（</w:t>
      </w:r>
      <w:r>
        <w:rPr>
          <w:rFonts w:hint="eastAsia" w:ascii="Times New Roman" w:hAnsi="Times New Roman" w:eastAsia="宋体" w:cs="Times New Roman"/>
          <w:b/>
          <w:bCs/>
          <w:color w:val="auto"/>
          <w:spacing w:val="-3"/>
          <w:sz w:val="28"/>
          <w:szCs w:val="28"/>
          <w:lang w:val="en-US" w:eastAsia="zh-CN"/>
        </w:rPr>
        <w:t>三</w:t>
      </w:r>
      <w:r>
        <w:rPr>
          <w:rFonts w:hint="eastAsia" w:ascii="Times New Roman" w:hAnsi="Times New Roman" w:eastAsia="宋体" w:cs="Times New Roman"/>
          <w:b/>
          <w:bCs/>
          <w:color w:val="auto"/>
          <w:spacing w:val="-3"/>
          <w:sz w:val="28"/>
          <w:szCs w:val="28"/>
          <w:lang w:eastAsia="zh-CN"/>
        </w:rPr>
        <w:t>）</w:t>
      </w:r>
      <w:r>
        <w:rPr>
          <w:rFonts w:hint="default" w:ascii="Times New Roman" w:hAnsi="Times New Roman" w:eastAsia="Times New Roman" w:cs="Times New Roman"/>
          <w:b/>
          <w:bCs/>
          <w:color w:val="auto"/>
          <w:spacing w:val="-3"/>
          <w:sz w:val="28"/>
          <w:szCs w:val="28"/>
        </w:rPr>
        <w:t>与生态环境分区管控的符合性分析</w:t>
      </w:r>
      <w:bookmarkEnd w:id="36"/>
    </w:p>
    <w:p w14:paraId="0F99A45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b/>
          <w:bCs/>
          <w:color w:val="auto"/>
          <w:spacing w:val="0"/>
          <w:sz w:val="24"/>
        </w:rPr>
      </w:pPr>
      <w:r>
        <w:rPr>
          <w:rFonts w:hint="eastAsia" w:ascii="Times New Roman" w:hAnsi="Times New Roman" w:cs="Times New Roman"/>
          <w:b/>
          <w:bCs/>
          <w:color w:val="auto"/>
          <w:spacing w:val="0"/>
          <w:sz w:val="24"/>
          <w:szCs w:val="24"/>
          <w:lang w:val="en-US" w:eastAsia="zh-CN"/>
        </w:rPr>
        <w:t>1、</w:t>
      </w:r>
      <w:r>
        <w:rPr>
          <w:rFonts w:hint="default" w:ascii="Times New Roman" w:hAnsi="Times New Roman" w:eastAsia="宋体" w:cs="Times New Roman"/>
          <w:b/>
          <w:bCs/>
          <w:color w:val="auto"/>
          <w:spacing w:val="0"/>
          <w:sz w:val="24"/>
          <w:lang w:val="en-US" w:eastAsia="zh-CN"/>
        </w:rPr>
        <w:t>本</w:t>
      </w:r>
      <w:r>
        <w:rPr>
          <w:rFonts w:hint="default" w:ascii="Times New Roman" w:hAnsi="Times New Roman" w:eastAsia="宋体" w:cs="Times New Roman"/>
          <w:b/>
          <w:bCs/>
          <w:color w:val="auto"/>
          <w:spacing w:val="0"/>
          <w:sz w:val="24"/>
        </w:rPr>
        <w:t>项目与</w:t>
      </w:r>
      <w:r>
        <w:rPr>
          <w:rFonts w:hint="eastAsia" w:ascii="Times New Roman" w:hAnsi="Times New Roman" w:eastAsia="宋体" w:cs="Times New Roman"/>
          <w:b/>
          <w:bCs/>
          <w:color w:val="auto"/>
          <w:spacing w:val="0"/>
          <w:sz w:val="24"/>
          <w:lang w:eastAsia="zh-CN"/>
        </w:rPr>
        <w:t>“</w:t>
      </w:r>
      <w:r>
        <w:rPr>
          <w:rFonts w:hint="default" w:ascii="Times New Roman" w:hAnsi="Times New Roman" w:eastAsia="宋体" w:cs="Times New Roman"/>
          <w:b/>
          <w:bCs/>
          <w:color w:val="auto"/>
          <w:spacing w:val="0"/>
          <w:sz w:val="24"/>
          <w:lang w:val="en-US" w:eastAsia="zh-CN"/>
        </w:rPr>
        <w:t>三线一单</w:t>
      </w:r>
      <w:r>
        <w:rPr>
          <w:rFonts w:hint="eastAsia" w:ascii="Times New Roman" w:hAnsi="Times New Roman" w:eastAsia="宋体" w:cs="Times New Roman"/>
          <w:b/>
          <w:bCs/>
          <w:color w:val="auto"/>
          <w:spacing w:val="0"/>
          <w:sz w:val="24"/>
          <w:lang w:eastAsia="zh-CN"/>
        </w:rPr>
        <w:t>”</w:t>
      </w:r>
      <w:r>
        <w:rPr>
          <w:rFonts w:hint="default" w:ascii="Times New Roman" w:hAnsi="Times New Roman" w:eastAsia="宋体" w:cs="Times New Roman"/>
          <w:b/>
          <w:bCs/>
          <w:color w:val="auto"/>
          <w:spacing w:val="0"/>
          <w:sz w:val="24"/>
          <w:lang w:val="en-US" w:eastAsia="zh-CN"/>
        </w:rPr>
        <w:t>和</w:t>
      </w:r>
      <w:r>
        <w:rPr>
          <w:rFonts w:hint="default" w:ascii="Times New Roman" w:hAnsi="Times New Roman" w:eastAsia="宋体" w:cs="Times New Roman"/>
          <w:b/>
          <w:bCs/>
          <w:color w:val="auto"/>
          <w:spacing w:val="0"/>
          <w:sz w:val="24"/>
          <w:lang w:eastAsia="zh-CN"/>
        </w:rPr>
        <w:t>《</w:t>
      </w:r>
      <w:r>
        <w:rPr>
          <w:rFonts w:hint="default" w:ascii="Times New Roman" w:hAnsi="Times New Roman" w:eastAsia="宋体" w:cs="Times New Roman"/>
          <w:b/>
          <w:bCs/>
          <w:color w:val="auto"/>
          <w:spacing w:val="0"/>
          <w:sz w:val="24"/>
          <w:lang w:val="en-US" w:eastAsia="zh-CN"/>
        </w:rPr>
        <w:t>曲靖市生态环境分区管控动态更新方案（2023年）</w:t>
      </w:r>
      <w:r>
        <w:rPr>
          <w:rFonts w:hint="default" w:ascii="Times New Roman" w:hAnsi="Times New Roman" w:eastAsia="宋体" w:cs="Times New Roman"/>
          <w:b/>
          <w:bCs/>
          <w:color w:val="auto"/>
          <w:spacing w:val="0"/>
          <w:sz w:val="24"/>
          <w:lang w:eastAsia="zh-CN"/>
        </w:rPr>
        <w:t>》</w:t>
      </w:r>
      <w:r>
        <w:rPr>
          <w:rFonts w:hint="default" w:ascii="Times New Roman" w:hAnsi="Times New Roman" w:eastAsia="宋体" w:cs="Times New Roman"/>
          <w:b/>
          <w:bCs/>
          <w:color w:val="auto"/>
          <w:spacing w:val="0"/>
          <w:sz w:val="24"/>
        </w:rPr>
        <w:t>的符合性分析</w:t>
      </w:r>
    </w:p>
    <w:p w14:paraId="4C0754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pacing w:val="0"/>
          <w:sz w:val="24"/>
          <w:szCs w:val="32"/>
        </w:rPr>
      </w:pPr>
      <w:r>
        <w:rPr>
          <w:rFonts w:hint="default" w:ascii="Times New Roman" w:hAnsi="Times New Roman" w:eastAsia="宋体" w:cs="Times New Roman"/>
          <w:color w:val="auto"/>
          <w:spacing w:val="0"/>
          <w:sz w:val="24"/>
        </w:rPr>
        <w:t>根据2024年7月16日曲靖市生态环境局关于印发《曲靖市生态环境分区管控动态更新方案</w:t>
      </w:r>
      <w:r>
        <w:rPr>
          <w:rFonts w:hint="default" w:ascii="Times New Roman" w:hAnsi="Times New Roman" w:eastAsia="宋体" w:cs="Times New Roman"/>
          <w:color w:val="auto"/>
          <w:spacing w:val="0"/>
          <w:sz w:val="24"/>
          <w:lang w:eastAsia="zh-CN"/>
        </w:rPr>
        <w:t>（</w:t>
      </w:r>
      <w:r>
        <w:rPr>
          <w:rFonts w:hint="default" w:ascii="Times New Roman" w:hAnsi="Times New Roman" w:eastAsia="宋体" w:cs="Times New Roman"/>
          <w:color w:val="auto"/>
          <w:spacing w:val="0"/>
          <w:sz w:val="24"/>
        </w:rPr>
        <w:t>2023年</w:t>
      </w:r>
      <w:r>
        <w:rPr>
          <w:rFonts w:hint="default" w:ascii="Times New Roman" w:hAnsi="Times New Roman" w:eastAsia="宋体" w:cs="Times New Roman"/>
          <w:color w:val="auto"/>
          <w:spacing w:val="0"/>
          <w:sz w:val="24"/>
          <w:lang w:eastAsia="zh-CN"/>
        </w:rPr>
        <w:t>）</w:t>
      </w:r>
      <w:r>
        <w:rPr>
          <w:rFonts w:hint="default" w:ascii="Times New Roman" w:hAnsi="Times New Roman" w:eastAsia="宋体" w:cs="Times New Roman"/>
          <w:color w:val="auto"/>
          <w:spacing w:val="0"/>
          <w:sz w:val="24"/>
        </w:rPr>
        <w:t>》的通知</w:t>
      </w:r>
      <w:r>
        <w:rPr>
          <w:rFonts w:hint="default" w:ascii="Times New Roman" w:hAnsi="Times New Roman" w:eastAsia="宋体" w:cs="Times New Roman"/>
          <w:color w:val="auto"/>
          <w:spacing w:val="0"/>
          <w:sz w:val="24"/>
          <w:lang w:eastAsia="zh-CN"/>
        </w:rPr>
        <w:t>（</w:t>
      </w:r>
      <w:r>
        <w:rPr>
          <w:rFonts w:hint="default" w:ascii="Times New Roman" w:hAnsi="Times New Roman" w:eastAsia="宋体" w:cs="Times New Roman"/>
          <w:color w:val="auto"/>
          <w:spacing w:val="0"/>
          <w:sz w:val="24"/>
        </w:rPr>
        <w:t>曲环通〔2024〕36号</w:t>
      </w:r>
      <w:r>
        <w:rPr>
          <w:rFonts w:hint="default" w:ascii="Times New Roman" w:hAnsi="Times New Roman" w:eastAsia="宋体" w:cs="Times New Roman"/>
          <w:color w:val="auto"/>
          <w:spacing w:val="0"/>
          <w:sz w:val="24"/>
          <w:lang w:eastAsia="zh-CN"/>
        </w:rPr>
        <w:t>），</w:t>
      </w:r>
      <w:r>
        <w:rPr>
          <w:rFonts w:hint="default" w:ascii="Times New Roman" w:hAnsi="Times New Roman" w:eastAsia="宋体" w:cs="Times New Roman"/>
          <w:color w:val="auto"/>
          <w:spacing w:val="0"/>
          <w:sz w:val="24"/>
        </w:rPr>
        <w:t>全市共划定91个环境管控单元，其中，优先保护单元27个，重点管控单元55个，一般管控单元9个。</w:t>
      </w:r>
      <w:r>
        <w:rPr>
          <w:rFonts w:hint="default" w:ascii="Times New Roman" w:hAnsi="Times New Roman" w:eastAsia="宋体" w:cs="Times New Roman"/>
          <w:color w:val="auto"/>
          <w:spacing w:val="0"/>
          <w:sz w:val="24"/>
          <w:highlight w:val="none"/>
          <w:lang w:val="en-US" w:eastAsia="zh-CN"/>
        </w:rPr>
        <w:t>本项目位于</w:t>
      </w:r>
      <w:r>
        <w:rPr>
          <w:rFonts w:hint="default" w:ascii="Times New Roman" w:hAnsi="Times New Roman" w:eastAsia="宋体" w:cs="Times New Roman"/>
          <w:color w:val="auto"/>
          <w:spacing w:val="0"/>
          <w:sz w:val="24"/>
          <w:szCs w:val="21"/>
          <w:lang w:val="en-US" w:eastAsia="zh-CN"/>
        </w:rPr>
        <w:t>曲靖市高新技术产业开发区花山片区</w:t>
      </w:r>
      <w:r>
        <w:rPr>
          <w:rFonts w:hint="default"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rPr>
        <w:t>属于曲靖市高新区重点管控单元。</w:t>
      </w:r>
      <w:r>
        <w:rPr>
          <w:rFonts w:hint="default" w:ascii="Times New Roman" w:hAnsi="Times New Roman" w:eastAsia="宋体" w:cs="Times New Roman"/>
          <w:color w:val="auto"/>
          <w:spacing w:val="0"/>
          <w:sz w:val="24"/>
          <w:lang w:val="en-US" w:eastAsia="zh-CN"/>
        </w:rPr>
        <w:t>本</w:t>
      </w:r>
      <w:r>
        <w:rPr>
          <w:rFonts w:hint="default" w:ascii="Times New Roman" w:hAnsi="Times New Roman" w:eastAsia="宋体" w:cs="Times New Roman"/>
          <w:color w:val="auto"/>
          <w:spacing w:val="0"/>
          <w:sz w:val="24"/>
          <w:szCs w:val="32"/>
        </w:rPr>
        <w:t>项目与</w:t>
      </w:r>
      <w:r>
        <w:rPr>
          <w:rFonts w:hint="default" w:ascii="Times New Roman" w:hAnsi="Times New Roman" w:eastAsia="宋体" w:cs="Times New Roman"/>
          <w:color w:val="auto"/>
          <w:spacing w:val="0"/>
          <w:sz w:val="24"/>
        </w:rPr>
        <w:t>《曲靖市生态环境分区管控动态更新方案</w:t>
      </w:r>
      <w:r>
        <w:rPr>
          <w:rFonts w:hint="default" w:ascii="Times New Roman" w:hAnsi="Times New Roman" w:eastAsia="宋体" w:cs="Times New Roman"/>
          <w:color w:val="auto"/>
          <w:spacing w:val="0"/>
          <w:sz w:val="24"/>
          <w:lang w:eastAsia="zh-CN"/>
        </w:rPr>
        <w:t>（</w:t>
      </w:r>
      <w:r>
        <w:rPr>
          <w:rFonts w:hint="default" w:ascii="Times New Roman" w:hAnsi="Times New Roman" w:eastAsia="宋体" w:cs="Times New Roman"/>
          <w:color w:val="auto"/>
          <w:spacing w:val="0"/>
          <w:sz w:val="24"/>
        </w:rPr>
        <w:t>2023年</w:t>
      </w:r>
      <w:r>
        <w:rPr>
          <w:rFonts w:hint="default" w:ascii="Times New Roman" w:hAnsi="Times New Roman" w:eastAsia="宋体" w:cs="Times New Roman"/>
          <w:color w:val="auto"/>
          <w:spacing w:val="0"/>
          <w:sz w:val="24"/>
          <w:lang w:eastAsia="zh-CN"/>
        </w:rPr>
        <w:t>）</w:t>
      </w:r>
      <w:r>
        <w:rPr>
          <w:rFonts w:hint="default" w:ascii="Times New Roman" w:hAnsi="Times New Roman" w:eastAsia="宋体" w:cs="Times New Roman"/>
          <w:color w:val="auto"/>
          <w:spacing w:val="0"/>
          <w:sz w:val="24"/>
        </w:rPr>
        <w:t>》</w:t>
      </w:r>
      <w:r>
        <w:rPr>
          <w:rFonts w:hint="default" w:ascii="Times New Roman" w:hAnsi="Times New Roman" w:eastAsia="宋体" w:cs="Times New Roman"/>
          <w:color w:val="auto"/>
          <w:spacing w:val="0"/>
          <w:sz w:val="24"/>
          <w:szCs w:val="32"/>
        </w:rPr>
        <w:t>的符合性分析</w:t>
      </w:r>
      <w:r>
        <w:rPr>
          <w:rFonts w:hint="default" w:ascii="Times New Roman" w:hAnsi="Times New Roman" w:eastAsia="宋体" w:cs="Times New Roman"/>
          <w:color w:val="auto"/>
          <w:spacing w:val="0"/>
          <w:sz w:val="24"/>
          <w:szCs w:val="32"/>
          <w:lang w:val="en-US" w:eastAsia="zh-CN"/>
        </w:rPr>
        <w:t>详见下</w:t>
      </w:r>
      <w:r>
        <w:rPr>
          <w:rFonts w:hint="default" w:ascii="Times New Roman" w:hAnsi="Times New Roman" w:eastAsia="宋体" w:cs="Times New Roman"/>
          <w:color w:val="auto"/>
          <w:spacing w:val="0"/>
          <w:sz w:val="24"/>
          <w:szCs w:val="32"/>
        </w:rPr>
        <w:t>表</w:t>
      </w:r>
      <w:r>
        <w:rPr>
          <w:rFonts w:hint="default" w:ascii="Times New Roman" w:hAnsi="Times New Roman" w:eastAsia="宋体" w:cs="Times New Roman"/>
          <w:color w:val="auto"/>
          <w:spacing w:val="0"/>
          <w:sz w:val="24"/>
          <w:szCs w:val="32"/>
          <w:lang w:val="en-US" w:eastAsia="zh-CN"/>
        </w:rPr>
        <w:t>3</w:t>
      </w:r>
      <w:r>
        <w:rPr>
          <w:rFonts w:hint="default" w:ascii="Times New Roman" w:hAnsi="Times New Roman" w:eastAsia="宋体" w:cs="Times New Roman"/>
          <w:color w:val="auto"/>
          <w:spacing w:val="0"/>
          <w:sz w:val="24"/>
          <w:szCs w:val="32"/>
        </w:rPr>
        <w:t>。</w:t>
      </w:r>
    </w:p>
    <w:p w14:paraId="04F1DA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w:t>
      </w:r>
      <w:r>
        <w:rPr>
          <w:rFonts w:hint="default" w:ascii="Times New Roman" w:hAnsi="Times New Roman" w:eastAsia="宋体" w:cs="Times New Roman"/>
          <w:b/>
          <w:color w:val="auto"/>
          <w:sz w:val="21"/>
          <w:szCs w:val="21"/>
          <w:lang w:val="en-US" w:eastAsia="zh-CN"/>
        </w:rPr>
        <w:t>3</w:t>
      </w:r>
      <w:r>
        <w:rPr>
          <w:rFonts w:hint="default" w:ascii="Times New Roman" w:hAnsi="Times New Roman" w:eastAsia="宋体" w:cs="Times New Roman"/>
          <w:b/>
          <w:color w:val="auto"/>
          <w:sz w:val="21"/>
          <w:szCs w:val="21"/>
        </w:rPr>
        <w:t xml:space="preserve"> </w:t>
      </w:r>
      <w:r>
        <w:rPr>
          <w:rFonts w:hint="default" w:ascii="Times New Roman" w:hAnsi="Times New Roman" w:eastAsia="宋体" w:cs="Times New Roman"/>
          <w:b/>
          <w:color w:val="auto"/>
          <w:sz w:val="21"/>
          <w:szCs w:val="21"/>
          <w:lang w:val="en-US" w:eastAsia="zh-CN"/>
        </w:rPr>
        <w:t>本</w:t>
      </w:r>
      <w:r>
        <w:rPr>
          <w:rFonts w:hint="default" w:ascii="Times New Roman" w:hAnsi="Times New Roman" w:eastAsia="宋体" w:cs="Times New Roman"/>
          <w:b/>
          <w:color w:val="auto"/>
          <w:sz w:val="21"/>
          <w:szCs w:val="21"/>
        </w:rPr>
        <w:t>项目与</w:t>
      </w:r>
      <w:r>
        <w:rPr>
          <w:rFonts w:hint="eastAsia" w:ascii="Times New Roman" w:hAnsi="Times New Roman" w:eastAsia="宋体" w:cs="Times New Roman"/>
          <w:b/>
          <w:color w:val="auto"/>
          <w:sz w:val="21"/>
          <w:szCs w:val="21"/>
          <w:lang w:eastAsia="zh-CN"/>
        </w:rPr>
        <w:t>“</w:t>
      </w:r>
      <w:r>
        <w:rPr>
          <w:rFonts w:hint="default" w:ascii="Times New Roman" w:hAnsi="Times New Roman" w:eastAsia="宋体" w:cs="Times New Roman"/>
          <w:b/>
          <w:color w:val="auto"/>
          <w:sz w:val="21"/>
          <w:szCs w:val="21"/>
          <w:lang w:val="en-US" w:eastAsia="zh-CN"/>
        </w:rPr>
        <w:t>三线一单</w:t>
      </w:r>
      <w:r>
        <w:rPr>
          <w:rFonts w:hint="eastAsia" w:ascii="Times New Roman" w:hAnsi="Times New Roman" w:eastAsia="宋体" w:cs="Times New Roman"/>
          <w:b/>
          <w:color w:val="auto"/>
          <w:sz w:val="21"/>
          <w:szCs w:val="21"/>
          <w:lang w:eastAsia="zh-CN"/>
        </w:rPr>
        <w:t>”</w:t>
      </w:r>
      <w:r>
        <w:rPr>
          <w:rFonts w:hint="default" w:ascii="Times New Roman" w:hAnsi="Times New Roman" w:eastAsia="宋体" w:cs="Times New Roman"/>
          <w:b/>
          <w:color w:val="auto"/>
          <w:sz w:val="21"/>
          <w:szCs w:val="21"/>
          <w:lang w:val="en-US" w:eastAsia="zh-CN"/>
        </w:rPr>
        <w:t>和</w:t>
      </w:r>
      <w:r>
        <w:rPr>
          <w:rFonts w:hint="default" w:ascii="Times New Roman" w:hAnsi="Times New Roman" w:eastAsia="宋体" w:cs="Times New Roman"/>
          <w:b/>
          <w:color w:val="auto"/>
          <w:sz w:val="21"/>
          <w:szCs w:val="21"/>
        </w:rPr>
        <w:t>《曲靖市生态环境分区管控动态更新方案</w:t>
      </w:r>
      <w:r>
        <w:rPr>
          <w:rFonts w:hint="default" w:ascii="Times New Roman" w:hAnsi="Times New Roman" w:eastAsia="宋体" w:cs="Times New Roman"/>
          <w:b/>
          <w:color w:val="auto"/>
          <w:sz w:val="21"/>
          <w:szCs w:val="21"/>
          <w:lang w:eastAsia="zh-CN"/>
        </w:rPr>
        <w:t>（</w:t>
      </w:r>
      <w:r>
        <w:rPr>
          <w:rFonts w:hint="default" w:ascii="Times New Roman" w:hAnsi="Times New Roman" w:eastAsia="宋体" w:cs="Times New Roman"/>
          <w:b/>
          <w:color w:val="auto"/>
          <w:sz w:val="21"/>
          <w:szCs w:val="21"/>
        </w:rPr>
        <w:t>2023年</w:t>
      </w:r>
      <w:r>
        <w:rPr>
          <w:rFonts w:hint="default" w:ascii="Times New Roman" w:hAnsi="Times New Roman" w:eastAsia="宋体" w:cs="Times New Roman"/>
          <w:b/>
          <w:color w:val="auto"/>
          <w:sz w:val="21"/>
          <w:szCs w:val="21"/>
          <w:lang w:eastAsia="zh-CN"/>
        </w:rPr>
        <w:t>）</w:t>
      </w:r>
      <w:r>
        <w:rPr>
          <w:rFonts w:hint="default" w:ascii="Times New Roman" w:hAnsi="Times New Roman" w:eastAsia="宋体" w:cs="Times New Roman"/>
          <w:b/>
          <w:color w:val="auto"/>
          <w:sz w:val="21"/>
          <w:szCs w:val="21"/>
        </w:rPr>
        <w:t>》的符合性分析情况一览表</w:t>
      </w:r>
    </w:p>
    <w:tbl>
      <w:tblPr>
        <w:tblStyle w:val="21"/>
        <w:tblW w:w="8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422"/>
        <w:gridCol w:w="3026"/>
        <w:gridCol w:w="4273"/>
        <w:gridCol w:w="695"/>
      </w:tblGrid>
      <w:tr w14:paraId="1791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890" w:type="dxa"/>
            <w:gridSpan w:val="3"/>
            <w:noWrap w:val="0"/>
            <w:vAlign w:val="center"/>
          </w:tcPr>
          <w:p w14:paraId="3651F5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lang w:val="en-US" w:eastAsia="zh-CN"/>
              </w:rPr>
              <w:t>三线一单和</w:t>
            </w:r>
            <w:r>
              <w:rPr>
                <w:rFonts w:hint="eastAsia"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lang w:val="en-US" w:eastAsia="zh-CN"/>
              </w:rPr>
              <w:t>方案</w:t>
            </w:r>
            <w:r>
              <w:rPr>
                <w:rFonts w:hint="eastAsia"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lang w:val="en-US" w:eastAsia="zh-CN"/>
              </w:rPr>
              <w:t>要求</w:t>
            </w:r>
          </w:p>
        </w:tc>
        <w:tc>
          <w:tcPr>
            <w:tcW w:w="4273" w:type="dxa"/>
            <w:noWrap w:val="0"/>
            <w:vAlign w:val="center"/>
          </w:tcPr>
          <w:p w14:paraId="1EB6FA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本项目情况</w:t>
            </w:r>
          </w:p>
        </w:tc>
        <w:tc>
          <w:tcPr>
            <w:tcW w:w="695" w:type="dxa"/>
            <w:noWrap w:val="0"/>
            <w:vAlign w:val="center"/>
          </w:tcPr>
          <w:p w14:paraId="1A1B42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符合情况</w:t>
            </w:r>
          </w:p>
        </w:tc>
      </w:tr>
      <w:tr w14:paraId="03EA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7" w:hRule="atLeast"/>
          <w:jc w:val="center"/>
        </w:trPr>
        <w:tc>
          <w:tcPr>
            <w:tcW w:w="442" w:type="dxa"/>
            <w:vMerge w:val="restart"/>
            <w:noWrap w:val="0"/>
            <w:vAlign w:val="center"/>
          </w:tcPr>
          <w:p w14:paraId="442E4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三线一单要求</w:t>
            </w:r>
          </w:p>
        </w:tc>
        <w:tc>
          <w:tcPr>
            <w:tcW w:w="422" w:type="dxa"/>
            <w:noWrap w:val="0"/>
            <w:vAlign w:val="center"/>
          </w:tcPr>
          <w:p w14:paraId="277763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生态保护红线和一般生态空间</w:t>
            </w:r>
          </w:p>
        </w:tc>
        <w:tc>
          <w:tcPr>
            <w:tcW w:w="3026" w:type="dxa"/>
            <w:noWrap w:val="0"/>
            <w:vAlign w:val="center"/>
          </w:tcPr>
          <w:p w14:paraId="2731B890">
            <w:p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执行云南省人民政府发布的生态保护红线，生态保护红线评估调整成果获批后，按照批准成果执行。将未划入生态保护红线的自然保护地、饮用水水源保护区、重要湿地、基本草原、生态公益林、天然林等生态功能重要、生态环境敏感区域划为一般生态空间。</w:t>
            </w:r>
          </w:p>
        </w:tc>
        <w:tc>
          <w:tcPr>
            <w:tcW w:w="4273" w:type="dxa"/>
            <w:noWrap w:val="0"/>
            <w:vAlign w:val="center"/>
          </w:tcPr>
          <w:p w14:paraId="50291A43">
            <w:pPr>
              <w:spacing w:line="240" w:lineRule="auto"/>
              <w:ind w:left="0" w:leftChars="0"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highlight w:val="none"/>
                <w:lang w:val="en-US" w:eastAsia="zh-CN"/>
              </w:rPr>
              <w:t>本项目位于曲靖市高新技术产业开发区花山片区，</w:t>
            </w:r>
            <w:r>
              <w:rPr>
                <w:rFonts w:hint="default" w:ascii="Times New Roman" w:hAnsi="Times New Roman" w:eastAsia="宋体" w:cs="Times New Roman"/>
                <w:color w:val="auto"/>
                <w:kern w:val="0"/>
                <w:sz w:val="21"/>
                <w:szCs w:val="21"/>
                <w:lang w:val="en-US" w:eastAsia="zh-CN"/>
              </w:rPr>
              <w:t>根据2025年7月30日曲靖市沾益区自然资源局出具的《曲煤焦化集装箱堆场提质改造项目拟用地与</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划定成果关系查询结果告知单》：本项目用地位于城镇开发边界范围内，不涉及占用</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划定的永久基本农田，不涉及占用</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三区三线</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划定生态保护红线</w:t>
            </w:r>
            <w:r>
              <w:rPr>
                <w:rFonts w:hint="default" w:ascii="Times New Roman" w:hAnsi="Times New Roman" w:eastAsia="宋体" w:cs="Times New Roman"/>
                <w:color w:val="auto"/>
                <w:sz w:val="21"/>
                <w:szCs w:val="21"/>
                <w:highlight w:val="none"/>
                <w:lang w:val="en-US" w:eastAsia="zh-CN"/>
              </w:rPr>
              <w:t>。满足生态保护红线要求。</w:t>
            </w:r>
            <w:r>
              <w:rPr>
                <w:rFonts w:hint="default" w:ascii="Times New Roman" w:hAnsi="Times New Roman" w:eastAsia="宋体" w:cs="Times New Roman"/>
                <w:color w:val="auto"/>
                <w:sz w:val="21"/>
                <w:szCs w:val="21"/>
                <w:highlight w:val="none"/>
              </w:rPr>
              <w:t>根据云政发〔2020〕29号文件</w:t>
            </w:r>
            <w:r>
              <w:rPr>
                <w:rFonts w:hint="default" w:ascii="Times New Roman" w:hAnsi="Times New Roman" w:eastAsia="宋体" w:cs="Times New Roman"/>
                <w:color w:val="auto"/>
                <w:sz w:val="21"/>
                <w:szCs w:val="21"/>
                <w:highlight w:val="none"/>
                <w:lang w:val="en-US" w:eastAsia="zh-CN"/>
              </w:rPr>
              <w:t>和昆</w:t>
            </w:r>
            <w:r>
              <w:rPr>
                <w:rFonts w:hint="default" w:ascii="Times New Roman" w:hAnsi="Times New Roman" w:eastAsia="宋体" w:cs="Times New Roman"/>
                <w:color w:val="auto"/>
                <w:sz w:val="21"/>
                <w:szCs w:val="21"/>
                <w:highlight w:val="none"/>
              </w:rPr>
              <w:t>政发〔202</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号，项目不在云南省生态保护红线内，不涉及云南省生态保护红线</w:t>
            </w:r>
            <w:r>
              <w:rPr>
                <w:rFonts w:hint="default" w:ascii="Times New Roman" w:hAnsi="Times New Roman" w:eastAsia="宋体" w:cs="Times New Roman"/>
                <w:color w:val="auto"/>
                <w:sz w:val="21"/>
                <w:szCs w:val="21"/>
                <w:highlight w:val="none"/>
                <w:lang w:val="en-US" w:eastAsia="zh-CN"/>
              </w:rPr>
              <w:t>及一般生态空间</w:t>
            </w:r>
            <w:r>
              <w:rPr>
                <w:rFonts w:hint="default" w:ascii="Times New Roman" w:hAnsi="Times New Roman" w:eastAsia="宋体" w:cs="Times New Roman"/>
                <w:color w:val="auto"/>
                <w:sz w:val="21"/>
                <w:szCs w:val="21"/>
                <w:highlight w:val="none"/>
              </w:rPr>
              <w:t>。</w:t>
            </w:r>
          </w:p>
        </w:tc>
        <w:tc>
          <w:tcPr>
            <w:tcW w:w="695" w:type="dxa"/>
            <w:noWrap w:val="0"/>
            <w:vAlign w:val="center"/>
          </w:tcPr>
          <w:p w14:paraId="06A67F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3F66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442" w:type="dxa"/>
            <w:vMerge w:val="continue"/>
            <w:noWrap w:val="0"/>
            <w:vAlign w:val="center"/>
          </w:tcPr>
          <w:p w14:paraId="728A20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p>
        </w:tc>
        <w:tc>
          <w:tcPr>
            <w:tcW w:w="422" w:type="dxa"/>
            <w:noWrap w:val="0"/>
            <w:vAlign w:val="center"/>
          </w:tcPr>
          <w:p w14:paraId="573D76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环境质量底线</w:t>
            </w:r>
          </w:p>
        </w:tc>
        <w:tc>
          <w:tcPr>
            <w:tcW w:w="3026" w:type="dxa"/>
            <w:noWrap w:val="0"/>
            <w:vAlign w:val="center"/>
          </w:tcPr>
          <w:p w14:paraId="4945108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一、水环境质量底线</w:t>
            </w:r>
          </w:p>
          <w:p w14:paraId="263C422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到2025年，全市水环境质量总体优良，集中式饮用水水源地水质保持稳定，纳入国家和省级考核的地表水监测断面水质优良率稳步提升，重点区域、流域水环境质量进一步改善，基本消除劣v类水体，水生态系统功能初步恢复。到2035年，全市地表水体水质优良率全面提升，各监测断面水质达到水环境功能要求，消除劣ⅴ类水体，集中式饮用水水源地水质稳定达标。</w:t>
            </w:r>
          </w:p>
          <w:p w14:paraId="5D0D9F5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二、大气环境质量底线</w:t>
            </w:r>
          </w:p>
          <w:p w14:paraId="2FF3092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到2025年，环境空气质量稳中向好，中心城市和各县（市、区）环境空气质量稳定达到国家二级标准，优良率保持稳定，达到省级下达的考核目标要求。到2035年，环境空气质量全面改善，中心城市和各县（市、区）环境空气质量稳定达到国家二级标准。</w:t>
            </w:r>
          </w:p>
          <w:p w14:paraId="1EA71129">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三、土壤环境风险防控底线</w:t>
            </w:r>
          </w:p>
          <w:p w14:paraId="10CD5C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到2025年，全市土壤环境风险防范体系进一步完善，农用地和建设用地土壤环境安全基本得到有效保障，受污染耕地安全利用率和污染地块安全利用率进一步提高。到2035年，全市土壤环境质量稳中向好，农用地和建设用地土壤环境安全得到有效保障，土壤环境风险得到全面管控。</w:t>
            </w:r>
          </w:p>
        </w:tc>
        <w:tc>
          <w:tcPr>
            <w:tcW w:w="4273" w:type="dxa"/>
            <w:noWrap w:val="0"/>
            <w:vAlign w:val="center"/>
          </w:tcPr>
          <w:p w14:paraId="382884CC">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水环境质量底线</w:t>
            </w:r>
          </w:p>
          <w:p w14:paraId="63A2795F">
            <w:pPr>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距离项目较近的下游沾益天生坝电站断面属于省控断面，上游花山水库出口属于国控断面，根据曲靖市人民政府网站公布数据，花山水库出口国控断面2024年水质均能达到水功能区划</w:t>
            </w:r>
            <w:r>
              <w:rPr>
                <w:rFonts w:hint="default" w:ascii="Times New Roman" w:hAnsi="Times New Roman" w:cs="Times New Roman" w:eastAsiaTheme="minorEastAsia"/>
                <w:color w:val="auto"/>
                <w:kern w:val="1"/>
                <w:sz w:val="21"/>
                <w:szCs w:val="21"/>
                <w:lang w:val="en-US" w:eastAsia="zh-CN"/>
              </w:rPr>
              <w:t>Ⅱ</w:t>
            </w:r>
            <w:r>
              <w:rPr>
                <w:rFonts w:hint="default" w:ascii="Times New Roman" w:hAnsi="Times New Roman" w:eastAsia="宋体" w:cs="Times New Roman"/>
                <w:b w:val="0"/>
                <w:bCs w:val="0"/>
                <w:color w:val="auto"/>
                <w:sz w:val="21"/>
                <w:szCs w:val="21"/>
                <w:highlight w:val="none"/>
                <w:lang w:val="en-US" w:eastAsia="zh-CN"/>
              </w:rPr>
              <w:t>类的标准要求，南盘江天生坝省控断面2024年水质均能达到水功能区划Ⅲ类的标准要求</w:t>
            </w:r>
            <w:r>
              <w:rPr>
                <w:rFonts w:hint="default" w:ascii="Times New Roman" w:hAnsi="Times New Roman" w:eastAsia="宋体" w:cs="Times New Roman"/>
                <w:color w:val="auto"/>
                <w:sz w:val="21"/>
                <w:szCs w:val="21"/>
                <w:highlight w:val="none"/>
                <w:lang w:val="en-US" w:eastAsia="zh-CN"/>
              </w:rPr>
              <w:t>。本项目所在区域的最近地表水体为西北面约90m处的东干渠，汇入南盘江，水质能满足水环境功能区划要求，且项目运营期</w:t>
            </w:r>
            <w:r>
              <w:rPr>
                <w:rFonts w:hint="default" w:ascii="Times New Roman" w:hAnsi="Times New Roman" w:eastAsia="宋体" w:cs="Times New Roman"/>
                <w:b w:val="0"/>
                <w:bCs w:val="0"/>
                <w:color w:val="auto"/>
                <w:sz w:val="21"/>
                <w:szCs w:val="21"/>
                <w:highlight w:val="none"/>
              </w:rPr>
              <w:t>排水系统</w:t>
            </w:r>
            <w:r>
              <w:rPr>
                <w:rFonts w:hint="default" w:ascii="Times New Roman" w:hAnsi="Times New Roman" w:eastAsia="宋体" w:cs="Times New Roman"/>
                <w:b w:val="0"/>
                <w:bCs w:val="0"/>
                <w:color w:val="auto"/>
                <w:sz w:val="21"/>
                <w:szCs w:val="21"/>
                <w:highlight w:val="none"/>
                <w:lang w:val="en-US" w:eastAsia="zh-CN"/>
              </w:rPr>
              <w:t>采用</w:t>
            </w:r>
            <w:r>
              <w:rPr>
                <w:rFonts w:hint="default" w:ascii="Times New Roman" w:hAnsi="Times New Roman" w:eastAsia="宋体" w:cs="Times New Roman"/>
                <w:b w:val="0"/>
                <w:bCs w:val="0"/>
                <w:color w:val="auto"/>
                <w:sz w:val="21"/>
                <w:szCs w:val="21"/>
                <w:highlight w:val="none"/>
              </w:rPr>
              <w:t>雨污分流制</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lang w:val="en-US" w:eastAsia="zh-CN"/>
              </w:rPr>
              <w:t>前15分钟</w:t>
            </w:r>
            <w:r>
              <w:rPr>
                <w:rFonts w:hint="default" w:ascii="Times New Roman" w:hAnsi="Times New Roman" w:eastAsia="宋体" w:cs="Times New Roman"/>
                <w:b w:val="0"/>
                <w:bCs w:val="0"/>
                <w:color w:val="auto"/>
                <w:sz w:val="21"/>
                <w:szCs w:val="21"/>
              </w:rPr>
              <w:t>雨水</w:t>
            </w:r>
            <w:r>
              <w:rPr>
                <w:rFonts w:hint="default" w:ascii="Times New Roman" w:hAnsi="Times New Roman" w:eastAsia="宋体" w:cs="Times New Roman"/>
                <w:b w:val="0"/>
                <w:bCs w:val="0"/>
                <w:color w:val="auto"/>
                <w:sz w:val="21"/>
                <w:szCs w:val="21"/>
                <w:lang w:eastAsia="zh-CN"/>
              </w:rPr>
              <w:t>经雨水沟收集</w:t>
            </w:r>
            <w:r>
              <w:rPr>
                <w:rFonts w:hint="default" w:ascii="Times New Roman" w:hAnsi="Times New Roman" w:eastAsia="宋体" w:cs="Times New Roman"/>
                <w:b w:val="0"/>
                <w:bCs w:val="0"/>
                <w:color w:val="auto"/>
                <w:sz w:val="21"/>
                <w:szCs w:val="21"/>
                <w:lang w:val="en-US" w:eastAsia="zh-CN"/>
              </w:rPr>
              <w:t>后</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排入项目区</w:t>
            </w:r>
            <w:r>
              <w:rPr>
                <w:rFonts w:hint="default" w:ascii="Times New Roman" w:hAnsi="Times New Roman" w:cs="Times New Roman"/>
                <w:b w:val="0"/>
                <w:bCs w:val="0"/>
                <w:color w:val="auto"/>
                <w:sz w:val="21"/>
                <w:szCs w:val="21"/>
                <w:lang w:val="en-US" w:eastAsia="zh-CN"/>
              </w:rPr>
              <w:t>初期雨水收集池</w:t>
            </w:r>
            <w:r>
              <w:rPr>
                <w:rFonts w:hint="default" w:ascii="Times New Roman" w:hAnsi="Times New Roman" w:eastAsia="宋体" w:cs="Times New Roman"/>
                <w:b w:val="0"/>
                <w:bCs w:val="0"/>
                <w:color w:val="auto"/>
                <w:sz w:val="21"/>
                <w:szCs w:val="21"/>
                <w:lang w:val="en-US" w:eastAsia="zh-CN"/>
              </w:rPr>
              <w:t>处理</w:t>
            </w:r>
            <w:r>
              <w:rPr>
                <w:rFonts w:hint="default" w:ascii="Times New Roman" w:hAnsi="Times New Roman" w:cs="Times New Roman"/>
                <w:b w:val="0"/>
                <w:bCs w:val="0"/>
                <w:color w:val="auto"/>
                <w:sz w:val="21"/>
                <w:szCs w:val="21"/>
                <w:lang w:val="en-US" w:eastAsia="zh-CN"/>
              </w:rPr>
              <w:t>，</w:t>
            </w:r>
            <w:r>
              <w:rPr>
                <w:rFonts w:hint="default" w:ascii="Times New Roman" w:hAnsi="Times New Roman" w:eastAsia="宋体" w:cs="Times New Roman"/>
                <w:color w:val="auto"/>
                <w:kern w:val="0"/>
                <w:sz w:val="21"/>
                <w:szCs w:val="21"/>
                <w:lang w:val="en-US" w:eastAsia="zh-CN"/>
              </w:rPr>
              <w:t>回用于项目绿化、洒水降尘，回用不完的由曲煤焦化内部清运至铁路卸煤区洒水降尘</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b w:val="0"/>
                <w:bCs w:val="0"/>
                <w:color w:val="auto"/>
                <w:sz w:val="21"/>
                <w:szCs w:val="21"/>
                <w:lang w:val="en-US" w:eastAsia="zh-CN"/>
              </w:rPr>
              <w:t>后期雨水排入园区雨水管网</w:t>
            </w:r>
            <w:r>
              <w:rPr>
                <w:rFonts w:hint="default" w:ascii="Times New Roman" w:hAnsi="Times New Roman" w:eastAsia="宋体" w:cs="Times New Roman"/>
                <w:b w:val="0"/>
                <w:bCs w:val="0"/>
                <w:color w:val="auto"/>
                <w:sz w:val="21"/>
                <w:szCs w:val="21"/>
              </w:rPr>
              <w:t>；生活污水委托</w:t>
            </w:r>
            <w:r>
              <w:rPr>
                <w:rFonts w:hint="default" w:ascii="Times New Roman" w:hAnsi="Times New Roman" w:cs="Times New Roman"/>
                <w:b w:val="0"/>
                <w:bCs w:val="0"/>
                <w:color w:val="auto"/>
                <w:sz w:val="21"/>
                <w:szCs w:val="21"/>
                <w:lang w:eastAsia="zh-CN"/>
              </w:rPr>
              <w:t>环卫部门清运处置</w:t>
            </w:r>
            <w:r>
              <w:rPr>
                <w:rFonts w:hint="default" w:ascii="Times New Roman" w:hAnsi="Times New Roman" w:eastAsia="宋体" w:cs="Times New Roman"/>
                <w:b w:val="0"/>
                <w:bCs w:val="0"/>
                <w:color w:val="auto"/>
                <w:sz w:val="21"/>
                <w:szCs w:val="21"/>
                <w:highlight w:val="none"/>
                <w:lang w:val="en-US" w:eastAsia="zh-CN"/>
              </w:rPr>
              <w:t>。</w:t>
            </w:r>
          </w:p>
          <w:p w14:paraId="7D11FD6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二、大气环境质量底线</w:t>
            </w:r>
          </w:p>
          <w:p w14:paraId="0CA9D5D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根据</w:t>
            </w:r>
            <w:r>
              <w:rPr>
                <w:rFonts w:hint="eastAsia" w:ascii="Times New Roman" w:hAnsi="Times New Roman" w:eastAsia="宋体" w:cs="Times New Roman"/>
                <w:color w:val="auto"/>
                <w:sz w:val="21"/>
                <w:szCs w:val="21"/>
                <w:highlight w:val="none"/>
                <w:lang w:val="en-US" w:eastAsia="zh-CN"/>
              </w:rPr>
              <w:t>2025</w:t>
            </w:r>
            <w:r>
              <w:rPr>
                <w:rFonts w:hint="default" w:ascii="Times New Roman" w:hAnsi="Times New Roman" w:eastAsia="宋体" w:cs="Times New Roman"/>
                <w:color w:val="auto"/>
                <w:sz w:val="21"/>
                <w:szCs w:val="21"/>
                <w:highlight w:val="none"/>
                <w:lang w:val="en-US" w:eastAsia="zh-CN"/>
              </w:rPr>
              <w:t>年曲靖市</w:t>
            </w:r>
            <w:r>
              <w:rPr>
                <w:rFonts w:hint="eastAsia" w:ascii="Times New Roman" w:hAnsi="Times New Roman" w:eastAsia="宋体" w:cs="Times New Roman"/>
                <w:color w:val="auto"/>
                <w:sz w:val="21"/>
                <w:szCs w:val="21"/>
                <w:highlight w:val="none"/>
                <w:lang w:val="en-US" w:eastAsia="zh-CN"/>
              </w:rPr>
              <w:t>沾益区</w:t>
            </w:r>
            <w:r>
              <w:rPr>
                <w:rFonts w:hint="default" w:ascii="Times New Roman" w:hAnsi="Times New Roman" w:eastAsia="宋体" w:cs="Times New Roman"/>
                <w:color w:val="auto"/>
                <w:sz w:val="21"/>
                <w:szCs w:val="21"/>
                <w:highlight w:val="none"/>
                <w:lang w:val="en-US" w:eastAsia="zh-CN"/>
              </w:rPr>
              <w:t>环境质量数据的统计，曲靖市</w:t>
            </w:r>
            <w:r>
              <w:rPr>
                <w:rFonts w:hint="eastAsia" w:ascii="Times New Roman" w:hAnsi="Times New Roman" w:eastAsia="宋体" w:cs="Times New Roman"/>
                <w:color w:val="auto"/>
                <w:sz w:val="21"/>
                <w:szCs w:val="21"/>
                <w:highlight w:val="none"/>
                <w:lang w:val="en-US" w:eastAsia="zh-CN"/>
              </w:rPr>
              <w:t>沾益区</w:t>
            </w:r>
            <w:r>
              <w:rPr>
                <w:rFonts w:hint="default" w:ascii="Times New Roman" w:hAnsi="Times New Roman" w:eastAsia="宋体" w:cs="Times New Roman"/>
                <w:color w:val="auto"/>
                <w:sz w:val="21"/>
                <w:szCs w:val="21"/>
                <w:highlight w:val="none"/>
                <w:lang w:val="en-US" w:eastAsia="zh-CN"/>
              </w:rPr>
              <w:t>202</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年SO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、NO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、PM</w:t>
            </w:r>
            <w:r>
              <w:rPr>
                <w:rFonts w:hint="default" w:ascii="Times New Roman" w:hAnsi="Times New Roman" w:eastAsia="宋体" w:cs="Times New Roman"/>
                <w:color w:val="auto"/>
                <w:sz w:val="21"/>
                <w:szCs w:val="21"/>
                <w:highlight w:val="none"/>
                <w:vertAlign w:val="subscript"/>
                <w:lang w:val="en-US" w:eastAsia="zh-CN"/>
              </w:rPr>
              <w:t>10</w:t>
            </w:r>
            <w:r>
              <w:rPr>
                <w:rFonts w:hint="default" w:ascii="Times New Roman" w:hAnsi="Times New Roman" w:eastAsia="宋体" w:cs="Times New Roman"/>
                <w:color w:val="auto"/>
                <w:sz w:val="21"/>
                <w:szCs w:val="21"/>
                <w:highlight w:val="none"/>
                <w:lang w:val="en-US" w:eastAsia="zh-CN"/>
              </w:rPr>
              <w:t>、PM</w:t>
            </w:r>
            <w:r>
              <w:rPr>
                <w:rFonts w:hint="default" w:ascii="Times New Roman" w:hAnsi="Times New Roman" w:eastAsia="宋体" w:cs="Times New Roman"/>
                <w:color w:val="auto"/>
                <w:sz w:val="21"/>
                <w:szCs w:val="21"/>
                <w:highlight w:val="none"/>
                <w:vertAlign w:val="subscript"/>
                <w:lang w:val="en-US" w:eastAsia="zh-CN"/>
              </w:rPr>
              <w:t>2.5</w:t>
            </w:r>
            <w:r>
              <w:rPr>
                <w:rFonts w:hint="eastAsia" w:ascii="Times New Roman" w:hAnsi="Times New Roman" w:eastAsia="宋体" w:cs="Times New Roman"/>
                <w:color w:val="auto"/>
                <w:sz w:val="21"/>
                <w:szCs w:val="21"/>
                <w:highlight w:val="none"/>
                <w:vertAlign w:val="subscript"/>
                <w:lang w:val="en-US" w:eastAsia="zh-CN"/>
              </w:rPr>
              <w:t>、</w:t>
            </w:r>
            <w:r>
              <w:rPr>
                <w:rFonts w:hint="default" w:ascii="Times New Roman" w:hAnsi="Times New Roman" w:eastAsia="宋体" w:cs="Times New Roman"/>
                <w:color w:val="auto"/>
                <w:sz w:val="21"/>
                <w:szCs w:val="21"/>
                <w:highlight w:val="none"/>
                <w:lang w:val="en-US" w:eastAsia="zh-CN"/>
              </w:rPr>
              <w:t>CO</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O</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lang w:val="en-US" w:eastAsia="zh-CN"/>
              </w:rPr>
              <w:t>各污染物平均浓度均优于《环境空气质量标准》（GB3095-2012）中二级标准限值，本项目粉尘经洒水降尘后排放，对大气环境质量影响较小，不会突破当地大气环境质量底线。</w:t>
            </w:r>
          </w:p>
          <w:p w14:paraId="0ACBFFE0">
            <w:pPr>
              <w:keepNext/>
              <w:keepLines w:val="0"/>
              <w:pageBreakBefore w:val="0"/>
              <w:widowControl w:val="0"/>
              <w:numPr>
                <w:ilvl w:val="0"/>
                <w:numId w:val="2"/>
              </w:numPr>
              <w:kinsoku/>
              <w:wordWrap/>
              <w:overflowPunct/>
              <w:topLinePunct w:val="0"/>
              <w:autoSpaceDE/>
              <w:autoSpaceDN/>
              <w:bidi w:val="0"/>
              <w:snapToGrid w:val="0"/>
              <w:spacing w:line="240" w:lineRule="auto"/>
              <w:ind w:left="0" w:leftChars="0"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土壤环境风险防控底线</w:t>
            </w:r>
          </w:p>
          <w:p w14:paraId="16A2570C">
            <w:pPr>
              <w:keepNext/>
              <w:keepLines w:val="0"/>
              <w:pageBreakBefore w:val="0"/>
              <w:widowControl w:val="0"/>
              <w:numPr>
                <w:ilvl w:val="0"/>
                <w:numId w:val="0"/>
              </w:numPr>
              <w:kinsoku/>
              <w:wordWrap/>
              <w:overflowPunct/>
              <w:topLinePunct w:val="0"/>
              <w:autoSpaceDE/>
              <w:autoSpaceDN/>
              <w:bidi w:val="0"/>
              <w:snapToGrid w:val="0"/>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本项目按</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分区防渗</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原则进行防渗。</w:t>
            </w:r>
          </w:p>
          <w:p w14:paraId="11EF616B">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危废暂存间</w:t>
            </w:r>
            <w:r>
              <w:rPr>
                <w:rFonts w:hint="default" w:ascii="Times New Roman" w:hAnsi="Times New Roman" w:eastAsia="宋体" w:cs="Times New Roman"/>
                <w:color w:val="auto"/>
                <w:kern w:val="0"/>
                <w:sz w:val="21"/>
                <w:szCs w:val="21"/>
                <w:lang w:val="en-US" w:eastAsia="zh-CN" w:bidi="ar"/>
              </w:rPr>
              <w:t>划分为重点防渗区，</w:t>
            </w:r>
            <w:r>
              <w:rPr>
                <w:rFonts w:hint="default" w:ascii="Times New Roman" w:hAnsi="Times New Roman" w:eastAsia="宋体" w:cs="Times New Roman"/>
                <w:color w:val="auto"/>
                <w:sz w:val="21"/>
                <w:szCs w:val="21"/>
                <w:highlight w:val="none"/>
                <w:lang w:val="en-US" w:eastAsia="zh-CN"/>
              </w:rPr>
              <w:t>危废暂存间</w:t>
            </w:r>
            <w:r>
              <w:rPr>
                <w:rFonts w:hint="default" w:ascii="Times New Roman" w:hAnsi="Times New Roman" w:eastAsia="宋体" w:cs="Times New Roman"/>
                <w:color w:val="auto"/>
                <w:sz w:val="21"/>
                <w:szCs w:val="21"/>
                <w:highlight w:val="none"/>
              </w:rPr>
              <w:t>根据《危险废物贮存污染控制标准》（GB 18597-2023）</w:t>
            </w:r>
            <w:r>
              <w:rPr>
                <w:rFonts w:hint="default" w:ascii="Times New Roman" w:hAnsi="Times New Roman" w:eastAsia="宋体" w:cs="Times New Roman"/>
                <w:bCs/>
                <w:color w:val="auto"/>
                <w:sz w:val="21"/>
                <w:szCs w:val="21"/>
                <w:highlight w:val="none"/>
                <w:lang w:val="en-US" w:eastAsia="zh-CN"/>
              </w:rPr>
              <w:t>防渗技术</w:t>
            </w:r>
            <w:r>
              <w:rPr>
                <w:rFonts w:hint="default" w:ascii="Times New Roman" w:hAnsi="Times New Roman" w:eastAsia="宋体" w:cs="Times New Roman"/>
                <w:color w:val="auto"/>
                <w:sz w:val="21"/>
                <w:szCs w:val="21"/>
                <w:highlight w:val="none"/>
                <w:lang w:val="en-US" w:eastAsia="zh-CN"/>
              </w:rPr>
              <w:t>要求进行防渗，防渗层为至少1m厚黏土层（渗透系数不大于10</w:t>
            </w:r>
            <w:r>
              <w:rPr>
                <w:rFonts w:hint="default" w:ascii="Times New Roman" w:hAnsi="Times New Roman" w:eastAsia="宋体" w:cs="Times New Roman"/>
                <w:color w:val="auto"/>
                <w:sz w:val="21"/>
                <w:szCs w:val="21"/>
                <w:highlight w:val="none"/>
                <w:vertAlign w:val="superscript"/>
                <w:lang w:val="en-US" w:eastAsia="zh-CN"/>
              </w:rPr>
              <w:t xml:space="preserve"> -7</w:t>
            </w:r>
            <w:r>
              <w:rPr>
                <w:rFonts w:hint="default" w:ascii="Times New Roman" w:hAnsi="Times New Roman" w:eastAsia="宋体" w:cs="Times New Roman"/>
                <w:color w:val="auto"/>
                <w:sz w:val="21"/>
                <w:szCs w:val="21"/>
                <w:highlight w:val="none"/>
                <w:lang w:val="en-US" w:eastAsia="zh-CN"/>
              </w:rPr>
              <w:t>cm/s），或至少2mm厚高密度聚乙烯膜等人工防渗材料（渗透系数不大于10</w:t>
            </w:r>
            <w:r>
              <w:rPr>
                <w:rFonts w:hint="default" w:ascii="Times New Roman" w:hAnsi="Times New Roman" w:cs="Times New Roman"/>
                <w:color w:val="auto"/>
                <w:sz w:val="21"/>
                <w:szCs w:val="21"/>
                <w:highlight w:val="none"/>
                <w:vertAlign w:val="superscript"/>
                <w:lang w:val="en-US" w:eastAsia="zh-CN"/>
              </w:rPr>
              <w:t>-</w:t>
            </w:r>
            <w:r>
              <w:rPr>
                <w:rFonts w:hint="default" w:ascii="Times New Roman" w:hAnsi="Times New Roman" w:eastAsia="宋体" w:cs="Times New Roman"/>
                <w:color w:val="auto"/>
                <w:sz w:val="21"/>
                <w:szCs w:val="21"/>
                <w:highlight w:val="none"/>
                <w:vertAlign w:val="superscript"/>
                <w:lang w:val="en-US" w:eastAsia="zh-CN"/>
              </w:rPr>
              <w:t>10</w:t>
            </w:r>
            <w:r>
              <w:rPr>
                <w:rFonts w:hint="default" w:ascii="Times New Roman" w:hAnsi="Times New Roman" w:eastAsia="宋体" w:cs="Times New Roman"/>
                <w:color w:val="auto"/>
                <w:sz w:val="21"/>
                <w:szCs w:val="21"/>
                <w:highlight w:val="none"/>
                <w:lang w:val="en-US" w:eastAsia="zh-CN"/>
              </w:rPr>
              <w:t>cm/s），或其他防渗性能等效的材料</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b w:val="0"/>
                <w:bCs/>
                <w:color w:val="auto"/>
                <w:kern w:val="2"/>
                <w:sz w:val="21"/>
                <w:szCs w:val="21"/>
                <w:highlight w:val="none"/>
                <w:vertAlign w:val="baseline"/>
                <w:lang w:val="en-US" w:eastAsia="zh-CN" w:bidi="ar-SA"/>
              </w:rPr>
              <w:t>正面吊维修区</w:t>
            </w:r>
            <w:r>
              <w:rPr>
                <w:rFonts w:hint="default" w:ascii="Times New Roman" w:hAnsi="Times New Roman" w:eastAsia="宋体" w:cs="Times New Roman"/>
                <w:color w:val="auto"/>
                <w:sz w:val="21"/>
                <w:szCs w:val="21"/>
                <w:highlight w:val="none"/>
                <w:lang w:val="en-US" w:eastAsia="zh-CN"/>
              </w:rPr>
              <w:t>根据《环境影响评价技术导则地下水环境》（HJ610-2016）重点防渗技术要求进行防渗，</w:t>
            </w:r>
            <w:r>
              <w:rPr>
                <w:rFonts w:hint="default" w:ascii="Times New Roman" w:hAnsi="Times New Roman" w:eastAsia="宋体" w:cs="Times New Roman"/>
                <w:color w:val="auto"/>
                <w:kern w:val="0"/>
                <w:sz w:val="21"/>
                <w:szCs w:val="21"/>
                <w:highlight w:val="none"/>
                <w:lang w:val="en-US" w:eastAsia="zh-CN" w:bidi="ar"/>
              </w:rPr>
              <w:t>防渗层的防渗性能应等效于</w:t>
            </w:r>
            <w:r>
              <w:rPr>
                <w:rFonts w:hint="default" w:ascii="Times New Roman" w:hAnsi="Times New Roman" w:eastAsia="宋体" w:cs="Times New Roman"/>
                <w:color w:val="auto"/>
                <w:sz w:val="21"/>
                <w:szCs w:val="21"/>
                <w:highlight w:val="none"/>
                <w:lang w:val="en-US" w:eastAsia="zh-CN"/>
              </w:rPr>
              <w:t>黏土防渗层Mb≥6.0m，K≤1×10</w:t>
            </w:r>
            <w:r>
              <w:rPr>
                <w:rFonts w:hint="default" w:ascii="Times New Roman" w:hAnsi="Times New Roman" w:eastAsia="宋体" w:cs="Times New Roman"/>
                <w:color w:val="auto"/>
                <w:sz w:val="21"/>
                <w:szCs w:val="21"/>
                <w:highlight w:val="none"/>
                <w:vertAlign w:val="superscript"/>
                <w:lang w:val="en-US" w:eastAsia="zh-CN"/>
              </w:rPr>
              <w:t>-7</w:t>
            </w:r>
            <w:r>
              <w:rPr>
                <w:rFonts w:hint="default" w:ascii="Times New Roman" w:hAnsi="Times New Roman" w:eastAsia="宋体" w:cs="Times New Roman"/>
                <w:color w:val="auto"/>
                <w:sz w:val="21"/>
                <w:szCs w:val="21"/>
                <w:highlight w:val="none"/>
                <w:lang w:val="en-US" w:eastAsia="zh-CN"/>
              </w:rPr>
              <w:t>cm/s</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lang w:eastAsia="zh-CN" w:bidi="ar"/>
              </w:rPr>
              <w:t>化粪池、</w:t>
            </w:r>
            <w:r>
              <w:rPr>
                <w:rFonts w:hint="default" w:ascii="Times New Roman" w:hAnsi="Times New Roman" w:cs="Times New Roman"/>
                <w:color w:val="auto"/>
                <w:kern w:val="0"/>
                <w:sz w:val="21"/>
                <w:szCs w:val="21"/>
                <w:lang w:val="en-US" w:eastAsia="zh-CN" w:bidi="ar"/>
              </w:rPr>
              <w:t>初期雨水收集池</w:t>
            </w:r>
            <w:r>
              <w:rPr>
                <w:rFonts w:hint="default" w:ascii="Times New Roman" w:hAnsi="Times New Roman" w:eastAsia="宋体" w:cs="Times New Roman"/>
                <w:color w:val="auto"/>
                <w:kern w:val="0"/>
                <w:sz w:val="21"/>
                <w:szCs w:val="21"/>
                <w:lang w:val="en-US" w:eastAsia="zh-CN" w:bidi="ar"/>
              </w:rPr>
              <w:t>划分为一般防渗区，</w:t>
            </w:r>
            <w:r>
              <w:rPr>
                <w:rFonts w:hint="default" w:ascii="Times New Roman" w:hAnsi="Times New Roman" w:eastAsia="宋体" w:cs="Times New Roman"/>
                <w:color w:val="auto"/>
                <w:sz w:val="21"/>
                <w:szCs w:val="21"/>
                <w:highlight w:val="none"/>
                <w:lang w:val="en-US" w:eastAsia="zh-CN"/>
              </w:rPr>
              <w:t>根据《环境影响评价技术导则地下水环境》（HJ610-2016）一般防渗技术要求进行防渗，</w:t>
            </w:r>
            <w:r>
              <w:rPr>
                <w:rFonts w:hint="default" w:ascii="Times New Roman" w:hAnsi="Times New Roman" w:eastAsia="宋体" w:cs="Times New Roman"/>
                <w:color w:val="auto"/>
                <w:kern w:val="0"/>
                <w:sz w:val="21"/>
                <w:szCs w:val="21"/>
                <w:highlight w:val="none"/>
                <w:lang w:val="en-US" w:eastAsia="zh-CN" w:bidi="ar"/>
              </w:rPr>
              <w:t>防渗层的防渗性能应等效于</w:t>
            </w:r>
            <w:r>
              <w:rPr>
                <w:rFonts w:hint="default" w:ascii="Times New Roman" w:hAnsi="Times New Roman" w:eastAsia="宋体" w:cs="Times New Roman"/>
                <w:color w:val="auto"/>
                <w:sz w:val="21"/>
                <w:szCs w:val="21"/>
                <w:highlight w:val="none"/>
                <w:lang w:val="en-US" w:eastAsia="zh-CN"/>
              </w:rPr>
              <w:t>黏土防渗层Mb≥1.5m，K≤1×10</w:t>
            </w:r>
            <w:r>
              <w:rPr>
                <w:rFonts w:hint="default" w:ascii="Times New Roman" w:hAnsi="Times New Roman" w:cs="Times New Roman"/>
                <w:color w:val="auto"/>
                <w:sz w:val="21"/>
                <w:szCs w:val="21"/>
                <w:highlight w:val="none"/>
                <w:vertAlign w:val="superscript"/>
                <w:lang w:val="en-US" w:eastAsia="zh-CN"/>
              </w:rPr>
              <w:t>-7</w:t>
            </w:r>
            <w:r>
              <w:rPr>
                <w:rFonts w:hint="default" w:ascii="Times New Roman" w:hAnsi="Times New Roman" w:eastAsia="宋体" w:cs="Times New Roman"/>
                <w:color w:val="auto"/>
                <w:sz w:val="21"/>
                <w:szCs w:val="21"/>
                <w:highlight w:val="none"/>
                <w:lang w:val="en-US" w:eastAsia="zh-CN"/>
              </w:rPr>
              <w:t>cm/s；</w:t>
            </w:r>
            <w:r>
              <w:rPr>
                <w:rFonts w:hint="default" w:ascii="Times New Roman" w:hAnsi="Times New Roman" w:eastAsia="宋体" w:cs="Times New Roman"/>
                <w:bCs/>
                <w:color w:val="auto"/>
                <w:sz w:val="21"/>
                <w:szCs w:val="21"/>
                <w:highlight w:val="none"/>
                <w:lang w:val="en-US" w:eastAsia="zh-CN"/>
              </w:rPr>
              <w:t>除绿化外的其他区域划分为简单防渗区，进行一般地面硬化。</w:t>
            </w:r>
          </w:p>
          <w:p w14:paraId="220ECF6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highlight w:val="none"/>
                <w:lang w:val="en-US" w:eastAsia="zh-CN"/>
              </w:rPr>
              <w:t>综上所述，项目分区防渗，且生活垃圾交环卫部门进行合理处置、危险废物交由有资质单位进行处置，对厂区及周边土壤环境影响较小，土壤环境风险低，不会对土壤环境产生不良影响。</w:t>
            </w:r>
          </w:p>
        </w:tc>
        <w:tc>
          <w:tcPr>
            <w:tcW w:w="695" w:type="dxa"/>
            <w:noWrap w:val="0"/>
            <w:vAlign w:val="center"/>
          </w:tcPr>
          <w:p w14:paraId="6B6B42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7F9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2" w:type="dxa"/>
            <w:vMerge w:val="continue"/>
            <w:noWrap w:val="0"/>
            <w:vAlign w:val="center"/>
          </w:tcPr>
          <w:p w14:paraId="2DC03C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p>
        </w:tc>
        <w:tc>
          <w:tcPr>
            <w:tcW w:w="422" w:type="dxa"/>
            <w:noWrap w:val="0"/>
            <w:vAlign w:val="center"/>
          </w:tcPr>
          <w:p w14:paraId="7DA4D8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资源利用上线</w:t>
            </w:r>
          </w:p>
        </w:tc>
        <w:tc>
          <w:tcPr>
            <w:tcW w:w="3026" w:type="dxa"/>
            <w:noWrap w:val="0"/>
            <w:vAlign w:val="center"/>
          </w:tcPr>
          <w:p w14:paraId="0DFC92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强化节约集约利用，持续提升资源能源利用效率，水资源、土地资源、能源消耗完成省级下达的控制目标。</w:t>
            </w:r>
          </w:p>
        </w:tc>
        <w:tc>
          <w:tcPr>
            <w:tcW w:w="4273" w:type="dxa"/>
            <w:noWrap w:val="0"/>
            <w:vAlign w:val="center"/>
          </w:tcPr>
          <w:p w14:paraId="5C0C38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highlight w:val="none"/>
                <w:lang w:val="en-US" w:eastAsia="zh-CN"/>
              </w:rPr>
              <w:t>本项目对土地资源占用不大，用水、用电量不会超出区域的供水、供电负荷，项目与资源利用上线的要求相符。</w:t>
            </w:r>
          </w:p>
        </w:tc>
        <w:tc>
          <w:tcPr>
            <w:tcW w:w="695" w:type="dxa"/>
            <w:noWrap w:val="0"/>
            <w:vAlign w:val="center"/>
          </w:tcPr>
          <w:p w14:paraId="29B4A2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695A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jc w:val="center"/>
        </w:trPr>
        <w:tc>
          <w:tcPr>
            <w:tcW w:w="442" w:type="dxa"/>
            <w:vMerge w:val="continue"/>
            <w:noWrap w:val="0"/>
            <w:vAlign w:val="center"/>
          </w:tcPr>
          <w:p w14:paraId="750D6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p>
        </w:tc>
        <w:tc>
          <w:tcPr>
            <w:tcW w:w="422" w:type="dxa"/>
            <w:noWrap w:val="0"/>
            <w:vAlign w:val="center"/>
          </w:tcPr>
          <w:p w14:paraId="45AA88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生态环境准入清单</w:t>
            </w:r>
          </w:p>
        </w:tc>
        <w:tc>
          <w:tcPr>
            <w:tcW w:w="3026" w:type="dxa"/>
            <w:noWrap w:val="0"/>
            <w:vAlign w:val="center"/>
          </w:tcPr>
          <w:p w14:paraId="3EF80D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严格落实《云南省人民政府关于实施</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三线一单</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生态环境分区管控的意见》（云政发〔2020〕29号）管控要求。强化污染防治和自然生态系统保护修复，改善区域生态环境质量，提出曲靖市生态环境管控总体要求和80个管控单元的生态环境准入清单，构建全市生态环境分区管控体系。</w:t>
            </w:r>
          </w:p>
        </w:tc>
        <w:tc>
          <w:tcPr>
            <w:tcW w:w="4273" w:type="dxa"/>
            <w:noWrap w:val="0"/>
            <w:vAlign w:val="center"/>
          </w:tcPr>
          <w:p w14:paraId="510CE5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根据2025年7月30日曲靖市沾益区自然资源局出具的《曲煤焦化集装箱堆场提质改造项目拟用地与</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三区三线</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划定成果关系查询结果告知单》：本项目用地位于城镇开发边界范围内，不涉及占用</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三区三线</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划定的永久基本农田，不涉及占用</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三区三线</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划定生态保护红线。</w:t>
            </w:r>
          </w:p>
        </w:tc>
        <w:tc>
          <w:tcPr>
            <w:tcW w:w="695" w:type="dxa"/>
            <w:noWrap w:val="0"/>
            <w:vAlign w:val="center"/>
          </w:tcPr>
          <w:p w14:paraId="7C0D43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符合</w:t>
            </w:r>
          </w:p>
        </w:tc>
      </w:tr>
      <w:tr w14:paraId="0BD3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442" w:type="dxa"/>
            <w:vMerge w:val="restart"/>
            <w:noWrap w:val="0"/>
            <w:vAlign w:val="center"/>
          </w:tcPr>
          <w:p w14:paraId="53F61A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曲靖市生态环境分区管控总体要求</w:t>
            </w:r>
          </w:p>
        </w:tc>
        <w:tc>
          <w:tcPr>
            <w:tcW w:w="422" w:type="dxa"/>
            <w:vMerge w:val="restart"/>
            <w:noWrap w:val="0"/>
            <w:vAlign w:val="center"/>
          </w:tcPr>
          <w:p w14:paraId="35721B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空间布局约束</w:t>
            </w:r>
          </w:p>
        </w:tc>
        <w:tc>
          <w:tcPr>
            <w:tcW w:w="3026" w:type="dxa"/>
            <w:noWrap w:val="0"/>
            <w:vAlign w:val="center"/>
          </w:tcPr>
          <w:p w14:paraId="3328CB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严格执行《长江经济带发展负面清单指南（试行，2022年版）》《云南省长江经济带发展负面清单指南实施细则（试行）》等产业准入有关要求。</w:t>
            </w:r>
          </w:p>
        </w:tc>
        <w:tc>
          <w:tcPr>
            <w:tcW w:w="4273" w:type="dxa"/>
            <w:noWrap w:val="0"/>
            <w:vAlign w:val="center"/>
          </w:tcPr>
          <w:p w14:paraId="10C0E2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本项目为</w:t>
            </w:r>
            <w:r>
              <w:rPr>
                <w:rFonts w:hint="eastAsia" w:ascii="Times New Roman" w:hAnsi="Times New Roman" w:eastAsia="宋体" w:cs="Times New Roman"/>
                <w:color w:val="auto"/>
                <w:kern w:val="0"/>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，位于曲靖市高新技术产业开发区花山片区，根据</w:t>
            </w:r>
            <w:r>
              <w:rPr>
                <w:rFonts w:hint="default" w:ascii="Times New Roman" w:hAnsi="Times New Roman" w:cs="Times New Roman"/>
                <w:color w:val="auto"/>
                <w:kern w:val="0"/>
                <w:sz w:val="21"/>
                <w:szCs w:val="21"/>
                <w:lang w:val="en-US" w:eastAsia="zh-CN"/>
              </w:rPr>
              <w:t>项目</w:t>
            </w:r>
            <w:r>
              <w:rPr>
                <w:rFonts w:hint="default" w:ascii="Times New Roman" w:hAnsi="Times New Roman" w:eastAsia="宋体" w:cs="Times New Roman"/>
                <w:color w:val="auto"/>
                <w:kern w:val="0"/>
                <w:sz w:val="21"/>
                <w:szCs w:val="21"/>
                <w:lang w:val="en-US" w:eastAsia="zh-CN"/>
              </w:rPr>
              <w:t>与</w:t>
            </w:r>
            <w:r>
              <w:rPr>
                <w:rFonts w:hint="default" w:ascii="Times New Roman" w:hAnsi="Times New Roman" w:eastAsia="宋体" w:cs="Times New Roman"/>
                <w:color w:val="auto"/>
                <w:kern w:val="0"/>
                <w:sz w:val="21"/>
                <w:szCs w:val="21"/>
              </w:rPr>
              <w:t>《云南省长江经济带发展负面清单指南实施细则</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试行，2022年版</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sz w:val="21"/>
                <w:szCs w:val="21"/>
                <w:lang w:val="en-US" w:eastAsia="zh-CN"/>
              </w:rPr>
              <w:t>符合性分析，本项目符合相关要求</w:t>
            </w:r>
            <w:r>
              <w:rPr>
                <w:rFonts w:hint="default" w:ascii="Times New Roman" w:hAnsi="Times New Roman" w:eastAsia="宋体" w:cs="Times New Roman"/>
                <w:color w:val="auto"/>
                <w:kern w:val="0"/>
                <w:sz w:val="21"/>
                <w:szCs w:val="21"/>
                <w:lang w:eastAsia="zh-CN"/>
              </w:rPr>
              <w:t>。</w:t>
            </w:r>
          </w:p>
        </w:tc>
        <w:tc>
          <w:tcPr>
            <w:tcW w:w="695" w:type="dxa"/>
            <w:noWrap w:val="0"/>
            <w:vAlign w:val="center"/>
          </w:tcPr>
          <w:p w14:paraId="231302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5996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jc w:val="center"/>
        </w:trPr>
        <w:tc>
          <w:tcPr>
            <w:tcW w:w="442" w:type="dxa"/>
            <w:vMerge w:val="continue"/>
            <w:noWrap w:val="0"/>
            <w:vAlign w:val="center"/>
          </w:tcPr>
          <w:p w14:paraId="4AD679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p>
        </w:tc>
        <w:tc>
          <w:tcPr>
            <w:tcW w:w="422" w:type="dxa"/>
            <w:vMerge w:val="continue"/>
            <w:noWrap w:val="0"/>
            <w:vAlign w:val="center"/>
          </w:tcPr>
          <w:p w14:paraId="301600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26" w:type="dxa"/>
            <w:noWrap w:val="0"/>
            <w:vAlign w:val="center"/>
          </w:tcPr>
          <w:p w14:paraId="6812D0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严格实施化解过剩产能和淘汰落后产能，制定产能过剩行业淘汰计划，确保国家、省下达的淘汰落后产能目标任务全面完成。</w:t>
            </w:r>
          </w:p>
        </w:tc>
        <w:tc>
          <w:tcPr>
            <w:tcW w:w="4273" w:type="dxa"/>
            <w:noWrap w:val="0"/>
            <w:vAlign w:val="center"/>
          </w:tcPr>
          <w:p w14:paraId="32CBD5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根据中华人民共和国国家发展和改革委员会令第7号《产业结构调整指导目录（2024年本）》（自2024年2月1日起施行）中的相关内容，项目属于产业政策中的鼓励类</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二十三、铁路：1．铁路建设和改造：铁路新线、铁路专用线。</w:t>
            </w:r>
          </w:p>
        </w:tc>
        <w:tc>
          <w:tcPr>
            <w:tcW w:w="695" w:type="dxa"/>
            <w:noWrap w:val="0"/>
            <w:vAlign w:val="center"/>
          </w:tcPr>
          <w:p w14:paraId="57E5A3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符合</w:t>
            </w:r>
          </w:p>
        </w:tc>
      </w:tr>
      <w:tr w14:paraId="7E8A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442" w:type="dxa"/>
            <w:vMerge w:val="continue"/>
            <w:noWrap w:val="0"/>
            <w:vAlign w:val="center"/>
          </w:tcPr>
          <w:p w14:paraId="7DE101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vMerge w:val="continue"/>
            <w:noWrap w:val="0"/>
            <w:vAlign w:val="center"/>
          </w:tcPr>
          <w:p w14:paraId="609381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26" w:type="dxa"/>
            <w:noWrap w:val="0"/>
            <w:vAlign w:val="center"/>
          </w:tcPr>
          <w:p w14:paraId="1C135A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将资源承载能力、生态环境容量作为承接产业转移的基础和前提，合理确定承接产业转移重点，禁止引进环境污染大、资源消耗高、技术落后的生产能力。</w:t>
            </w:r>
          </w:p>
        </w:tc>
        <w:tc>
          <w:tcPr>
            <w:tcW w:w="4273" w:type="dxa"/>
            <w:noWrap w:val="0"/>
            <w:vAlign w:val="center"/>
          </w:tcPr>
          <w:p w14:paraId="37D9FB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本项目实施过程中严格落实各项污染防治措施，确保大气环境质量、水环境质量、土壤环境质量等达到环境功能区要求，采用先进工艺技术和设备，能耗、物耗及水耗等能达到国内清洁生产先进水平。</w:t>
            </w:r>
          </w:p>
        </w:tc>
        <w:tc>
          <w:tcPr>
            <w:tcW w:w="695" w:type="dxa"/>
            <w:noWrap w:val="0"/>
            <w:vAlign w:val="center"/>
          </w:tcPr>
          <w:p w14:paraId="70CCCA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符合</w:t>
            </w:r>
          </w:p>
        </w:tc>
      </w:tr>
      <w:tr w14:paraId="24F8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42" w:type="dxa"/>
            <w:vMerge w:val="continue"/>
            <w:noWrap w:val="0"/>
            <w:vAlign w:val="center"/>
          </w:tcPr>
          <w:p w14:paraId="4E72FF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vMerge w:val="continue"/>
            <w:noWrap w:val="0"/>
            <w:vAlign w:val="center"/>
          </w:tcPr>
          <w:p w14:paraId="7012D7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26" w:type="dxa"/>
            <w:noWrap w:val="0"/>
            <w:vAlign w:val="center"/>
          </w:tcPr>
          <w:p w14:paraId="49A0BB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严格控制在生态脆弱或环境敏感地区建设《环境保护综合名录》中</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高污染、高环境风险</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行业项目。</w:t>
            </w:r>
          </w:p>
        </w:tc>
        <w:tc>
          <w:tcPr>
            <w:tcW w:w="4273" w:type="dxa"/>
            <w:noWrap w:val="0"/>
            <w:vAlign w:val="center"/>
          </w:tcPr>
          <w:p w14:paraId="64806D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w:t>
            </w:r>
            <w:r>
              <w:rPr>
                <w:rFonts w:hint="default" w:ascii="Times New Roman" w:hAnsi="Times New Roman" w:eastAsia="宋体" w:cs="Times New Roman"/>
                <w:color w:val="auto"/>
                <w:sz w:val="21"/>
                <w:szCs w:val="21"/>
                <w:lang w:val="en-US" w:eastAsia="zh-CN"/>
              </w:rPr>
              <w:t>不属于</w:t>
            </w:r>
            <w:r>
              <w:rPr>
                <w:rFonts w:hint="eastAsia"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val="en-US" w:eastAsia="zh-CN"/>
              </w:rPr>
              <w:t>两高</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行业项目。</w:t>
            </w:r>
          </w:p>
        </w:tc>
        <w:tc>
          <w:tcPr>
            <w:tcW w:w="695" w:type="dxa"/>
            <w:noWrap w:val="0"/>
            <w:vAlign w:val="center"/>
          </w:tcPr>
          <w:p w14:paraId="2F4C49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732B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42" w:type="dxa"/>
            <w:vMerge w:val="continue"/>
            <w:noWrap w:val="0"/>
            <w:vAlign w:val="center"/>
          </w:tcPr>
          <w:p w14:paraId="593A82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vMerge w:val="continue"/>
            <w:noWrap w:val="0"/>
            <w:vAlign w:val="center"/>
          </w:tcPr>
          <w:p w14:paraId="2A2641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26" w:type="dxa"/>
            <w:noWrap w:val="0"/>
            <w:vAlign w:val="center"/>
          </w:tcPr>
          <w:p w14:paraId="331682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禁止在合规园区外新建、扩建钢铁、石化、化工、焦化、建材、有色行业中的高污染项目。</w:t>
            </w:r>
          </w:p>
        </w:tc>
        <w:tc>
          <w:tcPr>
            <w:tcW w:w="4273" w:type="dxa"/>
            <w:noWrap w:val="0"/>
            <w:vAlign w:val="center"/>
          </w:tcPr>
          <w:p w14:paraId="551AE5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本项目属于</w:t>
            </w:r>
            <w:r>
              <w:rPr>
                <w:rFonts w:hint="eastAsia" w:ascii="Times New Roman" w:hAnsi="Times New Roman" w:eastAsia="宋体" w:cs="Times New Roman"/>
                <w:color w:val="auto"/>
                <w:kern w:val="0"/>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，不属于</w:t>
            </w:r>
            <w:r>
              <w:rPr>
                <w:rFonts w:hint="default" w:ascii="Times New Roman" w:hAnsi="Times New Roman" w:eastAsia="宋体" w:cs="Times New Roman"/>
                <w:color w:val="auto"/>
                <w:sz w:val="21"/>
                <w:szCs w:val="21"/>
                <w:lang w:val="en-US" w:eastAsia="zh-CN"/>
              </w:rPr>
              <w:t>新建、扩建钢铁、石化、化工、焦化、建材、有色行业中的高污染项目，</w:t>
            </w:r>
            <w:r>
              <w:rPr>
                <w:rFonts w:hint="default" w:ascii="Times New Roman" w:hAnsi="Times New Roman" w:eastAsia="宋体" w:cs="Times New Roman"/>
                <w:color w:val="auto"/>
                <w:kern w:val="0"/>
                <w:sz w:val="21"/>
                <w:szCs w:val="21"/>
                <w:lang w:val="en-US" w:eastAsia="zh-CN"/>
              </w:rPr>
              <w:t>位于曲靖市高新技术产业开发区花山片区</w:t>
            </w:r>
            <w:r>
              <w:rPr>
                <w:rFonts w:hint="default" w:ascii="Times New Roman" w:hAnsi="Times New Roman" w:eastAsia="宋体" w:cs="Times New Roman"/>
                <w:color w:val="auto"/>
                <w:sz w:val="21"/>
                <w:szCs w:val="21"/>
                <w:lang w:val="en-US" w:eastAsia="zh-CN"/>
              </w:rPr>
              <w:t>。</w:t>
            </w:r>
          </w:p>
        </w:tc>
        <w:tc>
          <w:tcPr>
            <w:tcW w:w="695" w:type="dxa"/>
            <w:noWrap w:val="0"/>
            <w:vAlign w:val="center"/>
          </w:tcPr>
          <w:p w14:paraId="4B7CE9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43E6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442" w:type="dxa"/>
            <w:vMerge w:val="continue"/>
            <w:noWrap w:val="0"/>
            <w:vAlign w:val="center"/>
          </w:tcPr>
          <w:p w14:paraId="5717E0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vMerge w:val="continue"/>
            <w:noWrap w:val="0"/>
            <w:vAlign w:val="center"/>
          </w:tcPr>
          <w:p w14:paraId="5E1626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26" w:type="dxa"/>
            <w:noWrap w:val="0"/>
            <w:vAlign w:val="center"/>
          </w:tcPr>
          <w:p w14:paraId="49895A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集中式饮用水水源地严格执行《中华人民共和国水污染防治法》《地下水管理条例》《饮用水水源保护区污染防治管理规定》《曲靖市集中式饮用水水源地保护条例》《云南省曲靖独木水库保护条例》，水源地内城镇开发边界范围已开发区域强化环境基础设施建设与运行维护。</w:t>
            </w:r>
          </w:p>
        </w:tc>
        <w:tc>
          <w:tcPr>
            <w:tcW w:w="4273" w:type="dxa"/>
            <w:noWrap w:val="0"/>
            <w:vAlign w:val="center"/>
          </w:tcPr>
          <w:p w14:paraId="627BEA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本项目位于曲靖市高新技术产业开发区花山片区，不涉及</w:t>
            </w:r>
            <w:r>
              <w:rPr>
                <w:rFonts w:hint="default" w:ascii="Times New Roman" w:hAnsi="Times New Roman" w:eastAsia="宋体" w:cs="Times New Roman"/>
                <w:color w:val="auto"/>
                <w:sz w:val="21"/>
                <w:szCs w:val="21"/>
                <w:lang w:val="en-US" w:eastAsia="zh-CN"/>
              </w:rPr>
              <w:t>集中式饮用水水源地。</w:t>
            </w:r>
          </w:p>
        </w:tc>
        <w:tc>
          <w:tcPr>
            <w:tcW w:w="695" w:type="dxa"/>
            <w:noWrap w:val="0"/>
            <w:vAlign w:val="center"/>
          </w:tcPr>
          <w:p w14:paraId="46182D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4F7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jc w:val="center"/>
        </w:trPr>
        <w:tc>
          <w:tcPr>
            <w:tcW w:w="442" w:type="dxa"/>
            <w:vMerge w:val="continue"/>
            <w:noWrap w:val="0"/>
            <w:vAlign w:val="center"/>
          </w:tcPr>
          <w:p w14:paraId="7EC426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vMerge w:val="continue"/>
            <w:noWrap w:val="0"/>
            <w:vAlign w:val="center"/>
          </w:tcPr>
          <w:p w14:paraId="080D67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26" w:type="dxa"/>
            <w:noWrap w:val="0"/>
            <w:vAlign w:val="center"/>
          </w:tcPr>
          <w:p w14:paraId="6C16DE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各县（市、区）产业园区重点管控单元、曲靖经济开发区重点管控单元、曲靖高新技术产业开发区重点管控单元、宣威市经济技术开发区重点管控单元空间布局约束、污染物排放管控、环境风险防控、资源利用效率四个维度严格执行现行有效的园区规划、规划环评及其审查意见。</w:t>
            </w:r>
          </w:p>
        </w:tc>
        <w:tc>
          <w:tcPr>
            <w:tcW w:w="4273" w:type="dxa"/>
            <w:noWrap w:val="0"/>
            <w:vAlign w:val="center"/>
          </w:tcPr>
          <w:p w14:paraId="033F70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w:t>
            </w:r>
            <w:r>
              <w:rPr>
                <w:rFonts w:hint="default" w:ascii="Times New Roman" w:hAnsi="Times New Roman" w:eastAsia="宋体" w:cs="Times New Roman"/>
                <w:color w:val="auto"/>
                <w:sz w:val="21"/>
                <w:szCs w:val="21"/>
                <w:lang w:val="en-US" w:eastAsia="zh-CN"/>
              </w:rPr>
              <w:t>执行现行有效的园区规划、规划环评及其审查意见，其符合性分析详见前文表</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和表</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w:t>
            </w:r>
          </w:p>
        </w:tc>
        <w:tc>
          <w:tcPr>
            <w:tcW w:w="695" w:type="dxa"/>
            <w:noWrap w:val="0"/>
            <w:vAlign w:val="center"/>
          </w:tcPr>
          <w:p w14:paraId="764430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62C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6" w:hRule="atLeast"/>
          <w:jc w:val="center"/>
        </w:trPr>
        <w:tc>
          <w:tcPr>
            <w:tcW w:w="442" w:type="dxa"/>
            <w:vMerge w:val="continue"/>
            <w:noWrap w:val="0"/>
            <w:vAlign w:val="center"/>
          </w:tcPr>
          <w:p w14:paraId="60A241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noWrap w:val="0"/>
            <w:vAlign w:val="center"/>
          </w:tcPr>
          <w:p w14:paraId="0A52A6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污染物排放管控</w:t>
            </w:r>
          </w:p>
        </w:tc>
        <w:tc>
          <w:tcPr>
            <w:tcW w:w="3026" w:type="dxa"/>
            <w:noWrap w:val="0"/>
            <w:vAlign w:val="center"/>
          </w:tcPr>
          <w:p w14:paraId="024CCF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推进以能源、化工、冶金、建材、造纸、农副食品加工、工业涂装和包装印刷等行业为重点的清洁生产审核工作，具体行业包括但不限于煤矿、火力发电，甲醇、焦化、氮肥、磷肥、氯碱、电石、制药、农药、黄磷、铬盐生产，钢铁、铁合金铅锌铝冶炼及再生，水泥、石灰、建筑陶瓷、平板玻璃、沥青防水材料，纸浆造纸，酿造、味精、柠檬酸、酶制剂、酵母，新能源电池(正负极材料），多晶硅、单晶硅、有机硅，工业涂装和包装印刷等行业。</w:t>
            </w:r>
          </w:p>
        </w:tc>
        <w:tc>
          <w:tcPr>
            <w:tcW w:w="4273" w:type="dxa"/>
            <w:noWrap w:val="0"/>
            <w:vAlign w:val="center"/>
          </w:tcPr>
          <w:p w14:paraId="28ECCB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w:t>
            </w:r>
            <w:r>
              <w:rPr>
                <w:rFonts w:hint="default" w:ascii="Times New Roman" w:hAnsi="Times New Roman" w:eastAsia="宋体" w:cs="Times New Roman"/>
                <w:color w:val="auto"/>
                <w:sz w:val="21"/>
                <w:szCs w:val="21"/>
                <w:lang w:val="en-US" w:eastAsia="zh-CN"/>
              </w:rPr>
              <w:t>属于</w:t>
            </w:r>
            <w:r>
              <w:rPr>
                <w:rFonts w:hint="eastAsia" w:ascii="Times New Roman" w:hAnsi="Times New Roman" w:eastAsia="宋体" w:cs="Times New Roman"/>
                <w:color w:val="auto"/>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，不属于</w:t>
            </w:r>
            <w:r>
              <w:rPr>
                <w:rFonts w:hint="default" w:ascii="Times New Roman" w:hAnsi="Times New Roman" w:eastAsia="宋体" w:cs="Times New Roman"/>
                <w:color w:val="auto"/>
                <w:sz w:val="21"/>
                <w:szCs w:val="21"/>
                <w:lang w:val="en-US" w:eastAsia="zh-CN"/>
              </w:rPr>
              <w:t>重点的清洁生产审核工作行业。</w:t>
            </w:r>
          </w:p>
        </w:tc>
        <w:tc>
          <w:tcPr>
            <w:tcW w:w="695" w:type="dxa"/>
            <w:noWrap w:val="0"/>
            <w:vAlign w:val="center"/>
          </w:tcPr>
          <w:p w14:paraId="4CA0B4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F60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42" w:type="dxa"/>
            <w:vMerge w:val="continue"/>
            <w:noWrap w:val="0"/>
            <w:vAlign w:val="center"/>
          </w:tcPr>
          <w:p w14:paraId="2C479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noWrap w:val="0"/>
            <w:vAlign w:val="center"/>
          </w:tcPr>
          <w:p w14:paraId="562796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环境风险防控</w:t>
            </w:r>
          </w:p>
        </w:tc>
        <w:tc>
          <w:tcPr>
            <w:tcW w:w="3026" w:type="dxa"/>
            <w:noWrap w:val="0"/>
            <w:vAlign w:val="center"/>
          </w:tcPr>
          <w:p w14:paraId="426B24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加强环境风险防控和应急管理，制定和完善突发环境事件和集中式饮用水水源地突发环境事件应急预案，加强风险防控和突发环境事件应急处理处置能力。</w:t>
            </w:r>
          </w:p>
        </w:tc>
        <w:tc>
          <w:tcPr>
            <w:tcW w:w="4273" w:type="dxa"/>
            <w:noWrap w:val="0"/>
            <w:vAlign w:val="center"/>
          </w:tcPr>
          <w:p w14:paraId="2D4E8D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本项目实施过程中按要求制定突发环境应急预案并备案，配备相应应急物资、开展应急培训与演练；风险源、</w:t>
            </w:r>
            <w:r>
              <w:rPr>
                <w:rFonts w:hint="default" w:ascii="Times New Roman" w:hAnsi="Times New Roman" w:cs="Times New Roman"/>
                <w:color w:val="auto"/>
                <w:kern w:val="0"/>
                <w:sz w:val="21"/>
                <w:szCs w:val="21"/>
                <w:lang w:val="en-US" w:eastAsia="zh-CN"/>
              </w:rPr>
              <w:t>危险废物</w:t>
            </w:r>
            <w:r>
              <w:rPr>
                <w:rFonts w:hint="default" w:ascii="Times New Roman" w:hAnsi="Times New Roman" w:eastAsia="宋体" w:cs="Times New Roman"/>
                <w:color w:val="auto"/>
                <w:kern w:val="0"/>
                <w:sz w:val="21"/>
                <w:szCs w:val="21"/>
                <w:lang w:val="en-US" w:eastAsia="zh-CN"/>
              </w:rPr>
              <w:t>等按环评及应急预案要求加强管理，以降低项目环境风险。</w:t>
            </w:r>
          </w:p>
        </w:tc>
        <w:tc>
          <w:tcPr>
            <w:tcW w:w="695" w:type="dxa"/>
            <w:noWrap w:val="0"/>
            <w:vAlign w:val="center"/>
          </w:tcPr>
          <w:p w14:paraId="169A8B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AB3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2" w:type="dxa"/>
            <w:vMerge w:val="continue"/>
            <w:noWrap w:val="0"/>
            <w:vAlign w:val="center"/>
          </w:tcPr>
          <w:p w14:paraId="54F099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vMerge w:val="restart"/>
            <w:noWrap w:val="0"/>
            <w:vAlign w:val="center"/>
          </w:tcPr>
          <w:p w14:paraId="372265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资源利用效率</w:t>
            </w:r>
          </w:p>
        </w:tc>
        <w:tc>
          <w:tcPr>
            <w:tcW w:w="3026" w:type="dxa"/>
            <w:noWrap w:val="0"/>
            <w:vAlign w:val="center"/>
          </w:tcPr>
          <w:p w14:paraId="36F6B9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建立水资源刚性约束制度，实行水资源消耗总量和强度双控，严格实施取水许可和水资源有偿使用制度，强化用水全过程管理，深入抓好工业、城镇、农业等方面用水量控制，严格规范取水许可审批管理。</w:t>
            </w:r>
          </w:p>
        </w:tc>
        <w:tc>
          <w:tcPr>
            <w:tcW w:w="4273" w:type="dxa"/>
            <w:noWrap w:val="0"/>
            <w:vAlign w:val="center"/>
          </w:tcPr>
          <w:p w14:paraId="442EDC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本项目用水纳入园区供水系统，水资源消耗量相对区域资源利用量较小。</w:t>
            </w:r>
          </w:p>
        </w:tc>
        <w:tc>
          <w:tcPr>
            <w:tcW w:w="695" w:type="dxa"/>
            <w:noWrap w:val="0"/>
            <w:vAlign w:val="center"/>
          </w:tcPr>
          <w:p w14:paraId="50C784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13A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442" w:type="dxa"/>
            <w:vMerge w:val="continue"/>
            <w:noWrap w:val="0"/>
            <w:vAlign w:val="center"/>
          </w:tcPr>
          <w:p w14:paraId="7C99C7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2" w:type="dxa"/>
            <w:vMerge w:val="continue"/>
            <w:noWrap w:val="0"/>
            <w:vAlign w:val="center"/>
          </w:tcPr>
          <w:p w14:paraId="7DA508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26" w:type="dxa"/>
            <w:noWrap w:val="0"/>
            <w:vAlign w:val="center"/>
          </w:tcPr>
          <w:p w14:paraId="047ECF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在禁燃区内，禁止销售、燃用高污染燃料；禁止新建、扩建燃用高污染燃料的设施，已建成的，应当在规定的期限内改用天然气、液化石油气、电或者其他清洁能源。</w:t>
            </w:r>
          </w:p>
        </w:tc>
        <w:tc>
          <w:tcPr>
            <w:tcW w:w="4273" w:type="dxa"/>
            <w:noWrap w:val="0"/>
            <w:vAlign w:val="center"/>
          </w:tcPr>
          <w:p w14:paraId="6EE5E4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本项目为</w:t>
            </w:r>
            <w:r>
              <w:rPr>
                <w:rFonts w:hint="eastAsia" w:ascii="Times New Roman" w:hAnsi="Times New Roman" w:eastAsia="宋体" w:cs="Times New Roman"/>
                <w:color w:val="auto"/>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，不属于禁止销售的</w:t>
            </w:r>
            <w:r>
              <w:rPr>
                <w:rFonts w:hint="default" w:ascii="Times New Roman" w:hAnsi="Times New Roman" w:eastAsia="宋体" w:cs="Times New Roman"/>
                <w:color w:val="auto"/>
                <w:sz w:val="21"/>
                <w:szCs w:val="21"/>
                <w:lang w:val="en-US" w:eastAsia="zh-CN"/>
              </w:rPr>
              <w:t>高污染燃料</w:t>
            </w:r>
            <w:r>
              <w:rPr>
                <w:rFonts w:hint="default" w:ascii="Times New Roman" w:hAnsi="Times New Roman" w:eastAsia="宋体" w:cs="Times New Roman"/>
                <w:color w:val="auto"/>
                <w:kern w:val="0"/>
                <w:sz w:val="21"/>
                <w:szCs w:val="21"/>
                <w:lang w:val="en-US" w:eastAsia="zh-CN"/>
              </w:rPr>
              <w:t>和新建</w:t>
            </w:r>
            <w:r>
              <w:rPr>
                <w:rFonts w:hint="default" w:ascii="Times New Roman" w:hAnsi="Times New Roman" w:eastAsia="宋体" w:cs="Times New Roman"/>
                <w:color w:val="auto"/>
                <w:sz w:val="21"/>
                <w:szCs w:val="21"/>
                <w:lang w:val="en-US" w:eastAsia="zh-CN"/>
              </w:rPr>
              <w:t>燃用高污染燃料的设施。</w:t>
            </w:r>
          </w:p>
        </w:tc>
        <w:tc>
          <w:tcPr>
            <w:tcW w:w="695" w:type="dxa"/>
            <w:noWrap w:val="0"/>
            <w:vAlign w:val="center"/>
          </w:tcPr>
          <w:p w14:paraId="6C1685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7EF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jc w:val="center"/>
        </w:trPr>
        <w:tc>
          <w:tcPr>
            <w:tcW w:w="442" w:type="dxa"/>
            <w:vMerge w:val="restart"/>
            <w:noWrap w:val="0"/>
            <w:vAlign w:val="center"/>
          </w:tcPr>
          <w:p w14:paraId="1A263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rPr>
              <w:t>曲靖市高新区重点管控单元</w:t>
            </w:r>
          </w:p>
        </w:tc>
        <w:tc>
          <w:tcPr>
            <w:tcW w:w="422" w:type="dxa"/>
            <w:vMerge w:val="restart"/>
            <w:noWrap w:val="0"/>
            <w:vAlign w:val="center"/>
          </w:tcPr>
          <w:p w14:paraId="53631D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rPr>
              <w:t>空间布局约束</w:t>
            </w:r>
          </w:p>
        </w:tc>
        <w:tc>
          <w:tcPr>
            <w:tcW w:w="3026" w:type="dxa"/>
            <w:noWrap w:val="0"/>
            <w:vAlign w:val="center"/>
          </w:tcPr>
          <w:p w14:paraId="047BF2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rPr>
              <w:t>园区现有企业在符合行业发展规划、产业布局和产业政策等要求的前提下开展节能降耗、治污减排、提升生产工艺技术装备水平等方面的技术改造，进一步降低污染物排放。</w:t>
            </w:r>
          </w:p>
        </w:tc>
        <w:tc>
          <w:tcPr>
            <w:tcW w:w="4273" w:type="dxa"/>
            <w:noWrap w:val="0"/>
            <w:vAlign w:val="center"/>
          </w:tcPr>
          <w:p w14:paraId="0D04F9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本项目为</w:t>
            </w:r>
            <w:r>
              <w:rPr>
                <w:rFonts w:hint="eastAsia" w:ascii="Times New Roman" w:hAnsi="Times New Roman" w:eastAsia="宋体" w:cs="Times New Roman"/>
                <w:color w:val="auto"/>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，位于曲靖市高新技术产业开发区花山片区，符合</w:t>
            </w:r>
            <w:r>
              <w:rPr>
                <w:rFonts w:hint="default" w:ascii="Times New Roman" w:hAnsi="Times New Roman" w:eastAsia="宋体" w:cs="Times New Roman"/>
                <w:color w:val="auto"/>
                <w:sz w:val="21"/>
                <w:szCs w:val="21"/>
                <w:lang w:val="en-US" w:eastAsia="zh-CN"/>
              </w:rPr>
              <w:t>《产业结构调整指导目录（2024年本）》中的相关内容要求，项目建设</w:t>
            </w:r>
            <w:r>
              <w:rPr>
                <w:rFonts w:hint="default" w:ascii="Times New Roman" w:hAnsi="Times New Roman" w:cs="Times New Roman"/>
                <w:color w:val="auto"/>
                <w:sz w:val="21"/>
                <w:szCs w:val="21"/>
                <w:lang w:val="en-US" w:eastAsia="zh-CN"/>
              </w:rPr>
              <w:t>与</w:t>
            </w:r>
            <w:r>
              <w:rPr>
                <w:rFonts w:hint="default" w:ascii="Times New Roman" w:hAnsi="Times New Roman" w:eastAsia="宋体" w:cs="Times New Roman"/>
                <w:color w:val="auto"/>
                <w:kern w:val="0"/>
                <w:sz w:val="21"/>
                <w:szCs w:val="21"/>
                <w:lang w:val="en-US" w:eastAsia="zh-CN"/>
              </w:rPr>
              <w:t>园区产业布局规划</w:t>
            </w:r>
            <w:r>
              <w:rPr>
                <w:rFonts w:hint="default" w:ascii="Times New Roman" w:hAnsi="Times New Roman" w:cs="Times New Roman"/>
                <w:color w:val="auto"/>
                <w:kern w:val="0"/>
                <w:sz w:val="21"/>
                <w:szCs w:val="21"/>
                <w:lang w:val="en-US" w:eastAsia="zh-CN"/>
              </w:rPr>
              <w:t>不冲突，符合</w:t>
            </w:r>
            <w:r>
              <w:rPr>
                <w:rFonts w:hint="default" w:ascii="Times New Roman" w:hAnsi="Times New Roman" w:eastAsia="宋体" w:cs="Times New Roman"/>
                <w:color w:val="auto"/>
                <w:sz w:val="21"/>
                <w:szCs w:val="21"/>
                <w:lang w:val="en-US" w:eastAsia="zh-CN"/>
              </w:rPr>
              <w:t>国家现行产业政策，</w:t>
            </w:r>
            <w:r>
              <w:rPr>
                <w:rFonts w:hint="default" w:ascii="Times New Roman" w:hAnsi="Times New Roman" w:eastAsia="宋体" w:cs="Times New Roman"/>
                <w:color w:val="auto"/>
                <w:kern w:val="0"/>
                <w:sz w:val="21"/>
                <w:szCs w:val="21"/>
                <w:lang w:val="en-US" w:eastAsia="zh-CN"/>
              </w:rPr>
              <w:t>项目采用先进的生产工艺、设备和污染控制措施，污染物排放能达到相关标准要求；</w:t>
            </w:r>
            <w:r>
              <w:rPr>
                <w:rFonts w:hint="default" w:ascii="Times New Roman" w:hAnsi="Times New Roman" w:cs="Times New Roman"/>
                <w:color w:val="auto"/>
                <w:kern w:val="0"/>
                <w:sz w:val="21"/>
                <w:szCs w:val="21"/>
                <w:lang w:val="en-US" w:eastAsia="zh-CN"/>
              </w:rPr>
              <w:t>项目已取得入园证明</w:t>
            </w:r>
            <w:r>
              <w:rPr>
                <w:rFonts w:hint="default" w:ascii="Times New Roman" w:hAnsi="Times New Roman" w:eastAsia="宋体" w:cs="Times New Roman"/>
                <w:color w:val="auto"/>
                <w:kern w:val="0"/>
                <w:sz w:val="21"/>
                <w:szCs w:val="21"/>
                <w:lang w:val="en-US" w:eastAsia="zh-CN"/>
              </w:rPr>
              <w:t>（附件</w:t>
            </w:r>
            <w:r>
              <w:rPr>
                <w:rFonts w:hint="eastAsia"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lang w:val="en-US" w:eastAsia="zh-CN"/>
              </w:rPr>
              <w:t>）。</w:t>
            </w:r>
          </w:p>
        </w:tc>
        <w:tc>
          <w:tcPr>
            <w:tcW w:w="695" w:type="dxa"/>
            <w:noWrap w:val="0"/>
            <w:vAlign w:val="center"/>
          </w:tcPr>
          <w:p w14:paraId="54F509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不冲突</w:t>
            </w:r>
          </w:p>
        </w:tc>
      </w:tr>
      <w:tr w14:paraId="2D0E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442" w:type="dxa"/>
            <w:vMerge w:val="continue"/>
            <w:noWrap w:val="0"/>
            <w:vAlign w:val="center"/>
          </w:tcPr>
          <w:p w14:paraId="51D823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vMerge w:val="continue"/>
            <w:noWrap w:val="0"/>
            <w:vAlign w:val="center"/>
          </w:tcPr>
          <w:p w14:paraId="4FF0C1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3026" w:type="dxa"/>
            <w:noWrap w:val="0"/>
            <w:vAlign w:val="center"/>
          </w:tcPr>
          <w:p w14:paraId="1AD9B4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花山片区、白水片区现有煤化工、钢铁、建材、有色金属冶炼等</w:t>
            </w:r>
            <w:r>
              <w:rPr>
                <w:rFonts w:hint="eastAsia"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两高</w:t>
            </w:r>
            <w:r>
              <w:rPr>
                <w:rFonts w:hint="eastAsia"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产业严格执行国家有关产能削减或替代方案，其中属于落后低端、低效产能的应依法依规有序退出。</w:t>
            </w:r>
          </w:p>
        </w:tc>
        <w:tc>
          <w:tcPr>
            <w:tcW w:w="4273" w:type="dxa"/>
            <w:noWrap w:val="0"/>
            <w:vAlign w:val="center"/>
          </w:tcPr>
          <w:p w14:paraId="4EA2A0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本项目为</w:t>
            </w:r>
            <w:r>
              <w:rPr>
                <w:rFonts w:hint="eastAsia" w:ascii="Times New Roman" w:hAnsi="Times New Roman" w:eastAsia="宋体" w:cs="Times New Roman"/>
                <w:color w:val="auto"/>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，位于曲靖市高新技术产业开发区花山片区，</w:t>
            </w:r>
            <w:r>
              <w:rPr>
                <w:rFonts w:hint="default" w:ascii="Times New Roman" w:hAnsi="Times New Roman" w:cs="Times New Roman"/>
                <w:color w:val="auto"/>
                <w:kern w:val="0"/>
                <w:sz w:val="21"/>
                <w:szCs w:val="21"/>
                <w:lang w:val="en-US" w:eastAsia="zh-CN"/>
              </w:rPr>
              <w:t>属于新建铁路项目，</w:t>
            </w:r>
            <w:r>
              <w:rPr>
                <w:rFonts w:hint="default" w:ascii="Times New Roman" w:hAnsi="Times New Roman" w:eastAsia="宋体" w:cs="Times New Roman"/>
                <w:color w:val="auto"/>
                <w:sz w:val="21"/>
                <w:szCs w:val="21"/>
                <w:lang w:val="en-US" w:eastAsia="zh-CN"/>
              </w:rPr>
              <w:t>不属于</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两高</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行业项目。</w:t>
            </w:r>
          </w:p>
        </w:tc>
        <w:tc>
          <w:tcPr>
            <w:tcW w:w="695" w:type="dxa"/>
            <w:noWrap w:val="0"/>
            <w:vAlign w:val="center"/>
          </w:tcPr>
          <w:p w14:paraId="4A0112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2616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442" w:type="dxa"/>
            <w:vMerge w:val="continue"/>
            <w:noWrap w:val="0"/>
            <w:vAlign w:val="center"/>
          </w:tcPr>
          <w:p w14:paraId="25D7D4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vMerge w:val="continue"/>
            <w:noWrap w:val="0"/>
            <w:vAlign w:val="center"/>
          </w:tcPr>
          <w:p w14:paraId="267F4E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3026" w:type="dxa"/>
            <w:noWrap w:val="0"/>
            <w:vAlign w:val="center"/>
          </w:tcPr>
          <w:p w14:paraId="3BD784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花山片区控制用地规模，不可以向北推进；在靠近水库和珠江源自然保护区一侧应规划必要的防护林带，留出相应防护距离。</w:t>
            </w:r>
          </w:p>
        </w:tc>
        <w:tc>
          <w:tcPr>
            <w:tcW w:w="4273" w:type="dxa"/>
            <w:noWrap w:val="0"/>
            <w:vAlign w:val="center"/>
          </w:tcPr>
          <w:p w14:paraId="28B4D7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bidi="ar"/>
              </w:rPr>
              <w:t>本项目</w:t>
            </w:r>
            <w:r>
              <w:rPr>
                <w:rFonts w:hint="default" w:ascii="Times New Roman" w:hAnsi="Times New Roman" w:cs="Times New Roman"/>
                <w:color w:val="auto"/>
                <w:kern w:val="0"/>
                <w:sz w:val="21"/>
                <w:szCs w:val="21"/>
                <w:lang w:val="en-US" w:eastAsia="zh-CN" w:bidi="ar"/>
              </w:rPr>
              <w:t>边界</w:t>
            </w:r>
            <w:r>
              <w:rPr>
                <w:rFonts w:hint="default" w:ascii="Times New Roman" w:hAnsi="Times New Roman" w:eastAsia="宋体" w:cs="Times New Roman"/>
                <w:color w:val="auto"/>
                <w:kern w:val="0"/>
                <w:sz w:val="21"/>
                <w:szCs w:val="21"/>
                <w:lang w:val="en-US" w:eastAsia="zh-CN" w:bidi="ar"/>
              </w:rPr>
              <w:t>距离珠江源风景名胜区</w:t>
            </w:r>
            <w:r>
              <w:rPr>
                <w:rFonts w:hint="default" w:ascii="Times New Roman" w:hAnsi="Times New Roman" w:cs="Times New Roman"/>
                <w:color w:val="auto"/>
                <w:kern w:val="0"/>
                <w:sz w:val="21"/>
                <w:szCs w:val="21"/>
                <w:lang w:val="en-US" w:eastAsia="zh-CN" w:bidi="ar"/>
              </w:rPr>
              <w:t>3000</w:t>
            </w:r>
            <w:r>
              <w:rPr>
                <w:rFonts w:hint="default" w:ascii="Times New Roman" w:hAnsi="Times New Roman" w:eastAsia="宋体" w:cs="Times New Roman"/>
                <w:color w:val="auto"/>
                <w:kern w:val="0"/>
                <w:sz w:val="21"/>
                <w:szCs w:val="21"/>
                <w:lang w:val="en-US" w:eastAsia="zh-CN" w:bidi="ar"/>
              </w:rPr>
              <w:t>m</w:t>
            </w:r>
            <w:r>
              <w:rPr>
                <w:rFonts w:hint="default" w:ascii="Times New Roman" w:hAnsi="Times New Roman" w:cs="Times New Roman"/>
                <w:color w:val="auto"/>
                <w:kern w:val="0"/>
                <w:sz w:val="21"/>
                <w:szCs w:val="21"/>
                <w:lang w:val="en-US" w:eastAsia="zh-CN" w:bidi="ar"/>
              </w:rPr>
              <w:t>、距离珠江源省级自然保护区2</w:t>
            </w:r>
            <w:r>
              <w:rPr>
                <w:rFonts w:hint="default" w:ascii="Times New Roman" w:hAnsi="Times New Roman" w:eastAsia="宋体" w:cs="Times New Roman"/>
                <w:color w:val="auto"/>
                <w:kern w:val="0"/>
                <w:sz w:val="21"/>
                <w:szCs w:val="21"/>
                <w:lang w:val="en-US" w:eastAsia="zh-CN" w:bidi="ar"/>
              </w:rPr>
              <w:t>000m、距离</w:t>
            </w:r>
            <w:r>
              <w:rPr>
                <w:rFonts w:hint="eastAsia" w:ascii="Times New Roman" w:hAnsi="Times New Roman" w:eastAsia="宋体" w:cs="Times New Roman"/>
                <w:color w:val="auto"/>
                <w:kern w:val="0"/>
                <w:sz w:val="21"/>
                <w:szCs w:val="21"/>
                <w:lang w:val="en-US" w:eastAsia="zh-CN" w:bidi="ar"/>
              </w:rPr>
              <w:t>花山水库饮用水水源保护区</w:t>
            </w:r>
            <w:r>
              <w:rPr>
                <w:rFonts w:hint="default" w:ascii="Times New Roman" w:hAnsi="Times New Roman" w:cs="Times New Roman"/>
                <w:color w:val="auto"/>
                <w:kern w:val="0"/>
                <w:sz w:val="21"/>
                <w:szCs w:val="21"/>
                <w:lang w:val="en-US" w:eastAsia="zh-CN" w:bidi="ar"/>
              </w:rPr>
              <w:t>2140</w:t>
            </w:r>
            <w:r>
              <w:rPr>
                <w:rFonts w:hint="default" w:ascii="Times New Roman" w:hAnsi="Times New Roman" w:eastAsia="宋体" w:cs="Times New Roman"/>
                <w:color w:val="auto"/>
                <w:kern w:val="0"/>
                <w:sz w:val="21"/>
                <w:szCs w:val="21"/>
                <w:lang w:val="en-US" w:eastAsia="zh-CN" w:bidi="ar"/>
              </w:rPr>
              <w:t>m</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项目在北侧、南侧设置绿化，项目已取得入园证明</w:t>
            </w:r>
            <w:r>
              <w:rPr>
                <w:rFonts w:hint="default" w:ascii="Times New Roman" w:hAnsi="Times New Roman" w:eastAsia="宋体" w:cs="Times New Roman"/>
                <w:color w:val="auto"/>
                <w:kern w:val="0"/>
                <w:sz w:val="21"/>
                <w:szCs w:val="21"/>
                <w:lang w:val="en-US" w:eastAsia="zh-CN"/>
              </w:rPr>
              <w:t>（附件</w:t>
            </w:r>
            <w:r>
              <w:rPr>
                <w:rFonts w:hint="eastAsia"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lang w:val="en-US" w:eastAsia="zh-CN"/>
              </w:rPr>
              <w:t>）。</w:t>
            </w:r>
          </w:p>
        </w:tc>
        <w:tc>
          <w:tcPr>
            <w:tcW w:w="695" w:type="dxa"/>
            <w:noWrap w:val="0"/>
            <w:vAlign w:val="center"/>
          </w:tcPr>
          <w:p w14:paraId="2E1C49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692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3" w:hRule="atLeast"/>
          <w:jc w:val="center"/>
        </w:trPr>
        <w:tc>
          <w:tcPr>
            <w:tcW w:w="442" w:type="dxa"/>
            <w:vMerge w:val="continue"/>
            <w:noWrap w:val="0"/>
            <w:vAlign w:val="center"/>
          </w:tcPr>
          <w:p w14:paraId="5877BF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vMerge w:val="restart"/>
            <w:noWrap w:val="0"/>
            <w:vAlign w:val="center"/>
          </w:tcPr>
          <w:p w14:paraId="4F641F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污染物排放管控</w:t>
            </w:r>
          </w:p>
        </w:tc>
        <w:tc>
          <w:tcPr>
            <w:tcW w:w="3026" w:type="dxa"/>
            <w:noWrap w:val="0"/>
            <w:vAlign w:val="center"/>
          </w:tcPr>
          <w:p w14:paraId="4945B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杜绝各企业生产废水、生活污水及废油、废酸、固体废弃物任意乱排放进入岩溶（洼地、落水洞）环境或农田、水体中，保护地下水环境免受污染。</w:t>
            </w:r>
          </w:p>
        </w:tc>
        <w:tc>
          <w:tcPr>
            <w:tcW w:w="4273" w:type="dxa"/>
            <w:noWrap w:val="0"/>
            <w:vAlign w:val="center"/>
          </w:tcPr>
          <w:p w14:paraId="1A396C43">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b w:val="0"/>
                <w:bCs w:val="0"/>
                <w:color w:val="auto"/>
                <w:sz w:val="21"/>
                <w:szCs w:val="21"/>
              </w:rPr>
              <w:t>排水系统</w:t>
            </w:r>
            <w:r>
              <w:rPr>
                <w:rFonts w:hint="default" w:ascii="Times New Roman" w:hAnsi="Times New Roman" w:eastAsia="宋体" w:cs="Times New Roman"/>
                <w:b w:val="0"/>
                <w:bCs w:val="0"/>
                <w:color w:val="auto"/>
                <w:sz w:val="21"/>
                <w:szCs w:val="21"/>
                <w:lang w:val="en-US" w:eastAsia="zh-CN"/>
              </w:rPr>
              <w:t>采用</w:t>
            </w:r>
            <w:r>
              <w:rPr>
                <w:rFonts w:hint="default" w:ascii="Times New Roman" w:hAnsi="Times New Roman" w:eastAsia="宋体" w:cs="Times New Roman"/>
                <w:b w:val="0"/>
                <w:bCs w:val="0"/>
                <w:color w:val="auto"/>
                <w:sz w:val="21"/>
                <w:szCs w:val="21"/>
              </w:rPr>
              <w:t>雨污分流制</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前15分钟</w:t>
            </w:r>
            <w:r>
              <w:rPr>
                <w:rFonts w:hint="default" w:ascii="Times New Roman" w:hAnsi="Times New Roman" w:eastAsia="宋体" w:cs="Times New Roman"/>
                <w:b w:val="0"/>
                <w:bCs w:val="0"/>
                <w:color w:val="auto"/>
                <w:sz w:val="21"/>
                <w:szCs w:val="21"/>
              </w:rPr>
              <w:t>雨水</w:t>
            </w:r>
            <w:r>
              <w:rPr>
                <w:rFonts w:hint="default" w:ascii="Times New Roman" w:hAnsi="Times New Roman" w:eastAsia="宋体" w:cs="Times New Roman"/>
                <w:b w:val="0"/>
                <w:bCs w:val="0"/>
                <w:color w:val="auto"/>
                <w:sz w:val="21"/>
                <w:szCs w:val="21"/>
                <w:lang w:eastAsia="zh-CN"/>
              </w:rPr>
              <w:t>经雨水沟收集</w:t>
            </w:r>
            <w:r>
              <w:rPr>
                <w:rFonts w:hint="default" w:ascii="Times New Roman" w:hAnsi="Times New Roman" w:eastAsia="宋体" w:cs="Times New Roman"/>
                <w:b w:val="0"/>
                <w:bCs w:val="0"/>
                <w:color w:val="auto"/>
                <w:sz w:val="21"/>
                <w:szCs w:val="21"/>
                <w:lang w:val="en-US" w:eastAsia="zh-CN"/>
              </w:rPr>
              <w:t>后</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排入项目区</w:t>
            </w:r>
            <w:r>
              <w:rPr>
                <w:rFonts w:hint="default" w:ascii="Times New Roman" w:hAnsi="Times New Roman" w:cs="Times New Roman"/>
                <w:b w:val="0"/>
                <w:bCs w:val="0"/>
                <w:color w:val="auto"/>
                <w:sz w:val="21"/>
                <w:szCs w:val="21"/>
                <w:lang w:val="en-US" w:eastAsia="zh-CN"/>
              </w:rPr>
              <w:t>初期雨水收集池处理，回用于项目绿化、洒水降尘，回用不完的由曲煤焦化内部清运至铁路卸煤区洒水降尘</w:t>
            </w:r>
            <w:r>
              <w:rPr>
                <w:rFonts w:hint="default" w:ascii="Times New Roman" w:hAnsi="Times New Roman" w:eastAsia="宋体" w:cs="Times New Roman"/>
                <w:b w:val="0"/>
                <w:bCs w:val="0"/>
                <w:color w:val="auto"/>
                <w:sz w:val="21"/>
                <w:szCs w:val="21"/>
                <w:lang w:val="en-US" w:eastAsia="zh-CN"/>
              </w:rPr>
              <w:t>，后期雨水</w:t>
            </w:r>
            <w:r>
              <w:rPr>
                <w:rFonts w:hint="default" w:ascii="Times New Roman" w:hAnsi="Times New Roman" w:cs="Times New Roman"/>
                <w:b w:val="0"/>
                <w:bCs w:val="0"/>
                <w:color w:val="auto"/>
                <w:sz w:val="21"/>
                <w:szCs w:val="21"/>
                <w:lang w:val="en-US" w:eastAsia="zh-CN"/>
              </w:rPr>
              <w:t>排入</w:t>
            </w:r>
            <w:r>
              <w:rPr>
                <w:rFonts w:hint="default" w:ascii="Times New Roman" w:hAnsi="Times New Roman" w:eastAsia="宋体" w:cs="Times New Roman"/>
                <w:b w:val="0"/>
                <w:bCs w:val="0"/>
                <w:color w:val="auto"/>
                <w:sz w:val="21"/>
                <w:szCs w:val="21"/>
                <w:lang w:val="en-US" w:eastAsia="zh-CN"/>
              </w:rPr>
              <w:t>园区雨水管网</w:t>
            </w:r>
            <w:r>
              <w:rPr>
                <w:rFonts w:hint="default" w:ascii="Times New Roman" w:hAnsi="Times New Roman" w:eastAsia="宋体" w:cs="Times New Roman"/>
                <w:b w:val="0"/>
                <w:bCs w:val="0"/>
                <w:color w:val="auto"/>
                <w:sz w:val="21"/>
                <w:szCs w:val="21"/>
              </w:rPr>
              <w:t>；</w:t>
            </w:r>
            <w:r>
              <w:rPr>
                <w:rFonts w:hint="default" w:ascii="Times New Roman" w:hAnsi="Times New Roman" w:eastAsia="宋体" w:cs="Times New Roman"/>
                <w:b w:val="0"/>
                <w:bCs w:val="0"/>
                <w:color w:val="auto"/>
                <w:sz w:val="21"/>
                <w:szCs w:val="21"/>
                <w:lang w:val="en-US" w:eastAsia="zh-CN"/>
              </w:rPr>
              <w:t>生活废水排入化粪池处理</w:t>
            </w:r>
            <w:r>
              <w:rPr>
                <w:rFonts w:hint="default" w:ascii="Times New Roman" w:hAnsi="Times New Roman" w:cs="Times New Roman"/>
                <w:b w:val="0"/>
                <w:bCs w:val="0"/>
                <w:color w:val="auto"/>
                <w:sz w:val="21"/>
                <w:szCs w:val="21"/>
                <w:lang w:val="en-US" w:eastAsia="zh-CN"/>
              </w:rPr>
              <w:t>后</w:t>
            </w:r>
            <w:r>
              <w:rPr>
                <w:rFonts w:hint="default" w:ascii="Times New Roman" w:hAnsi="Times New Roman" w:eastAsia="宋体" w:cs="Times New Roman"/>
                <w:color w:val="auto"/>
                <w:kern w:val="0"/>
                <w:sz w:val="21"/>
                <w:szCs w:val="21"/>
                <w:lang w:val="en-US" w:eastAsia="zh-CN"/>
              </w:rPr>
              <w:t>委托</w:t>
            </w:r>
            <w:r>
              <w:rPr>
                <w:rFonts w:hint="default" w:ascii="Times New Roman" w:hAnsi="Times New Roman" w:cs="Times New Roman"/>
                <w:color w:val="auto"/>
                <w:kern w:val="0"/>
                <w:sz w:val="21"/>
                <w:szCs w:val="21"/>
                <w:lang w:val="en-US" w:eastAsia="zh-CN"/>
              </w:rPr>
              <w:t>环卫部门清运处置</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color w:val="auto"/>
                <w:kern w:val="0"/>
                <w:sz w:val="21"/>
                <w:szCs w:val="21"/>
                <w:lang w:val="en-US" w:eastAsia="zh-CN"/>
              </w:rPr>
              <w:t>生活垃圾收集后交由环卫部门处理</w:t>
            </w:r>
            <w:r>
              <w:rPr>
                <w:rFonts w:hint="default" w:ascii="Times New Roman" w:hAnsi="Times New Roman" w:cs="Times New Roman"/>
                <w:color w:val="auto"/>
                <w:kern w:val="0"/>
                <w:sz w:val="21"/>
                <w:szCs w:val="21"/>
                <w:lang w:val="en-US" w:eastAsia="zh-CN"/>
              </w:rPr>
              <w:t>，</w:t>
            </w:r>
            <w:r>
              <w:rPr>
                <w:rFonts w:hint="default" w:ascii="Times New Roman" w:hAnsi="Times New Roman" w:cs="Times New Roman"/>
                <w:color w:val="auto"/>
                <w:kern w:val="0"/>
                <w:sz w:val="21"/>
                <w:szCs w:val="21"/>
                <w:highlight w:val="none"/>
                <w:lang w:val="en-US" w:eastAsia="zh-CN" w:bidi="ar"/>
              </w:rPr>
              <w:t>含油抹布、手套</w:t>
            </w:r>
            <w:r>
              <w:rPr>
                <w:rFonts w:hint="default" w:ascii="Times New Roman" w:hAnsi="Times New Roman" w:cs="Times New Roman"/>
                <w:color w:val="auto"/>
                <w:kern w:val="0"/>
                <w:sz w:val="21"/>
                <w:szCs w:val="21"/>
                <w:lang w:val="en-US" w:eastAsia="zh-CN"/>
              </w:rPr>
              <w:t>并入生活垃圾处理</w:t>
            </w:r>
            <w:r>
              <w:rPr>
                <w:rFonts w:hint="default" w:ascii="Times New Roman" w:hAnsi="Times New Roman" w:eastAsia="宋体" w:cs="Times New Roman"/>
                <w:color w:val="auto"/>
                <w:kern w:val="0"/>
                <w:sz w:val="21"/>
                <w:szCs w:val="21"/>
                <w:lang w:val="en-US" w:eastAsia="zh-CN"/>
              </w:rPr>
              <w:t>；设备维护、修理过程中产生的含油废物定期交由有资质单位进行处理，并建立健全危险废物产生、处理、转移台账记录。</w:t>
            </w:r>
            <w:r>
              <w:rPr>
                <w:rFonts w:hint="default" w:ascii="Times New Roman" w:hAnsi="Times New Roman" w:eastAsia="宋体" w:cs="Times New Roman"/>
                <w:color w:val="auto"/>
                <w:sz w:val="21"/>
                <w:szCs w:val="21"/>
                <w:lang w:val="en-US" w:eastAsia="zh-CN"/>
              </w:rPr>
              <w:t>按</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分区防渗</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原则进行防渗，①</w:t>
            </w:r>
            <w:r>
              <w:rPr>
                <w:rFonts w:hint="default" w:ascii="Times New Roman" w:hAnsi="Times New Roman" w:eastAsia="宋体" w:cs="Times New Roman"/>
                <w:color w:val="auto"/>
                <w:sz w:val="21"/>
                <w:szCs w:val="21"/>
                <w:highlight w:val="none"/>
                <w:lang w:val="en-US" w:eastAsia="zh-CN"/>
              </w:rPr>
              <w:t>危废暂存间</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b w:val="0"/>
                <w:bCs/>
                <w:color w:val="auto"/>
                <w:kern w:val="2"/>
                <w:sz w:val="21"/>
                <w:szCs w:val="21"/>
                <w:highlight w:val="none"/>
                <w:vertAlign w:val="baseline"/>
                <w:lang w:val="en-US" w:eastAsia="zh-CN" w:bidi="ar-SA"/>
              </w:rPr>
              <w:t>正面吊维修区</w:t>
            </w:r>
            <w:r>
              <w:rPr>
                <w:rFonts w:hint="default" w:ascii="Times New Roman" w:hAnsi="Times New Roman" w:eastAsia="宋体" w:cs="Times New Roman"/>
                <w:color w:val="auto"/>
                <w:kern w:val="0"/>
                <w:sz w:val="21"/>
                <w:szCs w:val="21"/>
                <w:lang w:val="en-US" w:eastAsia="zh-CN" w:bidi="ar"/>
              </w:rPr>
              <w:t>划分为重点防渗区，</w:t>
            </w:r>
            <w:r>
              <w:rPr>
                <w:rFonts w:hint="default" w:ascii="Times New Roman" w:hAnsi="Times New Roman" w:eastAsia="宋体" w:cs="Times New Roman"/>
                <w:color w:val="auto"/>
                <w:sz w:val="21"/>
                <w:szCs w:val="21"/>
                <w:highlight w:val="none"/>
                <w:lang w:val="en-US" w:eastAsia="zh-CN"/>
              </w:rPr>
              <w:t>危废暂存间</w:t>
            </w:r>
            <w:r>
              <w:rPr>
                <w:rFonts w:hint="default" w:ascii="Times New Roman" w:hAnsi="Times New Roman" w:eastAsia="宋体" w:cs="Times New Roman"/>
                <w:color w:val="auto"/>
                <w:sz w:val="21"/>
                <w:szCs w:val="21"/>
                <w:highlight w:val="none"/>
              </w:rPr>
              <w:t>根据《危险废物贮存污染控制标准》（GB18597-2023）</w:t>
            </w:r>
            <w:r>
              <w:rPr>
                <w:rFonts w:hint="default" w:ascii="Times New Roman" w:hAnsi="Times New Roman" w:eastAsia="宋体" w:cs="Times New Roman"/>
                <w:bCs/>
                <w:color w:val="auto"/>
                <w:sz w:val="21"/>
                <w:szCs w:val="21"/>
                <w:highlight w:val="none"/>
                <w:lang w:val="en-US" w:eastAsia="zh-CN"/>
              </w:rPr>
              <w:t>防渗技术</w:t>
            </w:r>
            <w:r>
              <w:rPr>
                <w:rFonts w:hint="default" w:ascii="Times New Roman" w:hAnsi="Times New Roman" w:eastAsia="宋体" w:cs="Times New Roman"/>
                <w:color w:val="auto"/>
                <w:sz w:val="21"/>
                <w:szCs w:val="21"/>
                <w:highlight w:val="none"/>
                <w:lang w:val="en-US" w:eastAsia="zh-CN"/>
              </w:rPr>
              <w:t>要求进行防渗，防渗层为至少1m厚黏土层（渗透系数不大于10</w:t>
            </w:r>
            <w:r>
              <w:rPr>
                <w:rFonts w:hint="default" w:ascii="Times New Roman" w:hAnsi="Times New Roman" w:eastAsia="宋体" w:cs="Times New Roman"/>
                <w:color w:val="auto"/>
                <w:sz w:val="21"/>
                <w:szCs w:val="21"/>
                <w:highlight w:val="none"/>
                <w:vertAlign w:val="superscript"/>
                <w:lang w:val="en-US" w:eastAsia="zh-CN"/>
              </w:rPr>
              <w:t>-7</w:t>
            </w:r>
            <w:r>
              <w:rPr>
                <w:rFonts w:hint="default" w:ascii="Times New Roman" w:hAnsi="Times New Roman" w:eastAsia="宋体" w:cs="Times New Roman"/>
                <w:color w:val="auto"/>
                <w:sz w:val="21"/>
                <w:szCs w:val="21"/>
                <w:highlight w:val="none"/>
                <w:lang w:val="en-US" w:eastAsia="zh-CN"/>
              </w:rPr>
              <w:t>cm/s），或至少2mm厚高密度聚乙烯膜等人工防渗材料（渗透系数不大于10</w:t>
            </w:r>
            <w:r>
              <w:rPr>
                <w:rFonts w:hint="default" w:ascii="Times New Roman" w:hAnsi="Times New Roman" w:cs="Times New Roman"/>
                <w:color w:val="auto"/>
                <w:sz w:val="21"/>
                <w:szCs w:val="21"/>
                <w:highlight w:val="none"/>
                <w:vertAlign w:val="superscript"/>
                <w:lang w:val="en-US" w:eastAsia="zh-CN"/>
              </w:rPr>
              <w:t>-</w:t>
            </w:r>
            <w:r>
              <w:rPr>
                <w:rFonts w:hint="default" w:ascii="Times New Roman" w:hAnsi="Times New Roman" w:eastAsia="宋体" w:cs="Times New Roman"/>
                <w:color w:val="auto"/>
                <w:sz w:val="21"/>
                <w:szCs w:val="21"/>
                <w:highlight w:val="none"/>
                <w:vertAlign w:val="superscript"/>
                <w:lang w:val="en-US" w:eastAsia="zh-CN"/>
              </w:rPr>
              <w:t>10</w:t>
            </w:r>
            <w:r>
              <w:rPr>
                <w:rFonts w:hint="default" w:ascii="Times New Roman" w:hAnsi="Times New Roman" w:eastAsia="宋体" w:cs="Times New Roman"/>
                <w:color w:val="auto"/>
                <w:sz w:val="21"/>
                <w:szCs w:val="21"/>
                <w:highlight w:val="none"/>
                <w:lang w:val="en-US" w:eastAsia="zh-CN"/>
              </w:rPr>
              <w:t>cm/s），或其他防渗性能等效的材料</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b w:val="0"/>
                <w:bCs/>
                <w:color w:val="auto"/>
                <w:kern w:val="2"/>
                <w:sz w:val="21"/>
                <w:szCs w:val="21"/>
                <w:highlight w:val="none"/>
                <w:vertAlign w:val="baseline"/>
                <w:lang w:val="en-US" w:eastAsia="zh-CN" w:bidi="ar-SA"/>
              </w:rPr>
              <w:t>正面吊维修区</w:t>
            </w:r>
            <w:r>
              <w:rPr>
                <w:rFonts w:hint="default" w:ascii="Times New Roman" w:hAnsi="Times New Roman" w:eastAsia="宋体" w:cs="Times New Roman"/>
                <w:color w:val="auto"/>
                <w:sz w:val="21"/>
                <w:szCs w:val="21"/>
                <w:highlight w:val="none"/>
                <w:lang w:val="en-US" w:eastAsia="zh-CN"/>
              </w:rPr>
              <w:t>根据《环境影响评价技术导则地下水环境》（HJ610-2016）重点防渗技术要求进行防渗，</w:t>
            </w:r>
            <w:r>
              <w:rPr>
                <w:rFonts w:hint="default" w:ascii="Times New Roman" w:hAnsi="Times New Roman" w:eastAsia="宋体" w:cs="Times New Roman"/>
                <w:color w:val="auto"/>
                <w:kern w:val="0"/>
                <w:sz w:val="21"/>
                <w:szCs w:val="21"/>
                <w:highlight w:val="none"/>
                <w:lang w:val="en-US" w:eastAsia="zh-CN" w:bidi="ar"/>
              </w:rPr>
              <w:t>防渗层的防渗性能应等效于</w:t>
            </w:r>
            <w:r>
              <w:rPr>
                <w:rFonts w:hint="default" w:ascii="Times New Roman" w:hAnsi="Times New Roman" w:eastAsia="宋体" w:cs="Times New Roman"/>
                <w:color w:val="auto"/>
                <w:sz w:val="21"/>
                <w:szCs w:val="21"/>
                <w:highlight w:val="none"/>
                <w:lang w:val="en-US" w:eastAsia="zh-CN"/>
              </w:rPr>
              <w:t>黏土防渗层Mb≥6.0m，K≤1×10</w:t>
            </w:r>
            <w:r>
              <w:rPr>
                <w:rFonts w:hint="default" w:ascii="Times New Roman" w:hAnsi="Times New Roman" w:eastAsia="宋体" w:cs="Times New Roman"/>
                <w:color w:val="auto"/>
                <w:sz w:val="21"/>
                <w:szCs w:val="21"/>
                <w:highlight w:val="none"/>
                <w:vertAlign w:val="superscript"/>
                <w:lang w:val="en-US" w:eastAsia="zh-CN"/>
              </w:rPr>
              <w:t>-7</w:t>
            </w:r>
            <w:r>
              <w:rPr>
                <w:rFonts w:hint="default" w:ascii="Times New Roman" w:hAnsi="Times New Roman" w:eastAsia="宋体" w:cs="Times New Roman"/>
                <w:color w:val="auto"/>
                <w:sz w:val="21"/>
                <w:szCs w:val="21"/>
                <w:highlight w:val="none"/>
                <w:lang w:val="en-US" w:eastAsia="zh-CN"/>
              </w:rPr>
              <w:t>cm/s</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②</w:t>
            </w:r>
            <w:r>
              <w:rPr>
                <w:rFonts w:hint="default" w:ascii="Times New Roman" w:hAnsi="Times New Roman" w:eastAsia="宋体" w:cs="Times New Roman"/>
                <w:color w:val="auto"/>
                <w:kern w:val="0"/>
                <w:sz w:val="21"/>
                <w:szCs w:val="21"/>
                <w:lang w:eastAsia="zh-CN" w:bidi="ar"/>
              </w:rPr>
              <w:t>化粪池、</w:t>
            </w:r>
            <w:r>
              <w:rPr>
                <w:rFonts w:hint="default" w:ascii="Times New Roman" w:hAnsi="Times New Roman" w:cs="Times New Roman"/>
                <w:color w:val="auto"/>
                <w:kern w:val="0"/>
                <w:sz w:val="21"/>
                <w:szCs w:val="21"/>
                <w:lang w:val="en-US" w:eastAsia="zh-CN" w:bidi="ar"/>
              </w:rPr>
              <w:t>初期雨水收集池</w:t>
            </w:r>
            <w:r>
              <w:rPr>
                <w:rFonts w:hint="default" w:ascii="Times New Roman" w:hAnsi="Times New Roman" w:eastAsia="宋体" w:cs="Times New Roman"/>
                <w:color w:val="auto"/>
                <w:kern w:val="0"/>
                <w:sz w:val="21"/>
                <w:szCs w:val="21"/>
                <w:lang w:val="en-US" w:eastAsia="zh-CN" w:bidi="ar"/>
              </w:rPr>
              <w:t>划分为一般防渗区，</w:t>
            </w:r>
            <w:r>
              <w:rPr>
                <w:rFonts w:hint="default" w:ascii="Times New Roman" w:hAnsi="Times New Roman" w:eastAsia="宋体" w:cs="Times New Roman"/>
                <w:color w:val="auto"/>
                <w:sz w:val="21"/>
                <w:szCs w:val="21"/>
                <w:highlight w:val="none"/>
                <w:lang w:val="en-US" w:eastAsia="zh-CN"/>
              </w:rPr>
              <w:t>根据《环境影响评价技术导则地下水环境》（HJ610-2016）一般防渗技术要求进行防渗，</w:t>
            </w:r>
            <w:r>
              <w:rPr>
                <w:rFonts w:hint="default" w:ascii="Times New Roman" w:hAnsi="Times New Roman" w:eastAsia="宋体" w:cs="Times New Roman"/>
                <w:color w:val="auto"/>
                <w:kern w:val="0"/>
                <w:sz w:val="21"/>
                <w:szCs w:val="21"/>
                <w:highlight w:val="none"/>
                <w:lang w:val="en-US" w:eastAsia="zh-CN" w:bidi="ar"/>
              </w:rPr>
              <w:t>防渗层的防渗性能应等效于</w:t>
            </w:r>
            <w:r>
              <w:rPr>
                <w:rFonts w:hint="default" w:ascii="Times New Roman" w:hAnsi="Times New Roman" w:eastAsia="宋体" w:cs="Times New Roman"/>
                <w:color w:val="auto"/>
                <w:sz w:val="21"/>
                <w:szCs w:val="21"/>
                <w:highlight w:val="none"/>
                <w:lang w:val="en-US" w:eastAsia="zh-CN"/>
              </w:rPr>
              <w:t>黏土防渗层Mb≥1.5m，K≤1×10</w:t>
            </w:r>
            <w:r>
              <w:rPr>
                <w:rFonts w:hint="default" w:ascii="Times New Roman" w:hAnsi="Times New Roman" w:cs="Times New Roman"/>
                <w:color w:val="auto"/>
                <w:sz w:val="21"/>
                <w:szCs w:val="21"/>
                <w:highlight w:val="none"/>
                <w:vertAlign w:val="superscript"/>
                <w:lang w:val="en-US" w:eastAsia="zh-CN"/>
              </w:rPr>
              <w:t>-7</w:t>
            </w:r>
            <w:r>
              <w:rPr>
                <w:rFonts w:hint="default" w:ascii="Times New Roman" w:hAnsi="Times New Roman" w:eastAsia="宋体" w:cs="Times New Roman"/>
                <w:color w:val="auto"/>
                <w:sz w:val="21"/>
                <w:szCs w:val="21"/>
                <w:highlight w:val="none"/>
                <w:lang w:val="en-US" w:eastAsia="zh-CN"/>
              </w:rPr>
              <w:t>cm/s；③</w:t>
            </w:r>
            <w:r>
              <w:rPr>
                <w:rFonts w:hint="default" w:ascii="Times New Roman" w:hAnsi="Times New Roman" w:eastAsia="宋体" w:cs="Times New Roman"/>
                <w:bCs/>
                <w:color w:val="auto"/>
                <w:sz w:val="21"/>
                <w:szCs w:val="21"/>
                <w:highlight w:val="none"/>
                <w:lang w:val="en-US" w:eastAsia="zh-CN"/>
              </w:rPr>
              <w:t>除绿化外的其他区域划分为简单防渗区，进行一般地面硬化</w:t>
            </w:r>
            <w:r>
              <w:rPr>
                <w:rFonts w:hint="default"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val="en-US" w:eastAsia="zh-CN"/>
              </w:rPr>
              <w:t>综上本项目能有效避免地下水受到污染</w:t>
            </w:r>
            <w:r>
              <w:rPr>
                <w:rFonts w:hint="default" w:ascii="Times New Roman" w:hAnsi="Times New Roman" w:eastAsia="宋体" w:cs="Times New Roman"/>
                <w:color w:val="auto"/>
                <w:kern w:val="0"/>
                <w:sz w:val="21"/>
                <w:szCs w:val="21"/>
              </w:rPr>
              <w:t>。</w:t>
            </w:r>
          </w:p>
        </w:tc>
        <w:tc>
          <w:tcPr>
            <w:tcW w:w="695" w:type="dxa"/>
            <w:noWrap w:val="0"/>
            <w:vAlign w:val="center"/>
          </w:tcPr>
          <w:p w14:paraId="634469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863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442" w:type="dxa"/>
            <w:vMerge w:val="continue"/>
            <w:noWrap w:val="0"/>
            <w:vAlign w:val="center"/>
          </w:tcPr>
          <w:p w14:paraId="16AF91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vMerge w:val="continue"/>
            <w:noWrap w:val="0"/>
            <w:vAlign w:val="center"/>
          </w:tcPr>
          <w:p w14:paraId="4A49D9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3026" w:type="dxa"/>
            <w:noWrap w:val="0"/>
            <w:vAlign w:val="center"/>
          </w:tcPr>
          <w:p w14:paraId="715065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花山片区、白水片区应慎重引入新化工企业，新的化工企业及其他可能对地下水造成污染的企业入驻园区时应对区域地下水作详细勘察，现有化工企业改扩建时必须进行地下水详细勘察，充分论证，在岩溶强发育、存在较多落水洞和岩溶漏斗的区域内，不得新建、改建、扩建可能造成地下水污染的建设项目。</w:t>
            </w:r>
          </w:p>
        </w:tc>
        <w:tc>
          <w:tcPr>
            <w:tcW w:w="4273" w:type="dxa"/>
            <w:noWrap w:val="0"/>
            <w:vAlign w:val="center"/>
          </w:tcPr>
          <w:p w14:paraId="2A24A2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根据《云南曲煤焦化实业发展有限公司集装箱堆场提质改造项目场地岩土工程勘察阶段性报告》，项目区不属于岩溶强发育、存在较多落水洞和岩溶漏斗的区域，本项目属于铁路建设项目，不属于化工类。</w:t>
            </w:r>
          </w:p>
        </w:tc>
        <w:tc>
          <w:tcPr>
            <w:tcW w:w="695" w:type="dxa"/>
            <w:noWrap w:val="0"/>
            <w:vAlign w:val="center"/>
          </w:tcPr>
          <w:p w14:paraId="62DA15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F40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442" w:type="dxa"/>
            <w:vMerge w:val="continue"/>
            <w:noWrap w:val="0"/>
            <w:vAlign w:val="center"/>
          </w:tcPr>
          <w:p w14:paraId="1A3FAB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vMerge w:val="continue"/>
            <w:noWrap w:val="0"/>
            <w:vAlign w:val="center"/>
          </w:tcPr>
          <w:p w14:paraId="1015E9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3026" w:type="dxa"/>
            <w:noWrap w:val="0"/>
            <w:vAlign w:val="center"/>
          </w:tcPr>
          <w:p w14:paraId="7B6471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花山片区现有重污染企业要开展技术升级改造和环保设施提标改造。</w:t>
            </w:r>
          </w:p>
        </w:tc>
        <w:tc>
          <w:tcPr>
            <w:tcW w:w="4273" w:type="dxa"/>
            <w:noWrap w:val="0"/>
            <w:vAlign w:val="center"/>
          </w:tcPr>
          <w:p w14:paraId="7419E3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本项目为</w:t>
            </w:r>
            <w:r>
              <w:rPr>
                <w:rFonts w:hint="eastAsia" w:ascii="Times New Roman" w:hAnsi="Times New Roman" w:eastAsia="宋体" w:cs="Times New Roman"/>
                <w:color w:val="auto"/>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，位于曲靖市高新技术产业开发区花山片区，不属于现有重污染企业。</w:t>
            </w:r>
          </w:p>
        </w:tc>
        <w:tc>
          <w:tcPr>
            <w:tcW w:w="695" w:type="dxa"/>
            <w:noWrap w:val="0"/>
            <w:vAlign w:val="center"/>
          </w:tcPr>
          <w:p w14:paraId="359640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B03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442" w:type="dxa"/>
            <w:vMerge w:val="continue"/>
            <w:noWrap w:val="0"/>
            <w:vAlign w:val="center"/>
          </w:tcPr>
          <w:p w14:paraId="7B2854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vMerge w:val="restart"/>
            <w:noWrap w:val="0"/>
            <w:vAlign w:val="center"/>
          </w:tcPr>
          <w:p w14:paraId="38CFE5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环境风险防控</w:t>
            </w:r>
          </w:p>
        </w:tc>
        <w:tc>
          <w:tcPr>
            <w:tcW w:w="3026" w:type="dxa"/>
            <w:noWrap w:val="0"/>
            <w:vAlign w:val="center"/>
          </w:tcPr>
          <w:p w14:paraId="0CC202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加强企业内部环境风险三级防护措施，对涉风险的生产和储存设施设置围堰防护，企业应配套事故应急池，并规范处置事故废水</w:t>
            </w:r>
            <w:r>
              <w:rPr>
                <w:rFonts w:hint="default" w:ascii="Times New Roman" w:hAnsi="Times New Roman" w:eastAsia="宋体" w:cs="Times New Roman"/>
                <w:color w:val="auto"/>
                <w:kern w:val="0"/>
                <w:sz w:val="21"/>
                <w:szCs w:val="21"/>
                <w:lang w:eastAsia="zh-CN"/>
              </w:rPr>
              <w:t>。</w:t>
            </w:r>
          </w:p>
        </w:tc>
        <w:tc>
          <w:tcPr>
            <w:tcW w:w="4273" w:type="dxa"/>
            <w:noWrap w:val="0"/>
            <w:vAlign w:val="center"/>
          </w:tcPr>
          <w:p w14:paraId="0B5F03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本项目不涉及</w:t>
            </w:r>
            <w:r>
              <w:rPr>
                <w:rFonts w:hint="default" w:ascii="Times New Roman" w:hAnsi="Times New Roman" w:eastAsia="宋体" w:cs="Times New Roman"/>
                <w:color w:val="auto"/>
                <w:kern w:val="0"/>
                <w:sz w:val="21"/>
                <w:szCs w:val="21"/>
              </w:rPr>
              <w:t>风险的生产和储存设施</w:t>
            </w:r>
            <w:r>
              <w:rPr>
                <w:rFonts w:hint="default" w:ascii="Times New Roman" w:hAnsi="Times New Roman" w:eastAsia="宋体" w:cs="Times New Roman"/>
                <w:color w:val="auto"/>
                <w:kern w:val="0"/>
                <w:sz w:val="21"/>
                <w:szCs w:val="21"/>
                <w:lang w:eastAsia="zh-CN"/>
              </w:rPr>
              <w:t>。</w:t>
            </w:r>
          </w:p>
        </w:tc>
        <w:tc>
          <w:tcPr>
            <w:tcW w:w="695" w:type="dxa"/>
            <w:noWrap w:val="0"/>
            <w:vAlign w:val="center"/>
          </w:tcPr>
          <w:p w14:paraId="4EDA8A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C36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jc w:val="center"/>
        </w:trPr>
        <w:tc>
          <w:tcPr>
            <w:tcW w:w="442" w:type="dxa"/>
            <w:vMerge w:val="continue"/>
            <w:noWrap w:val="0"/>
            <w:vAlign w:val="center"/>
          </w:tcPr>
          <w:p w14:paraId="11A138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vMerge w:val="continue"/>
            <w:noWrap w:val="0"/>
            <w:vAlign w:val="center"/>
          </w:tcPr>
          <w:p w14:paraId="685D97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3026" w:type="dxa"/>
            <w:noWrap w:val="0"/>
            <w:vAlign w:val="center"/>
          </w:tcPr>
          <w:p w14:paraId="51354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重点化工、冶金类项目入驻园区应充分考虑对岩溶地下水的影响，优化布局，严格水文地质、工程地质勘查，合理避让地下暗河及落水洞发育区，做好地下水污染防治及监控，按照相关规范要求采取针对性防渗措施。</w:t>
            </w:r>
          </w:p>
        </w:tc>
        <w:tc>
          <w:tcPr>
            <w:tcW w:w="4273" w:type="dxa"/>
            <w:noWrap w:val="0"/>
            <w:vAlign w:val="center"/>
          </w:tcPr>
          <w:p w14:paraId="316412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本项目为</w:t>
            </w:r>
            <w:r>
              <w:rPr>
                <w:rFonts w:hint="eastAsia" w:ascii="Times New Roman" w:hAnsi="Times New Roman" w:eastAsia="宋体" w:cs="Times New Roman"/>
                <w:color w:val="auto"/>
                <w:sz w:val="21"/>
                <w:szCs w:val="21"/>
                <w:lang w:val="en-US" w:eastAsia="zh-CN"/>
              </w:rPr>
              <w:t>装卸搬运仓储业和铁路专用线建设项目</w:t>
            </w:r>
            <w:r>
              <w:rPr>
                <w:rFonts w:hint="default" w:ascii="Times New Roman" w:hAnsi="Times New Roman" w:eastAsia="宋体" w:cs="Times New Roman"/>
                <w:color w:val="auto"/>
                <w:kern w:val="0"/>
                <w:sz w:val="21"/>
                <w:szCs w:val="21"/>
                <w:lang w:val="en-US" w:eastAsia="zh-CN"/>
              </w:rPr>
              <w:t>，不属于</w:t>
            </w:r>
            <w:r>
              <w:rPr>
                <w:rFonts w:hint="default" w:ascii="Times New Roman" w:hAnsi="Times New Roman" w:eastAsia="宋体" w:cs="Times New Roman"/>
                <w:color w:val="auto"/>
                <w:kern w:val="0"/>
                <w:sz w:val="21"/>
                <w:szCs w:val="21"/>
              </w:rPr>
              <w:t>重点化工、冶金类项目</w:t>
            </w:r>
            <w:r>
              <w:rPr>
                <w:rFonts w:hint="default" w:ascii="Times New Roman" w:hAnsi="Times New Roman" w:eastAsia="宋体" w:cs="Times New Roman"/>
                <w:color w:val="auto"/>
                <w:kern w:val="0"/>
                <w:sz w:val="21"/>
                <w:szCs w:val="21"/>
                <w:lang w:val="en-US" w:eastAsia="zh-CN"/>
              </w:rPr>
              <w:t>。</w:t>
            </w:r>
          </w:p>
        </w:tc>
        <w:tc>
          <w:tcPr>
            <w:tcW w:w="695" w:type="dxa"/>
            <w:noWrap w:val="0"/>
            <w:vAlign w:val="center"/>
          </w:tcPr>
          <w:p w14:paraId="2B0894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CEE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8" w:hRule="atLeast"/>
          <w:jc w:val="center"/>
        </w:trPr>
        <w:tc>
          <w:tcPr>
            <w:tcW w:w="442" w:type="dxa"/>
            <w:vMerge w:val="continue"/>
            <w:noWrap w:val="0"/>
            <w:vAlign w:val="center"/>
          </w:tcPr>
          <w:p w14:paraId="3F6325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422" w:type="dxa"/>
            <w:noWrap w:val="0"/>
            <w:vAlign w:val="center"/>
          </w:tcPr>
          <w:p w14:paraId="672B54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资源开发效率</w:t>
            </w:r>
          </w:p>
        </w:tc>
        <w:tc>
          <w:tcPr>
            <w:tcW w:w="3026" w:type="dxa"/>
            <w:noWrap w:val="0"/>
            <w:vAlign w:val="center"/>
          </w:tcPr>
          <w:p w14:paraId="60198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企业需对自行用地范围内产生的初期雨水进行收集，并进行处理。</w:t>
            </w:r>
          </w:p>
        </w:tc>
        <w:tc>
          <w:tcPr>
            <w:tcW w:w="4273" w:type="dxa"/>
            <w:noWrap w:val="0"/>
            <w:vAlign w:val="center"/>
          </w:tcPr>
          <w:p w14:paraId="77A8B8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 w:val="0"/>
                <w:bCs w:val="0"/>
                <w:color w:val="auto"/>
                <w:sz w:val="21"/>
                <w:szCs w:val="21"/>
                <w:lang w:val="en-US" w:eastAsia="zh-CN"/>
              </w:rPr>
              <w:t>本项目排水系统采用雨污分流制。前15分钟</w:t>
            </w:r>
            <w:r>
              <w:rPr>
                <w:rFonts w:hint="default" w:ascii="Times New Roman" w:hAnsi="Times New Roman" w:eastAsia="宋体" w:cs="Times New Roman"/>
                <w:b w:val="0"/>
                <w:bCs w:val="0"/>
                <w:color w:val="auto"/>
                <w:sz w:val="21"/>
                <w:szCs w:val="21"/>
              </w:rPr>
              <w:t>雨水</w:t>
            </w:r>
            <w:r>
              <w:rPr>
                <w:rFonts w:hint="default" w:ascii="Times New Roman" w:hAnsi="Times New Roman" w:eastAsia="宋体" w:cs="Times New Roman"/>
                <w:b w:val="0"/>
                <w:bCs w:val="0"/>
                <w:color w:val="auto"/>
                <w:sz w:val="21"/>
                <w:szCs w:val="21"/>
                <w:lang w:eastAsia="zh-CN"/>
              </w:rPr>
              <w:t>经雨水沟收集</w:t>
            </w:r>
            <w:r>
              <w:rPr>
                <w:rFonts w:hint="default" w:ascii="Times New Roman" w:hAnsi="Times New Roman" w:eastAsia="宋体" w:cs="Times New Roman"/>
                <w:b w:val="0"/>
                <w:bCs w:val="0"/>
                <w:color w:val="auto"/>
                <w:sz w:val="21"/>
                <w:szCs w:val="21"/>
                <w:lang w:val="en-US" w:eastAsia="zh-CN"/>
              </w:rPr>
              <w:t>后</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排入项目区</w:t>
            </w:r>
            <w:r>
              <w:rPr>
                <w:rFonts w:hint="default" w:ascii="Times New Roman" w:hAnsi="Times New Roman" w:cs="Times New Roman"/>
                <w:b w:val="0"/>
                <w:bCs w:val="0"/>
                <w:color w:val="auto"/>
                <w:sz w:val="21"/>
                <w:szCs w:val="21"/>
                <w:lang w:val="en-US" w:eastAsia="zh-CN"/>
              </w:rPr>
              <w:t>初期雨水收集池处理，回用于项目绿化、洒水降尘，回用不完的由曲煤焦化内部清运至铁路卸煤区洒水降尘</w:t>
            </w:r>
            <w:r>
              <w:rPr>
                <w:rFonts w:hint="default" w:ascii="Times New Roman" w:hAnsi="Times New Roman" w:eastAsia="宋体" w:cs="Times New Roman"/>
                <w:b w:val="0"/>
                <w:bCs w:val="0"/>
                <w:color w:val="auto"/>
                <w:sz w:val="21"/>
                <w:szCs w:val="21"/>
                <w:lang w:val="en-US" w:eastAsia="zh-CN"/>
              </w:rPr>
              <w:t>，后期雨水</w:t>
            </w:r>
            <w:r>
              <w:rPr>
                <w:rFonts w:hint="default" w:ascii="Times New Roman" w:hAnsi="Times New Roman" w:cs="Times New Roman"/>
                <w:b w:val="0"/>
                <w:bCs w:val="0"/>
                <w:color w:val="auto"/>
                <w:sz w:val="21"/>
                <w:szCs w:val="21"/>
                <w:lang w:val="en-US" w:eastAsia="zh-CN"/>
              </w:rPr>
              <w:t>排入</w:t>
            </w:r>
            <w:r>
              <w:rPr>
                <w:rFonts w:hint="default" w:ascii="Times New Roman" w:hAnsi="Times New Roman" w:eastAsia="宋体" w:cs="Times New Roman"/>
                <w:b w:val="0"/>
                <w:bCs w:val="0"/>
                <w:color w:val="auto"/>
                <w:sz w:val="21"/>
                <w:szCs w:val="21"/>
                <w:lang w:val="en-US" w:eastAsia="zh-CN"/>
              </w:rPr>
              <w:t>园区雨水管网</w:t>
            </w:r>
            <w:r>
              <w:rPr>
                <w:rFonts w:hint="default" w:ascii="Times New Roman" w:hAnsi="Times New Roman" w:eastAsia="宋体" w:cs="Times New Roman"/>
                <w:b w:val="0"/>
                <w:bCs w:val="0"/>
                <w:color w:val="auto"/>
                <w:sz w:val="21"/>
                <w:szCs w:val="21"/>
              </w:rPr>
              <w:t>；</w:t>
            </w:r>
            <w:r>
              <w:rPr>
                <w:rFonts w:hint="default" w:ascii="Times New Roman" w:hAnsi="Times New Roman" w:eastAsia="宋体" w:cs="Times New Roman"/>
                <w:b w:val="0"/>
                <w:bCs w:val="0"/>
                <w:color w:val="auto"/>
                <w:sz w:val="21"/>
                <w:szCs w:val="21"/>
                <w:lang w:val="en-US" w:eastAsia="zh-CN"/>
              </w:rPr>
              <w:t>生活废水排入化粪池处理</w:t>
            </w:r>
            <w:r>
              <w:rPr>
                <w:rFonts w:hint="default" w:ascii="Times New Roman" w:hAnsi="Times New Roman" w:cs="Times New Roman"/>
                <w:b w:val="0"/>
                <w:bCs w:val="0"/>
                <w:color w:val="auto"/>
                <w:sz w:val="21"/>
                <w:szCs w:val="21"/>
                <w:lang w:val="en-US" w:eastAsia="zh-CN"/>
              </w:rPr>
              <w:t>后</w:t>
            </w:r>
            <w:r>
              <w:rPr>
                <w:rFonts w:hint="default" w:ascii="Times New Roman" w:hAnsi="Times New Roman" w:eastAsia="宋体" w:cs="Times New Roman"/>
                <w:color w:val="auto"/>
                <w:kern w:val="0"/>
                <w:sz w:val="21"/>
                <w:szCs w:val="21"/>
                <w:lang w:val="en-US" w:eastAsia="zh-CN"/>
              </w:rPr>
              <w:t>委托</w:t>
            </w:r>
            <w:r>
              <w:rPr>
                <w:rFonts w:hint="default" w:ascii="Times New Roman" w:hAnsi="Times New Roman" w:cs="Times New Roman"/>
                <w:color w:val="auto"/>
                <w:kern w:val="0"/>
                <w:sz w:val="21"/>
                <w:szCs w:val="21"/>
                <w:lang w:val="en-US" w:eastAsia="zh-CN"/>
              </w:rPr>
              <w:t>环卫部门清运处置</w:t>
            </w:r>
            <w:r>
              <w:rPr>
                <w:rFonts w:hint="default" w:ascii="Times New Roman" w:hAnsi="Times New Roman" w:eastAsia="宋体" w:cs="Times New Roman"/>
                <w:b w:val="0"/>
                <w:bCs w:val="0"/>
                <w:color w:val="auto"/>
                <w:sz w:val="21"/>
                <w:szCs w:val="21"/>
                <w:lang w:val="en-US" w:eastAsia="zh-CN"/>
              </w:rPr>
              <w:t>。</w:t>
            </w:r>
          </w:p>
        </w:tc>
        <w:tc>
          <w:tcPr>
            <w:tcW w:w="695" w:type="dxa"/>
            <w:noWrap w:val="0"/>
            <w:vAlign w:val="center"/>
          </w:tcPr>
          <w:p w14:paraId="0CA3BC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bl>
    <w:p w14:paraId="1166145E">
      <w:pPr>
        <w:widowControl/>
        <w:spacing w:line="360" w:lineRule="auto"/>
        <w:ind w:firstLine="480" w:firstLineChars="200"/>
        <w:jc w:val="left"/>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eastAsia="zh-CN"/>
        </w:rPr>
        <w:t>根据表</w:t>
      </w:r>
      <w:r>
        <w:rPr>
          <w:rFonts w:hint="default" w:ascii="Times New Roman" w:hAnsi="Times New Roman" w:eastAsia="宋体" w:cs="Times New Roman"/>
          <w:b w:val="0"/>
          <w:bCs w:val="0"/>
          <w:color w:val="auto"/>
          <w:sz w:val="24"/>
          <w:szCs w:val="24"/>
          <w:lang w:val="en-US" w:eastAsia="zh-CN"/>
        </w:rPr>
        <w:t>3，本</w:t>
      </w:r>
      <w:r>
        <w:rPr>
          <w:rFonts w:hint="default" w:ascii="Times New Roman" w:hAnsi="Times New Roman" w:eastAsia="宋体" w:cs="Times New Roman"/>
          <w:b w:val="0"/>
          <w:bCs w:val="0"/>
          <w:color w:val="auto"/>
          <w:sz w:val="24"/>
          <w:szCs w:val="24"/>
        </w:rPr>
        <w:t>项目的建设</w:t>
      </w:r>
      <w:r>
        <w:rPr>
          <w:rFonts w:hint="default" w:ascii="Times New Roman" w:hAnsi="Times New Roman" w:eastAsia="宋体" w:cs="Times New Roman"/>
          <w:b w:val="0"/>
          <w:bCs w:val="0"/>
          <w:color w:val="auto"/>
          <w:sz w:val="24"/>
          <w:szCs w:val="24"/>
          <w:lang w:val="en-US" w:eastAsia="zh-CN"/>
        </w:rPr>
        <w:t>符合</w:t>
      </w:r>
      <w:r>
        <w:rPr>
          <w:rFonts w:hint="default" w:ascii="Times New Roman" w:hAnsi="Times New Roman" w:eastAsia="宋体" w:cs="Times New Roman"/>
          <w:color w:val="auto"/>
          <w:sz w:val="24"/>
          <w:szCs w:val="32"/>
        </w:rPr>
        <w:t>曲靖市人民政府关于实施</w:t>
      </w:r>
      <w:r>
        <w:rPr>
          <w:rFonts w:hint="eastAsia" w:ascii="Times New Roman" w:hAnsi="Times New Roman" w:eastAsia="宋体" w:cs="Times New Roman"/>
          <w:color w:val="auto"/>
          <w:sz w:val="24"/>
          <w:szCs w:val="32"/>
          <w:lang w:eastAsia="zh-CN"/>
        </w:rPr>
        <w:t>“</w:t>
      </w:r>
      <w:r>
        <w:rPr>
          <w:rFonts w:hint="default" w:ascii="Times New Roman" w:hAnsi="Times New Roman" w:eastAsia="宋体" w:cs="Times New Roman"/>
          <w:color w:val="auto"/>
          <w:sz w:val="24"/>
          <w:szCs w:val="32"/>
        </w:rPr>
        <w:t>三线一单</w:t>
      </w:r>
      <w:r>
        <w:rPr>
          <w:rFonts w:hint="eastAsia" w:ascii="Times New Roman" w:hAnsi="Times New Roman" w:eastAsia="宋体" w:cs="Times New Roman"/>
          <w:color w:val="auto"/>
          <w:sz w:val="24"/>
          <w:szCs w:val="32"/>
          <w:lang w:eastAsia="zh-CN"/>
        </w:rPr>
        <w:t>”</w:t>
      </w:r>
      <w:r>
        <w:rPr>
          <w:rFonts w:hint="default" w:ascii="Times New Roman" w:hAnsi="Times New Roman" w:eastAsia="宋体" w:cs="Times New Roman"/>
          <w:color w:val="auto"/>
          <w:sz w:val="24"/>
          <w:szCs w:val="32"/>
          <w:lang w:val="en-US" w:eastAsia="zh-CN"/>
        </w:rPr>
        <w:t>和</w:t>
      </w:r>
      <w:r>
        <w:rPr>
          <w:rFonts w:hint="default" w:ascii="Times New Roman" w:hAnsi="Times New Roman" w:eastAsia="宋体" w:cs="Times New Roman"/>
          <w:color w:val="auto"/>
          <w:sz w:val="24"/>
        </w:rPr>
        <w:t>《曲靖市生态环境分区管控动态更新方案</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2023年</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w:t>
      </w:r>
      <w:r>
        <w:rPr>
          <w:rFonts w:hint="default" w:ascii="Times New Roman" w:hAnsi="Times New Roman" w:eastAsia="宋体" w:cs="Times New Roman"/>
          <w:b w:val="0"/>
          <w:bCs w:val="0"/>
          <w:color w:val="auto"/>
          <w:sz w:val="24"/>
          <w:szCs w:val="24"/>
        </w:rPr>
        <w:t>的有关要求。</w:t>
      </w:r>
    </w:p>
    <w:p w14:paraId="037BBB1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outlineLvl w:val="2"/>
        <w:rPr>
          <w:rFonts w:hint="default" w:ascii="Times New Roman" w:hAnsi="Times New Roman" w:cs="Times New Roman"/>
          <w:b/>
          <w:bCs/>
          <w:color w:val="auto"/>
          <w:sz w:val="24"/>
          <w:szCs w:val="24"/>
          <w:lang w:val="en-US" w:eastAsia="zh-CN"/>
        </w:rPr>
      </w:pPr>
      <w:bookmarkStart w:id="37" w:name="_Toc1524"/>
      <w:r>
        <w:rPr>
          <w:rFonts w:hint="eastAsia" w:ascii="Times New Roman" w:hAnsi="Times New Roman" w:cs="Times New Roman"/>
          <w:b/>
          <w:bCs/>
          <w:color w:val="auto"/>
          <w:sz w:val="24"/>
          <w:szCs w:val="24"/>
          <w:lang w:val="en-US" w:eastAsia="zh-CN"/>
        </w:rPr>
        <w:t>（四）</w:t>
      </w:r>
      <w:r>
        <w:rPr>
          <w:rFonts w:hint="default" w:ascii="Times New Roman" w:hAnsi="Times New Roman" w:cs="Times New Roman"/>
          <w:b/>
          <w:bCs/>
          <w:color w:val="auto"/>
          <w:sz w:val="24"/>
          <w:szCs w:val="24"/>
          <w:lang w:val="en-US" w:eastAsia="zh-CN"/>
        </w:rPr>
        <w:t>与相关法律法规、规划的符合性分析</w:t>
      </w:r>
      <w:bookmarkEnd w:id="37"/>
    </w:p>
    <w:p w14:paraId="58EB7C59">
      <w:pPr>
        <w:pStyle w:val="9"/>
        <w:keepNext w:val="0"/>
        <w:keepLines w:val="0"/>
        <w:pageBreakBefore w:val="0"/>
        <w:wordWrap/>
        <w:overflowPunct/>
        <w:topLinePunct w:val="0"/>
        <w:bidi w:val="0"/>
        <w:adjustRightInd/>
        <w:snapToGrid/>
        <w:spacing w:line="360" w:lineRule="auto"/>
        <w:ind w:left="0" w:right="0" w:firstLine="474" w:firstLineChars="200"/>
        <w:outlineLvl w:val="4"/>
        <w:rPr>
          <w:color w:val="auto"/>
          <w:sz w:val="24"/>
          <w:szCs w:val="24"/>
        </w:rPr>
      </w:pPr>
      <w:r>
        <w:rPr>
          <w:rFonts w:hint="eastAsia" w:ascii="Times New Roman" w:hAnsi="Times New Roman" w:eastAsia="宋体" w:cs="Times New Roman"/>
          <w:b/>
          <w:bCs/>
          <w:color w:val="auto"/>
          <w:spacing w:val="-2"/>
          <w:sz w:val="24"/>
          <w:szCs w:val="24"/>
          <w:lang w:val="en-US" w:eastAsia="zh-CN"/>
        </w:rPr>
        <w:t>1、</w:t>
      </w:r>
      <w:r>
        <w:rPr>
          <w:b/>
          <w:bCs/>
          <w:color w:val="auto"/>
          <w:spacing w:val="-2"/>
          <w:sz w:val="24"/>
          <w:szCs w:val="24"/>
        </w:rPr>
        <w:t>与《云南省主体功能区规划》符合性分析</w:t>
      </w:r>
    </w:p>
    <w:p w14:paraId="32F0BD6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color w:val="auto"/>
          <w:spacing w:val="0"/>
          <w:sz w:val="24"/>
          <w:szCs w:val="24"/>
        </w:rPr>
      </w:pPr>
      <w:r>
        <w:rPr>
          <w:color w:val="auto"/>
          <w:spacing w:val="0"/>
          <w:sz w:val="24"/>
          <w:szCs w:val="24"/>
        </w:rPr>
        <w:t>根据云南省不同区域的资源环境承载力、现有开发密度和未来发展潜力，</w:t>
      </w:r>
      <w:r>
        <w:rPr>
          <w:rFonts w:ascii="Times New Roman" w:hAnsi="Times New Roman" w:eastAsia="Times New Roman" w:cs="Times New Roman"/>
          <w:color w:val="auto"/>
          <w:spacing w:val="0"/>
          <w:sz w:val="24"/>
          <w:szCs w:val="24"/>
        </w:rPr>
        <w:t>2014</w:t>
      </w:r>
      <w:r>
        <w:rPr>
          <w:color w:val="auto"/>
          <w:spacing w:val="0"/>
          <w:sz w:val="24"/>
          <w:szCs w:val="24"/>
        </w:rPr>
        <w:t>年</w:t>
      </w:r>
      <w:r>
        <w:rPr>
          <w:rFonts w:ascii="Times New Roman" w:hAnsi="Times New Roman" w:eastAsia="Times New Roman" w:cs="Times New Roman"/>
          <w:color w:val="auto"/>
          <w:spacing w:val="0"/>
          <w:sz w:val="24"/>
          <w:szCs w:val="24"/>
        </w:rPr>
        <w:t>1</w:t>
      </w:r>
      <w:r>
        <w:rPr>
          <w:color w:val="auto"/>
          <w:spacing w:val="0"/>
          <w:sz w:val="24"/>
          <w:szCs w:val="24"/>
        </w:rPr>
        <w:t>月，云南省人民政府以《云南省人民政府关于印发云南省主体功能区规划的通知》（云政发〔</w:t>
      </w:r>
      <w:r>
        <w:rPr>
          <w:rFonts w:ascii="Times New Roman" w:hAnsi="Times New Roman" w:eastAsia="Times New Roman" w:cs="Times New Roman"/>
          <w:color w:val="auto"/>
          <w:spacing w:val="0"/>
          <w:sz w:val="24"/>
          <w:szCs w:val="24"/>
        </w:rPr>
        <w:t>2014</w:t>
      </w:r>
      <w:r>
        <w:rPr>
          <w:color w:val="auto"/>
          <w:spacing w:val="0"/>
          <w:sz w:val="24"/>
          <w:szCs w:val="24"/>
        </w:rPr>
        <w:t>〕</w:t>
      </w:r>
      <w:r>
        <w:rPr>
          <w:rFonts w:ascii="Times New Roman" w:hAnsi="Times New Roman" w:eastAsia="Times New Roman" w:cs="Times New Roman"/>
          <w:color w:val="auto"/>
          <w:spacing w:val="0"/>
          <w:sz w:val="24"/>
          <w:szCs w:val="24"/>
        </w:rPr>
        <w:t>1</w:t>
      </w:r>
      <w:r>
        <w:rPr>
          <w:color w:val="auto"/>
          <w:spacing w:val="0"/>
          <w:sz w:val="24"/>
          <w:szCs w:val="24"/>
        </w:rPr>
        <w:t>号）发布了《云南省主体功能区规划》。将云南省国土空间按照开发方式分为重点开发区域、限制开发区域和禁止开发区域</w:t>
      </w:r>
      <w:r>
        <w:rPr>
          <w:rFonts w:ascii="Times New Roman" w:hAnsi="Times New Roman" w:eastAsia="Times New Roman" w:cs="Times New Roman"/>
          <w:color w:val="auto"/>
          <w:spacing w:val="0"/>
          <w:sz w:val="24"/>
          <w:szCs w:val="24"/>
        </w:rPr>
        <w:t>3</w:t>
      </w:r>
      <w:r>
        <w:rPr>
          <w:color w:val="auto"/>
          <w:spacing w:val="0"/>
          <w:sz w:val="24"/>
          <w:szCs w:val="24"/>
        </w:rPr>
        <w:t>类主体功能区。</w:t>
      </w:r>
    </w:p>
    <w:p w14:paraId="75EAB44C">
      <w:pPr>
        <w:adjustRightInd w:val="0"/>
        <w:snapToGrid w:val="0"/>
        <w:spacing w:line="360" w:lineRule="auto"/>
        <w:ind w:firstLine="480" w:firstLineChars="200"/>
        <w:jc w:val="both"/>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沾益区</w:t>
      </w:r>
      <w:r>
        <w:rPr>
          <w:rFonts w:hint="default" w:ascii="Times New Roman" w:hAnsi="Times New Roman" w:cs="Times New Roman"/>
          <w:color w:val="auto"/>
          <w:sz w:val="24"/>
          <w:szCs w:val="24"/>
        </w:rPr>
        <w:t>属于《云南省主体功能区规划》中规定的</w:t>
      </w:r>
      <w:r>
        <w:rPr>
          <w:rFonts w:hint="eastAsia" w:ascii="Times New Roman" w:hAnsi="Times New Roman" w:cs="Times New Roman"/>
          <w:color w:val="auto"/>
          <w:sz w:val="24"/>
          <w:szCs w:val="24"/>
          <w:lang w:val="en-US" w:eastAsia="zh-CN"/>
        </w:rPr>
        <w:t>国家重点开发区</w:t>
      </w:r>
      <w:r>
        <w:rPr>
          <w:rFonts w:hint="default" w:ascii="Times New Roman" w:hAnsi="Times New Roman" w:cs="Times New Roman"/>
          <w:color w:val="auto"/>
          <w:sz w:val="24"/>
          <w:szCs w:val="24"/>
          <w:lang w:eastAsia="zh-CN"/>
        </w:rPr>
        <w:t>，具体详见附图</w:t>
      </w: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lang w:eastAsia="zh-CN"/>
        </w:rPr>
        <w:t>，不在</w:t>
      </w:r>
      <w:r>
        <w:rPr>
          <w:rFonts w:hint="default" w:ascii="Times New Roman" w:hAnsi="Times New Roman" w:cs="Times New Roman"/>
          <w:color w:val="auto"/>
          <w:sz w:val="24"/>
          <w:szCs w:val="24"/>
        </w:rPr>
        <w:t>重点生态功能区</w:t>
      </w:r>
      <w:r>
        <w:rPr>
          <w:rFonts w:hint="default" w:ascii="Times New Roman" w:hAnsi="Times New Roman" w:cs="Times New Roman"/>
          <w:color w:val="auto"/>
          <w:sz w:val="24"/>
          <w:szCs w:val="24"/>
          <w:lang w:eastAsia="zh-CN"/>
        </w:rPr>
        <w:t>，项目已取得备案证，并</w:t>
      </w:r>
      <w:r>
        <w:rPr>
          <w:rFonts w:hint="eastAsia" w:ascii="Times New Roman" w:hAnsi="Times New Roman" w:cs="Times New Roman"/>
          <w:color w:val="auto"/>
          <w:sz w:val="24"/>
          <w:szCs w:val="24"/>
          <w:lang w:val="en-US" w:eastAsia="zh-CN"/>
        </w:rPr>
        <w:t>已</w:t>
      </w:r>
      <w:r>
        <w:rPr>
          <w:rFonts w:hint="default" w:ascii="Times New Roman" w:hAnsi="Times New Roman" w:cs="Times New Roman"/>
          <w:color w:val="auto"/>
          <w:sz w:val="24"/>
          <w:szCs w:val="24"/>
          <w:lang w:eastAsia="zh-CN"/>
        </w:rPr>
        <w:t>取得</w:t>
      </w:r>
      <w:r>
        <w:rPr>
          <w:rFonts w:hint="eastAsia" w:ascii="Times New Roman" w:hAnsi="Times New Roman" w:cs="Times New Roman"/>
          <w:color w:val="auto"/>
          <w:sz w:val="24"/>
          <w:szCs w:val="24"/>
          <w:lang w:val="en-US" w:eastAsia="zh-CN"/>
        </w:rPr>
        <w:t>入园证明</w:t>
      </w:r>
      <w:r>
        <w:rPr>
          <w:rFonts w:hint="default" w:ascii="Times New Roman" w:hAnsi="Times New Roman" w:cs="Times New Roman"/>
          <w:color w:val="auto"/>
          <w:sz w:val="24"/>
          <w:szCs w:val="24"/>
        </w:rPr>
        <w:t>。</w:t>
      </w:r>
    </w:p>
    <w:p w14:paraId="311735E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z w:val="24"/>
          <w:szCs w:val="24"/>
          <w:lang w:eastAsia="zh-CN"/>
        </w:rPr>
      </w:pPr>
      <w:r>
        <w:rPr>
          <w:rFonts w:hint="default" w:ascii="Times New Roman" w:hAnsi="Times New Roman" w:cs="Times New Roman"/>
          <w:color w:val="auto"/>
          <w:sz w:val="24"/>
          <w:szCs w:val="24"/>
        </w:rPr>
        <w:t>根据《云南省主体功能区规划》，云南省禁止开发区包括自然保护区、风景名胜区、世界遗产、森林公园、地质公园、饮用水源保护区等，共359个禁止开发区域。根据2025年7月30日曲靖市沾益区自然资源局出具的《曲煤焦化集装箱堆场提质改造项目拟用地与</w:t>
      </w: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三区三线</w:t>
      </w: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划定成果关系查询结果告知单》：本项目用地</w:t>
      </w:r>
      <w:r>
        <w:rPr>
          <w:rFonts w:hint="eastAsia" w:cs="Times New Roman"/>
          <w:color w:val="auto"/>
          <w:sz w:val="24"/>
          <w:szCs w:val="24"/>
          <w:lang w:eastAsia="zh-CN"/>
        </w:rPr>
        <w:t>位于</w:t>
      </w:r>
      <w:r>
        <w:rPr>
          <w:rFonts w:hint="default" w:ascii="Times New Roman" w:hAnsi="Times New Roman" w:cs="Times New Roman"/>
          <w:color w:val="auto"/>
          <w:sz w:val="24"/>
          <w:szCs w:val="24"/>
        </w:rPr>
        <w:t>城镇开发边界范围内，不涉及占用</w:t>
      </w: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三区三线”划定的永久基本农田，不涉及占用</w:t>
      </w: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三区三线”划定生态保护红线</w:t>
      </w:r>
      <w:r>
        <w:rPr>
          <w:rFonts w:hint="eastAsia" w:ascii="Times New Roman" w:hAnsi="Times New Roman" w:cs="Times New Roman"/>
          <w:color w:val="auto"/>
          <w:sz w:val="24"/>
          <w:szCs w:val="24"/>
          <w:lang w:eastAsia="zh-CN"/>
        </w:rPr>
        <w:t>。</w:t>
      </w:r>
    </w:p>
    <w:p w14:paraId="12F16539">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default" w:ascii="Times New Roman" w:hAnsi="Times New Roman" w:cs="Times New Roman"/>
          <w:color w:val="auto"/>
          <w:sz w:val="24"/>
          <w:szCs w:val="24"/>
        </w:rPr>
      </w:pPr>
      <w:r>
        <w:rPr>
          <w:rFonts w:hint="eastAsia" w:ascii="Times New Roman" w:hAnsi="Times New Roman" w:eastAsia="宋体" w:cs="Times New Roman"/>
          <w:b/>
          <w:bCs/>
          <w:color w:val="auto"/>
          <w:spacing w:val="-2"/>
          <w:sz w:val="24"/>
          <w:szCs w:val="24"/>
          <w:lang w:val="en-US" w:eastAsia="zh-CN"/>
        </w:rPr>
        <w:t>2、</w:t>
      </w:r>
      <w:r>
        <w:rPr>
          <w:rFonts w:hint="default" w:ascii="Times New Roman" w:hAnsi="Times New Roman" w:cs="Times New Roman"/>
          <w:b/>
          <w:bCs/>
          <w:color w:val="auto"/>
          <w:spacing w:val="-2"/>
          <w:sz w:val="24"/>
          <w:szCs w:val="24"/>
        </w:rPr>
        <w:t>与生态功能区划符合性分析</w:t>
      </w:r>
    </w:p>
    <w:p w14:paraId="70A282A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根据《云南省生态功能区划》中生态功能划分，云南生态功能区共分一级区（生态区）5个，二级区（生态亚区）19个，三级区（生态功能区）65个。项目所在地属于Ⅲ高原亚热带北部常绿阔叶林生态区—Ⅲ4滇东北高中山暖性针叶林、亚高山草甸生态亚区—Ⅲ4-4牛栏江、南盘江上游岩溶山原水源涵养生态功能区，具体详见附图9。该区主要的特点是：地貌以石灰岩山原为主，大部分地区的年降雨量在 1000～1200毫米，主要植被类型为云南松林，生长较差。主要土壤类型为黄棕壤和红壤。主要的生态问题是：土地垦殖过度、森林退化严重。保护措施和发展方向是：严格退耕还林，加大封山育林的力度，调整产业结构，提高森林的数量和质量。</w:t>
      </w:r>
    </w:p>
    <w:p w14:paraId="60C9C39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pacing w:val="0"/>
          <w:sz w:val="24"/>
          <w:szCs w:val="24"/>
        </w:rPr>
        <w:t>项目建设将会一定程度破坏当地的生态环境，通过实施环评提出的相关措施：场地硬化，雨污分流，植物绿化等措施减少水土流失，确保项目运营期内生态环境不恶化。</w:t>
      </w:r>
    </w:p>
    <w:p w14:paraId="4A30493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4"/>
        <w:rPr>
          <w:rFonts w:hint="default"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3、</w:t>
      </w:r>
      <w:r>
        <w:rPr>
          <w:rFonts w:hint="default" w:ascii="Times New Roman" w:hAnsi="Times New Roman" w:eastAsia="宋体" w:cs="Times New Roman"/>
          <w:b/>
          <w:bCs/>
          <w:color w:val="auto"/>
          <w:spacing w:val="-2"/>
          <w:sz w:val="24"/>
          <w:szCs w:val="24"/>
          <w:lang w:val="en-US" w:eastAsia="zh-CN"/>
        </w:rPr>
        <w:t>与《中共中央 国务院关于深入打好污染防治攻坚战的意见》的符合性分析</w:t>
      </w:r>
    </w:p>
    <w:p w14:paraId="5ECFB8B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《中共中央、国务院关于深入打好污染防治攻坚战的意见》于 2021 年 11 月2 日印发，着力于进一步加强生态环境保护，深入打好污染防治攻坚战。主要内容如下：</w:t>
      </w:r>
    </w:p>
    <w:p w14:paraId="772D50C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到2025年，生态环境持续改善，主要污染物排放总量持续下降，单位国内生产总值二氧化碳排放比 2020 年下降18%，地级及以上城市细颗粒物（PM</w:t>
      </w:r>
      <w:r>
        <w:rPr>
          <w:rFonts w:hint="default" w:ascii="Times New Roman" w:hAnsi="Times New Roman" w:cs="Times New Roman"/>
          <w:color w:val="auto"/>
          <w:spacing w:val="0"/>
          <w:sz w:val="24"/>
          <w:szCs w:val="24"/>
          <w:vertAlign w:val="subscript"/>
        </w:rPr>
        <w:t>2.5</w:t>
      </w:r>
      <w:r>
        <w:rPr>
          <w:rFonts w:hint="default" w:ascii="Times New Roman" w:hAnsi="Times New Roman" w:cs="Times New Roman"/>
          <w:color w:val="auto"/>
          <w:spacing w:val="0"/>
          <w:sz w:val="24"/>
          <w:szCs w:val="24"/>
        </w:rPr>
        <w:t>）浓度下降10%，空气质量优良天数比率达到87.5%，地表水Ⅰ-Ⅲ类水体比例达到85% ，近岸海域水质优良（一、二类）比例达到79%左右，重污染天气、城市黑臭水体基本消除，土壤污染风险得到有效管控，固体废物和新污染物治理能力明显增强，生态系统质量和稳定性持续提升，生态环境治理体系更加完善，生态文明建设实现新进步。</w:t>
      </w:r>
    </w:p>
    <w:p w14:paraId="65FCD92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eastAsia" w:ascii="Times New Roman" w:hAnsi="Times New Roman" w:cs="Times New Roman"/>
          <w:color w:val="auto"/>
          <w:spacing w:val="0"/>
          <w:sz w:val="24"/>
          <w:szCs w:val="24"/>
          <w:lang w:val="en-US" w:eastAsia="zh-CN"/>
        </w:rPr>
        <w:t>项目大气污染物主要是内燃机废气、运输车辆尾气以及运输装卸粉尘等。产生量较少，经过采取洒水降尘、绿化吸收、大气稀释扩散等措施后对周边大气环境影响较小；本项目初期雨水经收集处理后回用于项目绿化、洒水降尘，回用不完的由曲煤焦化内部清运至铁路卸煤区洒水降尘</w:t>
      </w:r>
      <w:r>
        <w:rPr>
          <w:rFonts w:hint="default" w:ascii="Times New Roman" w:hAnsi="Times New Roman" w:cs="Times New Roman"/>
          <w:color w:val="auto"/>
          <w:spacing w:val="0"/>
          <w:sz w:val="24"/>
          <w:szCs w:val="24"/>
          <w:lang w:val="en-US" w:eastAsia="zh-CN"/>
        </w:rPr>
        <w:t>生活垃圾收集后交由环卫部门处理</w:t>
      </w:r>
      <w:r>
        <w:rPr>
          <w:rFonts w:hint="eastAsia" w:ascii="Times New Roman" w:hAnsi="Times New Roman" w:cs="Times New Roman"/>
          <w:color w:val="auto"/>
          <w:spacing w:val="0"/>
          <w:sz w:val="24"/>
          <w:szCs w:val="24"/>
          <w:lang w:val="en-US" w:eastAsia="zh-CN"/>
        </w:rPr>
        <w:t>，含油抹布、手套并入生活垃圾处理</w:t>
      </w:r>
      <w:r>
        <w:rPr>
          <w:rFonts w:hint="default" w:ascii="Times New Roman" w:hAnsi="Times New Roman" w:cs="Times New Roman"/>
          <w:color w:val="auto"/>
          <w:spacing w:val="0"/>
          <w:sz w:val="24"/>
          <w:szCs w:val="24"/>
          <w:lang w:val="en-US" w:eastAsia="zh-CN"/>
        </w:rPr>
        <w:t>；设备维护、修理过程中产生的含油废物定期交由有资质单位进行处理，并建立健全危险废物产生、处理、转移台账记录。</w:t>
      </w:r>
      <w:r>
        <w:rPr>
          <w:rFonts w:hint="default" w:ascii="Times New Roman" w:hAnsi="Times New Roman" w:cs="Times New Roman"/>
          <w:color w:val="auto"/>
          <w:spacing w:val="0"/>
          <w:sz w:val="24"/>
          <w:szCs w:val="24"/>
        </w:rPr>
        <w:t>项目产生的固废处置率为100%。项目严格按照清洁生产的要求，实行清洁生产，节能降耗。</w:t>
      </w:r>
    </w:p>
    <w:p w14:paraId="7FEF333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综上，本项目建设符合《中共中央、国务院关于深入打好污染防治攻坚战的意见》。</w:t>
      </w:r>
    </w:p>
    <w:p w14:paraId="21FC233A">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4、与国务院关于印发《空气质量持续改善行动计划》的通知（国发〔2023〕24号）的符合性分析</w:t>
      </w:r>
    </w:p>
    <w:p w14:paraId="3CCF597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2023 年 11 月 30 日，国务院发布了《空气质量持续改善行动计划》的通知，目标指标：到 2025 年，全国地级及以上城市 PM</w:t>
      </w:r>
      <w:r>
        <w:rPr>
          <w:rFonts w:hint="eastAsia" w:ascii="Times New Roman" w:hAnsi="Times New Roman" w:cs="Times New Roman"/>
          <w:color w:val="auto"/>
          <w:spacing w:val="0"/>
          <w:sz w:val="24"/>
          <w:szCs w:val="24"/>
          <w:vertAlign w:val="subscript"/>
          <w:lang w:val="en-US" w:eastAsia="zh-CN"/>
        </w:rPr>
        <w:t>2.5</w:t>
      </w:r>
      <w:r>
        <w:rPr>
          <w:rFonts w:hint="eastAsia" w:ascii="Times New Roman" w:hAnsi="Times New Roman" w:cs="Times New Roman"/>
          <w:color w:val="auto"/>
          <w:spacing w:val="0"/>
          <w:sz w:val="24"/>
          <w:szCs w:val="24"/>
          <w:lang w:val="en-US" w:eastAsia="zh-CN"/>
        </w:rPr>
        <w:t xml:space="preserve"> 浓度比 2020 年下降 10% ，重度及以上污染天数比率控制在 1%以内；氮氧化物和 VOCs 排放总量比 2020 年分别下降 10%以上。京津冀及周边地区、汾渭平原PM</w:t>
      </w:r>
      <w:r>
        <w:rPr>
          <w:rFonts w:hint="eastAsia" w:ascii="Times New Roman" w:hAnsi="Times New Roman" w:cs="Times New Roman"/>
          <w:color w:val="auto"/>
          <w:spacing w:val="0"/>
          <w:sz w:val="24"/>
          <w:szCs w:val="24"/>
          <w:vertAlign w:val="subscript"/>
          <w:lang w:val="en-US" w:eastAsia="zh-CN"/>
        </w:rPr>
        <w:t>2.5</w:t>
      </w:r>
      <w:r>
        <w:rPr>
          <w:rFonts w:hint="eastAsia" w:ascii="Times New Roman" w:hAnsi="Times New Roman" w:cs="Times New Roman"/>
          <w:color w:val="auto"/>
          <w:spacing w:val="0"/>
          <w:sz w:val="24"/>
          <w:szCs w:val="24"/>
          <w:lang w:val="en-US" w:eastAsia="zh-CN"/>
        </w:rPr>
        <w:t>浓度分别下降 20%、15%，长三角地区PM2.5浓度总体达标，北京市控制在32微克/立方米以内。</w:t>
      </w:r>
    </w:p>
    <w:p w14:paraId="4D2E023A">
      <w:pPr>
        <w:pStyle w:val="9"/>
        <w:keepNext w:val="0"/>
        <w:keepLines w:val="0"/>
        <w:pageBreakBefore w:val="0"/>
        <w:widowControl/>
        <w:kinsoku/>
        <w:wordWrap/>
        <w:overflowPunct/>
        <w:topLinePunct w:val="0"/>
        <w:autoSpaceDE w:val="0"/>
        <w:autoSpaceDN w:val="0"/>
        <w:bidi w:val="0"/>
        <w:adjustRightInd/>
        <w:snapToGrid/>
        <w:spacing w:line="360" w:lineRule="auto"/>
        <w:ind w:left="507"/>
        <w:textAlignment w:val="baseline"/>
        <w:rPr>
          <w:color w:val="auto"/>
          <w:sz w:val="24"/>
          <w:szCs w:val="24"/>
        </w:rPr>
      </w:pPr>
      <w:r>
        <w:rPr>
          <w:b/>
          <w:bCs/>
          <w:color w:val="auto"/>
          <w:spacing w:val="-3"/>
          <w:sz w:val="24"/>
          <w:szCs w:val="24"/>
        </w:rPr>
        <w:t>二、优化产业结构，促进产业产品绿色升级</w:t>
      </w:r>
    </w:p>
    <w:p w14:paraId="252BBE3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四）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p w14:paraId="0649BCD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严禁新增钢铁产能。推行钢铁、焦化、烧结一体化布局，大幅减少独立焦化、烧结、球团和热轧企业及工序，淘汰落后煤炭洗选产能；有序引导高炉—转炉长流程炼钢转型为电炉短流程炼钢。到 2025 年，短流程炼钢产量占比达 15% 。京津冀及周边地区继续实施“ 以钢定焦”，炼焦产能与长流程炼钢产能比控制在0.4 左右。</w:t>
      </w:r>
    </w:p>
    <w:p w14:paraId="6CD4C47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五）加快退出重点行业落后产能。修订《产业结构调整指导目录》，研究将污染物或温室气体排放明显高出行业平均水平、能效和清洁生产水平低的工艺和装备纳入淘汰类和限制类名单。重点区域进一步提高落后产能能耗、环保、质量、安全、技术等要求，逐步退出限制类涉气行业工艺和装备；逐步淘汰步进式烧结机和球团竖炉以及半封闭式硅锰合金、镍铁、高碳铬铁、高碳锰铁电炉。引导重点区域钢铁、焦化、电解铝等产业有序调整优化。</w:t>
      </w:r>
    </w:p>
    <w:p w14:paraId="78591B3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（六）全面开展传统产业集群升级改造。中小型传统制造企业集中的城市要</w:t>
      </w:r>
    </w:p>
    <w:p w14:paraId="2DCE75A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制定涉气产业集群发展规划，严格项目审批，严防污染下乡。针对现有产业集群制定专项整治方案，依法淘汰关停一批、搬迁入园一批、就地改造一批、做优做强一批。各地要结合产业集群特点，因地制宜建设集中供热中心、集中喷涂中心、有机溶剂集中回收处置中心、活性炭集中再生中心。</w:t>
      </w:r>
    </w:p>
    <w:p w14:paraId="7BDA0FA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七）推动绿色环保产业健康发展。加大政策支持力度，在低（无）VOCs含量原辅材料生产和使用、VOCs污染治理、超低排放、环境和大气成分监测等领域支持培育一批龙头企业。多措并举治理环保领域低价低质中标乱象，营造公平竞争环境，推动产业健康有序发展。</w:t>
      </w:r>
    </w:p>
    <w:p w14:paraId="4AAA90B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三、优化能源结构，加速能源清洁低碳高效发展</w:t>
      </w:r>
    </w:p>
    <w:p w14:paraId="7A51BA6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（八）大力发展新能源和清洁能源。到2025年，非化石能源消费比重达20%左右，电能占终端能源消费比重达30%左右。持续增加天然气生产供应，新增天然气优先保障居民生活和清洁取暖需求。</w:t>
      </w:r>
    </w:p>
    <w:p w14:paraId="43008CA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default" w:ascii="Times New Roman" w:hAnsi="Times New Roman" w:cs="Times New Roman"/>
          <w:color w:val="auto"/>
          <w:spacing w:val="0"/>
          <w:sz w:val="24"/>
          <w:szCs w:val="24"/>
          <w:lang w:val="en-US" w:eastAsia="zh-CN"/>
        </w:rPr>
        <w:t>符合性分析：本项目位于</w:t>
      </w:r>
      <w:r>
        <w:rPr>
          <w:rFonts w:hint="default" w:ascii="Times New Roman" w:hAnsi="Times New Roman" w:eastAsia="宋体" w:cs="Times New Roman"/>
          <w:color w:val="auto"/>
          <w:sz w:val="24"/>
          <w:szCs w:val="24"/>
          <w:highlight w:val="none"/>
          <w:lang w:val="en-US" w:eastAsia="zh-CN"/>
        </w:rPr>
        <w:t>曲靖市高新技术产业开发区花山片区</w:t>
      </w:r>
      <w:r>
        <w:rPr>
          <w:rFonts w:hint="default" w:ascii="Times New Roman" w:hAnsi="Times New Roman" w:cs="Times New Roman"/>
          <w:color w:val="auto"/>
          <w:spacing w:val="0"/>
          <w:sz w:val="24"/>
          <w:szCs w:val="24"/>
          <w:lang w:val="en-US" w:eastAsia="zh-CN"/>
        </w:rPr>
        <w:t>，</w:t>
      </w:r>
      <w:r>
        <w:rPr>
          <w:rFonts w:hint="default" w:ascii="Times New Roman" w:hAnsi="Times New Roman" w:eastAsia="宋体" w:cs="Times New Roman"/>
          <w:color w:val="auto"/>
          <w:sz w:val="24"/>
          <w:szCs w:val="24"/>
          <w:highlight w:val="none"/>
          <w:lang w:val="en-US" w:eastAsia="zh-CN"/>
        </w:rPr>
        <w:t>根据20</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年曲靖市</w:t>
      </w:r>
      <w:r>
        <w:rPr>
          <w:rFonts w:hint="eastAsia" w:ascii="Times New Roman" w:hAnsi="Times New Roman" w:eastAsia="宋体" w:cs="Times New Roman"/>
          <w:color w:val="auto"/>
          <w:sz w:val="24"/>
          <w:szCs w:val="24"/>
          <w:highlight w:val="none"/>
          <w:lang w:val="en-US" w:eastAsia="zh-CN"/>
        </w:rPr>
        <w:t>沾益区</w:t>
      </w:r>
      <w:r>
        <w:rPr>
          <w:rFonts w:hint="default" w:ascii="Times New Roman" w:hAnsi="Times New Roman" w:eastAsia="宋体" w:cs="Times New Roman"/>
          <w:color w:val="auto"/>
          <w:sz w:val="24"/>
          <w:szCs w:val="24"/>
          <w:highlight w:val="none"/>
          <w:lang w:val="en-US" w:eastAsia="zh-CN"/>
        </w:rPr>
        <w:t>环境质量数据的统计，曲靖市</w:t>
      </w:r>
      <w:r>
        <w:rPr>
          <w:rFonts w:hint="eastAsia" w:ascii="Times New Roman" w:hAnsi="Times New Roman" w:eastAsia="宋体" w:cs="Times New Roman"/>
          <w:color w:val="auto"/>
          <w:sz w:val="24"/>
          <w:szCs w:val="24"/>
          <w:highlight w:val="none"/>
          <w:lang w:val="en-US" w:eastAsia="zh-CN"/>
        </w:rPr>
        <w:t>沾益区2025</w:t>
      </w:r>
      <w:r>
        <w:rPr>
          <w:rFonts w:hint="default" w:ascii="Times New Roman" w:hAnsi="Times New Roman" w:eastAsia="宋体" w:cs="Times New Roman"/>
          <w:color w:val="auto"/>
          <w:sz w:val="24"/>
          <w:szCs w:val="24"/>
          <w:highlight w:val="none"/>
          <w:lang w:val="en-US" w:eastAsia="zh-CN"/>
        </w:rPr>
        <w:t>年SO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、NO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、PM</w:t>
      </w:r>
      <w:r>
        <w:rPr>
          <w:rFonts w:hint="default" w:ascii="Times New Roman" w:hAnsi="Times New Roman" w:eastAsia="宋体" w:cs="Times New Roman"/>
          <w:color w:val="auto"/>
          <w:sz w:val="24"/>
          <w:szCs w:val="24"/>
          <w:highlight w:val="none"/>
          <w:vertAlign w:val="subscript"/>
          <w:lang w:val="en-US" w:eastAsia="zh-CN"/>
        </w:rPr>
        <w:t>10</w:t>
      </w:r>
      <w:r>
        <w:rPr>
          <w:rFonts w:hint="default" w:ascii="Times New Roman" w:hAnsi="Times New Roman" w:eastAsia="宋体" w:cs="Times New Roman"/>
          <w:color w:val="auto"/>
          <w:sz w:val="24"/>
          <w:szCs w:val="24"/>
          <w:highlight w:val="none"/>
          <w:lang w:val="en-US" w:eastAsia="zh-CN"/>
        </w:rPr>
        <w:t>、PM</w:t>
      </w:r>
      <w:r>
        <w:rPr>
          <w:rFonts w:hint="default" w:ascii="Times New Roman" w:hAnsi="Times New Roman" w:eastAsia="宋体" w:cs="Times New Roman"/>
          <w:color w:val="auto"/>
          <w:sz w:val="24"/>
          <w:szCs w:val="24"/>
          <w:highlight w:val="none"/>
          <w:vertAlign w:val="subscript"/>
          <w:lang w:val="en-US" w:eastAsia="zh-CN"/>
        </w:rPr>
        <w:t>2.5</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CO</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各污染物平均浓度均优于《环境空气质量标准》（GB3095-2012）中二级标准限值。</w:t>
      </w:r>
      <w:r>
        <w:rPr>
          <w:rFonts w:hint="eastAsia" w:ascii="Times New Roman" w:hAnsi="Times New Roman" w:cs="Times New Roman"/>
          <w:color w:val="auto"/>
          <w:spacing w:val="0"/>
          <w:sz w:val="24"/>
          <w:szCs w:val="24"/>
          <w:lang w:val="en-US" w:eastAsia="zh-CN"/>
        </w:rPr>
        <w:t>本项目主要环境影响是铁路专用线建设，属于国家鼓励类项目，不属于上述提到的高耗能、高排放、低水平项目、钢铁行业、重点行业落后产能等。项目运营过程中产生的废气主要是内燃机废气、运输车辆尾气以及运输装卸粉尘等，产生量较少，且经过采取洒水降尘、绿化吸收、大气稀释扩散等措施后均能达标排放，对周边大气环境影响较小。</w:t>
      </w:r>
    </w:p>
    <w:p w14:paraId="16300B6C">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5、与《长江经济带生态环境保护规划》符合性分析</w:t>
      </w:r>
    </w:p>
    <w:p w14:paraId="237B6FC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根据《长江经济带生态环境保护规划》实行负面清单管理。长江沿线一切经济活动都要以不破坏生态环境为前提，抓紧制定产业准入负面清单，明确空间准入和环境准入的清单式管理要求。提出长江沿线限制开发和禁止开发的岸线、河段、区域、产业以及相关管理措施。不符合要求占用岸线、河段、土地和布局的产业，必须无条件退出。除在建项目外，严禁在干流及主要支流岸线 1 公里范围内布局新建重化工园区，严控在中上游沿岸地区新建石油化工和煤化工项目。严控下游高污染、高排放企业向上游转移。</w:t>
      </w:r>
    </w:p>
    <w:p w14:paraId="4524BA7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符合性分析：本项目主要环境影响是铁路专用线的建设运行，属于国家发展和改革委员会发布的《产业结构调整指导目录（2024年本）》</w:t>
      </w:r>
      <w:r>
        <w:rPr>
          <w:rFonts w:hint="default" w:ascii="Times New Roman" w:hAnsi="Times New Roman" w:cs="Times New Roman"/>
          <w:color w:val="auto"/>
          <w:spacing w:val="0"/>
          <w:sz w:val="24"/>
          <w:szCs w:val="24"/>
          <w:lang w:val="en-US" w:eastAsia="zh-CN"/>
        </w:rPr>
        <w:t>中的鼓励类：“二十三、铁路1.铁路建设和改造”中的铁路专用线，</w:t>
      </w:r>
      <w:r>
        <w:rPr>
          <w:rFonts w:hint="eastAsia" w:ascii="Times New Roman" w:hAnsi="Times New Roman" w:cs="Times New Roman"/>
          <w:color w:val="auto"/>
          <w:spacing w:val="0"/>
          <w:sz w:val="24"/>
          <w:szCs w:val="24"/>
          <w:lang w:val="en-US" w:eastAsia="zh-CN"/>
        </w:rPr>
        <w:t>项目的建设符合国家现行产业政策，不属于《长江经济带生态环境保护规划》中实行负面清单管理的项目，项目选址位于曲靖高新技术产业开发区花山片区，不涉及新增占用岸线、河段、土地等内容。项目建设符合《长江经济带生态环境保护规划》。</w:t>
      </w:r>
    </w:p>
    <w:p w14:paraId="03BA7477">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default"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6、</w:t>
      </w:r>
      <w:r>
        <w:rPr>
          <w:rFonts w:hint="default" w:ascii="Times New Roman" w:hAnsi="Times New Roman" w:eastAsia="宋体" w:cs="Times New Roman"/>
          <w:b/>
          <w:bCs/>
          <w:color w:val="auto"/>
          <w:spacing w:val="-2"/>
          <w:sz w:val="24"/>
          <w:szCs w:val="24"/>
          <w:lang w:val="en-US" w:eastAsia="zh-CN"/>
        </w:rPr>
        <w:t>本项目与《云南省长江经济带发展负面清单指南实施细则（试行，2022年版）》的符合性分析</w:t>
      </w:r>
    </w:p>
    <w:p w14:paraId="030FC7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本项目所在区域的最近地表水体为西北面约90m处的</w:t>
      </w:r>
      <w:r>
        <w:rPr>
          <w:rFonts w:hint="default" w:ascii="Times New Roman" w:hAnsi="Times New Roman" w:eastAsia="宋体" w:cs="Times New Roman"/>
          <w:color w:val="auto"/>
          <w:kern w:val="0"/>
          <w:sz w:val="24"/>
          <w:lang w:val="en-US" w:eastAsia="zh-CN" w:bidi="ar"/>
        </w:rPr>
        <w:t>东干渠</w:t>
      </w:r>
      <w:r>
        <w:rPr>
          <w:rFonts w:hint="default" w:ascii="Times New Roman" w:hAnsi="Times New Roman" w:eastAsia="宋体" w:cs="Times New Roman"/>
          <w:b w:val="0"/>
          <w:bCs w:val="0"/>
          <w:color w:val="auto"/>
          <w:sz w:val="24"/>
          <w:lang w:val="en-US" w:eastAsia="zh-CN"/>
        </w:rPr>
        <w:t>，汇入南盘江，属于西江水系珠江流域。</w:t>
      </w:r>
    </w:p>
    <w:p w14:paraId="4269CA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rPr>
        <w:t>根据20</w:t>
      </w:r>
      <w:r>
        <w:rPr>
          <w:rFonts w:hint="default" w:ascii="Times New Roman" w:hAnsi="Times New Roman" w:eastAsia="宋体" w:cs="Times New Roman"/>
          <w:b w:val="0"/>
          <w:bCs w:val="0"/>
          <w:color w:val="auto"/>
          <w:sz w:val="24"/>
          <w:lang w:val="en-US" w:eastAsia="zh-CN"/>
        </w:rPr>
        <w:t>22</w:t>
      </w:r>
      <w:r>
        <w:rPr>
          <w:rFonts w:hint="default" w:ascii="Times New Roman" w:hAnsi="Times New Roman" w:eastAsia="宋体" w:cs="Times New Roman"/>
          <w:b w:val="0"/>
          <w:bCs w:val="0"/>
          <w:color w:val="auto"/>
          <w:sz w:val="24"/>
        </w:rPr>
        <w:t>年</w:t>
      </w:r>
      <w:r>
        <w:rPr>
          <w:rFonts w:hint="default" w:ascii="Times New Roman" w:hAnsi="Times New Roman" w:eastAsia="宋体" w:cs="Times New Roman"/>
          <w:b w:val="0"/>
          <w:bCs w:val="0"/>
          <w:color w:val="auto"/>
          <w:sz w:val="24"/>
          <w:lang w:val="en-US" w:eastAsia="zh-CN"/>
        </w:rPr>
        <w:t>8</w:t>
      </w:r>
      <w:r>
        <w:rPr>
          <w:rFonts w:hint="default" w:ascii="Times New Roman" w:hAnsi="Times New Roman" w:eastAsia="宋体" w:cs="Times New Roman"/>
          <w:b w:val="0"/>
          <w:bCs w:val="0"/>
          <w:color w:val="auto"/>
          <w:sz w:val="24"/>
        </w:rPr>
        <w:t>月</w:t>
      </w:r>
      <w:r>
        <w:rPr>
          <w:rFonts w:hint="default" w:ascii="Times New Roman" w:hAnsi="Times New Roman" w:eastAsia="宋体" w:cs="Times New Roman"/>
          <w:b w:val="0"/>
          <w:bCs w:val="0"/>
          <w:color w:val="auto"/>
          <w:sz w:val="24"/>
          <w:lang w:val="en-US" w:eastAsia="zh-CN"/>
        </w:rPr>
        <w:t>19</w:t>
      </w:r>
      <w:r>
        <w:rPr>
          <w:rFonts w:hint="default" w:ascii="Times New Roman" w:hAnsi="Times New Roman" w:eastAsia="宋体" w:cs="Times New Roman"/>
          <w:b w:val="0"/>
          <w:bCs w:val="0"/>
          <w:color w:val="auto"/>
          <w:sz w:val="24"/>
        </w:rPr>
        <w:t>日</w:t>
      </w:r>
      <w:r>
        <w:rPr>
          <w:rFonts w:hint="default" w:ascii="Times New Roman" w:hAnsi="Times New Roman" w:eastAsia="宋体" w:cs="Times New Roman"/>
          <w:b w:val="0"/>
          <w:bCs w:val="0"/>
          <w:color w:val="auto"/>
          <w:sz w:val="24"/>
          <w:lang w:val="en-US" w:eastAsia="zh-CN"/>
        </w:rPr>
        <w:t>云南省推动长江经济带发展领导小组办公室</w:t>
      </w:r>
      <w:r>
        <w:rPr>
          <w:rFonts w:hint="default" w:ascii="Times New Roman" w:hAnsi="Times New Roman" w:eastAsia="宋体" w:cs="Times New Roman"/>
          <w:b w:val="0"/>
          <w:bCs w:val="0"/>
          <w:color w:val="auto"/>
          <w:sz w:val="24"/>
        </w:rPr>
        <w:t>发布的</w:t>
      </w:r>
      <w:r>
        <w:rPr>
          <w:rFonts w:hint="default" w:ascii="Times New Roman" w:hAnsi="Times New Roman" w:eastAsia="宋体" w:cs="Times New Roman"/>
          <w:b w:val="0"/>
          <w:bCs w:val="0"/>
          <w:color w:val="auto"/>
          <w:sz w:val="24"/>
          <w:lang w:eastAsia="zh-CN"/>
        </w:rPr>
        <w:t>关于印发</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lang w:val="en-US" w:eastAsia="zh-CN"/>
        </w:rPr>
        <w:t>云南省</w:t>
      </w:r>
      <w:r>
        <w:rPr>
          <w:rFonts w:hint="default" w:ascii="Times New Roman" w:hAnsi="Times New Roman" w:eastAsia="宋体" w:cs="Times New Roman"/>
          <w:b w:val="0"/>
          <w:bCs w:val="0"/>
          <w:color w:val="auto"/>
          <w:sz w:val="24"/>
          <w:szCs w:val="24"/>
          <w:lang w:eastAsia="zh-CN"/>
        </w:rPr>
        <w:t>长江经济带发展负面清单指南</w:t>
      </w:r>
      <w:r>
        <w:rPr>
          <w:rFonts w:hint="default" w:ascii="Times New Roman" w:hAnsi="Times New Roman" w:eastAsia="宋体" w:cs="Times New Roman"/>
          <w:b w:val="0"/>
          <w:bCs w:val="0"/>
          <w:color w:val="auto"/>
          <w:sz w:val="24"/>
          <w:szCs w:val="24"/>
          <w:lang w:val="en-US" w:eastAsia="zh-CN"/>
        </w:rPr>
        <w:t>实施细则</w:t>
      </w:r>
      <w:r>
        <w:rPr>
          <w:rFonts w:hint="default" w:ascii="Times New Roman" w:hAnsi="Times New Roman" w:eastAsia="宋体" w:cs="Times New Roman"/>
          <w:b w:val="0"/>
          <w:bCs w:val="0"/>
          <w:color w:val="auto"/>
          <w:sz w:val="24"/>
          <w:szCs w:val="24"/>
          <w:lang w:eastAsia="zh-CN"/>
        </w:rPr>
        <w:t>（试行，</w:t>
      </w:r>
      <w:r>
        <w:rPr>
          <w:rFonts w:hint="default" w:ascii="Times New Roman" w:hAnsi="Times New Roman" w:eastAsia="宋体" w:cs="Times New Roman"/>
          <w:b w:val="0"/>
          <w:bCs w:val="0"/>
          <w:color w:val="auto"/>
          <w:sz w:val="24"/>
          <w:szCs w:val="24"/>
          <w:lang w:val="en-US" w:eastAsia="zh-CN"/>
        </w:rPr>
        <w:t>2022年版</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lang w:eastAsia="zh-CN"/>
        </w:rPr>
        <w:t>的通知</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lang w:val="en-US" w:eastAsia="zh-CN"/>
        </w:rPr>
        <w:t>云发改基础</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lang w:val="en-US" w:eastAsia="zh-CN"/>
        </w:rPr>
        <w:t>2022</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lang w:val="en-US" w:eastAsia="zh-CN"/>
        </w:rPr>
        <w:t>894</w:t>
      </w:r>
      <w:r>
        <w:rPr>
          <w:rFonts w:hint="default" w:ascii="Times New Roman" w:hAnsi="Times New Roman" w:eastAsia="宋体" w:cs="Times New Roman"/>
          <w:b w:val="0"/>
          <w:bCs w:val="0"/>
          <w:color w:val="auto"/>
          <w:sz w:val="24"/>
        </w:rPr>
        <w:t>号），</w:t>
      </w:r>
      <w:r>
        <w:rPr>
          <w:rFonts w:hint="default" w:ascii="Times New Roman" w:hAnsi="Times New Roman" w:eastAsia="宋体" w:cs="Times New Roman"/>
          <w:b w:val="0"/>
          <w:bCs w:val="0"/>
          <w:color w:val="auto"/>
          <w:sz w:val="24"/>
          <w:lang w:eastAsia="zh-CN"/>
        </w:rPr>
        <w:t>本</w:t>
      </w:r>
      <w:r>
        <w:rPr>
          <w:rFonts w:hint="default" w:ascii="Times New Roman" w:hAnsi="Times New Roman" w:eastAsia="宋体" w:cs="Times New Roman"/>
          <w:b w:val="0"/>
          <w:bCs w:val="0"/>
          <w:color w:val="auto"/>
          <w:sz w:val="24"/>
        </w:rPr>
        <w:t>项目与</w:t>
      </w:r>
      <w:r>
        <w:rPr>
          <w:rFonts w:hint="default" w:ascii="Times New Roman" w:hAnsi="Times New Roman" w:eastAsia="宋体" w:cs="Times New Roman"/>
          <w:b w:val="0"/>
          <w:bCs w:val="0"/>
          <w:color w:val="auto"/>
          <w:sz w:val="24"/>
          <w:lang w:val="en-US" w:eastAsia="zh-CN"/>
        </w:rPr>
        <w:t>其</w:t>
      </w:r>
      <w:r>
        <w:rPr>
          <w:rFonts w:hint="default" w:ascii="Times New Roman" w:hAnsi="Times New Roman" w:eastAsia="宋体" w:cs="Times New Roman"/>
          <w:b w:val="0"/>
          <w:bCs w:val="0"/>
          <w:color w:val="auto"/>
          <w:sz w:val="24"/>
        </w:rPr>
        <w:t>符合性分析如表</w:t>
      </w:r>
      <w:r>
        <w:rPr>
          <w:rFonts w:hint="default" w:ascii="Times New Roman" w:hAnsi="Times New Roman" w:eastAsia="宋体" w:cs="Times New Roman"/>
          <w:b w:val="0"/>
          <w:bCs w:val="0"/>
          <w:color w:val="auto"/>
          <w:sz w:val="24"/>
          <w:lang w:val="en-US" w:eastAsia="zh-CN"/>
        </w:rPr>
        <w:t>4</w:t>
      </w:r>
      <w:r>
        <w:rPr>
          <w:rFonts w:hint="default" w:ascii="Times New Roman" w:hAnsi="Times New Roman" w:eastAsia="宋体" w:cs="Times New Roman"/>
          <w:b w:val="0"/>
          <w:bCs w:val="0"/>
          <w:color w:val="auto"/>
          <w:sz w:val="24"/>
        </w:rPr>
        <w:t>所示</w:t>
      </w:r>
      <w:r>
        <w:rPr>
          <w:rFonts w:hint="default" w:ascii="Times New Roman" w:hAnsi="Times New Roman" w:eastAsia="宋体" w:cs="Times New Roman"/>
          <w:b w:val="0"/>
          <w:bCs w:val="0"/>
          <w:color w:val="auto"/>
          <w:sz w:val="24"/>
          <w:lang w:val="en-US" w:eastAsia="zh-CN"/>
        </w:rPr>
        <w:t>。</w:t>
      </w:r>
    </w:p>
    <w:p w14:paraId="395F50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 xml:space="preserve">4 </w:t>
      </w:r>
      <w:r>
        <w:rPr>
          <w:rFonts w:hint="default" w:ascii="Times New Roman" w:hAnsi="Times New Roman" w:eastAsia="宋体" w:cs="Times New Roman"/>
          <w:b/>
          <w:bCs/>
          <w:color w:val="auto"/>
          <w:sz w:val="21"/>
          <w:szCs w:val="21"/>
          <w:lang w:eastAsia="zh-CN"/>
        </w:rPr>
        <w:t>本</w:t>
      </w:r>
      <w:r>
        <w:rPr>
          <w:rFonts w:hint="default" w:ascii="Times New Roman" w:hAnsi="Times New Roman" w:eastAsia="宋体" w:cs="Times New Roman"/>
          <w:b/>
          <w:bCs/>
          <w:color w:val="auto"/>
          <w:sz w:val="21"/>
          <w:szCs w:val="21"/>
        </w:rPr>
        <w:t>项目与《</w:t>
      </w:r>
      <w:r>
        <w:rPr>
          <w:rFonts w:hint="default" w:ascii="Times New Roman" w:hAnsi="Times New Roman" w:eastAsia="宋体" w:cs="Times New Roman"/>
          <w:b/>
          <w:bCs/>
          <w:color w:val="auto"/>
          <w:sz w:val="21"/>
          <w:szCs w:val="21"/>
          <w:lang w:val="en-US" w:eastAsia="zh-CN"/>
        </w:rPr>
        <w:t>云南省</w:t>
      </w:r>
      <w:r>
        <w:rPr>
          <w:rFonts w:hint="default" w:ascii="Times New Roman" w:hAnsi="Times New Roman" w:eastAsia="宋体" w:cs="Times New Roman"/>
          <w:b/>
          <w:bCs/>
          <w:color w:val="auto"/>
          <w:sz w:val="21"/>
          <w:szCs w:val="21"/>
          <w:lang w:eastAsia="zh-CN"/>
        </w:rPr>
        <w:t>长江经济带发展负面清单指南</w:t>
      </w:r>
      <w:r>
        <w:rPr>
          <w:rFonts w:hint="default" w:ascii="Times New Roman" w:hAnsi="Times New Roman" w:eastAsia="宋体" w:cs="Times New Roman"/>
          <w:b/>
          <w:bCs/>
          <w:color w:val="auto"/>
          <w:sz w:val="21"/>
          <w:szCs w:val="21"/>
          <w:lang w:val="en-US" w:eastAsia="zh-CN"/>
        </w:rPr>
        <w:t>实施细则</w:t>
      </w:r>
      <w:r>
        <w:rPr>
          <w:rFonts w:hint="default" w:ascii="Times New Roman" w:hAnsi="Times New Roman" w:eastAsia="宋体" w:cs="Times New Roman"/>
          <w:b/>
          <w:bCs/>
          <w:color w:val="auto"/>
          <w:sz w:val="21"/>
          <w:szCs w:val="21"/>
          <w:lang w:eastAsia="zh-CN"/>
        </w:rPr>
        <w:t>（试行，</w:t>
      </w:r>
      <w:r>
        <w:rPr>
          <w:rFonts w:hint="default" w:ascii="Times New Roman" w:hAnsi="Times New Roman" w:eastAsia="宋体" w:cs="Times New Roman"/>
          <w:b/>
          <w:bCs/>
          <w:color w:val="auto"/>
          <w:sz w:val="21"/>
          <w:szCs w:val="21"/>
          <w:lang w:val="en-US" w:eastAsia="zh-CN"/>
        </w:rPr>
        <w:t>2022年版</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》的符合性分析</w:t>
      </w:r>
      <w:r>
        <w:rPr>
          <w:rFonts w:hint="default" w:ascii="Times New Roman" w:hAnsi="Times New Roman" w:eastAsia="宋体" w:cs="Times New Roman"/>
          <w:b/>
          <w:bCs/>
          <w:color w:val="auto"/>
          <w:sz w:val="21"/>
          <w:szCs w:val="21"/>
          <w:lang w:val="en-US" w:eastAsia="zh-CN"/>
        </w:rPr>
        <w:t>一览表</w:t>
      </w:r>
    </w:p>
    <w:tbl>
      <w:tblPr>
        <w:tblStyle w:val="22"/>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4139"/>
        <w:gridCol w:w="2969"/>
        <w:gridCol w:w="977"/>
      </w:tblGrid>
      <w:tr w14:paraId="3D75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33" w:type="dxa"/>
            <w:noWrap w:val="0"/>
            <w:vAlign w:val="center"/>
          </w:tcPr>
          <w:p w14:paraId="74494A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序号</w:t>
            </w:r>
          </w:p>
        </w:tc>
        <w:tc>
          <w:tcPr>
            <w:tcW w:w="4139" w:type="dxa"/>
            <w:noWrap w:val="0"/>
            <w:vAlign w:val="center"/>
          </w:tcPr>
          <w:p w14:paraId="7E19E2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文件要求</w:t>
            </w:r>
          </w:p>
        </w:tc>
        <w:tc>
          <w:tcPr>
            <w:tcW w:w="2969" w:type="dxa"/>
            <w:noWrap w:val="0"/>
            <w:vAlign w:val="center"/>
          </w:tcPr>
          <w:p w14:paraId="0848A8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本项目情况</w:t>
            </w:r>
          </w:p>
        </w:tc>
        <w:tc>
          <w:tcPr>
            <w:tcW w:w="977" w:type="dxa"/>
            <w:noWrap w:val="0"/>
            <w:vAlign w:val="center"/>
          </w:tcPr>
          <w:p w14:paraId="7A8386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符合</w:t>
            </w:r>
          </w:p>
          <w:p w14:paraId="74086B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情况</w:t>
            </w:r>
          </w:p>
        </w:tc>
      </w:tr>
      <w:tr w14:paraId="2C5E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633" w:type="dxa"/>
            <w:noWrap w:val="0"/>
            <w:vAlign w:val="center"/>
          </w:tcPr>
          <w:p w14:paraId="3B4640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4139" w:type="dxa"/>
            <w:noWrap w:val="0"/>
            <w:vAlign w:val="center"/>
          </w:tcPr>
          <w:p w14:paraId="09868E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禁止新建、改建和扩建不符合《全国内河航道与港口布局规划》等全国港口规划和《昭通</w:t>
            </w:r>
            <w:r>
              <w:rPr>
                <w:rFonts w:hint="default" w:ascii="Times New Roman" w:hAnsi="Times New Roman" w:cs="Times New Roman"/>
                <w:b w:val="0"/>
                <w:bCs w:val="0"/>
                <w:color w:val="auto"/>
                <w:sz w:val="21"/>
                <w:szCs w:val="21"/>
                <w:vertAlign w:val="baseline"/>
                <w:lang w:val="en-US" w:eastAsia="zh-CN"/>
              </w:rPr>
              <w:t>市</w:t>
            </w:r>
            <w:r>
              <w:rPr>
                <w:rFonts w:hint="default" w:ascii="Times New Roman" w:hAnsi="Times New Roman" w:eastAsia="宋体" w:cs="Times New Roman"/>
                <w:b w:val="0"/>
                <w:bCs w:val="0"/>
                <w:color w:val="auto"/>
                <w:sz w:val="21"/>
                <w:szCs w:val="21"/>
                <w:vertAlign w:val="baseline"/>
                <w:lang w:val="en-US" w:eastAsia="zh-CN"/>
              </w:rPr>
              <w:t>港口码头岸线规划（金沙江段2019年——2035年）》《景洪港总体规划（2019——2035年）》等州（市）级以上港口布局规划以及港口总体规划的码头项目。</w:t>
            </w:r>
          </w:p>
        </w:tc>
        <w:tc>
          <w:tcPr>
            <w:tcW w:w="2969" w:type="dxa"/>
            <w:noWrap w:val="0"/>
            <w:vAlign w:val="center"/>
          </w:tcPr>
          <w:p w14:paraId="5ED3A6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本项目不涉及港口规划和码头。</w:t>
            </w:r>
          </w:p>
        </w:tc>
        <w:tc>
          <w:tcPr>
            <w:tcW w:w="977" w:type="dxa"/>
            <w:noWrap w:val="0"/>
            <w:vAlign w:val="center"/>
          </w:tcPr>
          <w:p w14:paraId="369B15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11A2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jc w:val="center"/>
        </w:trPr>
        <w:tc>
          <w:tcPr>
            <w:tcW w:w="633" w:type="dxa"/>
            <w:noWrap w:val="0"/>
            <w:vAlign w:val="center"/>
          </w:tcPr>
          <w:p w14:paraId="1AD823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4139" w:type="dxa"/>
            <w:noWrap w:val="0"/>
            <w:vAlign w:val="center"/>
          </w:tcPr>
          <w:p w14:paraId="223BE6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2969" w:type="dxa"/>
            <w:noWrap w:val="0"/>
            <w:vAlign w:val="center"/>
          </w:tcPr>
          <w:p w14:paraId="3B05ED5C">
            <w:pP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b w:val="0"/>
                <w:bCs w:val="0"/>
                <w:color w:val="auto"/>
                <w:sz w:val="21"/>
                <w:szCs w:val="21"/>
                <w:vertAlign w:val="baseline"/>
                <w:lang w:val="en-US" w:eastAsia="zh-CN"/>
              </w:rPr>
              <w:t>本项目不涉及自然保护区。</w:t>
            </w:r>
            <w:r>
              <w:rPr>
                <w:rFonts w:hint="default" w:ascii="Times New Roman" w:hAnsi="Times New Roman" w:eastAsia="宋体" w:cs="Times New Roman"/>
                <w:color w:val="auto"/>
                <w:kern w:val="0"/>
                <w:sz w:val="21"/>
                <w:szCs w:val="21"/>
                <w:lang w:val="en-US" w:eastAsia="zh-CN" w:bidi="ar"/>
              </w:rPr>
              <w:t>本项目</w:t>
            </w:r>
            <w:r>
              <w:rPr>
                <w:rFonts w:hint="default" w:ascii="Times New Roman" w:hAnsi="Times New Roman" w:cs="Times New Roman"/>
                <w:color w:val="auto"/>
                <w:kern w:val="0"/>
                <w:sz w:val="21"/>
                <w:szCs w:val="21"/>
                <w:lang w:val="en-US" w:eastAsia="zh-CN" w:bidi="ar"/>
              </w:rPr>
              <w:t>边界</w:t>
            </w:r>
            <w:r>
              <w:rPr>
                <w:rFonts w:hint="default" w:ascii="Times New Roman" w:hAnsi="Times New Roman" w:eastAsia="宋体" w:cs="Times New Roman"/>
                <w:color w:val="auto"/>
                <w:kern w:val="0"/>
                <w:sz w:val="21"/>
                <w:szCs w:val="21"/>
                <w:lang w:val="en-US" w:eastAsia="zh-CN" w:bidi="ar"/>
              </w:rPr>
              <w:t>距离</w:t>
            </w:r>
            <w:r>
              <w:rPr>
                <w:rFonts w:hint="default" w:ascii="Times New Roman" w:hAnsi="Times New Roman" w:cs="Times New Roman"/>
                <w:color w:val="auto"/>
                <w:kern w:val="0"/>
                <w:sz w:val="21"/>
                <w:szCs w:val="21"/>
                <w:lang w:val="en-US" w:eastAsia="zh-CN" w:bidi="ar"/>
              </w:rPr>
              <w:t>珠江源省级自然保护区2</w:t>
            </w:r>
            <w:r>
              <w:rPr>
                <w:rFonts w:hint="default" w:ascii="Times New Roman" w:hAnsi="Times New Roman" w:eastAsia="宋体" w:cs="Times New Roman"/>
                <w:color w:val="auto"/>
                <w:kern w:val="0"/>
                <w:sz w:val="21"/>
                <w:szCs w:val="21"/>
                <w:lang w:val="en-US" w:eastAsia="zh-CN" w:bidi="ar"/>
              </w:rPr>
              <w:t>000m。</w:t>
            </w:r>
          </w:p>
        </w:tc>
        <w:tc>
          <w:tcPr>
            <w:tcW w:w="977" w:type="dxa"/>
            <w:noWrap w:val="0"/>
            <w:vAlign w:val="center"/>
          </w:tcPr>
          <w:p w14:paraId="69E777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3B4A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2" w:hRule="atLeast"/>
          <w:jc w:val="center"/>
        </w:trPr>
        <w:tc>
          <w:tcPr>
            <w:tcW w:w="633" w:type="dxa"/>
            <w:noWrap w:val="0"/>
            <w:vAlign w:val="center"/>
          </w:tcPr>
          <w:p w14:paraId="237DE2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3</w:t>
            </w:r>
          </w:p>
        </w:tc>
        <w:tc>
          <w:tcPr>
            <w:tcW w:w="4139" w:type="dxa"/>
            <w:noWrap w:val="0"/>
            <w:vAlign w:val="center"/>
          </w:tcPr>
          <w:p w14:paraId="32B403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2969" w:type="dxa"/>
            <w:noWrap w:val="0"/>
            <w:vAlign w:val="center"/>
          </w:tcPr>
          <w:p w14:paraId="236A64A5">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highlight w:val="none"/>
                <w:lang w:val="en-US" w:eastAsia="zh-CN"/>
              </w:rPr>
              <w:t>本项目</w:t>
            </w:r>
            <w:r>
              <w:rPr>
                <w:rFonts w:hint="default" w:ascii="Times New Roman" w:hAnsi="Times New Roman" w:eastAsia="宋体" w:cs="Times New Roman"/>
                <w:b w:val="0"/>
                <w:bCs w:val="0"/>
                <w:color w:val="auto"/>
                <w:sz w:val="21"/>
                <w:szCs w:val="21"/>
                <w:vertAlign w:val="baseline"/>
                <w:lang w:val="en-US" w:eastAsia="zh-CN"/>
              </w:rPr>
              <w:t>不涉及风景名胜区。</w:t>
            </w:r>
            <w:r>
              <w:rPr>
                <w:rFonts w:hint="default" w:ascii="Times New Roman" w:hAnsi="Times New Roman" w:eastAsia="宋体" w:cs="Times New Roman"/>
                <w:color w:val="auto"/>
                <w:kern w:val="0"/>
                <w:sz w:val="21"/>
                <w:szCs w:val="21"/>
                <w:lang w:val="en-US" w:eastAsia="zh-CN" w:bidi="ar"/>
              </w:rPr>
              <w:t>本项目</w:t>
            </w:r>
            <w:r>
              <w:rPr>
                <w:rFonts w:hint="default" w:ascii="Times New Roman" w:hAnsi="Times New Roman" w:cs="Times New Roman"/>
                <w:color w:val="auto"/>
                <w:kern w:val="0"/>
                <w:sz w:val="21"/>
                <w:szCs w:val="21"/>
                <w:lang w:val="en-US" w:eastAsia="zh-CN" w:bidi="ar"/>
              </w:rPr>
              <w:t>边界</w:t>
            </w:r>
            <w:r>
              <w:rPr>
                <w:rFonts w:hint="default" w:ascii="Times New Roman" w:hAnsi="Times New Roman" w:eastAsia="宋体" w:cs="Times New Roman"/>
                <w:color w:val="auto"/>
                <w:kern w:val="0"/>
                <w:sz w:val="21"/>
                <w:szCs w:val="21"/>
                <w:lang w:val="en-US" w:eastAsia="zh-CN" w:bidi="ar"/>
              </w:rPr>
              <w:t>距离珠江源风景名胜区</w:t>
            </w:r>
            <w:r>
              <w:rPr>
                <w:rFonts w:hint="default" w:ascii="Times New Roman" w:hAnsi="Times New Roman" w:cs="Times New Roman"/>
                <w:color w:val="auto"/>
                <w:kern w:val="0"/>
                <w:sz w:val="21"/>
                <w:szCs w:val="21"/>
                <w:lang w:val="en-US" w:eastAsia="zh-CN" w:bidi="ar"/>
              </w:rPr>
              <w:t>3000</w:t>
            </w:r>
            <w:r>
              <w:rPr>
                <w:rFonts w:hint="default" w:ascii="Times New Roman" w:hAnsi="Times New Roman" w:eastAsia="宋体" w:cs="Times New Roman"/>
                <w:color w:val="auto"/>
                <w:kern w:val="0"/>
                <w:sz w:val="21"/>
                <w:szCs w:val="21"/>
                <w:lang w:val="en-US" w:eastAsia="zh-CN" w:bidi="ar"/>
              </w:rPr>
              <w:t>m。</w:t>
            </w:r>
          </w:p>
        </w:tc>
        <w:tc>
          <w:tcPr>
            <w:tcW w:w="977" w:type="dxa"/>
            <w:noWrap w:val="0"/>
            <w:vAlign w:val="center"/>
          </w:tcPr>
          <w:p w14:paraId="35EDF9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2513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633" w:type="dxa"/>
            <w:noWrap w:val="0"/>
            <w:vAlign w:val="center"/>
          </w:tcPr>
          <w:p w14:paraId="6832F0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4</w:t>
            </w:r>
          </w:p>
        </w:tc>
        <w:tc>
          <w:tcPr>
            <w:tcW w:w="4139" w:type="dxa"/>
            <w:noWrap w:val="0"/>
            <w:vAlign w:val="center"/>
          </w:tcPr>
          <w:p w14:paraId="0D6614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2969" w:type="dxa"/>
            <w:noWrap w:val="0"/>
            <w:vAlign w:val="center"/>
          </w:tcPr>
          <w:p w14:paraId="7CF7C7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w:t>
            </w:r>
            <w:r>
              <w:rPr>
                <w:rFonts w:hint="default" w:ascii="Times New Roman" w:hAnsi="Times New Roman" w:cs="Times New Roman"/>
                <w:color w:val="auto"/>
                <w:kern w:val="0"/>
                <w:sz w:val="21"/>
                <w:szCs w:val="21"/>
                <w:lang w:val="en-US" w:eastAsia="zh-CN"/>
              </w:rPr>
              <w:t>，</w:t>
            </w:r>
            <w:r>
              <w:rPr>
                <w:rFonts w:hint="default" w:ascii="Times New Roman" w:hAnsi="Times New Roman" w:eastAsia="Times New Roman" w:cs="Times New Roman"/>
                <w:color w:val="auto"/>
                <w:sz w:val="21"/>
                <w:szCs w:val="21"/>
                <w:highlight w:val="none"/>
                <w:lang w:val="en-US" w:eastAsia="zh-CN"/>
              </w:rPr>
              <w:t>本项目</w:t>
            </w:r>
            <w:r>
              <w:rPr>
                <w:rFonts w:hint="eastAsia" w:ascii="Times New Roman" w:hAnsi="Times New Roman" w:eastAsia="Times New Roman" w:cs="Times New Roman"/>
                <w:color w:val="auto"/>
                <w:sz w:val="21"/>
                <w:szCs w:val="21"/>
                <w:highlight w:val="none"/>
                <w:lang w:val="en-US" w:eastAsia="zh-CN"/>
              </w:rPr>
              <w:t>位于</w:t>
            </w:r>
            <w:r>
              <w:rPr>
                <w:rFonts w:hint="eastAsia" w:ascii="Times New Roman" w:hAnsi="Times New Roman" w:eastAsia="宋体" w:cs="Times New Roman"/>
                <w:color w:val="auto"/>
                <w:kern w:val="0"/>
                <w:sz w:val="21"/>
                <w:szCs w:val="21"/>
                <w:lang w:val="en-US" w:eastAsia="zh-CN" w:bidi="ar"/>
              </w:rPr>
              <w:t>花山水库饮用水水源保护区下游，不在其汇水区域内。</w:t>
            </w:r>
            <w:r>
              <w:rPr>
                <w:rFonts w:hint="default" w:ascii="Times New Roman" w:hAnsi="Times New Roman" w:eastAsia="宋体" w:cs="Times New Roman"/>
                <w:color w:val="auto"/>
                <w:kern w:val="0"/>
                <w:sz w:val="21"/>
                <w:szCs w:val="21"/>
                <w:lang w:val="en-US" w:eastAsia="zh-CN" w:bidi="ar"/>
              </w:rPr>
              <w:t>本项目</w:t>
            </w:r>
            <w:r>
              <w:rPr>
                <w:rFonts w:hint="default" w:ascii="Times New Roman" w:hAnsi="Times New Roman" w:cs="Times New Roman"/>
                <w:color w:val="auto"/>
                <w:kern w:val="0"/>
                <w:sz w:val="21"/>
                <w:szCs w:val="21"/>
                <w:lang w:val="en-US" w:eastAsia="zh-CN" w:bidi="ar"/>
              </w:rPr>
              <w:t>边界</w:t>
            </w:r>
            <w:r>
              <w:rPr>
                <w:rFonts w:hint="default" w:ascii="Times New Roman" w:hAnsi="Times New Roman" w:eastAsia="宋体" w:cs="Times New Roman"/>
                <w:color w:val="auto"/>
                <w:kern w:val="0"/>
                <w:sz w:val="21"/>
                <w:szCs w:val="21"/>
                <w:lang w:val="en-US" w:eastAsia="zh-CN" w:bidi="ar"/>
              </w:rPr>
              <w:t>距离</w:t>
            </w:r>
            <w:r>
              <w:rPr>
                <w:rFonts w:hint="eastAsia" w:ascii="Times New Roman" w:hAnsi="Times New Roman" w:eastAsia="宋体" w:cs="Times New Roman"/>
                <w:color w:val="auto"/>
                <w:kern w:val="0"/>
                <w:sz w:val="21"/>
                <w:szCs w:val="21"/>
                <w:lang w:val="en-US" w:eastAsia="zh-CN" w:bidi="ar"/>
              </w:rPr>
              <w:t>花山水库饮用水水源保护区</w:t>
            </w:r>
            <w:r>
              <w:rPr>
                <w:rFonts w:hint="default" w:ascii="Times New Roman" w:hAnsi="Times New Roman" w:cs="Times New Roman"/>
                <w:color w:val="auto"/>
                <w:kern w:val="0"/>
                <w:sz w:val="21"/>
                <w:szCs w:val="21"/>
                <w:lang w:val="en-US" w:eastAsia="zh-CN" w:bidi="ar"/>
              </w:rPr>
              <w:t>2140</w:t>
            </w:r>
            <w:r>
              <w:rPr>
                <w:rFonts w:hint="default" w:ascii="Times New Roman" w:hAnsi="Times New Roman" w:eastAsia="宋体" w:cs="Times New Roman"/>
                <w:color w:val="auto"/>
                <w:kern w:val="0"/>
                <w:sz w:val="21"/>
                <w:szCs w:val="21"/>
                <w:lang w:val="en-US" w:eastAsia="zh-CN" w:bidi="ar"/>
              </w:rPr>
              <w:t>m。</w:t>
            </w:r>
          </w:p>
        </w:tc>
        <w:tc>
          <w:tcPr>
            <w:tcW w:w="977" w:type="dxa"/>
            <w:noWrap w:val="0"/>
            <w:vAlign w:val="center"/>
          </w:tcPr>
          <w:p w14:paraId="3A8125E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1E72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633" w:type="dxa"/>
            <w:noWrap w:val="0"/>
            <w:vAlign w:val="center"/>
          </w:tcPr>
          <w:p w14:paraId="380B70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5</w:t>
            </w:r>
          </w:p>
        </w:tc>
        <w:tc>
          <w:tcPr>
            <w:tcW w:w="4139" w:type="dxa"/>
            <w:noWrap w:val="0"/>
            <w:vAlign w:val="center"/>
          </w:tcPr>
          <w:p w14:paraId="7EA131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2969" w:type="dxa"/>
            <w:noWrap w:val="0"/>
            <w:vAlign w:val="center"/>
          </w:tcPr>
          <w:p w14:paraId="4F0698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w:t>
            </w:r>
            <w:r>
              <w:rPr>
                <w:rFonts w:hint="default" w:ascii="Times New Roman" w:hAnsi="Times New Roman" w:cs="Times New Roman"/>
                <w:color w:val="auto"/>
                <w:kern w:val="0"/>
                <w:sz w:val="21"/>
                <w:szCs w:val="21"/>
                <w:lang w:val="en-US" w:eastAsia="zh-CN"/>
              </w:rPr>
              <w:t>，</w:t>
            </w:r>
            <w:r>
              <w:rPr>
                <w:rFonts w:hint="default" w:ascii="Times New Roman" w:hAnsi="Times New Roman" w:eastAsia="Times New Roman"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lang w:val="en-US" w:eastAsia="zh-CN"/>
              </w:rPr>
              <w:t>不涉及</w:t>
            </w:r>
            <w:r>
              <w:rPr>
                <w:rFonts w:hint="default" w:ascii="Times New Roman" w:hAnsi="Times New Roman" w:eastAsia="宋体" w:cs="Times New Roman"/>
                <w:color w:val="auto"/>
                <w:sz w:val="21"/>
                <w:szCs w:val="21"/>
                <w:highlight w:val="none"/>
                <w:lang w:val="en-US" w:eastAsia="zh-CN"/>
              </w:rPr>
              <w:t>水产种质资源保护区和国家湿地公园</w:t>
            </w:r>
            <w:r>
              <w:rPr>
                <w:rFonts w:hint="default" w:ascii="Times New Roman" w:hAnsi="Times New Roman" w:eastAsia="宋体" w:cs="Times New Roman"/>
                <w:b w:val="0"/>
                <w:bCs w:val="0"/>
                <w:color w:val="auto"/>
                <w:sz w:val="21"/>
                <w:szCs w:val="21"/>
                <w:vertAlign w:val="baseline"/>
                <w:lang w:val="en-US" w:eastAsia="zh-CN"/>
              </w:rPr>
              <w:t>。</w:t>
            </w:r>
          </w:p>
        </w:tc>
        <w:tc>
          <w:tcPr>
            <w:tcW w:w="977" w:type="dxa"/>
            <w:noWrap w:val="0"/>
            <w:vAlign w:val="center"/>
          </w:tcPr>
          <w:p w14:paraId="4A4C76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1A33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633" w:type="dxa"/>
            <w:noWrap w:val="0"/>
            <w:vAlign w:val="center"/>
          </w:tcPr>
          <w:p w14:paraId="1C327E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6</w:t>
            </w:r>
          </w:p>
        </w:tc>
        <w:tc>
          <w:tcPr>
            <w:tcW w:w="4139" w:type="dxa"/>
            <w:noWrap w:val="0"/>
            <w:vAlign w:val="center"/>
          </w:tcPr>
          <w:p w14:paraId="2DE2E9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2969" w:type="dxa"/>
            <w:noWrap w:val="0"/>
            <w:vAlign w:val="center"/>
          </w:tcPr>
          <w:p w14:paraId="5657BD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本项目位于曲靖市高新技术产业开发区花山片区</w:t>
            </w:r>
            <w:r>
              <w:rPr>
                <w:rFonts w:hint="default" w:ascii="Times New Roman" w:hAnsi="Times New Roman" w:cs="Times New Roman"/>
                <w:color w:val="auto"/>
                <w:kern w:val="0"/>
                <w:sz w:val="21"/>
                <w:szCs w:val="21"/>
                <w:lang w:val="en-US" w:eastAsia="zh-CN"/>
              </w:rPr>
              <w:t>，</w:t>
            </w:r>
            <w:r>
              <w:rPr>
                <w:rFonts w:hint="default" w:ascii="Times New Roman" w:hAnsi="Times New Roman" w:eastAsia="宋体" w:cs="Times New Roman"/>
                <w:b w:val="0"/>
                <w:bCs w:val="0"/>
                <w:color w:val="auto"/>
                <w:sz w:val="21"/>
                <w:szCs w:val="21"/>
                <w:vertAlign w:val="baseline"/>
                <w:lang w:val="en-US" w:eastAsia="zh-CN"/>
              </w:rPr>
              <w:t>本项目不涉及</w:t>
            </w:r>
            <w:r>
              <w:rPr>
                <w:rFonts w:hint="default" w:ascii="Times New Roman" w:hAnsi="Times New Roman" w:eastAsia="Times New Roman" w:cs="Times New Roman"/>
                <w:color w:val="auto"/>
                <w:sz w:val="21"/>
                <w:szCs w:val="21"/>
                <w:highlight w:val="none"/>
                <w:lang w:val="zh-CN"/>
              </w:rPr>
              <w:t>长江流域河湖岸线、金沙江岸线保护区和保留区</w:t>
            </w:r>
            <w:r>
              <w:rPr>
                <w:rFonts w:hint="default" w:ascii="Times New Roman" w:hAnsi="Times New Roman" w:eastAsia="宋体" w:cs="Times New Roman"/>
                <w:b w:val="0"/>
                <w:bCs w:val="0"/>
                <w:color w:val="auto"/>
                <w:sz w:val="21"/>
                <w:szCs w:val="21"/>
                <w:vertAlign w:val="baseline"/>
                <w:lang w:val="en-US" w:eastAsia="zh-CN"/>
              </w:rPr>
              <w:t>。</w:t>
            </w:r>
          </w:p>
        </w:tc>
        <w:tc>
          <w:tcPr>
            <w:tcW w:w="977" w:type="dxa"/>
            <w:noWrap w:val="0"/>
            <w:vAlign w:val="center"/>
          </w:tcPr>
          <w:p w14:paraId="06FC05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376D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33" w:type="dxa"/>
            <w:noWrap w:val="0"/>
            <w:vAlign w:val="center"/>
          </w:tcPr>
          <w:p w14:paraId="0C1DDF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7</w:t>
            </w:r>
          </w:p>
        </w:tc>
        <w:tc>
          <w:tcPr>
            <w:tcW w:w="4139" w:type="dxa"/>
            <w:noWrap w:val="0"/>
            <w:vAlign w:val="center"/>
          </w:tcPr>
          <w:p w14:paraId="53B86A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2969" w:type="dxa"/>
            <w:noWrap w:val="0"/>
            <w:vAlign w:val="center"/>
          </w:tcPr>
          <w:p w14:paraId="27C75E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本项目不涉及</w:t>
            </w:r>
            <w:r>
              <w:rPr>
                <w:rFonts w:hint="default" w:ascii="Times New Roman" w:hAnsi="Times New Roman" w:eastAsia="Times New Roman" w:cs="Times New Roman"/>
                <w:color w:val="auto"/>
                <w:sz w:val="21"/>
                <w:szCs w:val="21"/>
                <w:highlight w:val="none"/>
                <w:lang w:val="zh-CN"/>
              </w:rPr>
              <w:t>金沙江干流、长江一级支流、九大高原湖泊流域</w:t>
            </w:r>
            <w:r>
              <w:rPr>
                <w:rFonts w:hint="default" w:ascii="Times New Roman" w:hAnsi="Times New Roman" w:eastAsia="宋体" w:cs="Times New Roman"/>
                <w:b w:val="0"/>
                <w:bCs w:val="0"/>
                <w:color w:val="auto"/>
                <w:sz w:val="21"/>
                <w:szCs w:val="21"/>
                <w:vertAlign w:val="baseline"/>
                <w:lang w:val="en-US" w:eastAsia="zh-CN"/>
              </w:rPr>
              <w:t>。</w:t>
            </w:r>
          </w:p>
        </w:tc>
        <w:tc>
          <w:tcPr>
            <w:tcW w:w="977" w:type="dxa"/>
            <w:noWrap w:val="0"/>
            <w:vAlign w:val="center"/>
          </w:tcPr>
          <w:p w14:paraId="5DC753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0759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633" w:type="dxa"/>
            <w:noWrap w:val="0"/>
            <w:vAlign w:val="center"/>
          </w:tcPr>
          <w:p w14:paraId="2E3A9C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8</w:t>
            </w:r>
          </w:p>
        </w:tc>
        <w:tc>
          <w:tcPr>
            <w:tcW w:w="4139" w:type="dxa"/>
            <w:noWrap w:val="0"/>
            <w:vAlign w:val="center"/>
          </w:tcPr>
          <w:p w14:paraId="09CE81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禁止在金沙江干流、长江一级支流、水生生物保护区和长江流域禁捕水域开展天然渔业资源生产性捕捞。</w:t>
            </w:r>
          </w:p>
        </w:tc>
        <w:tc>
          <w:tcPr>
            <w:tcW w:w="2969" w:type="dxa"/>
            <w:noWrap w:val="0"/>
            <w:vAlign w:val="center"/>
          </w:tcPr>
          <w:p w14:paraId="169679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本项目不涉及</w:t>
            </w:r>
            <w:r>
              <w:rPr>
                <w:rFonts w:hint="default" w:ascii="Times New Roman" w:hAnsi="Times New Roman" w:eastAsia="Times New Roman" w:cs="Times New Roman"/>
                <w:color w:val="auto"/>
                <w:sz w:val="21"/>
                <w:szCs w:val="21"/>
                <w:highlight w:val="none"/>
                <w:lang w:val="zh-CN"/>
              </w:rPr>
              <w:t>金沙江干流、长江一级支流、水生生物保护区和长江流域，</w:t>
            </w:r>
            <w:r>
              <w:rPr>
                <w:rFonts w:hint="default" w:ascii="Times New Roman" w:hAnsi="Times New Roman" w:eastAsia="宋体" w:cs="Times New Roman"/>
                <w:color w:val="auto"/>
                <w:sz w:val="21"/>
                <w:szCs w:val="21"/>
                <w:highlight w:val="none"/>
                <w:lang w:val="en-US" w:eastAsia="zh-CN"/>
              </w:rPr>
              <w:t>不涉及</w:t>
            </w:r>
            <w:r>
              <w:rPr>
                <w:rFonts w:hint="default" w:ascii="Times New Roman" w:hAnsi="Times New Roman" w:eastAsia="Times New Roman" w:cs="Times New Roman"/>
                <w:color w:val="auto"/>
                <w:sz w:val="21"/>
                <w:szCs w:val="21"/>
                <w:highlight w:val="none"/>
                <w:lang w:val="zh-CN"/>
              </w:rPr>
              <w:t>天然渔业资源捕捞。</w:t>
            </w:r>
          </w:p>
        </w:tc>
        <w:tc>
          <w:tcPr>
            <w:tcW w:w="977" w:type="dxa"/>
            <w:noWrap w:val="0"/>
            <w:vAlign w:val="center"/>
          </w:tcPr>
          <w:p w14:paraId="6F9BA1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3142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jc w:val="center"/>
        </w:trPr>
        <w:tc>
          <w:tcPr>
            <w:tcW w:w="633" w:type="dxa"/>
            <w:noWrap w:val="0"/>
            <w:vAlign w:val="center"/>
          </w:tcPr>
          <w:p w14:paraId="2A4299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9</w:t>
            </w:r>
          </w:p>
        </w:tc>
        <w:tc>
          <w:tcPr>
            <w:tcW w:w="4139" w:type="dxa"/>
            <w:noWrap w:val="0"/>
            <w:vAlign w:val="center"/>
          </w:tcPr>
          <w:p w14:paraId="1DB348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2969" w:type="dxa"/>
            <w:noWrap w:val="0"/>
            <w:vAlign w:val="center"/>
          </w:tcPr>
          <w:p w14:paraId="1B9F75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本项目不涉及</w:t>
            </w:r>
            <w:r>
              <w:rPr>
                <w:rFonts w:hint="default" w:ascii="Times New Roman" w:hAnsi="Times New Roman" w:eastAsia="Times New Roman" w:cs="Times New Roman"/>
                <w:color w:val="auto"/>
                <w:sz w:val="21"/>
                <w:szCs w:val="21"/>
                <w:highlight w:val="none"/>
                <w:lang w:val="zh-CN"/>
              </w:rPr>
              <w:t>在金沙江干流，长江一级支流和九大高原湖泊岸线一公里范围内新建、扩建化工园区和化工项目</w:t>
            </w:r>
            <w:r>
              <w:rPr>
                <w:rFonts w:hint="default" w:ascii="Times New Roman" w:hAnsi="Times New Roman" w:eastAsia="宋体" w:cs="Times New Roman"/>
                <w:b w:val="0"/>
                <w:bCs w:val="0"/>
                <w:color w:val="auto"/>
                <w:sz w:val="21"/>
                <w:szCs w:val="21"/>
                <w:vertAlign w:val="baseline"/>
                <w:lang w:val="en-US" w:eastAsia="zh-CN"/>
              </w:rPr>
              <w:t>。不涉及</w:t>
            </w:r>
            <w:r>
              <w:rPr>
                <w:rFonts w:hint="default" w:ascii="Times New Roman" w:hAnsi="Times New Roman" w:eastAsia="Times New Roman" w:cs="Times New Roman"/>
                <w:color w:val="auto"/>
                <w:sz w:val="21"/>
                <w:szCs w:val="21"/>
                <w:highlight w:val="none"/>
                <w:lang w:val="zh-CN"/>
              </w:rPr>
              <w:t>在金沙江干流岸线三公里范围内和长江一级支流岸线一公里范围内新建、改建、扩建尾矿库、冶炼渣库和磷石膏库</w:t>
            </w:r>
            <w:r>
              <w:rPr>
                <w:rFonts w:hint="default" w:ascii="Times New Roman" w:hAnsi="Times New Roman" w:eastAsia="宋体" w:cs="Times New Roman"/>
                <w:b w:val="0"/>
                <w:bCs w:val="0"/>
                <w:color w:val="auto"/>
                <w:sz w:val="21"/>
                <w:szCs w:val="21"/>
                <w:vertAlign w:val="baseline"/>
                <w:lang w:val="en-US" w:eastAsia="zh-CN"/>
              </w:rPr>
              <w:t>。</w:t>
            </w:r>
          </w:p>
        </w:tc>
        <w:tc>
          <w:tcPr>
            <w:tcW w:w="977" w:type="dxa"/>
            <w:noWrap w:val="0"/>
            <w:vAlign w:val="center"/>
          </w:tcPr>
          <w:p w14:paraId="3ADC544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34D3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633" w:type="dxa"/>
            <w:noWrap w:val="0"/>
            <w:vAlign w:val="center"/>
          </w:tcPr>
          <w:p w14:paraId="19176B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10</w:t>
            </w:r>
          </w:p>
        </w:tc>
        <w:tc>
          <w:tcPr>
            <w:tcW w:w="4139" w:type="dxa"/>
            <w:noWrap w:val="0"/>
            <w:vAlign w:val="center"/>
          </w:tcPr>
          <w:p w14:paraId="3F6E37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Times New Roman" w:cs="Times New Roman"/>
                <w:color w:val="auto"/>
                <w:sz w:val="21"/>
                <w:szCs w:val="21"/>
                <w:highlight w:val="none"/>
                <w:lang w:val="zh-CN"/>
              </w:rPr>
              <w:t>禁止在合规园区外新建、扩建钢铁、石化、化工、焦化、建材、有色、制浆造纸行业中的高污染项目。</w:t>
            </w:r>
          </w:p>
        </w:tc>
        <w:tc>
          <w:tcPr>
            <w:tcW w:w="2969" w:type="dxa"/>
            <w:noWrap w:val="0"/>
            <w:vAlign w:val="center"/>
          </w:tcPr>
          <w:p w14:paraId="5F1FC2A3">
            <w:pPr>
              <w:spacing w:line="240" w:lineRule="auto"/>
              <w:ind w:left="0" w:leftChars="0"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w:t>
            </w:r>
            <w:r>
              <w:rPr>
                <w:rFonts w:hint="default" w:ascii="Times New Roman" w:hAnsi="Times New Roman" w:eastAsia="宋体" w:cs="Times New Roman"/>
                <w:color w:val="auto"/>
                <w:sz w:val="21"/>
                <w:szCs w:val="21"/>
                <w:lang w:val="en-US" w:eastAsia="zh-CN"/>
              </w:rPr>
              <w:t>属于铁路建设项目，</w:t>
            </w:r>
            <w:r>
              <w:rPr>
                <w:rFonts w:hint="default" w:ascii="Times New Roman" w:hAnsi="Times New Roman" w:eastAsia="宋体" w:cs="Times New Roman"/>
                <w:color w:val="auto"/>
                <w:kern w:val="0"/>
                <w:sz w:val="21"/>
                <w:szCs w:val="21"/>
                <w:lang w:val="en-US" w:eastAsia="zh-CN"/>
              </w:rPr>
              <w:t>位于曲靖市高新技术产业开发区花山</w:t>
            </w:r>
            <w:r>
              <w:rPr>
                <w:rFonts w:hint="default" w:ascii="Times New Roman" w:hAnsi="Times New Roman" w:eastAsia="宋体" w:cs="Times New Roman"/>
                <w:color w:val="auto"/>
                <w:sz w:val="21"/>
                <w:szCs w:val="21"/>
                <w:lang w:val="en-US" w:eastAsia="zh-CN"/>
              </w:rPr>
              <w:t>片区。</w:t>
            </w:r>
          </w:p>
        </w:tc>
        <w:tc>
          <w:tcPr>
            <w:tcW w:w="977" w:type="dxa"/>
            <w:noWrap w:val="0"/>
            <w:vAlign w:val="center"/>
          </w:tcPr>
          <w:p w14:paraId="4367C69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00A6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jc w:val="center"/>
        </w:trPr>
        <w:tc>
          <w:tcPr>
            <w:tcW w:w="633" w:type="dxa"/>
            <w:noWrap w:val="0"/>
            <w:vAlign w:val="center"/>
          </w:tcPr>
          <w:p w14:paraId="579FDC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11</w:t>
            </w:r>
          </w:p>
        </w:tc>
        <w:tc>
          <w:tcPr>
            <w:tcW w:w="4139" w:type="dxa"/>
            <w:noWrap w:val="0"/>
            <w:vAlign w:val="center"/>
          </w:tcPr>
          <w:p w14:paraId="7480D1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禁止新建、扩建不符合国家石化、现代煤化工等产业布局规划的项目。禁止列入《云南省城镇人口密集区危险化学品生产企业搬迁改造名单》的搬迁改造企业在原址新建、扩建危险化学品生产项目。</w:t>
            </w:r>
          </w:p>
        </w:tc>
        <w:tc>
          <w:tcPr>
            <w:tcW w:w="2969" w:type="dxa"/>
            <w:noWrap w:val="0"/>
            <w:vAlign w:val="center"/>
          </w:tcPr>
          <w:p w14:paraId="282B71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w:t>
            </w:r>
            <w:r>
              <w:rPr>
                <w:rFonts w:hint="default" w:ascii="Times New Roman" w:hAnsi="Times New Roman" w:eastAsia="宋体" w:cs="Times New Roman"/>
                <w:color w:val="auto"/>
                <w:sz w:val="21"/>
                <w:szCs w:val="21"/>
                <w:lang w:val="en-US" w:eastAsia="zh-CN"/>
              </w:rPr>
              <w:t>属于铁路建设项目</w:t>
            </w:r>
            <w:r>
              <w:rPr>
                <w:rFonts w:hint="default" w:ascii="Times New Roman" w:hAnsi="Times New Roman" w:eastAsia="宋体" w:cs="Times New Roman"/>
                <w:color w:val="auto"/>
                <w:kern w:val="0"/>
                <w:sz w:val="21"/>
                <w:szCs w:val="21"/>
                <w:lang w:val="en-US" w:eastAsia="zh-CN"/>
              </w:rPr>
              <w:t>，不涉及</w:t>
            </w:r>
            <w:r>
              <w:rPr>
                <w:rFonts w:hint="default" w:ascii="Times New Roman" w:hAnsi="Times New Roman" w:eastAsia="宋体" w:cs="Times New Roman"/>
                <w:color w:val="auto"/>
                <w:sz w:val="21"/>
                <w:szCs w:val="21"/>
              </w:rPr>
              <w:t>国家石化、现代煤化工等</w:t>
            </w:r>
            <w:r>
              <w:rPr>
                <w:rFonts w:hint="default"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kern w:val="0"/>
                <w:sz w:val="21"/>
                <w:szCs w:val="21"/>
                <w:lang w:val="en-US" w:eastAsia="zh-CN"/>
              </w:rPr>
              <w:t>位于曲靖市高新技术产业开发区花山片区，符合</w:t>
            </w:r>
            <w:r>
              <w:rPr>
                <w:rFonts w:hint="default" w:ascii="Times New Roman" w:hAnsi="Times New Roman" w:eastAsia="宋体" w:cs="Times New Roman"/>
                <w:color w:val="auto"/>
                <w:sz w:val="21"/>
                <w:szCs w:val="21"/>
                <w:lang w:val="en-US" w:eastAsia="zh-CN"/>
              </w:rPr>
              <w:t>《产业结构调整指导目录（2024年本）》中的相关内容，项目的建设</w:t>
            </w:r>
            <w:r>
              <w:rPr>
                <w:rFonts w:hint="default" w:ascii="Times New Roman" w:hAnsi="Times New Roman" w:cs="Times New Roman"/>
                <w:color w:val="auto"/>
                <w:sz w:val="21"/>
                <w:szCs w:val="21"/>
                <w:lang w:val="en-US" w:eastAsia="zh-CN"/>
              </w:rPr>
              <w:t>与</w:t>
            </w:r>
            <w:r>
              <w:rPr>
                <w:rFonts w:hint="default" w:ascii="Times New Roman" w:hAnsi="Times New Roman" w:eastAsia="宋体" w:cs="Times New Roman"/>
                <w:color w:val="auto"/>
                <w:kern w:val="0"/>
                <w:sz w:val="21"/>
                <w:szCs w:val="21"/>
                <w:lang w:val="en-US" w:eastAsia="zh-CN"/>
              </w:rPr>
              <w:t>园区产业布局规划</w:t>
            </w:r>
            <w:r>
              <w:rPr>
                <w:rFonts w:hint="default" w:ascii="Times New Roman" w:hAnsi="Times New Roman" w:cs="Times New Roman"/>
                <w:color w:val="auto"/>
                <w:kern w:val="0"/>
                <w:sz w:val="21"/>
                <w:szCs w:val="21"/>
                <w:lang w:val="en-US" w:eastAsia="zh-CN"/>
              </w:rPr>
              <w:t>不冲突，且符合</w:t>
            </w:r>
            <w:r>
              <w:rPr>
                <w:rFonts w:hint="default" w:ascii="Times New Roman" w:hAnsi="Times New Roman" w:eastAsia="宋体" w:cs="Times New Roman"/>
                <w:color w:val="auto"/>
                <w:sz w:val="21"/>
                <w:szCs w:val="21"/>
                <w:lang w:val="en-US" w:eastAsia="zh-CN"/>
              </w:rPr>
              <w:t>国家现行产业政策，</w:t>
            </w:r>
            <w:r>
              <w:rPr>
                <w:rFonts w:hint="default" w:ascii="Times New Roman" w:hAnsi="Times New Roman" w:cs="Times New Roman"/>
                <w:color w:val="auto"/>
                <w:kern w:val="0"/>
                <w:sz w:val="21"/>
                <w:szCs w:val="21"/>
                <w:lang w:val="en-US" w:eastAsia="zh-CN"/>
              </w:rPr>
              <w:t>项目已取得入园证明</w:t>
            </w:r>
            <w:r>
              <w:rPr>
                <w:rFonts w:hint="default" w:ascii="Times New Roman" w:hAnsi="Times New Roman" w:eastAsia="宋体" w:cs="Times New Roman"/>
                <w:color w:val="auto"/>
                <w:kern w:val="0"/>
                <w:sz w:val="21"/>
                <w:szCs w:val="21"/>
                <w:lang w:val="en-US" w:eastAsia="zh-CN"/>
              </w:rPr>
              <w:t>（附件</w:t>
            </w:r>
            <w:r>
              <w:rPr>
                <w:rFonts w:hint="eastAsia"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lang w:val="en-US" w:eastAsia="zh-CN"/>
              </w:rPr>
              <w:t>）。</w:t>
            </w:r>
          </w:p>
        </w:tc>
        <w:tc>
          <w:tcPr>
            <w:tcW w:w="977" w:type="dxa"/>
            <w:noWrap w:val="0"/>
            <w:vAlign w:val="center"/>
          </w:tcPr>
          <w:p w14:paraId="0ABFBF8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r w14:paraId="1320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7" w:hRule="atLeast"/>
          <w:jc w:val="center"/>
        </w:trPr>
        <w:tc>
          <w:tcPr>
            <w:tcW w:w="633" w:type="dxa"/>
            <w:noWrap w:val="0"/>
            <w:vAlign w:val="center"/>
          </w:tcPr>
          <w:p w14:paraId="7384FF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12</w:t>
            </w:r>
          </w:p>
        </w:tc>
        <w:tc>
          <w:tcPr>
            <w:tcW w:w="4139" w:type="dxa"/>
            <w:noWrap w:val="0"/>
            <w:vAlign w:val="center"/>
          </w:tcPr>
          <w:p w14:paraId="620C37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限制类</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产能。禁止建设高毒高残留以及对环境影响大的农药原药生产装置，严控尿素、磷铵、电石、焦炭、黄磷、烧碱、纯碱、聚氯乙烯等行业新增产能。</w:t>
            </w:r>
          </w:p>
        </w:tc>
        <w:tc>
          <w:tcPr>
            <w:tcW w:w="2969" w:type="dxa"/>
            <w:noWrap w:val="0"/>
            <w:vAlign w:val="center"/>
          </w:tcPr>
          <w:p w14:paraId="187171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rPr>
              <w:t>本项目</w:t>
            </w:r>
            <w:r>
              <w:rPr>
                <w:rFonts w:hint="default" w:ascii="Times New Roman" w:hAnsi="Times New Roman" w:eastAsia="宋体" w:cs="Times New Roman"/>
                <w:color w:val="auto"/>
                <w:sz w:val="21"/>
                <w:szCs w:val="21"/>
                <w:lang w:val="en-US" w:eastAsia="zh-CN"/>
              </w:rPr>
              <w:t>属于铁路建设项目</w:t>
            </w:r>
            <w:r>
              <w:rPr>
                <w:rFonts w:hint="default" w:ascii="Times New Roman" w:hAnsi="Times New Roman" w:eastAsia="宋体" w:cs="Times New Roman"/>
                <w:color w:val="auto"/>
                <w:kern w:val="0"/>
                <w:sz w:val="21"/>
                <w:szCs w:val="21"/>
                <w:lang w:val="en-US" w:eastAsia="zh-CN"/>
              </w:rPr>
              <w:t>，位于曲靖市高新技术产业开发区花山片区，符合《产业结构调整指导目录（2024年本）》中的相</w:t>
            </w:r>
            <w:r>
              <w:rPr>
                <w:rFonts w:hint="default" w:ascii="Times New Roman" w:hAnsi="Times New Roman" w:eastAsia="宋体" w:cs="Times New Roman"/>
                <w:color w:val="auto"/>
                <w:sz w:val="21"/>
                <w:szCs w:val="21"/>
                <w:lang w:val="en-US" w:eastAsia="zh-CN"/>
              </w:rPr>
              <w:t>关内容，项目的建设</w:t>
            </w:r>
            <w:r>
              <w:rPr>
                <w:rFonts w:hint="default" w:ascii="Times New Roman" w:hAnsi="Times New Roman" w:cs="Times New Roman"/>
                <w:color w:val="auto"/>
                <w:sz w:val="21"/>
                <w:szCs w:val="21"/>
                <w:lang w:val="en-US" w:eastAsia="zh-CN"/>
              </w:rPr>
              <w:t>与</w:t>
            </w:r>
            <w:r>
              <w:rPr>
                <w:rFonts w:hint="default" w:ascii="Times New Roman" w:hAnsi="Times New Roman" w:eastAsia="宋体" w:cs="Times New Roman"/>
                <w:color w:val="auto"/>
                <w:kern w:val="0"/>
                <w:sz w:val="21"/>
                <w:szCs w:val="21"/>
                <w:lang w:val="en-US" w:eastAsia="zh-CN"/>
              </w:rPr>
              <w:t>园区产业布局规划</w:t>
            </w:r>
            <w:r>
              <w:rPr>
                <w:rFonts w:hint="default" w:ascii="Times New Roman" w:hAnsi="Times New Roman" w:cs="Times New Roman"/>
                <w:color w:val="auto"/>
                <w:kern w:val="0"/>
                <w:sz w:val="21"/>
                <w:szCs w:val="21"/>
                <w:lang w:val="en-US" w:eastAsia="zh-CN"/>
              </w:rPr>
              <w:t>不冲突，且符合</w:t>
            </w:r>
            <w:r>
              <w:rPr>
                <w:rFonts w:hint="default" w:ascii="Times New Roman" w:hAnsi="Times New Roman" w:eastAsia="宋体" w:cs="Times New Roman"/>
                <w:color w:val="auto"/>
                <w:sz w:val="21"/>
                <w:szCs w:val="21"/>
                <w:lang w:val="en-US" w:eastAsia="zh-CN"/>
              </w:rPr>
              <w:t>国家现行产业政策，本项目不属于落后产能、技术落后、过剩产能、</w:t>
            </w:r>
            <w:r>
              <w:rPr>
                <w:rFonts w:hint="default" w:ascii="Times New Roman" w:hAnsi="Times New Roman" w:eastAsia="宋体" w:cs="Times New Roman"/>
                <w:color w:val="auto"/>
                <w:sz w:val="21"/>
                <w:szCs w:val="21"/>
                <w:highlight w:val="none"/>
                <w:lang w:val="en-US" w:eastAsia="zh-CN"/>
              </w:rPr>
              <w:t>高耗能、高排放、限制类、</w:t>
            </w:r>
            <w:r>
              <w:rPr>
                <w:rFonts w:hint="default" w:ascii="Times New Roman" w:hAnsi="Times New Roman" w:eastAsia="宋体" w:cs="Times New Roman"/>
                <w:color w:val="auto"/>
                <w:sz w:val="21"/>
                <w:szCs w:val="21"/>
                <w:lang w:val="en-US" w:eastAsia="zh-CN"/>
              </w:rPr>
              <w:t>高毒、高残留</w:t>
            </w: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kern w:val="0"/>
                <w:sz w:val="21"/>
                <w:szCs w:val="21"/>
                <w:lang w:val="en-US" w:eastAsia="zh-CN"/>
              </w:rPr>
              <w:t>。</w:t>
            </w:r>
          </w:p>
        </w:tc>
        <w:tc>
          <w:tcPr>
            <w:tcW w:w="977" w:type="dxa"/>
            <w:noWrap w:val="0"/>
            <w:vAlign w:val="center"/>
          </w:tcPr>
          <w:p w14:paraId="54A17C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不涉及</w:t>
            </w:r>
          </w:p>
        </w:tc>
      </w:tr>
    </w:tbl>
    <w:p w14:paraId="18FD743E">
      <w:pPr>
        <w:spacing w:line="360" w:lineRule="auto"/>
        <w:ind w:firstLine="480" w:firstLineChars="200"/>
        <w:jc w:val="both"/>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eastAsia="zh-CN"/>
        </w:rPr>
        <w:t>根据表</w:t>
      </w:r>
      <w:r>
        <w:rPr>
          <w:rFonts w:hint="default" w:ascii="Times New Roman" w:hAnsi="Times New Roman" w:eastAsia="宋体" w:cs="Times New Roman"/>
          <w:b w:val="0"/>
          <w:bCs w:val="0"/>
          <w:color w:val="auto"/>
          <w:sz w:val="24"/>
          <w:szCs w:val="24"/>
          <w:lang w:val="en-US" w:eastAsia="zh-CN"/>
        </w:rPr>
        <w:t>4，本</w:t>
      </w:r>
      <w:r>
        <w:rPr>
          <w:rFonts w:hint="default" w:ascii="Times New Roman" w:hAnsi="Times New Roman" w:eastAsia="宋体" w:cs="Times New Roman"/>
          <w:b w:val="0"/>
          <w:bCs w:val="0"/>
          <w:color w:val="auto"/>
          <w:sz w:val="24"/>
          <w:szCs w:val="24"/>
        </w:rPr>
        <w:t>项目的建设</w:t>
      </w:r>
      <w:r>
        <w:rPr>
          <w:rFonts w:hint="default" w:ascii="Times New Roman" w:hAnsi="Times New Roman" w:eastAsia="宋体" w:cs="Times New Roman"/>
          <w:b w:val="0"/>
          <w:bCs w:val="0"/>
          <w:color w:val="auto"/>
          <w:sz w:val="24"/>
          <w:szCs w:val="24"/>
          <w:lang w:val="en-US" w:eastAsia="zh-CN"/>
        </w:rPr>
        <w:t>不涉及</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lang w:val="en-US" w:eastAsia="zh-CN"/>
        </w:rPr>
        <w:t>云南省</w:t>
      </w:r>
      <w:r>
        <w:rPr>
          <w:rFonts w:hint="default" w:ascii="Times New Roman" w:hAnsi="Times New Roman" w:eastAsia="宋体" w:cs="Times New Roman"/>
          <w:b w:val="0"/>
          <w:bCs w:val="0"/>
          <w:color w:val="auto"/>
          <w:sz w:val="24"/>
          <w:szCs w:val="24"/>
          <w:lang w:eastAsia="zh-CN"/>
        </w:rPr>
        <w:t>长江经济带发展负面清单指南</w:t>
      </w:r>
      <w:r>
        <w:rPr>
          <w:rFonts w:hint="default" w:ascii="Times New Roman" w:hAnsi="Times New Roman" w:eastAsia="宋体" w:cs="Times New Roman"/>
          <w:b w:val="0"/>
          <w:bCs w:val="0"/>
          <w:color w:val="auto"/>
          <w:sz w:val="24"/>
          <w:szCs w:val="24"/>
          <w:lang w:val="en-US" w:eastAsia="zh-CN"/>
        </w:rPr>
        <w:t>实施细则</w:t>
      </w:r>
      <w:r>
        <w:rPr>
          <w:rFonts w:hint="default" w:ascii="Times New Roman" w:hAnsi="Times New Roman" w:eastAsia="宋体" w:cs="Times New Roman"/>
          <w:b w:val="0"/>
          <w:bCs w:val="0"/>
          <w:color w:val="auto"/>
          <w:sz w:val="24"/>
          <w:szCs w:val="24"/>
          <w:lang w:eastAsia="zh-CN"/>
        </w:rPr>
        <w:t>（试行，</w:t>
      </w:r>
      <w:r>
        <w:rPr>
          <w:rFonts w:hint="default" w:ascii="Times New Roman" w:hAnsi="Times New Roman" w:eastAsia="宋体" w:cs="Times New Roman"/>
          <w:b w:val="0"/>
          <w:bCs w:val="0"/>
          <w:color w:val="auto"/>
          <w:sz w:val="24"/>
          <w:szCs w:val="24"/>
          <w:lang w:val="en-US" w:eastAsia="zh-CN"/>
        </w:rPr>
        <w:t>2022年版</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szCs w:val="24"/>
          <w:lang w:val="en-US" w:eastAsia="zh-CN"/>
        </w:rPr>
        <w:t>的有关要求</w:t>
      </w:r>
      <w:r>
        <w:rPr>
          <w:rFonts w:hint="default" w:ascii="Times New Roman" w:hAnsi="Times New Roman" w:eastAsia="宋体" w:cs="Times New Roman"/>
          <w:b w:val="0"/>
          <w:bCs w:val="0"/>
          <w:color w:val="auto"/>
          <w:sz w:val="24"/>
          <w:szCs w:val="24"/>
        </w:rPr>
        <w:t>。</w:t>
      </w:r>
    </w:p>
    <w:p w14:paraId="4936889D">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7、与《中共云南省委 云南省人民政府关于深入打好污染防治攻坚战的实施意见》符合性分析</w:t>
      </w:r>
    </w:p>
    <w:p w14:paraId="63EB818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2022 年 7 月 27  日，中共云南省委 云南省人民政府为贯彻落实《中共中央国务院关于深入打好污染防治攻坚战的意见》精神，进一步加强生态环境保护，深入打好污染防治攻坚战，结合云南实际，提出如下实施意见。</w:t>
      </w:r>
    </w:p>
    <w:p w14:paraId="561AA73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（二）主要目标：到2025年，生态环境持续改善，完成主要污染物排放总量控制和单位地区生产总值二氧化碳排放指标任务，地级城市细颗粒物（PM</w:t>
      </w:r>
      <w:r>
        <w:rPr>
          <w:rFonts w:hint="eastAsia" w:ascii="Times New Roman" w:hAnsi="Times New Roman" w:cs="Times New Roman"/>
          <w:color w:val="auto"/>
          <w:spacing w:val="0"/>
          <w:sz w:val="24"/>
          <w:szCs w:val="24"/>
          <w:vertAlign w:val="subscript"/>
          <w:lang w:val="en-US" w:eastAsia="zh-CN"/>
        </w:rPr>
        <w:t>2.5</w:t>
      </w:r>
      <w:r>
        <w:rPr>
          <w:rFonts w:hint="eastAsia" w:ascii="Times New Roman" w:hAnsi="Times New Roman" w:cs="Times New Roman"/>
          <w:color w:val="auto"/>
          <w:spacing w:val="0"/>
          <w:sz w:val="24"/>
          <w:szCs w:val="24"/>
          <w:lang w:val="en-US" w:eastAsia="zh-CN"/>
        </w:rPr>
        <w:t>）平均浓度控制在20.5微克/立方米以内，地级城市空气质量优良天数比率达到98.8% ，全省地表水国控断面</w:t>
      </w:r>
      <w:r>
        <w:rPr>
          <w:rFonts w:hint="default" w:ascii="Times New Roman" w:hAnsi="Times New Roman" w:cs="Times New Roman"/>
          <w:color w:val="auto"/>
          <w:spacing w:val="0"/>
          <w:sz w:val="24"/>
          <w:szCs w:val="24"/>
          <w:lang w:val="en-US" w:eastAsia="zh-CN"/>
        </w:rPr>
        <w:t>Ⅰ—Ⅲ</w:t>
      </w:r>
      <w:r>
        <w:rPr>
          <w:rFonts w:hint="eastAsia" w:ascii="Times New Roman" w:hAnsi="Times New Roman" w:cs="Times New Roman"/>
          <w:color w:val="auto"/>
          <w:spacing w:val="0"/>
          <w:sz w:val="24"/>
          <w:szCs w:val="24"/>
          <w:lang w:val="en-US" w:eastAsia="zh-CN"/>
        </w:rPr>
        <w:t>类水体比例达到92.1%，劣Ⅴ类水体和城市黑臭水体基本消除，不再出现重度及以上污染天气，土壤污染风险得到有效管控，固体废物和新污染物治理能力明显增强，生态系统质量和稳定性持续提升，生物多样性保护水平进一步提高，生态环境治理体系更加完善，推进生态文明建设排头兵取得新进展。</w:t>
      </w:r>
    </w:p>
    <w:p w14:paraId="5B2E800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本项目不属于高耗能高排放项目，仅内燃机车使用柴油，其余均使用清洁能源电能，推进清洁生产和能源资源节约高效利用，项目铁路专用线运输过程中产生的废气主要是内燃机废气、运输车辆尾气以及运输装卸粉尘等。产生量较少，经过采取洒水降尘、绿化吸收、大气稀释扩散等措施后对周边大气环境影响较小；本项目初期雨水经收集处理后回用于项目绿化、洒水降尘，回用不完的由曲煤焦化内部清运至铁路卸煤区洒水降尘</w:t>
      </w:r>
      <w:r>
        <w:rPr>
          <w:rFonts w:hint="default" w:ascii="Times New Roman" w:hAnsi="Times New Roman" w:cs="Times New Roman"/>
          <w:color w:val="auto"/>
          <w:spacing w:val="0"/>
          <w:sz w:val="24"/>
          <w:szCs w:val="24"/>
          <w:lang w:val="en-US" w:eastAsia="zh-CN"/>
        </w:rPr>
        <w:t>生活垃圾收集后交由环卫部门处理</w:t>
      </w:r>
      <w:r>
        <w:rPr>
          <w:rFonts w:hint="eastAsia" w:ascii="Times New Roman" w:hAnsi="Times New Roman" w:cs="Times New Roman"/>
          <w:color w:val="auto"/>
          <w:spacing w:val="0"/>
          <w:sz w:val="24"/>
          <w:szCs w:val="24"/>
          <w:lang w:val="en-US" w:eastAsia="zh-CN"/>
        </w:rPr>
        <w:t>，含油抹布、手套并入生活垃圾处理</w:t>
      </w:r>
      <w:r>
        <w:rPr>
          <w:rFonts w:hint="default" w:ascii="Times New Roman" w:hAnsi="Times New Roman" w:cs="Times New Roman"/>
          <w:color w:val="auto"/>
          <w:spacing w:val="0"/>
          <w:sz w:val="24"/>
          <w:szCs w:val="24"/>
          <w:lang w:val="en-US" w:eastAsia="zh-CN"/>
        </w:rPr>
        <w:t>；设备维护、修理过程中产生的含油废物定期交由有资质单位进行处理，并建立健全危险废物产生、处理、转移台账记录。</w:t>
      </w:r>
      <w:r>
        <w:rPr>
          <w:rFonts w:hint="default" w:ascii="Times New Roman" w:hAnsi="Times New Roman" w:cs="Times New Roman"/>
          <w:color w:val="auto"/>
          <w:spacing w:val="0"/>
          <w:sz w:val="24"/>
          <w:szCs w:val="24"/>
        </w:rPr>
        <w:t>项目产生的固废处置率为 100% 。项目严格按照清洁生产的要求，实行清洁生产，节能降耗。</w:t>
      </w:r>
    </w:p>
    <w:p w14:paraId="4137D78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本项目与《中共云南省委 云南省人民政府关于深入打好污染防治攻坚战的实施意见》不冲突。</w:t>
      </w:r>
    </w:p>
    <w:p w14:paraId="248039EE">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8、与关于印发《云南省噪声污染防治三年行动实施方案》的通知的符合性分析</w:t>
      </w:r>
    </w:p>
    <w:p w14:paraId="1122DA9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2023 年 10 月 30 日，云南省生态环境厅发布了关于印发《云南省噪声污染防治三年行动实施方案》的通知（云环通〔2023〕120号）。</w:t>
      </w:r>
    </w:p>
    <w:p w14:paraId="07DA60B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工作目标：基本掌握重点噪声源污染状况，不断完善噪声污染防治管理体系，有效落实治污责任，稳步提高治理水平，加快解决一批噪声影响突出问题，持续改善声环境质量，逐步形成宁静和谐的文明意识和社会氛围。到2025年，全省声环境功能区夜间达标率达到85%。</w:t>
      </w:r>
    </w:p>
    <w:p w14:paraId="0EC616B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三、严格噪声源头管理，控制污染新增</w:t>
      </w:r>
    </w:p>
    <w:p w14:paraId="586DE28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（五）加强规划引导</w:t>
      </w:r>
    </w:p>
    <w:p w14:paraId="66EA43F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6.细化交通基础设施选线选址要求。统筹推进穿越中心城区的既有铁路改造和货运铁路外迁，新建铁路项目应尽量绕避噪声敏感建筑物集中区域。</w:t>
      </w:r>
    </w:p>
    <w:p w14:paraId="2E66904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（六）统筹噪声源管控</w:t>
      </w:r>
    </w:p>
    <w:p w14:paraId="0D7FCB8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8.严格落实噪声污染防治要求。制定修改相关规划、建设对环境有影响的项目时，应依法开展环评，积极采取噪声污染防治对策措施。建设项目的噪声污染防治设施应当与主体工程同时设计、同时施工、同时投产使用。督促建设单位依法开展竣工环境保护验收，加大事中事后监管力度，确保各项措施落地见效。</w:t>
      </w:r>
    </w:p>
    <w:p w14:paraId="30A4B1B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10.推广先进技术、工艺、设备。鼓励低噪声设备、工艺研发和推广使用，采用先进技术，改进工艺、设施结构、操作方法，推动相关行业绿色高质量发展。</w:t>
      </w:r>
    </w:p>
    <w:p w14:paraId="0610224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六、加大交通运输噪声污染防治，推动各领域分步治理</w:t>
      </w:r>
    </w:p>
    <w:p w14:paraId="332E8EA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（十二）推动轨道交通噪声污染防治</w:t>
      </w:r>
    </w:p>
    <w:p w14:paraId="06A37C3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19.规范城市轨道交通噪声污染防治。城市轨道交通车辆等装备选型和轨道线路、路基结构等建设应符合相关要求。城市轨道交通运营单位加强对城市轨道交通线路和车辆的维护保养，依据规定开展噪声监测和故障诊断，保存原始监测记录，保持减振降噪设施正常运行。</w:t>
      </w:r>
    </w:p>
    <w:p w14:paraId="6A14B63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20.细化铁路噪声污染防治要求。明确铁路监督管理机构噪声污染防治责任部门，细化铁路噪声污染治理措施，与铁路运输企业以及相关部门建立工作联系机制，加强行业监管。铁路运输企业会同地方有关部门推动铁路列车鸣笛噪声污染综合整治，推动市区铁路道口平面改立交；加强对铁路线路和铁路机车车辆的维护保养，确保减振降噪设施正常运行，按照国家规定开展噪声监测，保存原始监测记录。鼓励通过中心城区的铁路两侧设置封闭防护栅栏。</w:t>
      </w:r>
    </w:p>
    <w:p w14:paraId="5FE8CF2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符合性分析：（1）项目已加强选址选线规划控制，已避开噪声敏感建筑物集中区域，距离项目最近的敏感点为东南侧430m的兴源社区；（2）项目采取的噪声污染防治措施：项目加强铁路管理、提高铁路装备技术含量；加强机车鸣笛噪声控制；运营单位加强管理和保养铁路，定期进行轨道打磨和旋轮等，使线路在较佳的线路条件下运行，降低噪声。加强铁路两侧绿化；合理规划运输时间，货物运输尽量安排在白天进行等。（3）根据后文噪声预测结果可知，项目列车运行时，厂界噪声可满足《声环境质量标准》（GB3092-2008）中的3类标准。本项目铁路运营噪声、机车鸣笛噪声、交通运输等噪声经过采取相关措施后对声环境保护目标的影响较小。</w:t>
      </w:r>
    </w:p>
    <w:p w14:paraId="1AE8CB35">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9、与《云南省空气质量持续改善行动实施方案》的符合性分析</w:t>
      </w:r>
    </w:p>
    <w:p w14:paraId="1E89A8B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根据2024年4月23日，由云南省人民政府发布的《云南省空气质量持续改善行动实施方案》（云政发〔2024〕14号），本项目与意见的符合性分析如下：</w:t>
      </w:r>
    </w:p>
    <w:p w14:paraId="1D99573E">
      <w:pPr>
        <w:pStyle w:val="9"/>
        <w:keepNext w:val="0"/>
        <w:keepLines w:val="0"/>
        <w:pageBreakBefore w:val="0"/>
        <w:widowControl/>
        <w:kinsoku w:val="0"/>
        <w:wordWrap/>
        <w:overflowPunct/>
        <w:topLinePunct w:val="0"/>
        <w:autoSpaceDE w:val="0"/>
        <w:autoSpaceDN w:val="0"/>
        <w:bidi w:val="0"/>
        <w:adjustRightInd/>
        <w:snapToGrid/>
        <w:spacing w:line="360" w:lineRule="auto"/>
        <w:ind w:left="176"/>
        <w:jc w:val="center"/>
        <w:textAlignment w:val="baseline"/>
        <w:rPr>
          <w:color w:val="auto"/>
        </w:rPr>
      </w:pPr>
      <w:r>
        <w:rPr>
          <w:b/>
          <w:bCs/>
          <w:color w:val="auto"/>
          <w:spacing w:val="-2"/>
        </w:rPr>
        <w:t>表</w:t>
      </w:r>
      <w:r>
        <w:rPr>
          <w:rFonts w:hint="eastAsia" w:ascii="Times New Roman" w:hAnsi="Times New Roman" w:eastAsia="宋体" w:cs="Times New Roman"/>
          <w:b/>
          <w:bCs/>
          <w:color w:val="auto"/>
          <w:spacing w:val="-2"/>
          <w:lang w:val="en-US" w:eastAsia="zh-CN"/>
        </w:rPr>
        <w:t>5</w:t>
      </w:r>
      <w:r>
        <w:rPr>
          <w:rFonts w:ascii="Times New Roman" w:hAnsi="Times New Roman" w:eastAsia="Times New Roman" w:cs="Times New Roman"/>
          <w:b/>
          <w:bCs/>
          <w:color w:val="auto"/>
          <w:spacing w:val="-2"/>
        </w:rPr>
        <w:t xml:space="preserve">   </w:t>
      </w:r>
      <w:r>
        <w:rPr>
          <w:b/>
          <w:bCs/>
          <w:color w:val="auto"/>
          <w:spacing w:val="-2"/>
        </w:rPr>
        <w:t>项目与《云南省空气质量持续改善行动实施方案》的符合性分析</w:t>
      </w:r>
    </w:p>
    <w:tbl>
      <w:tblPr>
        <w:tblStyle w:val="26"/>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23"/>
        <w:gridCol w:w="2848"/>
        <w:gridCol w:w="855"/>
      </w:tblGrid>
      <w:tr w14:paraId="2C48F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823" w:type="dxa"/>
            <w:vAlign w:val="top"/>
          </w:tcPr>
          <w:p w14:paraId="247DF0A9">
            <w:pPr>
              <w:pStyle w:val="27"/>
              <w:spacing w:before="97" w:line="223" w:lineRule="auto"/>
              <w:ind w:left="1865"/>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b/>
                <w:bCs/>
                <w:color w:val="auto"/>
                <w:spacing w:val="6"/>
                <w:sz w:val="21"/>
                <w:szCs w:val="21"/>
              </w:rPr>
              <w:t>相关内容</w:t>
            </w:r>
          </w:p>
        </w:tc>
        <w:tc>
          <w:tcPr>
            <w:tcW w:w="2848" w:type="dxa"/>
            <w:vAlign w:val="top"/>
          </w:tcPr>
          <w:p w14:paraId="0D726227">
            <w:pPr>
              <w:pStyle w:val="27"/>
              <w:spacing w:before="97" w:line="223" w:lineRule="auto"/>
              <w:ind w:left="1035"/>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b/>
                <w:bCs/>
                <w:color w:val="auto"/>
                <w:spacing w:val="6"/>
                <w:sz w:val="21"/>
                <w:szCs w:val="21"/>
              </w:rPr>
              <w:t>本项目情况</w:t>
            </w:r>
          </w:p>
        </w:tc>
        <w:tc>
          <w:tcPr>
            <w:tcW w:w="855" w:type="dxa"/>
            <w:vAlign w:val="top"/>
          </w:tcPr>
          <w:p w14:paraId="28C3E14F">
            <w:pPr>
              <w:pStyle w:val="27"/>
              <w:spacing w:before="97" w:line="223" w:lineRule="auto"/>
              <w:ind w:left="119"/>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b/>
                <w:bCs/>
                <w:color w:val="auto"/>
                <w:spacing w:val="5"/>
                <w:sz w:val="21"/>
                <w:szCs w:val="21"/>
              </w:rPr>
              <w:t>符合性</w:t>
            </w:r>
          </w:p>
        </w:tc>
      </w:tr>
      <w:tr w14:paraId="39D71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823" w:type="dxa"/>
            <w:vAlign w:val="center"/>
          </w:tcPr>
          <w:p w14:paraId="264C08B1">
            <w:pPr>
              <w:pStyle w:val="27"/>
              <w:keepNext w:val="0"/>
              <w:keepLines w:val="0"/>
              <w:pageBreakBefore w:val="0"/>
              <w:widowControl/>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pacing w:val="4"/>
                <w:sz w:val="21"/>
                <w:szCs w:val="21"/>
              </w:rPr>
              <w:t>（一）坚决遏制</w:t>
            </w:r>
            <w:r>
              <w:rPr>
                <w:rFonts w:hint="eastAsia" w:ascii="Times New Roman" w:hAnsi="Times New Roman" w:cs="Times New Roman" w:eastAsiaTheme="majorEastAsia"/>
                <w:color w:val="auto"/>
                <w:spacing w:val="4"/>
                <w:sz w:val="21"/>
                <w:szCs w:val="21"/>
                <w:lang w:eastAsia="zh-CN"/>
              </w:rPr>
              <w:t>“</w:t>
            </w:r>
            <w:r>
              <w:rPr>
                <w:rFonts w:hint="default" w:ascii="Times New Roman" w:hAnsi="Times New Roman" w:cs="Times New Roman" w:eastAsiaTheme="majorEastAsia"/>
                <w:color w:val="auto"/>
                <w:spacing w:val="4"/>
                <w:sz w:val="21"/>
                <w:szCs w:val="21"/>
              </w:rPr>
              <w:t>两高一低</w:t>
            </w:r>
            <w:r>
              <w:rPr>
                <w:rFonts w:hint="eastAsia" w:ascii="Times New Roman" w:hAnsi="Times New Roman" w:cs="Times New Roman" w:eastAsiaTheme="majorEastAsia"/>
                <w:color w:val="auto"/>
                <w:spacing w:val="-62"/>
                <w:sz w:val="21"/>
                <w:szCs w:val="21"/>
                <w:lang w:eastAsia="zh-CN"/>
              </w:rPr>
              <w:t>”</w:t>
            </w:r>
            <w:r>
              <w:rPr>
                <w:rFonts w:hint="default" w:ascii="Times New Roman" w:hAnsi="Times New Roman" w:cs="Times New Roman" w:eastAsiaTheme="majorEastAsia"/>
                <w:color w:val="auto"/>
                <w:spacing w:val="4"/>
                <w:sz w:val="21"/>
                <w:szCs w:val="21"/>
              </w:rPr>
              <w:t>项目盲目上马。新</w:t>
            </w:r>
            <w:r>
              <w:rPr>
                <w:rFonts w:hint="default" w:ascii="Times New Roman" w:hAnsi="Times New Roman" w:cs="Times New Roman" w:eastAsiaTheme="majorEastAsia"/>
                <w:color w:val="auto"/>
                <w:spacing w:val="6"/>
                <w:sz w:val="21"/>
                <w:szCs w:val="21"/>
              </w:rPr>
              <w:t>改扩建项目严格落实国家和省产业规划、产业政策、生态环境分区管控方案、规划环评、项目环</w:t>
            </w:r>
            <w:r>
              <w:rPr>
                <w:rFonts w:hint="default" w:ascii="Times New Roman" w:hAnsi="Times New Roman" w:cs="Times New Roman" w:eastAsiaTheme="majorEastAsia"/>
                <w:color w:val="auto"/>
                <w:sz w:val="21"/>
                <w:szCs w:val="21"/>
              </w:rPr>
              <w:t>评、节能审查、产能置换、重点污染物总量控制、</w:t>
            </w:r>
            <w:r>
              <w:rPr>
                <w:rFonts w:hint="default" w:ascii="Times New Roman" w:hAnsi="Times New Roman" w:cs="Times New Roman" w:eastAsiaTheme="majorEastAsia"/>
                <w:color w:val="auto"/>
                <w:spacing w:val="6"/>
                <w:sz w:val="21"/>
                <w:szCs w:val="21"/>
              </w:rPr>
              <w:t>污染物排放区域削减、碳排放达峰目标等相关要求，原则上采用清洁运输方式。加快推进钢铁产</w:t>
            </w:r>
            <w:r>
              <w:rPr>
                <w:rFonts w:hint="default" w:ascii="Times New Roman" w:hAnsi="Times New Roman" w:cs="Times New Roman" w:eastAsiaTheme="majorEastAsia"/>
                <w:color w:val="auto"/>
                <w:sz w:val="21"/>
                <w:szCs w:val="21"/>
              </w:rPr>
              <w:t>业转型升级，鼓励钢铁、焦化、烧结一体化布局，</w:t>
            </w:r>
            <w:r>
              <w:rPr>
                <w:rFonts w:hint="default" w:ascii="Times New Roman" w:hAnsi="Times New Roman" w:cs="Times New Roman" w:eastAsiaTheme="majorEastAsia"/>
                <w:color w:val="auto"/>
                <w:spacing w:val="9"/>
                <w:sz w:val="21"/>
                <w:szCs w:val="21"/>
              </w:rPr>
              <w:t>减少独立焦化、烧结、球团和热轧企业及工序。</w:t>
            </w:r>
            <w:r>
              <w:rPr>
                <w:rFonts w:hint="default" w:ascii="Times New Roman" w:hAnsi="Times New Roman" w:cs="Times New Roman" w:eastAsiaTheme="majorEastAsia"/>
                <w:color w:val="auto"/>
                <w:spacing w:val="7"/>
                <w:sz w:val="21"/>
                <w:szCs w:val="21"/>
              </w:rPr>
              <w:t>到2025年，短流程炼钢产量占比达15%。</w:t>
            </w:r>
          </w:p>
        </w:tc>
        <w:tc>
          <w:tcPr>
            <w:tcW w:w="2848" w:type="dxa"/>
            <w:vAlign w:val="center"/>
          </w:tcPr>
          <w:p w14:paraId="13DABEF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pacing w:val="3"/>
                <w:sz w:val="21"/>
                <w:szCs w:val="21"/>
              </w:rPr>
              <w:t>项目为</w:t>
            </w:r>
            <w:r>
              <w:rPr>
                <w:rFonts w:hint="eastAsia" w:ascii="Times New Roman" w:hAnsi="Times New Roman" w:cs="Times New Roman" w:eastAsiaTheme="majorEastAsia"/>
                <w:color w:val="auto"/>
                <w:spacing w:val="3"/>
                <w:sz w:val="21"/>
                <w:szCs w:val="21"/>
                <w:lang w:val="en-US" w:eastAsia="zh-CN"/>
              </w:rPr>
              <w:t>装卸搬运仓储业和铁路专用线建设项目</w:t>
            </w:r>
            <w:r>
              <w:rPr>
                <w:rFonts w:hint="default" w:ascii="Times New Roman" w:hAnsi="Times New Roman" w:cs="Times New Roman" w:eastAsiaTheme="majorEastAsia"/>
                <w:color w:val="auto"/>
                <w:spacing w:val="3"/>
                <w:sz w:val="21"/>
                <w:szCs w:val="21"/>
              </w:rPr>
              <w:t>，不</w:t>
            </w:r>
            <w:r>
              <w:rPr>
                <w:rFonts w:hint="default" w:ascii="Times New Roman" w:hAnsi="Times New Roman" w:cs="Times New Roman" w:eastAsiaTheme="majorEastAsia"/>
                <w:color w:val="auto"/>
                <w:spacing w:val="1"/>
                <w:sz w:val="21"/>
                <w:szCs w:val="21"/>
              </w:rPr>
              <w:t>属于</w:t>
            </w:r>
            <w:r>
              <w:rPr>
                <w:rFonts w:hint="eastAsia" w:ascii="Times New Roman" w:hAnsi="Times New Roman" w:cs="Times New Roman" w:eastAsiaTheme="majorEastAsia"/>
                <w:color w:val="auto"/>
                <w:spacing w:val="1"/>
                <w:sz w:val="21"/>
                <w:szCs w:val="21"/>
                <w:lang w:eastAsia="zh-CN"/>
              </w:rPr>
              <w:t>“</w:t>
            </w:r>
            <w:r>
              <w:rPr>
                <w:rFonts w:hint="default" w:ascii="Times New Roman" w:hAnsi="Times New Roman" w:cs="Times New Roman" w:eastAsiaTheme="majorEastAsia"/>
                <w:color w:val="auto"/>
                <w:spacing w:val="1"/>
                <w:sz w:val="21"/>
                <w:szCs w:val="21"/>
              </w:rPr>
              <w:t>两高一低</w:t>
            </w:r>
            <w:r>
              <w:rPr>
                <w:rFonts w:hint="eastAsia" w:ascii="Times New Roman" w:hAnsi="Times New Roman" w:cs="Times New Roman" w:eastAsiaTheme="majorEastAsia"/>
                <w:color w:val="auto"/>
                <w:spacing w:val="-64"/>
                <w:sz w:val="21"/>
                <w:szCs w:val="21"/>
                <w:lang w:eastAsia="zh-CN"/>
              </w:rPr>
              <w:t>”</w:t>
            </w:r>
            <w:r>
              <w:rPr>
                <w:rFonts w:hint="default" w:ascii="Times New Roman" w:hAnsi="Times New Roman" w:cs="Times New Roman" w:eastAsiaTheme="majorEastAsia"/>
                <w:color w:val="auto"/>
                <w:spacing w:val="1"/>
                <w:sz w:val="21"/>
                <w:szCs w:val="21"/>
              </w:rPr>
              <w:t>项目，且项目</w:t>
            </w:r>
            <w:r>
              <w:rPr>
                <w:rFonts w:hint="default" w:ascii="Times New Roman" w:hAnsi="Times New Roman" w:cs="Times New Roman" w:eastAsiaTheme="majorEastAsia"/>
                <w:color w:val="auto"/>
                <w:spacing w:val="3"/>
                <w:sz w:val="21"/>
                <w:szCs w:val="21"/>
              </w:rPr>
              <w:t>符合国家相关产业政策。项目不</w:t>
            </w:r>
            <w:r>
              <w:rPr>
                <w:rFonts w:hint="default" w:ascii="Times New Roman" w:hAnsi="Times New Roman" w:cs="Times New Roman" w:eastAsiaTheme="majorEastAsia"/>
                <w:color w:val="auto"/>
                <w:spacing w:val="16"/>
                <w:sz w:val="21"/>
                <w:szCs w:val="21"/>
              </w:rPr>
              <w:t>涉及产能置换</w:t>
            </w:r>
            <w:r>
              <w:rPr>
                <w:rFonts w:hint="default" w:ascii="Times New Roman" w:hAnsi="Times New Roman" w:cs="Times New Roman" w:eastAsiaTheme="majorEastAsia"/>
                <w:color w:val="auto"/>
                <w:spacing w:val="-59"/>
                <w:sz w:val="21"/>
                <w:szCs w:val="21"/>
              </w:rPr>
              <w:t xml:space="preserve"> </w:t>
            </w:r>
            <w:r>
              <w:rPr>
                <w:rFonts w:hint="default" w:ascii="Times New Roman" w:hAnsi="Times New Roman" w:cs="Times New Roman" w:eastAsiaTheme="majorEastAsia"/>
                <w:color w:val="auto"/>
                <w:spacing w:val="16"/>
                <w:sz w:val="21"/>
                <w:szCs w:val="21"/>
              </w:rPr>
              <w:t>，不属于钢铁项</w:t>
            </w:r>
            <w:r>
              <w:rPr>
                <w:rFonts w:hint="default" w:ascii="Times New Roman" w:hAnsi="Times New Roman" w:cs="Times New Roman" w:eastAsiaTheme="majorEastAsia"/>
                <w:color w:val="auto"/>
                <w:spacing w:val="11"/>
                <w:sz w:val="21"/>
                <w:szCs w:val="21"/>
              </w:rPr>
              <w:t>目、不属于高污染、高能耗</w:t>
            </w:r>
            <w:r>
              <w:rPr>
                <w:rFonts w:hint="default" w:ascii="Times New Roman" w:hAnsi="Times New Roman" w:cs="Times New Roman" w:eastAsiaTheme="majorEastAsia"/>
                <w:color w:val="auto"/>
                <w:spacing w:val="2"/>
                <w:sz w:val="21"/>
                <w:szCs w:val="21"/>
              </w:rPr>
              <w:t>产业。</w:t>
            </w:r>
          </w:p>
        </w:tc>
        <w:tc>
          <w:tcPr>
            <w:tcW w:w="855" w:type="dxa"/>
            <w:vAlign w:val="center"/>
          </w:tcPr>
          <w:p w14:paraId="2C923D87">
            <w:pPr>
              <w:pStyle w:val="27"/>
              <w:keepNext w:val="0"/>
              <w:keepLines w:val="0"/>
              <w:pageBreakBefore w:val="0"/>
              <w:widowControl/>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pacing w:val="3"/>
                <w:sz w:val="21"/>
                <w:szCs w:val="21"/>
              </w:rPr>
              <w:t>符合</w:t>
            </w:r>
          </w:p>
        </w:tc>
      </w:tr>
      <w:tr w14:paraId="7BD9F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4823" w:type="dxa"/>
            <w:vAlign w:val="center"/>
          </w:tcPr>
          <w:p w14:paraId="4ACD7FA3">
            <w:pPr>
              <w:pStyle w:val="27"/>
              <w:keepNext w:val="0"/>
              <w:keepLines w:val="0"/>
              <w:pageBreakBefore w:val="0"/>
              <w:widowControl/>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pacing w:val="5"/>
                <w:sz w:val="21"/>
                <w:szCs w:val="21"/>
              </w:rPr>
              <w:t>（二）推动落后产能退出。推动能耗、环保、质</w:t>
            </w:r>
            <w:r>
              <w:rPr>
                <w:rFonts w:hint="default" w:ascii="Times New Roman" w:hAnsi="Times New Roman" w:cs="Times New Roman" w:eastAsiaTheme="majorEastAsia"/>
                <w:color w:val="auto"/>
                <w:spacing w:val="6"/>
                <w:sz w:val="21"/>
                <w:szCs w:val="21"/>
              </w:rPr>
              <w:t>量、安全、技术达不到标准和生产不合格产品或淘汰类产能依法依规关停退出。不予审批限制类新建项目，按照国家要求对属于限制类的现有生</w:t>
            </w:r>
            <w:r>
              <w:rPr>
                <w:rFonts w:hint="default" w:ascii="Times New Roman" w:hAnsi="Times New Roman" w:cs="Times New Roman" w:eastAsiaTheme="majorEastAsia"/>
                <w:color w:val="auto"/>
                <w:spacing w:val="8"/>
                <w:sz w:val="21"/>
                <w:szCs w:val="21"/>
              </w:rPr>
              <w:t>产能力进行升级改造。</w:t>
            </w:r>
          </w:p>
        </w:tc>
        <w:tc>
          <w:tcPr>
            <w:tcW w:w="2848" w:type="dxa"/>
            <w:vAlign w:val="center"/>
          </w:tcPr>
          <w:p w14:paraId="06DAEFF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pacing w:val="6"/>
                <w:sz w:val="21"/>
                <w:szCs w:val="21"/>
              </w:rPr>
              <w:t>项目为</w:t>
            </w:r>
            <w:r>
              <w:rPr>
                <w:rFonts w:hint="eastAsia" w:ascii="Times New Roman" w:hAnsi="Times New Roman" w:cs="Times New Roman" w:eastAsiaTheme="majorEastAsia"/>
                <w:color w:val="auto"/>
                <w:spacing w:val="3"/>
                <w:sz w:val="21"/>
                <w:szCs w:val="21"/>
                <w:lang w:val="en-US" w:eastAsia="zh-CN"/>
              </w:rPr>
              <w:t>装卸搬运仓储业和铁路专用线建设项目</w:t>
            </w:r>
            <w:r>
              <w:rPr>
                <w:rFonts w:hint="default" w:ascii="Times New Roman" w:hAnsi="Times New Roman" w:cs="Times New Roman" w:eastAsiaTheme="majorEastAsia"/>
                <w:color w:val="auto"/>
                <w:spacing w:val="6"/>
                <w:sz w:val="21"/>
                <w:szCs w:val="21"/>
              </w:rPr>
              <w:t>，不</w:t>
            </w:r>
            <w:r>
              <w:rPr>
                <w:rFonts w:hint="default" w:ascii="Times New Roman" w:hAnsi="Times New Roman" w:cs="Times New Roman" w:eastAsiaTheme="majorEastAsia"/>
                <w:color w:val="auto"/>
                <w:spacing w:val="22"/>
                <w:sz w:val="21"/>
                <w:szCs w:val="21"/>
              </w:rPr>
              <w:t>属于《产业结构调整指导目录</w:t>
            </w:r>
            <w:r>
              <w:rPr>
                <w:rFonts w:hint="default" w:ascii="Times New Roman" w:hAnsi="Times New Roman" w:cs="Times New Roman" w:eastAsiaTheme="majorEastAsia"/>
                <w:color w:val="auto"/>
                <w:spacing w:val="5"/>
                <w:sz w:val="21"/>
                <w:szCs w:val="21"/>
              </w:rPr>
              <w:t>（2024年本）》中的限制类和淘</w:t>
            </w:r>
            <w:r>
              <w:rPr>
                <w:rFonts w:hint="default" w:ascii="Times New Roman" w:hAnsi="Times New Roman" w:cs="Times New Roman" w:eastAsiaTheme="majorEastAsia"/>
                <w:color w:val="auto"/>
                <w:spacing w:val="6"/>
                <w:sz w:val="21"/>
                <w:szCs w:val="21"/>
              </w:rPr>
              <w:t>汰类，为鼓励类，项目不属于落后产能、过剩产能。不违背该条</w:t>
            </w:r>
            <w:r>
              <w:rPr>
                <w:rFonts w:hint="default" w:ascii="Times New Roman" w:hAnsi="Times New Roman" w:cs="Times New Roman" w:eastAsiaTheme="majorEastAsia"/>
                <w:color w:val="auto"/>
                <w:spacing w:val="5"/>
                <w:sz w:val="21"/>
                <w:szCs w:val="21"/>
              </w:rPr>
              <w:t>管控要求。</w:t>
            </w:r>
          </w:p>
        </w:tc>
        <w:tc>
          <w:tcPr>
            <w:tcW w:w="855" w:type="dxa"/>
            <w:vAlign w:val="center"/>
          </w:tcPr>
          <w:p w14:paraId="1241FE1C">
            <w:pPr>
              <w:pStyle w:val="27"/>
              <w:keepNext w:val="0"/>
              <w:keepLines w:val="0"/>
              <w:pageBreakBefore w:val="0"/>
              <w:widowControl/>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pacing w:val="3"/>
                <w:sz w:val="21"/>
                <w:szCs w:val="21"/>
              </w:rPr>
              <w:t>符合</w:t>
            </w:r>
          </w:p>
        </w:tc>
      </w:tr>
    </w:tbl>
    <w:p w14:paraId="4BE59261">
      <w:pPr>
        <w:pStyle w:val="9"/>
        <w:spacing w:before="116" w:line="360" w:lineRule="auto"/>
        <w:ind w:left="124" w:right="112" w:firstLine="480"/>
        <w:rPr>
          <w:color w:val="auto"/>
          <w:spacing w:val="-6"/>
        </w:rPr>
      </w:pPr>
      <w:r>
        <w:rPr>
          <w:color w:val="auto"/>
          <w:spacing w:val="-3"/>
        </w:rPr>
        <w:t>综上所述，本项目符合《云南省空气质量持续改善行动实</w:t>
      </w:r>
      <w:r>
        <w:rPr>
          <w:color w:val="auto"/>
          <w:spacing w:val="-4"/>
        </w:rPr>
        <w:t>施方案》的相关要</w:t>
      </w:r>
      <w:r>
        <w:rPr>
          <w:color w:val="auto"/>
          <w:spacing w:val="-6"/>
        </w:rPr>
        <w:t>求。</w:t>
      </w:r>
    </w:p>
    <w:p w14:paraId="26C804AA">
      <w:pPr>
        <w:pStyle w:val="9"/>
        <w:keepNext w:val="0"/>
        <w:keepLines w:val="0"/>
        <w:pageBreakBefore w:val="0"/>
        <w:wordWrap/>
        <w:overflowPunct/>
        <w:topLinePunct w:val="0"/>
        <w:bidi w:val="0"/>
        <w:adjustRightInd/>
        <w:snapToGrid/>
        <w:spacing w:line="360" w:lineRule="auto"/>
        <w:ind w:left="0" w:right="0" w:firstLine="474" w:firstLineChars="200"/>
        <w:outlineLvl w:val="4"/>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10、与《云南省地下水管理办法》的符合性分析</w:t>
      </w:r>
    </w:p>
    <w:p w14:paraId="5EF4FA8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本项目与《云南省地下水管理办法》相关要求的符合性见下表：</w:t>
      </w:r>
    </w:p>
    <w:p w14:paraId="7E7FE8EF">
      <w:pPr>
        <w:pStyle w:val="9"/>
        <w:keepNext w:val="0"/>
        <w:keepLines w:val="0"/>
        <w:pageBreakBefore w:val="0"/>
        <w:widowControl/>
        <w:kinsoku w:val="0"/>
        <w:wordWrap/>
        <w:overflowPunct/>
        <w:topLinePunct w:val="0"/>
        <w:autoSpaceDE w:val="0"/>
        <w:autoSpaceDN w:val="0"/>
        <w:bidi w:val="0"/>
        <w:adjustRightInd/>
        <w:snapToGrid/>
        <w:spacing w:line="360" w:lineRule="auto"/>
        <w:ind w:left="176"/>
        <w:jc w:val="center"/>
        <w:textAlignment w:val="baseline"/>
        <w:rPr>
          <w:rFonts w:hint="default" w:ascii="Times New Roman" w:hAnsi="Times New Roman" w:cs="Times New Roman"/>
          <w:b/>
          <w:bCs/>
          <w:color w:val="auto"/>
          <w:spacing w:val="-2"/>
          <w:lang w:val="en-US" w:eastAsia="zh-CN"/>
        </w:rPr>
      </w:pPr>
      <w:r>
        <w:rPr>
          <w:rFonts w:hint="default" w:ascii="Times New Roman" w:hAnsi="Times New Roman" w:cs="Times New Roman"/>
          <w:b/>
          <w:bCs/>
          <w:color w:val="auto"/>
          <w:spacing w:val="-2"/>
          <w:lang w:val="en-US" w:eastAsia="zh-CN"/>
        </w:rPr>
        <w:t>表6与《云南省地下水管理办法》相关要求的符合性分析</w:t>
      </w:r>
    </w:p>
    <w:tbl>
      <w:tblPr>
        <w:tblStyle w:val="26"/>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23"/>
        <w:gridCol w:w="2848"/>
        <w:gridCol w:w="855"/>
      </w:tblGrid>
      <w:tr w14:paraId="32CA7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823" w:type="dxa"/>
            <w:vAlign w:val="top"/>
          </w:tcPr>
          <w:p w14:paraId="755A562B">
            <w:pPr>
              <w:pStyle w:val="27"/>
              <w:spacing w:before="97" w:line="223" w:lineRule="auto"/>
              <w:ind w:left="1865"/>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b/>
                <w:bCs/>
                <w:color w:val="auto"/>
                <w:spacing w:val="6"/>
                <w:sz w:val="21"/>
                <w:szCs w:val="21"/>
              </w:rPr>
              <w:t>相关内容</w:t>
            </w:r>
          </w:p>
        </w:tc>
        <w:tc>
          <w:tcPr>
            <w:tcW w:w="2848" w:type="dxa"/>
            <w:vAlign w:val="top"/>
          </w:tcPr>
          <w:p w14:paraId="7D519B4B">
            <w:pPr>
              <w:pStyle w:val="27"/>
              <w:spacing w:before="97" w:line="223" w:lineRule="auto"/>
              <w:ind w:left="1035"/>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b/>
                <w:bCs/>
                <w:color w:val="auto"/>
                <w:spacing w:val="6"/>
                <w:sz w:val="21"/>
                <w:szCs w:val="21"/>
              </w:rPr>
              <w:t>本项目情况</w:t>
            </w:r>
          </w:p>
        </w:tc>
        <w:tc>
          <w:tcPr>
            <w:tcW w:w="855" w:type="dxa"/>
            <w:vAlign w:val="top"/>
          </w:tcPr>
          <w:p w14:paraId="35772CA5">
            <w:pPr>
              <w:pStyle w:val="27"/>
              <w:spacing w:before="97" w:line="223" w:lineRule="auto"/>
              <w:ind w:left="119"/>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b/>
                <w:bCs/>
                <w:color w:val="auto"/>
                <w:spacing w:val="5"/>
                <w:sz w:val="21"/>
                <w:szCs w:val="21"/>
              </w:rPr>
              <w:t>符合性</w:t>
            </w:r>
          </w:p>
        </w:tc>
      </w:tr>
      <w:tr w14:paraId="4A98B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823" w:type="dxa"/>
            <w:vAlign w:val="center"/>
          </w:tcPr>
          <w:p w14:paraId="6F6F04C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eastAsiaTheme="majorEastAsia"/>
                <w:color w:val="auto"/>
                <w:spacing w:val="4"/>
                <w:sz w:val="21"/>
                <w:szCs w:val="21"/>
              </w:rPr>
            </w:pPr>
            <w:r>
              <w:rPr>
                <w:rFonts w:hint="default" w:ascii="Times New Roman" w:hAnsi="Times New Roman" w:cs="Times New Roman" w:eastAsiaTheme="majorEastAsia"/>
                <w:color w:val="auto"/>
                <w:spacing w:val="4"/>
                <w:sz w:val="21"/>
                <w:szCs w:val="21"/>
              </w:rPr>
              <w:t>第三十条禁止下列污染或者可能污染地下水的行为：</w:t>
            </w:r>
          </w:p>
          <w:p w14:paraId="0816160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eastAsiaTheme="majorEastAsia"/>
                <w:color w:val="auto"/>
                <w:spacing w:val="4"/>
                <w:sz w:val="21"/>
                <w:szCs w:val="21"/>
              </w:rPr>
            </w:pPr>
            <w:r>
              <w:rPr>
                <w:rFonts w:hint="default" w:ascii="Times New Roman" w:hAnsi="Times New Roman" w:cs="Times New Roman" w:eastAsiaTheme="majorEastAsia"/>
                <w:color w:val="auto"/>
                <w:spacing w:val="4"/>
                <w:sz w:val="21"/>
                <w:szCs w:val="21"/>
              </w:rPr>
              <w:t>（一）利用渗井、渗坑、裂隙、溶洞以及私设暗管等逃避监管的方式排放水污染物：</w:t>
            </w:r>
          </w:p>
          <w:p w14:paraId="198DCF4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eastAsiaTheme="majorEastAsia"/>
                <w:color w:val="auto"/>
                <w:spacing w:val="4"/>
                <w:sz w:val="21"/>
                <w:szCs w:val="21"/>
              </w:rPr>
            </w:pPr>
            <w:r>
              <w:rPr>
                <w:rFonts w:hint="default" w:ascii="Times New Roman" w:hAnsi="Times New Roman" w:cs="Times New Roman" w:eastAsiaTheme="majorEastAsia"/>
                <w:color w:val="auto"/>
                <w:spacing w:val="4"/>
                <w:sz w:val="21"/>
                <w:szCs w:val="21"/>
              </w:rPr>
              <w:t>（二）利用岩层孔隙、裂隙、溶洞、废弃矿坑等贮存石化原料及产品、农药、危险废物、城镇污水处理设施产生的污泥和处理后的污泥或者其他有</w:t>
            </w:r>
          </w:p>
          <w:p w14:paraId="2DFB270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eastAsiaTheme="majorEastAsia"/>
                <w:color w:val="auto"/>
                <w:spacing w:val="4"/>
                <w:sz w:val="21"/>
                <w:szCs w:val="21"/>
              </w:rPr>
            </w:pPr>
            <w:r>
              <w:rPr>
                <w:rFonts w:hint="default" w:ascii="Times New Roman" w:hAnsi="Times New Roman" w:cs="Times New Roman" w:eastAsiaTheme="majorEastAsia"/>
                <w:color w:val="auto"/>
                <w:spacing w:val="4"/>
                <w:sz w:val="21"/>
                <w:szCs w:val="21"/>
              </w:rPr>
              <w:t>毒有害物质；</w:t>
            </w:r>
          </w:p>
          <w:p w14:paraId="256C7AF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eastAsiaTheme="majorEastAsia"/>
                <w:color w:val="auto"/>
                <w:spacing w:val="4"/>
                <w:sz w:val="21"/>
                <w:szCs w:val="21"/>
              </w:rPr>
            </w:pPr>
            <w:r>
              <w:rPr>
                <w:rFonts w:hint="default" w:ascii="Times New Roman" w:hAnsi="Times New Roman" w:cs="Times New Roman" w:eastAsiaTheme="majorEastAsia"/>
                <w:color w:val="auto"/>
                <w:spacing w:val="4"/>
                <w:sz w:val="21"/>
                <w:szCs w:val="21"/>
              </w:rPr>
              <w:t>（三）利用无防渗漏措施的沟渠、坑塘等输送或者贮存含有毒污染物的废水、含病原体的污水和其他废弃物：</w:t>
            </w:r>
          </w:p>
          <w:p w14:paraId="1BD920B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pacing w:val="4"/>
                <w:sz w:val="21"/>
                <w:szCs w:val="21"/>
              </w:rPr>
              <w:t>（四）法律、法规禁止的其他污染或者可能污染地下水的行为。</w:t>
            </w:r>
          </w:p>
        </w:tc>
        <w:tc>
          <w:tcPr>
            <w:tcW w:w="2848" w:type="dxa"/>
            <w:vAlign w:val="center"/>
          </w:tcPr>
          <w:p w14:paraId="149901B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1、本项目</w:t>
            </w:r>
            <w:r>
              <w:rPr>
                <w:rFonts w:hint="default" w:ascii="Times New Roman" w:hAnsi="Times New Roman" w:eastAsia="宋体" w:cs="Times New Roman"/>
                <w:color w:val="auto"/>
                <w:kern w:val="0"/>
                <w:sz w:val="21"/>
                <w:szCs w:val="21"/>
                <w:lang w:val="en-US" w:eastAsia="zh-CN"/>
              </w:rPr>
              <w:t>初期雨水经收集处理后回用于项目绿化、洒水降尘，回用不完的由曲煤焦化内部清运至铁路卸煤区洒水降尘。生活废水排入化粪池处理后委托</w:t>
            </w:r>
            <w:r>
              <w:rPr>
                <w:rFonts w:hint="default" w:ascii="Times New Roman" w:hAnsi="Times New Roman" w:cs="Times New Roman"/>
                <w:color w:val="auto"/>
                <w:kern w:val="0"/>
                <w:sz w:val="21"/>
                <w:szCs w:val="21"/>
                <w:lang w:val="en-US" w:eastAsia="zh-CN"/>
              </w:rPr>
              <w:t>环卫部门清运处置，本项目废水不外排</w:t>
            </w:r>
            <w:r>
              <w:rPr>
                <w:rFonts w:hint="default" w:ascii="Times New Roman" w:hAnsi="Times New Roman" w:eastAsia="宋体" w:cs="Times New Roman"/>
                <w:color w:val="auto"/>
                <w:kern w:val="0"/>
                <w:sz w:val="21"/>
                <w:szCs w:val="21"/>
                <w:lang w:val="en-US" w:eastAsia="zh-CN"/>
              </w:rPr>
              <w:t>。</w:t>
            </w:r>
          </w:p>
          <w:p w14:paraId="4A106F0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2、项目产生的废机油</w:t>
            </w:r>
            <w:r>
              <w:rPr>
                <w:rFonts w:hint="eastAsia" w:ascii="Times New Roman" w:hAnsi="Times New Roman" w:cs="Times New Roman" w:eastAsiaTheme="majorEastAsia"/>
                <w:color w:val="auto"/>
                <w:sz w:val="21"/>
                <w:szCs w:val="21"/>
                <w:lang w:val="en-US" w:eastAsia="zh-CN"/>
              </w:rPr>
              <w:t>由</w:t>
            </w:r>
            <w:r>
              <w:rPr>
                <w:rFonts w:hint="default" w:ascii="Times New Roman" w:hAnsi="Times New Roman" w:cs="Times New Roman" w:eastAsiaTheme="majorEastAsia"/>
                <w:color w:val="auto"/>
                <w:sz w:val="21"/>
                <w:szCs w:val="21"/>
              </w:rPr>
              <w:t>危废暂存间进行暂存后委托有资质的单位清运处置</w:t>
            </w:r>
          </w:p>
          <w:p w14:paraId="06BCA21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3、本项目采取分区防渗措施，采取了地下水污染防控措施。企业实施过程中不存在法律法规禁止的污染地下水行为。</w:t>
            </w:r>
          </w:p>
        </w:tc>
        <w:tc>
          <w:tcPr>
            <w:tcW w:w="855" w:type="dxa"/>
            <w:vAlign w:val="center"/>
          </w:tcPr>
          <w:p w14:paraId="7A9D0D83">
            <w:pPr>
              <w:pStyle w:val="27"/>
              <w:keepNext w:val="0"/>
              <w:keepLines w:val="0"/>
              <w:pageBreakBefore w:val="0"/>
              <w:widowControl/>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cs="Times New Roman" w:eastAsiaTheme="majorEastAsia"/>
                <w:color w:val="auto"/>
                <w:sz w:val="21"/>
                <w:szCs w:val="21"/>
                <w:lang w:val="en-US" w:eastAsia="zh-CN"/>
              </w:rPr>
            </w:pPr>
            <w:r>
              <w:rPr>
                <w:rFonts w:hint="eastAsia" w:ascii="Times New Roman" w:hAnsi="Times New Roman" w:cs="Times New Roman" w:eastAsiaTheme="majorEastAsia"/>
                <w:color w:val="auto"/>
                <w:sz w:val="21"/>
                <w:szCs w:val="21"/>
                <w:lang w:val="en-US" w:eastAsia="zh-CN"/>
              </w:rPr>
              <w:t>符合</w:t>
            </w:r>
          </w:p>
        </w:tc>
      </w:tr>
      <w:tr w14:paraId="71408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4823" w:type="dxa"/>
            <w:vAlign w:val="center"/>
          </w:tcPr>
          <w:p w14:paraId="2CF1B89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第三十一条企业事业单位和其他生产经营者应当采取下列措施，防止地下水污染：</w:t>
            </w:r>
          </w:p>
          <w:p w14:paraId="2B732D9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（二）化学品生产企业以及工业集聚区、矿山开采区、尾矿库、危险废物处置场、垃圾填埋场等的运营、管理单位，应当采取防渗漏等措施，建设地下水水质监测井，按照有关标准和技术规范进行监测：</w:t>
            </w:r>
          </w:p>
          <w:p w14:paraId="7FBB1E0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（四）存放可溶性剧毒废渣的场所，应当采取防水、防渗漏、防流失的措施;</w:t>
            </w:r>
          </w:p>
          <w:p w14:paraId="6917638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（五）法律、法规规定应当采取的其他防止地下水污染的措施。</w:t>
            </w:r>
          </w:p>
        </w:tc>
        <w:tc>
          <w:tcPr>
            <w:tcW w:w="2848" w:type="dxa"/>
            <w:vAlign w:val="center"/>
          </w:tcPr>
          <w:p w14:paraId="2D256B1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1、本项目不涉及地下工程和设</w:t>
            </w:r>
          </w:p>
          <w:p w14:paraId="7F3213C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施，不涉及地下勘探、采矿等活动。</w:t>
            </w:r>
          </w:p>
          <w:p w14:paraId="00F6679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default" w:ascii="Times New Roman" w:hAnsi="Times New Roman" w:cs="Times New Roman" w:eastAsiaTheme="majorEastAsia"/>
                <w:color w:val="auto"/>
                <w:sz w:val="21"/>
                <w:szCs w:val="21"/>
              </w:rPr>
              <w:t>2、本项目对地下水污染的防治按照</w:t>
            </w:r>
            <w:r>
              <w:rPr>
                <w:rFonts w:hint="eastAsia" w:ascii="Times New Roman" w:hAnsi="Times New Roman" w:cs="Times New Roman" w:eastAsiaTheme="majorEastAsia"/>
                <w:color w:val="auto"/>
                <w:sz w:val="21"/>
                <w:szCs w:val="21"/>
                <w:lang w:eastAsia="zh-CN"/>
              </w:rPr>
              <w:t>“</w:t>
            </w:r>
            <w:r>
              <w:rPr>
                <w:rFonts w:hint="default" w:ascii="Times New Roman" w:hAnsi="Times New Roman" w:cs="Times New Roman" w:eastAsiaTheme="majorEastAsia"/>
                <w:color w:val="auto"/>
                <w:sz w:val="21"/>
                <w:szCs w:val="21"/>
              </w:rPr>
              <w:t>源头控制，分区防治、污染监控、应急响应</w:t>
            </w:r>
            <w:r>
              <w:rPr>
                <w:rFonts w:hint="eastAsia" w:ascii="Times New Roman" w:hAnsi="Times New Roman" w:cs="Times New Roman" w:eastAsiaTheme="majorEastAsia"/>
                <w:color w:val="auto"/>
                <w:sz w:val="21"/>
                <w:szCs w:val="21"/>
                <w:lang w:eastAsia="zh-CN"/>
              </w:rPr>
              <w:t>”</w:t>
            </w:r>
            <w:r>
              <w:rPr>
                <w:rFonts w:hint="default" w:ascii="Times New Roman" w:hAnsi="Times New Roman" w:cs="Times New Roman" w:eastAsiaTheme="majorEastAsia"/>
                <w:color w:val="auto"/>
                <w:sz w:val="21"/>
                <w:szCs w:val="21"/>
              </w:rPr>
              <w:t>的原则，对项目区域采取分区防渗等措施：同时在厂区设置了</w:t>
            </w:r>
            <w:r>
              <w:rPr>
                <w:rFonts w:hint="eastAsia" w:ascii="Times New Roman" w:hAnsi="Times New Roman" w:cs="Times New Roman" w:eastAsiaTheme="majorEastAsia"/>
                <w:color w:val="auto"/>
                <w:sz w:val="21"/>
                <w:szCs w:val="21"/>
                <w:lang w:val="en-US" w:eastAsia="zh-CN"/>
              </w:rPr>
              <w:t>1</w:t>
            </w:r>
            <w:r>
              <w:rPr>
                <w:rFonts w:hint="default" w:ascii="Times New Roman" w:hAnsi="Times New Roman" w:cs="Times New Roman" w:eastAsiaTheme="majorEastAsia"/>
                <w:color w:val="auto"/>
                <w:sz w:val="21"/>
                <w:szCs w:val="21"/>
              </w:rPr>
              <w:t>口地下水跟踪监测井，对地下水水质情况进行跟踪监测。</w:t>
            </w:r>
          </w:p>
        </w:tc>
        <w:tc>
          <w:tcPr>
            <w:tcW w:w="855" w:type="dxa"/>
            <w:vAlign w:val="center"/>
          </w:tcPr>
          <w:p w14:paraId="52753F8E">
            <w:pPr>
              <w:pStyle w:val="27"/>
              <w:keepNext w:val="0"/>
              <w:keepLines w:val="0"/>
              <w:pageBreakBefore w:val="0"/>
              <w:widowControl/>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ajorEastAsia"/>
                <w:color w:val="auto"/>
                <w:sz w:val="21"/>
                <w:szCs w:val="21"/>
              </w:rPr>
            </w:pPr>
            <w:r>
              <w:rPr>
                <w:rFonts w:hint="eastAsia" w:ascii="Times New Roman" w:hAnsi="Times New Roman" w:cs="Times New Roman" w:eastAsiaTheme="majorEastAsia"/>
                <w:color w:val="auto"/>
                <w:sz w:val="21"/>
                <w:szCs w:val="21"/>
                <w:lang w:val="en-US" w:eastAsia="zh-CN"/>
              </w:rPr>
              <w:t>符合</w:t>
            </w:r>
          </w:p>
        </w:tc>
      </w:tr>
    </w:tbl>
    <w:p w14:paraId="721590B3">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2"/>
        <w:rPr>
          <w:color w:val="auto"/>
          <w:sz w:val="28"/>
          <w:szCs w:val="28"/>
        </w:rPr>
      </w:pPr>
      <w:bookmarkStart w:id="38" w:name="_Toc7105"/>
      <w:r>
        <w:rPr>
          <w:rFonts w:hint="eastAsia" w:ascii="Times New Roman" w:hAnsi="Times New Roman" w:eastAsia="宋体" w:cs="Times New Roman"/>
          <w:b/>
          <w:bCs/>
          <w:color w:val="auto"/>
          <w:spacing w:val="-2"/>
          <w:sz w:val="28"/>
          <w:szCs w:val="28"/>
          <w:lang w:val="en-US" w:eastAsia="zh-CN"/>
        </w:rPr>
        <w:t>（五）</w:t>
      </w:r>
      <w:r>
        <w:rPr>
          <w:b/>
          <w:bCs/>
          <w:color w:val="auto"/>
          <w:spacing w:val="-2"/>
          <w:sz w:val="28"/>
          <w:szCs w:val="28"/>
        </w:rPr>
        <w:t>与铁路相关政策符合性分析</w:t>
      </w:r>
      <w:bookmarkEnd w:id="38"/>
    </w:p>
    <w:p w14:paraId="66EAE51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4"/>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1、与《铁路安全管理条例》的符合性分析</w:t>
      </w:r>
    </w:p>
    <w:p w14:paraId="3CCC737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cs="Times New Roman"/>
          <w:color w:val="auto"/>
          <w:spacing w:val="0"/>
          <w:sz w:val="24"/>
          <w:szCs w:val="24"/>
          <w:lang w:val="en-US" w:eastAsia="zh-CN"/>
        </w:rPr>
      </w:pPr>
      <w:r>
        <w:rPr>
          <w:rFonts w:hint="eastAsia" w:ascii="Times New Roman" w:hAnsi="Times New Roman" w:cs="Times New Roman"/>
          <w:color w:val="auto"/>
          <w:spacing w:val="0"/>
          <w:sz w:val="24"/>
          <w:szCs w:val="24"/>
          <w:lang w:val="en-US" w:eastAsia="zh-CN"/>
        </w:rPr>
        <w:t>《铁路安全管理条例》（中华人民共和国国务院令第639号，自2014年1月1日起施行），项目与相关条例的符合性分析详见下表6。</w:t>
      </w:r>
    </w:p>
    <w:p w14:paraId="0E08CA3A">
      <w:pPr>
        <w:pStyle w:val="9"/>
        <w:keepNext w:val="0"/>
        <w:keepLines w:val="0"/>
        <w:pageBreakBefore w:val="0"/>
        <w:widowControl/>
        <w:kinsoku/>
        <w:wordWrap/>
        <w:overflowPunct/>
        <w:topLinePunct w:val="0"/>
        <w:autoSpaceDE w:val="0"/>
        <w:autoSpaceDN w:val="0"/>
        <w:bidi w:val="0"/>
        <w:adjustRightInd w:val="0"/>
        <w:snapToGrid w:val="0"/>
        <w:spacing w:line="219" w:lineRule="auto"/>
        <w:ind w:left="0"/>
        <w:jc w:val="center"/>
        <w:textAlignment w:val="baseline"/>
        <w:rPr>
          <w:color w:val="auto"/>
        </w:rPr>
      </w:pPr>
      <w:r>
        <w:rPr>
          <w:b/>
          <w:bCs/>
          <w:color w:val="auto"/>
          <w:spacing w:val="-2"/>
        </w:rPr>
        <w:t>表</w:t>
      </w:r>
      <w:r>
        <w:rPr>
          <w:color w:val="auto"/>
          <w:spacing w:val="-42"/>
        </w:rPr>
        <w:t xml:space="preserve"> </w:t>
      </w:r>
      <w:r>
        <w:rPr>
          <w:rFonts w:hint="eastAsia" w:ascii="Times New Roman" w:hAnsi="Times New Roman" w:eastAsia="宋体" w:cs="Times New Roman"/>
          <w:b/>
          <w:bCs/>
          <w:color w:val="auto"/>
          <w:spacing w:val="-2"/>
          <w:lang w:val="en-US" w:eastAsia="zh-CN"/>
        </w:rPr>
        <w:t>7</w:t>
      </w:r>
      <w:r>
        <w:rPr>
          <w:rFonts w:ascii="Times New Roman" w:hAnsi="Times New Roman" w:eastAsia="Times New Roman" w:cs="Times New Roman"/>
          <w:b/>
          <w:bCs/>
          <w:color w:val="auto"/>
          <w:spacing w:val="-2"/>
        </w:rPr>
        <w:t xml:space="preserve"> </w:t>
      </w:r>
      <w:r>
        <w:rPr>
          <w:b/>
          <w:bCs/>
          <w:color w:val="auto"/>
          <w:spacing w:val="-2"/>
        </w:rPr>
        <w:t>项目与《铁路安全管理条例》的符合性分析</w:t>
      </w:r>
    </w:p>
    <w:tbl>
      <w:tblPr>
        <w:tblStyle w:val="26"/>
        <w:tblW w:w="85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7"/>
        <w:gridCol w:w="4876"/>
        <w:gridCol w:w="2066"/>
        <w:gridCol w:w="924"/>
      </w:tblGrid>
      <w:tr w14:paraId="11C0A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657" w:type="dxa"/>
            <w:vAlign w:val="center"/>
          </w:tcPr>
          <w:p w14:paraId="20FD684C">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b/>
                <w:bCs/>
                <w:color w:val="auto"/>
                <w:spacing w:val="3"/>
                <w:sz w:val="21"/>
                <w:szCs w:val="21"/>
              </w:rPr>
              <w:t>编号</w:t>
            </w:r>
          </w:p>
        </w:tc>
        <w:tc>
          <w:tcPr>
            <w:tcW w:w="4876" w:type="dxa"/>
            <w:vAlign w:val="center"/>
          </w:tcPr>
          <w:p w14:paraId="3D060F30">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b/>
                <w:bCs/>
                <w:color w:val="auto"/>
                <w:spacing w:val="6"/>
                <w:sz w:val="21"/>
                <w:szCs w:val="21"/>
              </w:rPr>
              <w:t>相关内容</w:t>
            </w:r>
          </w:p>
        </w:tc>
        <w:tc>
          <w:tcPr>
            <w:tcW w:w="2066" w:type="dxa"/>
            <w:vAlign w:val="center"/>
          </w:tcPr>
          <w:p w14:paraId="332C6855">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b/>
                <w:bCs/>
                <w:color w:val="auto"/>
                <w:spacing w:val="6"/>
                <w:sz w:val="21"/>
                <w:szCs w:val="21"/>
              </w:rPr>
              <w:t>本项目情况</w:t>
            </w:r>
          </w:p>
        </w:tc>
        <w:tc>
          <w:tcPr>
            <w:tcW w:w="924" w:type="dxa"/>
            <w:vAlign w:val="center"/>
          </w:tcPr>
          <w:p w14:paraId="128C344E">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b/>
                <w:bCs/>
                <w:color w:val="auto"/>
                <w:spacing w:val="5"/>
                <w:sz w:val="21"/>
                <w:szCs w:val="21"/>
              </w:rPr>
              <w:t>符合性</w:t>
            </w:r>
          </w:p>
        </w:tc>
      </w:tr>
      <w:tr w14:paraId="30980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4" w:hRule="atLeast"/>
        </w:trPr>
        <w:tc>
          <w:tcPr>
            <w:tcW w:w="657" w:type="dxa"/>
            <w:vAlign w:val="center"/>
          </w:tcPr>
          <w:p w14:paraId="0E495F93">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1</w:t>
            </w:r>
          </w:p>
        </w:tc>
        <w:tc>
          <w:tcPr>
            <w:tcW w:w="4876" w:type="dxa"/>
            <w:vAlign w:val="center"/>
          </w:tcPr>
          <w:p w14:paraId="21B1D03F">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6"/>
                <w:sz w:val="21"/>
                <w:szCs w:val="21"/>
              </w:rPr>
              <w:t>第五条 从事铁路建设、运输、设备制造维修的单位</w:t>
            </w:r>
            <w:r>
              <w:rPr>
                <w:color w:val="auto"/>
                <w:spacing w:val="9"/>
                <w:sz w:val="21"/>
                <w:szCs w:val="21"/>
              </w:rPr>
              <w:t>应当加强安全管理，建立健全安全生产管理制度，落实企业安全生产主体责任，设置安全管理机构或者配备安全管理人员，执行保障生产安全和产品质量安全的国家标准、行业标准，加强对从业人员的安全教育培训，保证安全生产所必需的资金投入。</w:t>
            </w:r>
          </w:p>
        </w:tc>
        <w:tc>
          <w:tcPr>
            <w:tcW w:w="2066" w:type="dxa"/>
            <w:vAlign w:val="center"/>
          </w:tcPr>
          <w:p w14:paraId="747DCE7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26"/>
              <w:jc w:val="center"/>
              <w:textAlignment w:val="baseline"/>
              <w:rPr>
                <w:color w:val="auto"/>
                <w:sz w:val="21"/>
                <w:szCs w:val="21"/>
              </w:rPr>
            </w:pPr>
            <w:r>
              <w:rPr>
                <w:rFonts w:hint="eastAsia"/>
                <w:color w:val="auto"/>
                <w:spacing w:val="5"/>
                <w:sz w:val="21"/>
                <w:szCs w:val="21"/>
              </w:rPr>
              <w:t>曲煤焦化</w:t>
            </w:r>
            <w:r>
              <w:rPr>
                <w:color w:val="auto"/>
                <w:spacing w:val="8"/>
                <w:sz w:val="21"/>
                <w:szCs w:val="21"/>
              </w:rPr>
              <w:t>设置专门的安全管理</w:t>
            </w:r>
            <w:r>
              <w:rPr>
                <w:color w:val="auto"/>
                <w:spacing w:val="4"/>
                <w:sz w:val="21"/>
                <w:szCs w:val="21"/>
              </w:rPr>
              <w:t>人员，建立健全安全生产管理制度，同时</w:t>
            </w:r>
            <w:r>
              <w:rPr>
                <w:color w:val="auto"/>
                <w:spacing w:val="8"/>
                <w:sz w:val="21"/>
                <w:szCs w:val="21"/>
              </w:rPr>
              <w:t>对人员进行培训安</w:t>
            </w:r>
            <w:r>
              <w:rPr>
                <w:color w:val="auto"/>
                <w:spacing w:val="5"/>
                <w:sz w:val="21"/>
                <w:szCs w:val="21"/>
              </w:rPr>
              <w:t>全教育。</w:t>
            </w:r>
          </w:p>
        </w:tc>
        <w:tc>
          <w:tcPr>
            <w:tcW w:w="924" w:type="dxa"/>
            <w:vAlign w:val="center"/>
          </w:tcPr>
          <w:p w14:paraId="4544F1A6">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3"/>
                <w:sz w:val="21"/>
                <w:szCs w:val="21"/>
              </w:rPr>
              <w:t>符合</w:t>
            </w:r>
          </w:p>
        </w:tc>
      </w:tr>
      <w:tr w14:paraId="77EAF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0" w:hRule="atLeast"/>
        </w:trPr>
        <w:tc>
          <w:tcPr>
            <w:tcW w:w="657" w:type="dxa"/>
            <w:vAlign w:val="center"/>
          </w:tcPr>
          <w:p w14:paraId="22ED4F44">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2</w:t>
            </w:r>
          </w:p>
        </w:tc>
        <w:tc>
          <w:tcPr>
            <w:tcW w:w="4876" w:type="dxa"/>
            <w:vAlign w:val="center"/>
          </w:tcPr>
          <w:p w14:paraId="53BB05FF">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9"/>
                <w:sz w:val="21"/>
                <w:szCs w:val="21"/>
              </w:rPr>
              <w:t>第二十七条 铁路线路两侧应当设立铁路线路安全保护区。铁路线路安全保护区的范围，从铁路线路路堤坡脚、路堑坡顶或者铁路桥梁（含铁路、道路</w:t>
            </w:r>
            <w:r>
              <w:rPr>
                <w:color w:val="auto"/>
                <w:spacing w:val="10"/>
                <w:sz w:val="21"/>
                <w:szCs w:val="21"/>
              </w:rPr>
              <w:t>两用桥）外侧起向外的距离分别为</w:t>
            </w:r>
            <w:r>
              <w:rPr>
                <w:color w:val="auto"/>
                <w:spacing w:val="3"/>
                <w:sz w:val="21"/>
                <w:szCs w:val="21"/>
              </w:rPr>
              <w:t>：（</w:t>
            </w:r>
            <w:r>
              <w:rPr>
                <w:color w:val="auto"/>
                <w:spacing w:val="10"/>
                <w:sz w:val="21"/>
                <w:szCs w:val="21"/>
              </w:rPr>
              <w:t>一）城市市</w:t>
            </w:r>
            <w:r>
              <w:rPr>
                <w:color w:val="auto"/>
                <w:spacing w:val="8"/>
                <w:sz w:val="21"/>
                <w:szCs w:val="21"/>
              </w:rPr>
              <w:t>区高速铁路为</w:t>
            </w:r>
            <w:r>
              <w:rPr>
                <w:rFonts w:ascii="Times New Roman" w:hAnsi="Times New Roman" w:eastAsia="Times New Roman" w:cs="Times New Roman"/>
                <w:color w:val="auto"/>
                <w:spacing w:val="8"/>
                <w:sz w:val="21"/>
                <w:szCs w:val="21"/>
              </w:rPr>
              <w:t>10</w:t>
            </w:r>
            <w:r>
              <w:rPr>
                <w:color w:val="auto"/>
                <w:spacing w:val="8"/>
                <w:sz w:val="21"/>
                <w:szCs w:val="21"/>
              </w:rPr>
              <w:t>米，其他铁路为</w:t>
            </w:r>
            <w:r>
              <w:rPr>
                <w:rFonts w:ascii="Times New Roman" w:hAnsi="Times New Roman" w:eastAsia="Times New Roman" w:cs="Times New Roman"/>
                <w:color w:val="auto"/>
                <w:spacing w:val="8"/>
                <w:sz w:val="21"/>
                <w:szCs w:val="21"/>
              </w:rPr>
              <w:t>8</w:t>
            </w:r>
            <w:r>
              <w:rPr>
                <w:color w:val="auto"/>
                <w:spacing w:val="8"/>
                <w:sz w:val="21"/>
                <w:szCs w:val="21"/>
              </w:rPr>
              <w:t>米</w:t>
            </w:r>
            <w:r>
              <w:rPr>
                <w:color w:val="auto"/>
                <w:spacing w:val="-12"/>
                <w:sz w:val="21"/>
                <w:szCs w:val="21"/>
              </w:rPr>
              <w:t>；（</w:t>
            </w:r>
            <w:r>
              <w:rPr>
                <w:color w:val="auto"/>
                <w:spacing w:val="8"/>
                <w:sz w:val="21"/>
                <w:szCs w:val="21"/>
              </w:rPr>
              <w:t>二）城市郊区居民居住区高速铁路为</w:t>
            </w:r>
            <w:r>
              <w:rPr>
                <w:rFonts w:ascii="Times New Roman" w:hAnsi="Times New Roman" w:eastAsia="Times New Roman" w:cs="Times New Roman"/>
                <w:color w:val="auto"/>
                <w:spacing w:val="8"/>
                <w:sz w:val="21"/>
                <w:szCs w:val="21"/>
              </w:rPr>
              <w:t>12</w:t>
            </w:r>
            <w:r>
              <w:rPr>
                <w:color w:val="auto"/>
                <w:spacing w:val="8"/>
                <w:sz w:val="21"/>
                <w:szCs w:val="21"/>
              </w:rPr>
              <w:t>米，其他铁路为</w:t>
            </w:r>
            <w:r>
              <w:rPr>
                <w:rFonts w:ascii="Times New Roman" w:hAnsi="Times New Roman" w:eastAsia="Times New Roman" w:cs="Times New Roman"/>
                <w:color w:val="auto"/>
                <w:spacing w:val="8"/>
                <w:sz w:val="21"/>
                <w:szCs w:val="21"/>
              </w:rPr>
              <w:t>10</w:t>
            </w:r>
            <w:r>
              <w:rPr>
                <w:color w:val="auto"/>
                <w:spacing w:val="8"/>
                <w:sz w:val="21"/>
                <w:szCs w:val="21"/>
              </w:rPr>
              <w:t>米；</w:t>
            </w:r>
          </w:p>
          <w:p w14:paraId="3613D7C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8"/>
              <w:jc w:val="center"/>
              <w:textAlignment w:val="baseline"/>
              <w:rPr>
                <w:color w:val="auto"/>
                <w:sz w:val="21"/>
                <w:szCs w:val="21"/>
              </w:rPr>
            </w:pPr>
            <w:r>
              <w:rPr>
                <w:color w:val="auto"/>
                <w:spacing w:val="8"/>
                <w:sz w:val="21"/>
                <w:szCs w:val="21"/>
              </w:rPr>
              <w:t>（三）村镇居民居住区高速铁路为</w:t>
            </w:r>
            <w:r>
              <w:rPr>
                <w:rFonts w:ascii="Times New Roman" w:hAnsi="Times New Roman" w:eastAsia="Times New Roman" w:cs="Times New Roman"/>
                <w:color w:val="auto"/>
                <w:spacing w:val="8"/>
                <w:sz w:val="21"/>
                <w:szCs w:val="21"/>
              </w:rPr>
              <w:t>15</w:t>
            </w:r>
            <w:r>
              <w:rPr>
                <w:color w:val="auto"/>
                <w:spacing w:val="8"/>
                <w:sz w:val="21"/>
                <w:szCs w:val="21"/>
              </w:rPr>
              <w:t>米，其他铁路</w:t>
            </w:r>
            <w:r>
              <w:rPr>
                <w:color w:val="auto"/>
                <w:spacing w:val="10"/>
                <w:sz w:val="21"/>
                <w:szCs w:val="21"/>
              </w:rPr>
              <w:t>为</w:t>
            </w:r>
            <w:r>
              <w:rPr>
                <w:rFonts w:ascii="Times New Roman" w:hAnsi="Times New Roman" w:eastAsia="Times New Roman" w:cs="Times New Roman"/>
                <w:color w:val="auto"/>
                <w:spacing w:val="10"/>
                <w:sz w:val="21"/>
                <w:szCs w:val="21"/>
              </w:rPr>
              <w:t>12</w:t>
            </w:r>
            <w:r>
              <w:rPr>
                <w:color w:val="auto"/>
                <w:spacing w:val="10"/>
                <w:sz w:val="21"/>
                <w:szCs w:val="21"/>
              </w:rPr>
              <w:t>米</w:t>
            </w:r>
            <w:r>
              <w:rPr>
                <w:color w:val="auto"/>
                <w:spacing w:val="-6"/>
                <w:sz w:val="21"/>
                <w:szCs w:val="21"/>
              </w:rPr>
              <w:t>；（</w:t>
            </w:r>
            <w:r>
              <w:rPr>
                <w:color w:val="auto"/>
                <w:spacing w:val="10"/>
                <w:sz w:val="21"/>
                <w:szCs w:val="21"/>
              </w:rPr>
              <w:t>四）其他地区高速铁路为</w:t>
            </w:r>
            <w:r>
              <w:rPr>
                <w:rFonts w:ascii="Times New Roman" w:hAnsi="Times New Roman" w:eastAsia="Times New Roman" w:cs="Times New Roman"/>
                <w:color w:val="auto"/>
                <w:spacing w:val="10"/>
                <w:sz w:val="21"/>
                <w:szCs w:val="21"/>
              </w:rPr>
              <w:t>20</w:t>
            </w:r>
            <w:r>
              <w:rPr>
                <w:color w:val="auto"/>
                <w:spacing w:val="10"/>
                <w:sz w:val="21"/>
                <w:szCs w:val="21"/>
              </w:rPr>
              <w:t>米，其他铁</w:t>
            </w:r>
            <w:r>
              <w:rPr>
                <w:color w:val="auto"/>
                <w:spacing w:val="5"/>
                <w:sz w:val="21"/>
                <w:szCs w:val="21"/>
              </w:rPr>
              <w:t>路为</w:t>
            </w:r>
            <w:r>
              <w:rPr>
                <w:rFonts w:ascii="Times New Roman" w:hAnsi="Times New Roman" w:eastAsia="Times New Roman" w:cs="Times New Roman"/>
                <w:color w:val="auto"/>
                <w:spacing w:val="5"/>
                <w:sz w:val="21"/>
                <w:szCs w:val="21"/>
              </w:rPr>
              <w:t>15</w:t>
            </w:r>
            <w:r>
              <w:rPr>
                <w:color w:val="auto"/>
                <w:spacing w:val="5"/>
                <w:sz w:val="21"/>
                <w:szCs w:val="21"/>
              </w:rPr>
              <w:t>米。</w:t>
            </w:r>
          </w:p>
        </w:tc>
        <w:tc>
          <w:tcPr>
            <w:tcW w:w="2066" w:type="dxa"/>
            <w:vAlign w:val="center"/>
          </w:tcPr>
          <w:p w14:paraId="209FE38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5"/>
              <w:jc w:val="center"/>
              <w:textAlignment w:val="baseline"/>
              <w:rPr>
                <w:color w:val="auto"/>
                <w:sz w:val="21"/>
                <w:szCs w:val="21"/>
              </w:rPr>
            </w:pPr>
            <w:r>
              <w:rPr>
                <w:color w:val="auto"/>
                <w:spacing w:val="8"/>
                <w:sz w:val="21"/>
                <w:szCs w:val="21"/>
              </w:rPr>
              <w:t>项目</w:t>
            </w:r>
            <w:r>
              <w:rPr>
                <w:rFonts w:hint="eastAsia"/>
                <w:color w:val="auto"/>
                <w:spacing w:val="8"/>
                <w:sz w:val="21"/>
                <w:szCs w:val="21"/>
                <w:lang w:val="en-US" w:eastAsia="zh-CN"/>
              </w:rPr>
              <w:t>铁路</w:t>
            </w:r>
            <w:r>
              <w:rPr>
                <w:color w:val="auto"/>
                <w:spacing w:val="8"/>
                <w:sz w:val="21"/>
                <w:szCs w:val="21"/>
              </w:rPr>
              <w:t>专用线位于</w:t>
            </w:r>
            <w:r>
              <w:rPr>
                <w:rFonts w:hint="eastAsia"/>
                <w:color w:val="auto"/>
                <w:spacing w:val="8"/>
                <w:sz w:val="21"/>
                <w:szCs w:val="21"/>
                <w:lang w:val="en-US" w:eastAsia="zh-CN"/>
              </w:rPr>
              <w:t>工业园区，由企业自用</w:t>
            </w:r>
            <w:r>
              <w:rPr>
                <w:color w:val="auto"/>
                <w:spacing w:val="4"/>
                <w:sz w:val="21"/>
                <w:szCs w:val="21"/>
              </w:rPr>
              <w:t>，铁</w:t>
            </w:r>
            <w:r>
              <w:rPr>
                <w:color w:val="auto"/>
                <w:spacing w:val="8"/>
                <w:sz w:val="21"/>
                <w:szCs w:val="21"/>
              </w:rPr>
              <w:t>路线路安全保护区为线路路堤坡脚外</w:t>
            </w:r>
            <w:r>
              <w:rPr>
                <w:color w:val="auto"/>
                <w:spacing w:val="3"/>
                <w:sz w:val="21"/>
                <w:szCs w:val="21"/>
              </w:rPr>
              <w:t>侧起向外</w:t>
            </w:r>
            <w:r>
              <w:rPr>
                <w:rFonts w:hint="eastAsia" w:ascii="Times New Roman" w:hAnsi="Times New Roman" w:eastAsia="宋体" w:cs="Times New Roman"/>
                <w:color w:val="auto"/>
                <w:spacing w:val="3"/>
                <w:sz w:val="21"/>
                <w:szCs w:val="21"/>
                <w:lang w:val="en-US" w:eastAsia="zh-CN"/>
              </w:rPr>
              <w:t>15</w:t>
            </w:r>
            <w:r>
              <w:rPr>
                <w:color w:val="auto"/>
                <w:spacing w:val="3"/>
                <w:sz w:val="21"/>
                <w:szCs w:val="21"/>
              </w:rPr>
              <w:t>米。</w:t>
            </w:r>
          </w:p>
        </w:tc>
        <w:tc>
          <w:tcPr>
            <w:tcW w:w="924" w:type="dxa"/>
            <w:vAlign w:val="center"/>
          </w:tcPr>
          <w:p w14:paraId="42A050BF">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3"/>
                <w:sz w:val="21"/>
                <w:szCs w:val="21"/>
              </w:rPr>
              <w:t>符合</w:t>
            </w:r>
          </w:p>
        </w:tc>
      </w:tr>
      <w:tr w14:paraId="2A95C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657" w:type="dxa"/>
            <w:vAlign w:val="center"/>
          </w:tcPr>
          <w:p w14:paraId="25D8B674">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3</w:t>
            </w:r>
          </w:p>
        </w:tc>
        <w:tc>
          <w:tcPr>
            <w:tcW w:w="4876" w:type="dxa"/>
            <w:vAlign w:val="center"/>
          </w:tcPr>
          <w:p w14:paraId="1AB66E59">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6"/>
                <w:sz w:val="21"/>
                <w:szCs w:val="21"/>
              </w:rPr>
              <w:t>第二十九条 禁止在铁路线路安全保护区内烧荒、放</w:t>
            </w:r>
            <w:r>
              <w:rPr>
                <w:color w:val="auto"/>
                <w:spacing w:val="9"/>
                <w:sz w:val="21"/>
                <w:szCs w:val="21"/>
              </w:rPr>
              <w:t>养牲畜、种植影响铁路线路安全和行车瞭望的树木等植物。禁止向铁路线路安全保护区排污、倾倒垃</w:t>
            </w:r>
            <w:r>
              <w:rPr>
                <w:color w:val="auto"/>
                <w:spacing w:val="8"/>
                <w:sz w:val="21"/>
                <w:szCs w:val="21"/>
              </w:rPr>
              <w:t>圾以及其他危害铁路安全的物质。</w:t>
            </w:r>
          </w:p>
        </w:tc>
        <w:tc>
          <w:tcPr>
            <w:tcW w:w="2066" w:type="dxa"/>
            <w:vAlign w:val="center"/>
          </w:tcPr>
          <w:p w14:paraId="78C82143">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8"/>
                <w:sz w:val="21"/>
                <w:szCs w:val="21"/>
              </w:rPr>
              <w:t>项目运营期加强管</w:t>
            </w:r>
            <w:r>
              <w:rPr>
                <w:color w:val="auto"/>
                <w:spacing w:val="4"/>
                <w:sz w:val="21"/>
                <w:szCs w:val="21"/>
              </w:rPr>
              <w:t>理，禁止上述行为。</w:t>
            </w:r>
          </w:p>
        </w:tc>
        <w:tc>
          <w:tcPr>
            <w:tcW w:w="924" w:type="dxa"/>
            <w:vAlign w:val="center"/>
          </w:tcPr>
          <w:p w14:paraId="1CC12D76">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3"/>
                <w:sz w:val="21"/>
                <w:szCs w:val="21"/>
              </w:rPr>
              <w:t>符合</w:t>
            </w:r>
          </w:p>
        </w:tc>
      </w:tr>
      <w:tr w14:paraId="55373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2" w:hRule="atLeast"/>
        </w:trPr>
        <w:tc>
          <w:tcPr>
            <w:tcW w:w="657" w:type="dxa"/>
            <w:vAlign w:val="center"/>
          </w:tcPr>
          <w:p w14:paraId="67EA605B">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4</w:t>
            </w:r>
          </w:p>
        </w:tc>
        <w:tc>
          <w:tcPr>
            <w:tcW w:w="4876" w:type="dxa"/>
            <w:vAlign w:val="center"/>
          </w:tcPr>
          <w:p w14:paraId="6DE6D24C">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9"/>
                <w:sz w:val="21"/>
                <w:szCs w:val="21"/>
              </w:rPr>
              <w:t>第三十条规定 在铁路线路安全保护区内建造建筑物、构筑物等设施，取土、挖砂、挖沟、采空作业或者堆放、悬挂物品，应当征得铁路运输企业同意并签订安全协议，遵守保证铁路安全的国家标准、行业标准和施工安全规范，采取措施防止影响铁路运输安全。铁路运输企业应当派员对施工现场实行</w:t>
            </w:r>
            <w:r>
              <w:rPr>
                <w:color w:val="auto"/>
                <w:spacing w:val="5"/>
                <w:sz w:val="21"/>
                <w:szCs w:val="21"/>
              </w:rPr>
              <w:t>安全监督。</w:t>
            </w:r>
          </w:p>
        </w:tc>
        <w:tc>
          <w:tcPr>
            <w:tcW w:w="2066" w:type="dxa"/>
            <w:vAlign w:val="center"/>
          </w:tcPr>
          <w:p w14:paraId="2E9B4DF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4"/>
              <w:jc w:val="center"/>
              <w:textAlignment w:val="baseline"/>
              <w:rPr>
                <w:color w:val="auto"/>
                <w:sz w:val="21"/>
                <w:szCs w:val="21"/>
              </w:rPr>
            </w:pPr>
            <w:r>
              <w:rPr>
                <w:color w:val="auto"/>
                <w:spacing w:val="7"/>
                <w:sz w:val="21"/>
                <w:szCs w:val="21"/>
              </w:rPr>
              <w:t>项目铁路专用</w:t>
            </w:r>
            <w:r>
              <w:rPr>
                <w:color w:val="auto"/>
                <w:spacing w:val="8"/>
                <w:sz w:val="21"/>
                <w:szCs w:val="21"/>
              </w:rPr>
              <w:t>线建设不在沪昆线</w:t>
            </w:r>
            <w:r>
              <w:rPr>
                <w:color w:val="auto"/>
                <w:spacing w:val="4"/>
                <w:sz w:val="21"/>
                <w:szCs w:val="21"/>
              </w:rPr>
              <w:t>安全保护区内，且项</w:t>
            </w:r>
            <w:r>
              <w:rPr>
                <w:color w:val="auto"/>
                <w:spacing w:val="8"/>
                <w:sz w:val="21"/>
                <w:szCs w:val="21"/>
              </w:rPr>
              <w:t>目不涉及挖砂、挖</w:t>
            </w:r>
            <w:r>
              <w:rPr>
                <w:color w:val="auto"/>
                <w:spacing w:val="7"/>
                <w:sz w:val="21"/>
                <w:szCs w:val="21"/>
              </w:rPr>
              <w:t>沟、采空等作业。</w:t>
            </w:r>
          </w:p>
        </w:tc>
        <w:tc>
          <w:tcPr>
            <w:tcW w:w="924" w:type="dxa"/>
            <w:vAlign w:val="center"/>
          </w:tcPr>
          <w:p w14:paraId="711F74EB">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3"/>
                <w:sz w:val="21"/>
                <w:szCs w:val="21"/>
              </w:rPr>
              <w:t>符合</w:t>
            </w:r>
          </w:p>
        </w:tc>
      </w:tr>
      <w:tr w14:paraId="5F41C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657" w:type="dxa"/>
            <w:vAlign w:val="center"/>
          </w:tcPr>
          <w:p w14:paraId="73ABD9E7">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5</w:t>
            </w:r>
          </w:p>
        </w:tc>
        <w:tc>
          <w:tcPr>
            <w:tcW w:w="4876" w:type="dxa"/>
            <w:vAlign w:val="center"/>
          </w:tcPr>
          <w:p w14:paraId="2473CE1F">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6"/>
                <w:sz w:val="21"/>
                <w:szCs w:val="21"/>
              </w:rPr>
              <w:t>第四十五条 架设、铺设铁路信号和通信线路、杆塔</w:t>
            </w:r>
            <w:r>
              <w:rPr>
                <w:color w:val="auto"/>
                <w:spacing w:val="5"/>
                <w:sz w:val="21"/>
                <w:szCs w:val="21"/>
              </w:rPr>
              <w:t>应当符合国家标准、行业标准和铁路安全防护要求。</w:t>
            </w:r>
            <w:r>
              <w:rPr>
                <w:color w:val="auto"/>
                <w:spacing w:val="9"/>
                <w:sz w:val="21"/>
                <w:szCs w:val="21"/>
              </w:rPr>
              <w:t>铁路运输企业、为铁路运输提供服务的电信企业应</w:t>
            </w:r>
            <w:r>
              <w:rPr>
                <w:color w:val="auto"/>
                <w:spacing w:val="5"/>
                <w:sz w:val="21"/>
                <w:szCs w:val="21"/>
              </w:rPr>
              <w:t>当加强对铁路信号和通信线路、杆塔的维护和管理。</w:t>
            </w:r>
          </w:p>
        </w:tc>
        <w:tc>
          <w:tcPr>
            <w:tcW w:w="2066" w:type="dxa"/>
            <w:vAlign w:val="center"/>
          </w:tcPr>
          <w:p w14:paraId="2B6225A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2"/>
              <w:jc w:val="center"/>
              <w:textAlignment w:val="baseline"/>
              <w:rPr>
                <w:color w:val="auto"/>
                <w:sz w:val="21"/>
                <w:szCs w:val="21"/>
              </w:rPr>
            </w:pPr>
            <w:r>
              <w:rPr>
                <w:color w:val="auto"/>
                <w:spacing w:val="4"/>
                <w:sz w:val="21"/>
                <w:szCs w:val="21"/>
              </w:rPr>
              <w:t>项目</w:t>
            </w:r>
            <w:r>
              <w:rPr>
                <w:rFonts w:hint="eastAsia"/>
                <w:color w:val="auto"/>
                <w:spacing w:val="4"/>
                <w:sz w:val="21"/>
                <w:szCs w:val="21"/>
                <w:lang w:val="en-US" w:eastAsia="zh-CN"/>
              </w:rPr>
              <w:t>不涉及</w:t>
            </w:r>
            <w:r>
              <w:rPr>
                <w:color w:val="auto"/>
                <w:spacing w:val="4"/>
                <w:sz w:val="21"/>
                <w:szCs w:val="21"/>
              </w:rPr>
              <w:t>架设、铺设铁</w:t>
            </w:r>
            <w:r>
              <w:rPr>
                <w:color w:val="auto"/>
                <w:spacing w:val="5"/>
                <w:sz w:val="21"/>
                <w:szCs w:val="21"/>
              </w:rPr>
              <w:t>路信号和通信线路、</w:t>
            </w:r>
            <w:r>
              <w:rPr>
                <w:color w:val="auto"/>
                <w:spacing w:val="8"/>
                <w:sz w:val="21"/>
                <w:szCs w:val="21"/>
              </w:rPr>
              <w:t>杆塔</w:t>
            </w:r>
            <w:r>
              <w:rPr>
                <w:color w:val="auto"/>
                <w:spacing w:val="5"/>
                <w:sz w:val="21"/>
                <w:szCs w:val="21"/>
              </w:rPr>
              <w:t>等。</w:t>
            </w:r>
          </w:p>
        </w:tc>
        <w:tc>
          <w:tcPr>
            <w:tcW w:w="924" w:type="dxa"/>
            <w:vAlign w:val="center"/>
          </w:tcPr>
          <w:p w14:paraId="207A3C68">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3"/>
                <w:sz w:val="21"/>
                <w:szCs w:val="21"/>
              </w:rPr>
              <w:t>符合</w:t>
            </w:r>
          </w:p>
        </w:tc>
      </w:tr>
      <w:tr w14:paraId="2D751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4" w:hRule="atLeast"/>
        </w:trPr>
        <w:tc>
          <w:tcPr>
            <w:tcW w:w="657" w:type="dxa"/>
            <w:vAlign w:val="center"/>
          </w:tcPr>
          <w:p w14:paraId="00E691BC">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6</w:t>
            </w:r>
          </w:p>
        </w:tc>
        <w:tc>
          <w:tcPr>
            <w:tcW w:w="4876" w:type="dxa"/>
            <w:vAlign w:val="center"/>
          </w:tcPr>
          <w:p w14:paraId="7A181E5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1"/>
              <w:jc w:val="center"/>
              <w:textAlignment w:val="baseline"/>
              <w:rPr>
                <w:color w:val="auto"/>
                <w:sz w:val="21"/>
                <w:szCs w:val="21"/>
              </w:rPr>
            </w:pPr>
            <w:r>
              <w:rPr>
                <w:color w:val="auto"/>
                <w:spacing w:val="9"/>
                <w:sz w:val="21"/>
                <w:szCs w:val="21"/>
              </w:rPr>
              <w:t>第四十七条 铁路与道路交叉的无人看守道口应当按照国家标准设置警示标志；有人看守道口应当设置移动栏杆、列车接近报警装置、警示灯、警示标志、铁路道口路段标线等安全防护设施。</w:t>
            </w:r>
          </w:p>
          <w:p w14:paraId="68129533">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9"/>
                <w:sz w:val="21"/>
                <w:szCs w:val="21"/>
              </w:rPr>
              <w:t>道口移动栏杆、列车接近报警装置、警示灯等安全防护设施由铁路运输企业设置、维护；警示标志、铁路道口路段标线由铁路道口所在地的道路管理部</w:t>
            </w:r>
            <w:r>
              <w:rPr>
                <w:color w:val="auto"/>
                <w:spacing w:val="7"/>
                <w:sz w:val="21"/>
                <w:szCs w:val="21"/>
              </w:rPr>
              <w:t>门设置、维护。</w:t>
            </w:r>
          </w:p>
        </w:tc>
        <w:tc>
          <w:tcPr>
            <w:tcW w:w="2066" w:type="dxa"/>
            <w:vAlign w:val="center"/>
          </w:tcPr>
          <w:p w14:paraId="04CFCF7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5"/>
              <w:jc w:val="center"/>
              <w:textAlignment w:val="baseline"/>
              <w:rPr>
                <w:color w:val="auto"/>
                <w:sz w:val="21"/>
                <w:szCs w:val="21"/>
              </w:rPr>
            </w:pPr>
            <w:r>
              <w:rPr>
                <w:color w:val="auto"/>
                <w:spacing w:val="8"/>
                <w:sz w:val="21"/>
                <w:szCs w:val="21"/>
              </w:rPr>
              <w:t>项目铁路专用线建</w:t>
            </w:r>
            <w:r>
              <w:rPr>
                <w:color w:val="auto"/>
                <w:spacing w:val="4"/>
                <w:sz w:val="21"/>
                <w:szCs w:val="21"/>
              </w:rPr>
              <w:t>成后，将按照相关要</w:t>
            </w:r>
            <w:r>
              <w:rPr>
                <w:color w:val="auto"/>
                <w:spacing w:val="8"/>
                <w:sz w:val="21"/>
                <w:szCs w:val="21"/>
              </w:rPr>
              <w:t>求设置警示标志并</w:t>
            </w:r>
            <w:r>
              <w:rPr>
                <w:color w:val="auto"/>
                <w:spacing w:val="6"/>
                <w:sz w:val="21"/>
                <w:szCs w:val="21"/>
              </w:rPr>
              <w:t>进行维护。</w:t>
            </w:r>
          </w:p>
        </w:tc>
        <w:tc>
          <w:tcPr>
            <w:tcW w:w="924" w:type="dxa"/>
            <w:vAlign w:val="center"/>
          </w:tcPr>
          <w:p w14:paraId="7AF3602D">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1"/>
                <w:szCs w:val="21"/>
              </w:rPr>
            </w:pPr>
            <w:r>
              <w:rPr>
                <w:color w:val="auto"/>
                <w:spacing w:val="3"/>
                <w:sz w:val="21"/>
                <w:szCs w:val="21"/>
              </w:rPr>
              <w:t>符合</w:t>
            </w:r>
          </w:p>
        </w:tc>
      </w:tr>
    </w:tbl>
    <w:p w14:paraId="2C7F0374">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综上，项目符合《铁路安全管理条例》中的相关要求。</w:t>
      </w:r>
    </w:p>
    <w:p w14:paraId="4E122606">
      <w:pPr>
        <w:spacing w:before="125" w:line="227" w:lineRule="auto"/>
        <w:ind w:left="19"/>
        <w:outlineLvl w:val="1"/>
        <w:rPr>
          <w:rFonts w:hint="default" w:ascii="Times New Roman" w:hAnsi="Times New Roman" w:eastAsia="宋体" w:cs="Times New Roman"/>
          <w:color w:val="auto"/>
          <w:sz w:val="31"/>
          <w:szCs w:val="31"/>
        </w:rPr>
      </w:pPr>
      <w:bookmarkStart w:id="39" w:name="_Toc16974"/>
      <w:bookmarkStart w:id="40" w:name="_Toc13279"/>
      <w:bookmarkStart w:id="41" w:name="_Toc8444"/>
      <w:r>
        <w:rPr>
          <w:rFonts w:hint="eastAsia" w:ascii="Times New Roman" w:hAnsi="Times New Roman" w:eastAsia="宋体" w:cs="Times New Roman"/>
          <w:b/>
          <w:bCs/>
          <w:color w:val="auto"/>
          <w:spacing w:val="5"/>
          <w:sz w:val="31"/>
          <w:szCs w:val="31"/>
          <w:lang w:val="en-US" w:eastAsia="zh-CN"/>
        </w:rPr>
        <w:t>四、</w:t>
      </w:r>
      <w:r>
        <w:rPr>
          <w:rFonts w:hint="default" w:ascii="Times New Roman" w:hAnsi="Times New Roman" w:eastAsia="宋体" w:cs="Times New Roman"/>
          <w:b/>
          <w:bCs/>
          <w:color w:val="auto"/>
          <w:spacing w:val="5"/>
          <w:sz w:val="31"/>
          <w:szCs w:val="31"/>
        </w:rPr>
        <w:t>关注的主要环境问题及环境影响</w:t>
      </w:r>
      <w:bookmarkEnd w:id="39"/>
      <w:bookmarkEnd w:id="40"/>
      <w:bookmarkEnd w:id="41"/>
    </w:p>
    <w:p w14:paraId="1BDF6D80">
      <w:pPr>
        <w:pStyle w:val="9"/>
        <w:spacing w:line="344" w:lineRule="auto"/>
        <w:rPr>
          <w:rFonts w:hint="default" w:ascii="Times New Roman" w:hAnsi="Times New Roman" w:cs="Times New Roman"/>
          <w:color w:val="auto"/>
        </w:rPr>
      </w:pPr>
    </w:p>
    <w:p w14:paraId="61E0ED8F">
      <w:pPr>
        <w:keepNext w:val="0"/>
        <w:keepLines w:val="0"/>
        <w:pageBreakBefore w:val="0"/>
        <w:widowControl/>
        <w:kinsoku/>
        <w:wordWrap/>
        <w:overflowPunct/>
        <w:topLinePunct w:val="0"/>
        <w:autoSpaceDE w:val="0"/>
        <w:autoSpaceDN w:val="0"/>
        <w:bidi w:val="0"/>
        <w:adjustRightInd/>
        <w:snapToGrid/>
        <w:spacing w:line="360" w:lineRule="auto"/>
        <w:ind w:left="0" w:firstLine="460" w:firstLineChars="200"/>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本项目</w:t>
      </w:r>
      <w:r>
        <w:rPr>
          <w:rFonts w:hint="eastAsia" w:ascii="Times New Roman" w:hAnsi="Times New Roman" w:eastAsia="宋体" w:cs="Times New Roman"/>
          <w:color w:val="auto"/>
          <w:spacing w:val="-5"/>
          <w:sz w:val="24"/>
          <w:szCs w:val="24"/>
          <w:lang w:val="en-US" w:eastAsia="zh-CN"/>
        </w:rPr>
        <w:t>环境影响主要是</w:t>
      </w:r>
      <w:r>
        <w:rPr>
          <w:rFonts w:hint="default" w:ascii="Times New Roman" w:hAnsi="Times New Roman" w:eastAsia="宋体" w:cs="Times New Roman"/>
          <w:color w:val="auto"/>
          <w:spacing w:val="-5"/>
          <w:sz w:val="24"/>
          <w:szCs w:val="24"/>
        </w:rPr>
        <w:t>铁路专用线</w:t>
      </w:r>
      <w:r>
        <w:rPr>
          <w:rFonts w:hint="eastAsia" w:ascii="Times New Roman" w:hAnsi="Times New Roman" w:eastAsia="宋体" w:cs="Times New Roman"/>
          <w:color w:val="auto"/>
          <w:spacing w:val="-5"/>
          <w:sz w:val="24"/>
          <w:szCs w:val="24"/>
          <w:lang w:val="en-US" w:eastAsia="zh-CN"/>
        </w:rPr>
        <w:t>的建设和运行</w:t>
      </w:r>
      <w:r>
        <w:rPr>
          <w:rFonts w:hint="default" w:ascii="Times New Roman" w:hAnsi="Times New Roman" w:eastAsia="宋体" w:cs="Times New Roman"/>
          <w:color w:val="auto"/>
          <w:spacing w:val="-5"/>
          <w:sz w:val="24"/>
          <w:szCs w:val="24"/>
        </w:rPr>
        <w:t>，根据本项目特点和项目所经地区的自然环境特征，本项目环境影响需要重点关注的主要环境问题包括：</w:t>
      </w:r>
    </w:p>
    <w:p w14:paraId="74131F34">
      <w:pPr>
        <w:keepNext w:val="0"/>
        <w:keepLines w:val="0"/>
        <w:pageBreakBefore w:val="0"/>
        <w:widowControl/>
        <w:kinsoku/>
        <w:wordWrap/>
        <w:overflowPunct/>
        <w:topLinePunct w:val="0"/>
        <w:autoSpaceDE w:val="0"/>
        <w:autoSpaceDN w:val="0"/>
        <w:bidi w:val="0"/>
        <w:adjustRightInd/>
        <w:snapToGrid/>
        <w:spacing w:line="360" w:lineRule="auto"/>
        <w:ind w:left="0" w:firstLine="460" w:firstLineChars="200"/>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（1）项目施工期重点关注施工机械噪声、施工扬尘、施工废水、固体废物、生态破坏及水土流失对周边居民环境、生态环境的影响；</w:t>
      </w:r>
    </w:p>
    <w:p w14:paraId="6840B67C">
      <w:pPr>
        <w:keepNext w:val="0"/>
        <w:keepLines w:val="0"/>
        <w:pageBreakBefore w:val="0"/>
        <w:widowControl/>
        <w:kinsoku/>
        <w:wordWrap/>
        <w:overflowPunct/>
        <w:topLinePunct w:val="0"/>
        <w:autoSpaceDE w:val="0"/>
        <w:autoSpaceDN w:val="0"/>
        <w:bidi w:val="0"/>
        <w:adjustRightInd/>
        <w:snapToGrid/>
        <w:spacing w:line="360" w:lineRule="auto"/>
        <w:ind w:left="0" w:firstLine="460" w:firstLineChars="200"/>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（2）项目营运期重点关注列车行驶产生的噪声、振动对声环境</w:t>
      </w:r>
      <w:r>
        <w:rPr>
          <w:rFonts w:hint="eastAsia" w:ascii="Times New Roman" w:hAnsi="Times New Roman" w:eastAsia="宋体" w:cs="Times New Roman"/>
          <w:color w:val="auto"/>
          <w:spacing w:val="-5"/>
          <w:sz w:val="24"/>
          <w:szCs w:val="24"/>
          <w:lang w:val="en-US" w:eastAsia="zh-CN"/>
        </w:rPr>
        <w:t>保护目标的</w:t>
      </w:r>
      <w:r>
        <w:rPr>
          <w:rFonts w:hint="default" w:ascii="Times New Roman" w:hAnsi="Times New Roman" w:eastAsia="宋体" w:cs="Times New Roman"/>
          <w:color w:val="auto"/>
          <w:spacing w:val="-5"/>
          <w:sz w:val="24"/>
          <w:szCs w:val="24"/>
        </w:rPr>
        <w:t>等振动环境产生的影响；</w:t>
      </w:r>
    </w:p>
    <w:p w14:paraId="209B9E3B">
      <w:pPr>
        <w:keepNext w:val="0"/>
        <w:keepLines w:val="0"/>
        <w:pageBreakBefore w:val="0"/>
        <w:widowControl/>
        <w:kinsoku/>
        <w:wordWrap/>
        <w:overflowPunct/>
        <w:topLinePunct w:val="0"/>
        <w:autoSpaceDE w:val="0"/>
        <w:autoSpaceDN w:val="0"/>
        <w:bidi w:val="0"/>
        <w:adjustRightInd/>
        <w:snapToGrid/>
        <w:spacing w:line="360" w:lineRule="auto"/>
        <w:ind w:left="0" w:firstLine="46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（3）本项目涉及</w:t>
      </w:r>
      <w:r>
        <w:rPr>
          <w:rFonts w:hint="eastAsia" w:ascii="Times New Roman" w:hAnsi="Times New Roman" w:eastAsia="宋体" w:cs="Times New Roman"/>
          <w:color w:val="auto"/>
          <w:spacing w:val="-5"/>
          <w:sz w:val="24"/>
          <w:szCs w:val="24"/>
          <w:lang w:val="en-US" w:eastAsia="zh-CN"/>
        </w:rPr>
        <w:t>水土流失重点防治区</w:t>
      </w:r>
      <w:r>
        <w:rPr>
          <w:rFonts w:hint="default" w:ascii="Times New Roman" w:hAnsi="Times New Roman" w:eastAsia="宋体" w:cs="Times New Roman"/>
          <w:color w:val="auto"/>
          <w:spacing w:val="-5"/>
          <w:sz w:val="24"/>
          <w:szCs w:val="24"/>
        </w:rPr>
        <w:t>，应重点关注工程建设对</w:t>
      </w:r>
      <w:r>
        <w:rPr>
          <w:rFonts w:hint="eastAsia" w:ascii="Times New Roman" w:hAnsi="Times New Roman" w:eastAsia="宋体" w:cs="Times New Roman"/>
          <w:color w:val="auto"/>
          <w:spacing w:val="-5"/>
          <w:sz w:val="24"/>
          <w:szCs w:val="24"/>
          <w:lang w:val="en-US" w:eastAsia="zh-CN"/>
        </w:rPr>
        <w:t>水土流失重点防治</w:t>
      </w:r>
      <w:r>
        <w:rPr>
          <w:rFonts w:hint="default" w:ascii="Times New Roman" w:hAnsi="Times New Roman" w:eastAsia="宋体" w:cs="Times New Roman"/>
          <w:color w:val="auto"/>
          <w:spacing w:val="-5"/>
          <w:sz w:val="24"/>
          <w:szCs w:val="24"/>
        </w:rPr>
        <w:t>环境敏感区的影响分析和减缓措施。</w:t>
      </w:r>
    </w:p>
    <w:p w14:paraId="1BC3A2D9">
      <w:pPr>
        <w:pStyle w:val="9"/>
        <w:spacing w:line="350" w:lineRule="auto"/>
        <w:rPr>
          <w:rFonts w:hint="default" w:ascii="Times New Roman" w:hAnsi="Times New Roman" w:cs="Times New Roman"/>
          <w:color w:val="auto"/>
        </w:rPr>
      </w:pPr>
    </w:p>
    <w:p w14:paraId="493D01BF">
      <w:pPr>
        <w:spacing w:before="101" w:line="225" w:lineRule="auto"/>
        <w:ind w:left="19"/>
        <w:outlineLvl w:val="1"/>
        <w:rPr>
          <w:rFonts w:hint="default" w:ascii="Times New Roman" w:hAnsi="Times New Roman" w:eastAsia="宋体" w:cs="Times New Roman"/>
          <w:color w:val="auto"/>
          <w:sz w:val="31"/>
          <w:szCs w:val="31"/>
        </w:rPr>
      </w:pPr>
      <w:bookmarkStart w:id="42" w:name="_Toc17220"/>
      <w:bookmarkStart w:id="43" w:name="_Toc20892"/>
      <w:bookmarkStart w:id="44" w:name="_Toc892"/>
      <w:r>
        <w:rPr>
          <w:rFonts w:hint="eastAsia" w:ascii="Times New Roman" w:hAnsi="Times New Roman" w:eastAsia="宋体" w:cs="Times New Roman"/>
          <w:b/>
          <w:bCs/>
          <w:color w:val="auto"/>
          <w:spacing w:val="5"/>
          <w:sz w:val="31"/>
          <w:szCs w:val="31"/>
          <w:lang w:val="en-US" w:eastAsia="zh-CN"/>
        </w:rPr>
        <w:t>五、</w:t>
      </w:r>
      <w:r>
        <w:rPr>
          <w:rFonts w:hint="default" w:ascii="Times New Roman" w:hAnsi="Times New Roman" w:eastAsia="宋体" w:cs="Times New Roman"/>
          <w:b/>
          <w:bCs/>
          <w:color w:val="auto"/>
          <w:spacing w:val="5"/>
          <w:sz w:val="31"/>
          <w:szCs w:val="31"/>
        </w:rPr>
        <w:t>环境影响评价的主要结论</w:t>
      </w:r>
      <w:bookmarkEnd w:id="42"/>
      <w:bookmarkEnd w:id="43"/>
      <w:bookmarkEnd w:id="44"/>
    </w:p>
    <w:p w14:paraId="565532DC">
      <w:pPr>
        <w:pStyle w:val="9"/>
        <w:spacing w:line="348" w:lineRule="auto"/>
        <w:rPr>
          <w:rFonts w:hint="default" w:ascii="Times New Roman" w:hAnsi="Times New Roman" w:cs="Times New Roman"/>
          <w:color w:val="auto"/>
        </w:rPr>
      </w:pPr>
    </w:p>
    <w:p w14:paraId="0CD7D074">
      <w:pPr>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项目为</w:t>
      </w:r>
      <w:r>
        <w:rPr>
          <w:rFonts w:hint="default" w:ascii="Times New Roman" w:hAnsi="Times New Roman" w:eastAsia="宋体" w:cs="Times New Roman"/>
          <w:color w:val="auto"/>
          <w:spacing w:val="-3"/>
          <w:sz w:val="24"/>
          <w:szCs w:val="24"/>
          <w:lang w:eastAsia="zh-CN"/>
        </w:rPr>
        <w:t>集装箱堆场</w:t>
      </w:r>
      <w:r>
        <w:rPr>
          <w:rFonts w:hint="eastAsia" w:ascii="Times New Roman" w:hAnsi="Times New Roman" w:eastAsia="宋体" w:cs="Times New Roman"/>
          <w:color w:val="auto"/>
          <w:spacing w:val="-3"/>
          <w:sz w:val="24"/>
          <w:szCs w:val="24"/>
          <w:lang w:val="en-US" w:eastAsia="zh-CN"/>
        </w:rPr>
        <w:t>建设</w:t>
      </w:r>
      <w:r>
        <w:rPr>
          <w:rFonts w:hint="eastAsia" w:ascii="Times New Roman" w:hAnsi="Times New Roman" w:eastAsia="宋体" w:cs="Times New Roman"/>
          <w:color w:val="auto"/>
          <w:spacing w:val="-3"/>
          <w:sz w:val="24"/>
          <w:szCs w:val="24"/>
          <w:lang w:eastAsia="zh-CN"/>
        </w:rPr>
        <w:t>，</w:t>
      </w:r>
      <w:r>
        <w:rPr>
          <w:rFonts w:hint="eastAsia" w:ascii="Times New Roman" w:hAnsi="Times New Roman" w:eastAsia="宋体" w:cs="Times New Roman"/>
          <w:color w:val="auto"/>
          <w:spacing w:val="-3"/>
          <w:sz w:val="24"/>
          <w:szCs w:val="24"/>
          <w:lang w:val="en-US" w:eastAsia="zh-CN"/>
        </w:rPr>
        <w:t>涉及铁路专用线的建设</w:t>
      </w:r>
      <w:r>
        <w:rPr>
          <w:rFonts w:hint="default" w:ascii="Times New Roman" w:hAnsi="Times New Roman" w:eastAsia="宋体" w:cs="Times New Roman"/>
          <w:color w:val="auto"/>
          <w:spacing w:val="-3"/>
          <w:sz w:val="24"/>
          <w:szCs w:val="24"/>
        </w:rPr>
        <w:t>，符合国家的产业政策。项目位于曲靖市高新技术产业开发区花山片区，符合</w:t>
      </w:r>
      <w:r>
        <w:rPr>
          <w:rFonts w:hint="eastAsia" w:ascii="Times New Roman" w:hAnsi="Times New Roman" w:eastAsia="宋体" w:cs="Times New Roman"/>
          <w:color w:val="auto"/>
          <w:spacing w:val="-3"/>
          <w:sz w:val="24"/>
          <w:szCs w:val="24"/>
          <w:lang w:val="en-US" w:eastAsia="zh-CN"/>
        </w:rPr>
        <w:t>相关规划要求，已取得入园证明</w:t>
      </w:r>
      <w:r>
        <w:rPr>
          <w:rFonts w:hint="default" w:ascii="Times New Roman" w:hAnsi="Times New Roman" w:eastAsia="宋体" w:cs="Times New Roman"/>
          <w:color w:val="auto"/>
          <w:spacing w:val="-3"/>
          <w:sz w:val="24"/>
          <w:szCs w:val="24"/>
        </w:rPr>
        <w:t>。</w:t>
      </w:r>
    </w:p>
    <w:p w14:paraId="3B6F11E4">
      <w:pPr>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项目施工和运营期主要带来噪声、振动、地表水、生态、环境空气等环境影响，建设单位在设计、施工及运营阶段必须严格落实本次环评提出的各项生态环境保护与污染防治措施。在全面落实本次环评提出的环保措施情况下，废水、噪声、振动、废气可达标排放，固废处置率100%。项目对周边环境的影响被控制在可接受的水平。</w:t>
      </w:r>
    </w:p>
    <w:p w14:paraId="4801A3DD">
      <w:pPr>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综上所述，本评价认为在严格落实本环评报告中各项污控措施和对策，严格执行环保</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三同时</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制度规定，严格进行环境管理，保证项目内的污染治理设施建设到位并正常运行，污染物达标排放的前提条件下，项目建设符合我国社会、经济、环境保护协调发展方针，符合环境影响评价原则，从环境保护角度看，项目建设是可行的。</w:t>
      </w:r>
    </w:p>
    <w:p w14:paraId="252BA8E6">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z w:val="24"/>
          <w:szCs w:val="24"/>
        </w:rPr>
      </w:pPr>
    </w:p>
    <w:p w14:paraId="7357281F">
      <w:pPr>
        <w:spacing w:before="140" w:line="225" w:lineRule="auto"/>
        <w:ind w:left="3881"/>
        <w:outlineLvl w:val="0"/>
        <w:rPr>
          <w:rFonts w:hint="eastAsia" w:ascii="Times New Roman" w:hAnsi="Times New Roman" w:eastAsia="宋体" w:cs="Times New Roman"/>
          <w:b/>
          <w:bCs/>
          <w:color w:val="auto"/>
          <w:spacing w:val="2"/>
          <w:sz w:val="43"/>
          <w:szCs w:val="43"/>
          <w:lang w:val="en-US" w:eastAsia="zh-CN"/>
        </w:rPr>
        <w:sectPr>
          <w:headerReference r:id="rId7" w:type="default"/>
          <w:footerReference r:id="rId8" w:type="default"/>
          <w:pgSz w:w="11907" w:h="16840"/>
          <w:pgMar w:top="1169" w:right="1579" w:bottom="1242" w:left="1786" w:header="845" w:footer="1026" w:gutter="0"/>
          <w:pgNumType w:fmt="decimal" w:start="1"/>
          <w:cols w:space="720" w:num="1"/>
        </w:sectPr>
      </w:pPr>
      <w:bookmarkStart w:id="45" w:name="_Toc4275"/>
      <w:bookmarkStart w:id="46" w:name="_Toc2215"/>
    </w:p>
    <w:p w14:paraId="1AC02009">
      <w:pPr>
        <w:spacing w:before="140" w:line="225" w:lineRule="auto"/>
        <w:ind w:left="3881"/>
        <w:outlineLvl w:val="0"/>
        <w:rPr>
          <w:rFonts w:hint="default" w:ascii="Times New Roman" w:hAnsi="Times New Roman" w:eastAsia="宋体" w:cs="Times New Roman"/>
          <w:color w:val="auto"/>
          <w:sz w:val="43"/>
          <w:szCs w:val="43"/>
        </w:rPr>
      </w:pPr>
      <w:bookmarkStart w:id="47" w:name="_Toc7010"/>
      <w:r>
        <w:rPr>
          <w:rFonts w:hint="eastAsia" w:ascii="Times New Roman" w:hAnsi="Times New Roman" w:eastAsia="宋体" w:cs="Times New Roman"/>
          <w:b/>
          <w:bCs/>
          <w:color w:val="auto"/>
          <w:spacing w:val="2"/>
          <w:sz w:val="43"/>
          <w:szCs w:val="43"/>
          <w:lang w:val="en-US" w:eastAsia="zh-CN"/>
        </w:rPr>
        <w:t>1</w:t>
      </w:r>
      <w:r>
        <w:rPr>
          <w:rFonts w:hint="default" w:ascii="Times New Roman" w:hAnsi="Times New Roman" w:eastAsia="Times New Roman" w:cs="Times New Roman"/>
          <w:b/>
          <w:bCs/>
          <w:color w:val="auto"/>
          <w:spacing w:val="2"/>
          <w:sz w:val="43"/>
          <w:szCs w:val="43"/>
        </w:rPr>
        <w:t>.</w:t>
      </w:r>
      <w:r>
        <w:rPr>
          <w:rFonts w:hint="default" w:ascii="Times New Roman" w:hAnsi="Times New Roman" w:eastAsia="宋体" w:cs="Times New Roman"/>
          <w:b/>
          <w:bCs/>
          <w:color w:val="auto"/>
          <w:spacing w:val="2"/>
          <w:sz w:val="43"/>
          <w:szCs w:val="43"/>
        </w:rPr>
        <w:t>总则</w:t>
      </w:r>
      <w:bookmarkEnd w:id="45"/>
      <w:bookmarkEnd w:id="46"/>
      <w:bookmarkEnd w:id="47"/>
    </w:p>
    <w:p w14:paraId="42CC0980">
      <w:pPr>
        <w:pStyle w:val="9"/>
        <w:spacing w:line="368" w:lineRule="auto"/>
        <w:rPr>
          <w:rFonts w:hint="default" w:ascii="Times New Roman" w:hAnsi="Times New Roman" w:cs="Times New Roman"/>
          <w:color w:val="auto"/>
        </w:rPr>
      </w:pPr>
    </w:p>
    <w:p w14:paraId="4FFC0515">
      <w:pPr>
        <w:spacing w:before="101" w:line="226" w:lineRule="auto"/>
        <w:ind w:left="6"/>
        <w:outlineLvl w:val="1"/>
        <w:rPr>
          <w:rFonts w:hint="default" w:ascii="Times New Roman" w:hAnsi="Times New Roman" w:eastAsia="宋体" w:cs="Times New Roman"/>
          <w:color w:val="auto"/>
          <w:sz w:val="31"/>
          <w:szCs w:val="31"/>
        </w:rPr>
      </w:pPr>
      <w:bookmarkStart w:id="48" w:name="_Toc31735"/>
      <w:bookmarkStart w:id="49" w:name="_Toc17849"/>
      <w:bookmarkStart w:id="50" w:name="_Toc5011"/>
      <w:r>
        <w:rPr>
          <w:rFonts w:hint="eastAsia" w:ascii="Times New Roman" w:hAnsi="Times New Roman" w:eastAsia="宋体" w:cs="Times New Roman"/>
          <w:b/>
          <w:bCs/>
          <w:color w:val="auto"/>
          <w:spacing w:val="4"/>
          <w:sz w:val="31"/>
          <w:szCs w:val="31"/>
          <w:lang w:val="en-US" w:eastAsia="zh-CN"/>
        </w:rPr>
        <w:t>1</w:t>
      </w:r>
      <w:r>
        <w:rPr>
          <w:rFonts w:hint="default" w:ascii="Times New Roman" w:hAnsi="Times New Roman" w:eastAsia="Times New Roman" w:cs="Times New Roman"/>
          <w:b/>
          <w:bCs/>
          <w:color w:val="auto"/>
          <w:spacing w:val="4"/>
          <w:sz w:val="31"/>
          <w:szCs w:val="31"/>
        </w:rPr>
        <w:t>.1.</w:t>
      </w:r>
      <w:r>
        <w:rPr>
          <w:rFonts w:hint="default" w:ascii="Times New Roman" w:hAnsi="Times New Roman" w:eastAsia="宋体" w:cs="Times New Roman"/>
          <w:b/>
          <w:bCs/>
          <w:color w:val="auto"/>
          <w:spacing w:val="4"/>
          <w:sz w:val="31"/>
          <w:szCs w:val="31"/>
        </w:rPr>
        <w:t>编制依据</w:t>
      </w:r>
      <w:bookmarkEnd w:id="48"/>
      <w:bookmarkEnd w:id="49"/>
      <w:bookmarkEnd w:id="50"/>
    </w:p>
    <w:p w14:paraId="568A9DF7">
      <w:pPr>
        <w:pStyle w:val="9"/>
        <w:spacing w:line="311" w:lineRule="auto"/>
        <w:rPr>
          <w:rFonts w:hint="default" w:ascii="Times New Roman" w:hAnsi="Times New Roman" w:cs="Times New Roman"/>
          <w:color w:val="auto"/>
        </w:rPr>
      </w:pPr>
    </w:p>
    <w:p w14:paraId="5664B836">
      <w:pPr>
        <w:spacing w:before="97" w:line="220" w:lineRule="auto"/>
        <w:ind w:left="305"/>
        <w:rPr>
          <w:rFonts w:hint="default" w:ascii="Times New Roman" w:hAnsi="Times New Roman" w:eastAsia="宋体" w:cs="Times New Roman"/>
          <w:color w:val="auto"/>
          <w:sz w:val="30"/>
          <w:szCs w:val="30"/>
        </w:rPr>
      </w:pPr>
      <w:r>
        <w:rPr>
          <w:rFonts w:hint="eastAsia" w:ascii="Times New Roman" w:hAnsi="Times New Roman" w:eastAsia="宋体" w:cs="Times New Roman"/>
          <w:b/>
          <w:bCs/>
          <w:color w:val="auto"/>
          <w:spacing w:val="-2"/>
          <w:sz w:val="30"/>
          <w:szCs w:val="30"/>
          <w:lang w:val="en-US" w:eastAsia="zh-CN"/>
        </w:rPr>
        <w:t>1</w:t>
      </w:r>
      <w:r>
        <w:rPr>
          <w:rFonts w:hint="default" w:ascii="Times New Roman" w:hAnsi="Times New Roman" w:eastAsia="Times New Roman" w:cs="Times New Roman"/>
          <w:b/>
          <w:bCs/>
          <w:color w:val="auto"/>
          <w:spacing w:val="-2"/>
          <w:sz w:val="30"/>
          <w:szCs w:val="30"/>
        </w:rPr>
        <w:t>.1.1.</w:t>
      </w:r>
      <w:r>
        <w:rPr>
          <w:rFonts w:hint="default" w:ascii="Times New Roman" w:hAnsi="Times New Roman" w:eastAsia="宋体" w:cs="Times New Roman"/>
          <w:b/>
          <w:bCs/>
          <w:color w:val="auto"/>
          <w:spacing w:val="-2"/>
          <w:sz w:val="30"/>
          <w:szCs w:val="30"/>
        </w:rPr>
        <w:t>环境保护法律</w:t>
      </w:r>
    </w:p>
    <w:p w14:paraId="7576566B">
      <w:pPr>
        <w:pStyle w:val="9"/>
        <w:spacing w:line="358" w:lineRule="auto"/>
        <w:rPr>
          <w:rFonts w:hint="default" w:ascii="Times New Roman" w:hAnsi="Times New Roman" w:cs="Times New Roman"/>
          <w:color w:val="auto"/>
        </w:rPr>
      </w:pPr>
    </w:p>
    <w:p w14:paraId="383E1BB5">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z w:val="24"/>
          <w:szCs w:val="24"/>
        </w:rPr>
      </w:pPr>
      <w:r>
        <w:rPr>
          <w:rFonts w:hint="eastAsia" w:ascii="Times New Roman" w:hAnsi="Times New Roman" w:cs="Times New Roman" w:eastAsiaTheme="minorEastAsia"/>
          <w:strike w:val="0"/>
          <w:dstrike w:val="0"/>
          <w:color w:val="auto"/>
          <w:spacing w:val="-5"/>
          <w:sz w:val="24"/>
          <w:szCs w:val="24"/>
          <w:lang w:eastAsia="zh-CN"/>
        </w:rPr>
        <w:t>《</w:t>
      </w:r>
      <w:r>
        <w:rPr>
          <w:rFonts w:hint="default" w:ascii="Times New Roman" w:hAnsi="Times New Roman" w:cs="Times New Roman" w:eastAsiaTheme="minorEastAsia"/>
          <w:strike w:val="0"/>
          <w:dstrike w:val="0"/>
          <w:color w:val="auto"/>
          <w:spacing w:val="-5"/>
          <w:sz w:val="24"/>
          <w:szCs w:val="24"/>
        </w:rPr>
        <w:t>中华人民共和国生态环境法典</w:t>
      </w:r>
      <w:r>
        <w:rPr>
          <w:rFonts w:hint="eastAsia" w:ascii="Times New Roman" w:hAnsi="Times New Roman" w:cs="Times New Roman" w:eastAsiaTheme="minorEastAsia"/>
          <w:strike w:val="0"/>
          <w:dstrike w:val="0"/>
          <w:color w:val="auto"/>
          <w:spacing w:val="-5"/>
          <w:sz w:val="24"/>
          <w:szCs w:val="24"/>
          <w:lang w:eastAsia="zh-CN"/>
        </w:rPr>
        <w:t>》</w:t>
      </w:r>
      <w:r>
        <w:rPr>
          <w:rFonts w:hint="default" w:ascii="Times New Roman" w:hAnsi="Times New Roman" w:cs="Times New Roman" w:eastAsiaTheme="minorEastAsia"/>
          <w:strike w:val="0"/>
          <w:dstrike w:val="0"/>
          <w:color w:val="auto"/>
          <w:spacing w:val="-5"/>
          <w:sz w:val="24"/>
          <w:szCs w:val="24"/>
          <w:lang w:eastAsia="zh-CN"/>
        </w:rPr>
        <w:t>（</w:t>
      </w:r>
      <w:r>
        <w:rPr>
          <w:rFonts w:hint="default" w:ascii="Times New Roman" w:hAnsi="Times New Roman" w:cs="Times New Roman" w:eastAsiaTheme="minorEastAsia"/>
          <w:strike w:val="0"/>
          <w:dstrike w:val="0"/>
          <w:color w:val="auto"/>
          <w:spacing w:val="-5"/>
          <w:sz w:val="24"/>
          <w:szCs w:val="24"/>
          <w:lang w:val="en-US" w:eastAsia="zh-CN"/>
        </w:rPr>
        <w:t>2026年8月15日</w:t>
      </w:r>
      <w:r>
        <w:rPr>
          <w:rFonts w:hint="default" w:ascii="Times New Roman" w:hAnsi="Times New Roman" w:cs="Times New Roman" w:eastAsiaTheme="minorEastAsia"/>
          <w:strike w:val="0"/>
          <w:dstrike w:val="0"/>
          <w:color w:val="auto"/>
          <w:spacing w:val="-5"/>
          <w:sz w:val="24"/>
          <w:szCs w:val="24"/>
          <w:lang w:eastAsia="zh-CN"/>
        </w:rPr>
        <w:t>）</w:t>
      </w:r>
      <w:r>
        <w:rPr>
          <w:rFonts w:hint="default" w:ascii="Times New Roman" w:hAnsi="Times New Roman" w:cs="Times New Roman" w:eastAsiaTheme="minorEastAsia"/>
          <w:strike w:val="0"/>
          <w:dstrike w:val="0"/>
          <w:color w:val="auto"/>
          <w:spacing w:val="-10"/>
          <w:sz w:val="24"/>
          <w:szCs w:val="24"/>
        </w:rPr>
        <w:t>；</w:t>
      </w:r>
    </w:p>
    <w:p w14:paraId="43A7633D">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《中华人民共和国城乡规划法》（2019 年 4 月 23  日）；</w:t>
      </w:r>
    </w:p>
    <w:p w14:paraId="71F3CAC6">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《中华人民共和国水土保持法》（2011年 3 月 1 日）；</w:t>
      </w:r>
    </w:p>
    <w:p w14:paraId="02670BD9">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《中华人民共和国节约能源法》（2018 年 10 月 26  日）；</w:t>
      </w:r>
    </w:p>
    <w:p w14:paraId="3DEB7897">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《中华人民共和国循环经济促进法》（2018 年 10 月 26  日）；</w:t>
      </w:r>
    </w:p>
    <w:p w14:paraId="0F8153BB">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《中华人民共和国土地管理法》（2004 年 8 月 28  日）；</w:t>
      </w:r>
    </w:p>
    <w:p w14:paraId="3EC43642">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《中华人民共和国水法》（2016 年 7 月 2  日）；</w:t>
      </w:r>
    </w:p>
    <w:p w14:paraId="4F2522AB">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《中华人民共和国环境保护税法》（2018 年 1 月 1 日起施行）；</w:t>
      </w:r>
    </w:p>
    <w:p w14:paraId="613B5B31">
      <w:pPr>
        <w:keepNext w:val="0"/>
        <w:keepLines w:val="0"/>
        <w:pageBreakBefore w:val="0"/>
        <w:widowControl/>
        <w:numPr>
          <w:ilvl w:val="0"/>
          <w:numId w:val="3"/>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《中华人民共和国野生动物保护法》（1989 年 3 月 1 日实施；2022年 12 月 30 日修订）；</w:t>
      </w:r>
    </w:p>
    <w:p w14:paraId="5A2AD9D2">
      <w:pPr>
        <w:keepNext w:val="0"/>
        <w:keepLines w:val="0"/>
        <w:pageBreakBefore w:val="0"/>
        <w:widowControl/>
        <w:wordWrap/>
        <w:overflowPunct/>
        <w:topLinePunct w:val="0"/>
        <w:autoSpaceDE w:val="0"/>
        <w:autoSpaceDN w:val="0"/>
        <w:bidi w:val="0"/>
        <w:spacing w:before="332" w:line="360" w:lineRule="auto"/>
        <w:ind w:left="305"/>
        <w:textAlignment w:val="baseline"/>
        <w:rPr>
          <w:rFonts w:hint="default" w:ascii="Times New Roman" w:hAnsi="Times New Roman" w:eastAsia="宋体" w:cs="Times New Roman"/>
          <w:color w:val="auto"/>
          <w:sz w:val="30"/>
          <w:szCs w:val="30"/>
        </w:rPr>
      </w:pPr>
      <w:r>
        <w:rPr>
          <w:rFonts w:hint="eastAsia" w:ascii="Times New Roman" w:hAnsi="Times New Roman" w:eastAsia="宋体" w:cs="Times New Roman"/>
          <w:b/>
          <w:bCs/>
          <w:color w:val="auto"/>
          <w:spacing w:val="-2"/>
          <w:sz w:val="30"/>
          <w:szCs w:val="30"/>
          <w:lang w:val="en-US" w:eastAsia="zh-CN"/>
        </w:rPr>
        <w:t>1</w:t>
      </w:r>
      <w:r>
        <w:rPr>
          <w:rFonts w:hint="default" w:ascii="Times New Roman" w:hAnsi="Times New Roman" w:eastAsia="Times New Roman" w:cs="Times New Roman"/>
          <w:b/>
          <w:bCs/>
          <w:color w:val="auto"/>
          <w:spacing w:val="-2"/>
          <w:sz w:val="30"/>
          <w:szCs w:val="30"/>
        </w:rPr>
        <w:t>.1.2.</w:t>
      </w:r>
      <w:r>
        <w:rPr>
          <w:rFonts w:hint="default" w:ascii="Times New Roman" w:hAnsi="Times New Roman" w:eastAsia="宋体" w:cs="Times New Roman"/>
          <w:b/>
          <w:bCs/>
          <w:color w:val="auto"/>
          <w:spacing w:val="-2"/>
          <w:sz w:val="30"/>
          <w:szCs w:val="30"/>
        </w:rPr>
        <w:t>环境保护法规、规章</w:t>
      </w:r>
    </w:p>
    <w:p w14:paraId="76A6C51A">
      <w:pPr>
        <w:keepNext w:val="0"/>
        <w:keepLines w:val="0"/>
        <w:pageBreakBefore w:val="0"/>
        <w:widowControl/>
        <w:wordWrap/>
        <w:overflowPunct/>
        <w:topLinePunct w:val="0"/>
        <w:autoSpaceDE w:val="0"/>
        <w:autoSpaceDN w:val="0"/>
        <w:bidi w:val="0"/>
        <w:spacing w:before="78" w:line="360" w:lineRule="auto"/>
        <w:ind w:left="484"/>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b/>
          <w:bCs/>
          <w:color w:val="auto"/>
          <w:spacing w:val="-2"/>
          <w:sz w:val="24"/>
          <w:szCs w:val="24"/>
          <w:lang w:val="en-US" w:eastAsia="zh-CN"/>
        </w:rPr>
        <w:t>1</w:t>
      </w:r>
      <w:r>
        <w:rPr>
          <w:rFonts w:hint="default" w:ascii="Times New Roman" w:hAnsi="Times New Roman" w:eastAsia="Times New Roman" w:cs="Times New Roman"/>
          <w:b/>
          <w:bCs/>
          <w:color w:val="auto"/>
          <w:spacing w:val="-2"/>
          <w:sz w:val="24"/>
          <w:szCs w:val="24"/>
        </w:rPr>
        <w:t>.1.2.1.</w:t>
      </w:r>
      <w:r>
        <w:rPr>
          <w:rFonts w:hint="default" w:ascii="Times New Roman" w:hAnsi="Times New Roman" w:eastAsia="宋体" w:cs="Times New Roman"/>
          <w:b/>
          <w:bCs/>
          <w:color w:val="auto"/>
          <w:spacing w:val="-2"/>
          <w:sz w:val="24"/>
          <w:szCs w:val="24"/>
        </w:rPr>
        <w:t>. 国家环境保护法律法规</w:t>
      </w:r>
    </w:p>
    <w:p w14:paraId="37B5F946">
      <w:pPr>
        <w:keepNext w:val="0"/>
        <w:keepLines w:val="0"/>
        <w:pageBreakBefore w:val="0"/>
        <w:widowControl/>
        <w:numPr>
          <w:ilvl w:val="0"/>
          <w:numId w:val="4"/>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《建设项目环境保护管理条例》（国务院令第 682 号，2017 年 10 月1日）；</w:t>
      </w:r>
    </w:p>
    <w:p w14:paraId="3215BB98">
      <w:pPr>
        <w:keepNext w:val="0"/>
        <w:keepLines w:val="0"/>
        <w:pageBreakBefore w:val="0"/>
        <w:widowControl/>
        <w:numPr>
          <w:ilvl w:val="0"/>
          <w:numId w:val="4"/>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《产业结构调整指导目录（2024 年本）》；</w:t>
      </w:r>
    </w:p>
    <w:p w14:paraId="7BA5F630">
      <w:pPr>
        <w:keepNext w:val="0"/>
        <w:keepLines w:val="0"/>
        <w:pageBreakBefore w:val="0"/>
        <w:widowControl/>
        <w:numPr>
          <w:ilvl w:val="0"/>
          <w:numId w:val="4"/>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eastAsia="zh-CN"/>
        </w:rPr>
        <w:t>《</w:t>
      </w:r>
      <w:r>
        <w:rPr>
          <w:rFonts w:hint="default" w:ascii="Times New Roman" w:hAnsi="Times New Roman" w:cs="Times New Roman" w:eastAsiaTheme="minorEastAsia"/>
          <w:strike w:val="0"/>
          <w:dstrike w:val="0"/>
          <w:color w:val="auto"/>
          <w:spacing w:val="-5"/>
          <w:sz w:val="24"/>
          <w:szCs w:val="24"/>
        </w:rPr>
        <w:t>国家危险废物名录》（2025 年版）；</w:t>
      </w:r>
    </w:p>
    <w:p w14:paraId="793C964B">
      <w:pPr>
        <w:keepNext w:val="0"/>
        <w:keepLines w:val="0"/>
        <w:pageBreakBefore w:val="0"/>
        <w:widowControl/>
        <w:numPr>
          <w:ilvl w:val="0"/>
          <w:numId w:val="4"/>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《中华人民共和国野生植物保护条例》（1997 年 1 月 1 日实施；2017年 10 月 7 日修订）；</w:t>
      </w:r>
    </w:p>
    <w:p w14:paraId="796779FC">
      <w:pPr>
        <w:keepNext w:val="0"/>
        <w:keepLines w:val="0"/>
        <w:pageBreakBefore w:val="0"/>
        <w:widowControl/>
        <w:numPr>
          <w:ilvl w:val="0"/>
          <w:numId w:val="4"/>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《中华人民共和国陆生野生动物保护实施条例》（1992 年 3 月 1 日实施；2016 年 2 月 6 日修订）；</w:t>
      </w:r>
    </w:p>
    <w:p w14:paraId="305BC717">
      <w:pPr>
        <w:keepNext w:val="0"/>
        <w:keepLines w:val="0"/>
        <w:pageBreakBefore w:val="0"/>
        <w:widowControl/>
        <w:numPr>
          <w:ilvl w:val="0"/>
          <w:numId w:val="4"/>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《中华人民共和国水生野生动物保护实施条例》（1993 年 10 月 5 日发布；2013 年 12 月 7 日修订）；</w:t>
      </w:r>
    </w:p>
    <w:p w14:paraId="1DEA1F36">
      <w:pPr>
        <w:keepNext w:val="0"/>
        <w:keepLines w:val="0"/>
        <w:pageBreakBefore w:val="0"/>
        <w:widowControl/>
        <w:numPr>
          <w:ilvl w:val="0"/>
          <w:numId w:val="4"/>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default" w:ascii="Times New Roman" w:hAnsi="Times New Roman" w:cs="Times New Roman" w:eastAsiaTheme="minorEastAsia"/>
          <w:strike w:val="0"/>
          <w:dstrike w:val="0"/>
          <w:color w:val="auto"/>
          <w:spacing w:val="-5"/>
          <w:sz w:val="24"/>
          <w:szCs w:val="24"/>
        </w:rPr>
        <w:t>《中华人民共和国森林法实施条例》（2000 年 1 月 29 日实施；2018年 3 月 19 日修改）；</w:t>
      </w:r>
    </w:p>
    <w:p w14:paraId="0F3BF20E">
      <w:pPr>
        <w:keepNext w:val="0"/>
        <w:keepLines w:val="0"/>
        <w:pageBreakBefore w:val="0"/>
        <w:widowControl/>
        <w:wordWrap/>
        <w:overflowPunct/>
        <w:topLinePunct w:val="0"/>
        <w:autoSpaceDE w:val="0"/>
        <w:autoSpaceDN w:val="0"/>
        <w:bidi w:val="0"/>
        <w:spacing w:before="191" w:line="360" w:lineRule="auto"/>
        <w:ind w:left="484"/>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b/>
          <w:bCs/>
          <w:color w:val="auto"/>
          <w:spacing w:val="-2"/>
          <w:sz w:val="24"/>
          <w:szCs w:val="24"/>
          <w:lang w:val="en-US" w:eastAsia="zh-CN"/>
        </w:rPr>
        <w:t>1</w:t>
      </w:r>
      <w:r>
        <w:rPr>
          <w:rFonts w:hint="default" w:ascii="Times New Roman" w:hAnsi="Times New Roman" w:eastAsia="Times New Roman" w:cs="Times New Roman"/>
          <w:b/>
          <w:bCs/>
          <w:color w:val="auto"/>
          <w:spacing w:val="-2"/>
          <w:sz w:val="24"/>
          <w:szCs w:val="24"/>
        </w:rPr>
        <w:t>.1.2.2.</w:t>
      </w:r>
      <w:r>
        <w:rPr>
          <w:rFonts w:hint="default" w:ascii="Times New Roman" w:hAnsi="Times New Roman" w:eastAsia="宋体" w:cs="Times New Roman"/>
          <w:b/>
          <w:bCs/>
          <w:color w:val="auto"/>
          <w:spacing w:val="-2"/>
          <w:sz w:val="24"/>
          <w:szCs w:val="24"/>
        </w:rPr>
        <w:t>部门规章、政策性文件</w:t>
      </w:r>
    </w:p>
    <w:p w14:paraId="3415BB9F">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《环境影响评价公众参与办法》（生态环境部，</w:t>
      </w:r>
      <w:r>
        <w:rPr>
          <w:rFonts w:hint="default" w:ascii="Times New Roman" w:hAnsi="Times New Roman" w:cs="Times New Roman" w:eastAsiaTheme="minorEastAsia"/>
          <w:strike w:val="0"/>
          <w:dstrike w:val="0"/>
          <w:color w:val="auto"/>
          <w:spacing w:val="-5"/>
          <w:sz w:val="24"/>
          <w:szCs w:val="24"/>
          <w:lang w:val="en-US" w:eastAsia="zh-CN"/>
        </w:rPr>
        <w:t xml:space="preserve">2019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日起施行）；</w:t>
      </w:r>
    </w:p>
    <w:p w14:paraId="4BEB49F0">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关于进一步加强危险废物规范化环境管理有关工作的通知（环办固体〔</w:t>
      </w:r>
      <w:r>
        <w:rPr>
          <w:rFonts w:hint="default" w:ascii="Times New Roman" w:hAnsi="Times New Roman" w:cs="Times New Roman" w:eastAsiaTheme="minorEastAsia"/>
          <w:strike w:val="0"/>
          <w:dstrike w:val="0"/>
          <w:color w:val="auto"/>
          <w:spacing w:val="-5"/>
          <w:sz w:val="24"/>
          <w:szCs w:val="24"/>
          <w:lang w:val="en-US" w:eastAsia="zh-CN"/>
        </w:rPr>
        <w:t>2023</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17</w:t>
      </w:r>
      <w:r>
        <w:rPr>
          <w:rFonts w:hint="eastAsia" w:ascii="Times New Roman" w:hAnsi="Times New Roman" w:cs="Times New Roman" w:eastAsiaTheme="minorEastAsia"/>
          <w:strike w:val="0"/>
          <w:dstrike w:val="0"/>
          <w:color w:val="auto"/>
          <w:spacing w:val="-5"/>
          <w:sz w:val="24"/>
          <w:szCs w:val="24"/>
          <w:lang w:val="en-US" w:eastAsia="zh-CN"/>
        </w:rPr>
        <w:t xml:space="preserve">号）； </w:t>
      </w:r>
    </w:p>
    <w:p w14:paraId="79CC24B5">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《关于进一步加强生态环境保护工作的意见》（国家环境保护总局，环发〔</w:t>
      </w:r>
      <w:r>
        <w:rPr>
          <w:rFonts w:hint="default" w:ascii="Times New Roman" w:hAnsi="Times New Roman" w:cs="Times New Roman" w:eastAsiaTheme="minorEastAsia"/>
          <w:strike w:val="0"/>
          <w:dstrike w:val="0"/>
          <w:color w:val="auto"/>
          <w:spacing w:val="-5"/>
          <w:sz w:val="24"/>
          <w:szCs w:val="24"/>
          <w:lang w:val="en-US" w:eastAsia="zh-CN"/>
        </w:rPr>
        <w:t>2007</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37 </w:t>
      </w:r>
      <w:r>
        <w:rPr>
          <w:rFonts w:hint="eastAsia" w:ascii="Times New Roman" w:hAnsi="Times New Roman" w:cs="Times New Roman" w:eastAsiaTheme="minorEastAsia"/>
          <w:strike w:val="0"/>
          <w:dstrike w:val="0"/>
          <w:color w:val="auto"/>
          <w:spacing w:val="-5"/>
          <w:sz w:val="24"/>
          <w:szCs w:val="24"/>
          <w:lang w:val="en-US" w:eastAsia="zh-CN"/>
        </w:rPr>
        <w:t>号，</w:t>
      </w:r>
      <w:r>
        <w:rPr>
          <w:rFonts w:hint="default" w:ascii="Times New Roman" w:hAnsi="Times New Roman" w:cs="Times New Roman" w:eastAsiaTheme="minorEastAsia"/>
          <w:strike w:val="0"/>
          <w:dstrike w:val="0"/>
          <w:color w:val="auto"/>
          <w:spacing w:val="-5"/>
          <w:sz w:val="24"/>
          <w:szCs w:val="24"/>
          <w:lang w:val="en-US" w:eastAsia="zh-CN"/>
        </w:rPr>
        <w:t xml:space="preserve">2007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3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15 </w:t>
      </w:r>
      <w:r>
        <w:rPr>
          <w:rFonts w:hint="eastAsia" w:ascii="Times New Roman" w:hAnsi="Times New Roman" w:cs="Times New Roman" w:eastAsiaTheme="minorEastAsia"/>
          <w:strike w:val="0"/>
          <w:dstrike w:val="0"/>
          <w:color w:val="auto"/>
          <w:spacing w:val="-5"/>
          <w:sz w:val="24"/>
          <w:szCs w:val="24"/>
          <w:lang w:val="en-US" w:eastAsia="zh-CN"/>
        </w:rPr>
        <w:t xml:space="preserve">日）； </w:t>
      </w:r>
    </w:p>
    <w:p w14:paraId="4D954545">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 xml:space="preserve">《建设项目危险废物环境影响评价指南》（环境保护部公告 </w:t>
      </w:r>
      <w:r>
        <w:rPr>
          <w:rFonts w:hint="default" w:ascii="Times New Roman" w:hAnsi="Times New Roman" w:cs="Times New Roman" w:eastAsiaTheme="minorEastAsia"/>
          <w:strike w:val="0"/>
          <w:dstrike w:val="0"/>
          <w:color w:val="auto"/>
          <w:spacing w:val="-5"/>
          <w:sz w:val="24"/>
          <w:szCs w:val="24"/>
          <w:lang w:val="en-US" w:eastAsia="zh-CN"/>
        </w:rPr>
        <w:t xml:space="preserve">2017 </w:t>
      </w:r>
      <w:r>
        <w:rPr>
          <w:rFonts w:hint="eastAsia" w:ascii="Times New Roman" w:hAnsi="Times New Roman" w:cs="Times New Roman" w:eastAsiaTheme="minorEastAsia"/>
          <w:strike w:val="0"/>
          <w:dstrike w:val="0"/>
          <w:color w:val="auto"/>
          <w:spacing w:val="-5"/>
          <w:sz w:val="24"/>
          <w:szCs w:val="24"/>
          <w:lang w:val="en-US" w:eastAsia="zh-CN"/>
        </w:rPr>
        <w:t xml:space="preserve">年第 </w:t>
      </w:r>
      <w:r>
        <w:rPr>
          <w:rFonts w:hint="default" w:ascii="Times New Roman" w:hAnsi="Times New Roman" w:cs="Times New Roman" w:eastAsiaTheme="minorEastAsia"/>
          <w:strike w:val="0"/>
          <w:dstrike w:val="0"/>
          <w:color w:val="auto"/>
          <w:spacing w:val="-5"/>
          <w:sz w:val="24"/>
          <w:szCs w:val="24"/>
          <w:lang w:val="en-US" w:eastAsia="zh-CN"/>
        </w:rPr>
        <w:t xml:space="preserve">43 </w:t>
      </w:r>
      <w:r>
        <w:rPr>
          <w:rFonts w:hint="eastAsia" w:ascii="Times New Roman" w:hAnsi="Times New Roman" w:cs="Times New Roman" w:eastAsiaTheme="minorEastAsia"/>
          <w:strike w:val="0"/>
          <w:dstrike w:val="0"/>
          <w:color w:val="auto"/>
          <w:spacing w:val="-5"/>
          <w:sz w:val="24"/>
          <w:szCs w:val="24"/>
          <w:lang w:val="en-US" w:eastAsia="zh-CN"/>
        </w:rPr>
        <w:t xml:space="preserve">号）； </w:t>
      </w:r>
    </w:p>
    <w:p w14:paraId="6C40D041">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《建设项目环境环境影响评价分类管理目录》（</w:t>
      </w:r>
      <w:r>
        <w:rPr>
          <w:rFonts w:hint="default" w:ascii="Times New Roman" w:hAnsi="Times New Roman" w:cs="Times New Roman" w:eastAsiaTheme="minorEastAsia"/>
          <w:strike w:val="0"/>
          <w:dstrike w:val="0"/>
          <w:color w:val="auto"/>
          <w:spacing w:val="-5"/>
          <w:sz w:val="24"/>
          <w:szCs w:val="24"/>
          <w:lang w:val="en-US" w:eastAsia="zh-CN"/>
        </w:rPr>
        <w:t xml:space="preserve">2021 </w:t>
      </w:r>
      <w:r>
        <w:rPr>
          <w:rFonts w:hint="eastAsia" w:ascii="Times New Roman" w:hAnsi="Times New Roman" w:cs="Times New Roman" w:eastAsiaTheme="minorEastAsia"/>
          <w:strike w:val="0"/>
          <w:dstrike w:val="0"/>
          <w:color w:val="auto"/>
          <w:spacing w:val="-5"/>
          <w:sz w:val="24"/>
          <w:szCs w:val="24"/>
          <w:lang w:val="en-US" w:eastAsia="zh-CN"/>
        </w:rPr>
        <w:t xml:space="preserve">年版），中华人民共和国生态环境部令第 </w:t>
      </w:r>
      <w:r>
        <w:rPr>
          <w:rFonts w:hint="default" w:ascii="Times New Roman" w:hAnsi="Times New Roman" w:cs="Times New Roman" w:eastAsiaTheme="minorEastAsia"/>
          <w:strike w:val="0"/>
          <w:dstrike w:val="0"/>
          <w:color w:val="auto"/>
          <w:spacing w:val="-5"/>
          <w:sz w:val="24"/>
          <w:szCs w:val="24"/>
          <w:lang w:val="en-US" w:eastAsia="zh-CN"/>
        </w:rPr>
        <w:t xml:space="preserve">16 </w:t>
      </w:r>
      <w:r>
        <w:rPr>
          <w:rFonts w:hint="eastAsia" w:ascii="Times New Roman" w:hAnsi="Times New Roman" w:cs="Times New Roman" w:eastAsiaTheme="minorEastAsia"/>
          <w:strike w:val="0"/>
          <w:dstrike w:val="0"/>
          <w:color w:val="auto"/>
          <w:spacing w:val="-5"/>
          <w:sz w:val="24"/>
          <w:szCs w:val="24"/>
          <w:lang w:val="en-US" w:eastAsia="zh-CN"/>
        </w:rPr>
        <w:t>号，</w:t>
      </w:r>
      <w:r>
        <w:rPr>
          <w:rFonts w:hint="default" w:ascii="Times New Roman" w:hAnsi="Times New Roman" w:cs="Times New Roman" w:eastAsiaTheme="minorEastAsia"/>
          <w:strike w:val="0"/>
          <w:dstrike w:val="0"/>
          <w:color w:val="auto"/>
          <w:spacing w:val="-5"/>
          <w:sz w:val="24"/>
          <w:szCs w:val="24"/>
          <w:lang w:val="en-US" w:eastAsia="zh-CN"/>
        </w:rPr>
        <w:t xml:space="preserve">2021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日； </w:t>
      </w:r>
    </w:p>
    <w:p w14:paraId="7099B311">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《西部地区鼓励类产业目录（</w:t>
      </w:r>
      <w:r>
        <w:rPr>
          <w:rFonts w:hint="default" w:ascii="Times New Roman" w:hAnsi="Times New Roman" w:cs="Times New Roman" w:eastAsiaTheme="minorEastAsia"/>
          <w:strike w:val="0"/>
          <w:dstrike w:val="0"/>
          <w:color w:val="auto"/>
          <w:spacing w:val="-5"/>
          <w:sz w:val="24"/>
          <w:szCs w:val="24"/>
          <w:lang w:val="en-US" w:eastAsia="zh-CN"/>
        </w:rPr>
        <w:t xml:space="preserve">2025 </w:t>
      </w:r>
      <w:r>
        <w:rPr>
          <w:rFonts w:hint="eastAsia" w:ascii="Times New Roman" w:hAnsi="Times New Roman" w:cs="Times New Roman" w:eastAsiaTheme="minorEastAsia"/>
          <w:strike w:val="0"/>
          <w:dstrike w:val="0"/>
          <w:color w:val="auto"/>
          <w:spacing w:val="-5"/>
          <w:sz w:val="24"/>
          <w:szCs w:val="24"/>
          <w:lang w:val="en-US" w:eastAsia="zh-CN"/>
        </w:rPr>
        <w:t xml:space="preserve">年本）》（自 </w:t>
      </w:r>
      <w:r>
        <w:rPr>
          <w:rFonts w:hint="default" w:ascii="Times New Roman" w:hAnsi="Times New Roman" w:cs="Times New Roman" w:eastAsiaTheme="minorEastAsia"/>
          <w:strike w:val="0"/>
          <w:dstrike w:val="0"/>
          <w:color w:val="auto"/>
          <w:spacing w:val="-5"/>
          <w:sz w:val="24"/>
          <w:szCs w:val="24"/>
          <w:lang w:val="en-US" w:eastAsia="zh-CN"/>
        </w:rPr>
        <w:t xml:space="preserve">2025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日起施行）； </w:t>
      </w:r>
    </w:p>
    <w:p w14:paraId="20FC0360">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《关于进一步优化环境影响评价工作的意见》（环环评〔</w:t>
      </w:r>
      <w:r>
        <w:rPr>
          <w:rFonts w:hint="default" w:ascii="Times New Roman" w:hAnsi="Times New Roman" w:cs="Times New Roman" w:eastAsiaTheme="minorEastAsia"/>
          <w:strike w:val="0"/>
          <w:dstrike w:val="0"/>
          <w:color w:val="auto"/>
          <w:spacing w:val="-5"/>
          <w:sz w:val="24"/>
          <w:szCs w:val="24"/>
          <w:lang w:val="en-US" w:eastAsia="zh-CN"/>
        </w:rPr>
        <w:t>2023</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52 </w:t>
      </w:r>
      <w:r>
        <w:rPr>
          <w:rFonts w:hint="eastAsia" w:ascii="Times New Roman" w:hAnsi="Times New Roman" w:cs="Times New Roman" w:eastAsiaTheme="minorEastAsia"/>
          <w:strike w:val="0"/>
          <w:dstrike w:val="0"/>
          <w:color w:val="auto"/>
          <w:spacing w:val="-5"/>
          <w:sz w:val="24"/>
          <w:szCs w:val="24"/>
          <w:lang w:val="en-US" w:eastAsia="zh-CN"/>
        </w:rPr>
        <w:t>号）；</w:t>
      </w:r>
    </w:p>
    <w:p w14:paraId="690FB8B1">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 xml:space="preserve">《建设项目环境影响报告书（表）编制监督管理办法》（生态环境部 令第 </w:t>
      </w:r>
      <w:r>
        <w:rPr>
          <w:rFonts w:hint="default" w:ascii="Times New Roman" w:hAnsi="Times New Roman" w:cs="Times New Roman" w:eastAsiaTheme="minorEastAsia"/>
          <w:strike w:val="0"/>
          <w:dstrike w:val="0"/>
          <w:color w:val="auto"/>
          <w:spacing w:val="-5"/>
          <w:sz w:val="24"/>
          <w:szCs w:val="24"/>
          <w:lang w:val="en-US" w:eastAsia="zh-CN"/>
        </w:rPr>
        <w:t xml:space="preserve">9 </w:t>
      </w:r>
      <w:r>
        <w:rPr>
          <w:rFonts w:hint="eastAsia" w:ascii="Times New Roman" w:hAnsi="Times New Roman" w:cs="Times New Roman" w:eastAsiaTheme="minorEastAsia"/>
          <w:strike w:val="0"/>
          <w:dstrike w:val="0"/>
          <w:color w:val="auto"/>
          <w:spacing w:val="-5"/>
          <w:sz w:val="24"/>
          <w:szCs w:val="24"/>
          <w:lang w:val="en-US" w:eastAsia="zh-CN"/>
        </w:rPr>
        <w:t xml:space="preserve">号公布，自 </w:t>
      </w:r>
      <w:r>
        <w:rPr>
          <w:rFonts w:hint="default" w:ascii="Times New Roman" w:hAnsi="Times New Roman" w:cs="Times New Roman" w:eastAsiaTheme="minorEastAsia"/>
          <w:strike w:val="0"/>
          <w:dstrike w:val="0"/>
          <w:color w:val="auto"/>
          <w:spacing w:val="-5"/>
          <w:sz w:val="24"/>
          <w:szCs w:val="24"/>
          <w:lang w:val="en-US" w:eastAsia="zh-CN"/>
        </w:rPr>
        <w:t xml:space="preserve">2019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日起施行）； </w:t>
      </w:r>
    </w:p>
    <w:p w14:paraId="64EBAF7F">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 xml:space="preserve">《企业、事业单位环境信息公开办法》（环境保护部第 </w:t>
      </w:r>
      <w:r>
        <w:rPr>
          <w:rFonts w:hint="default" w:ascii="Times New Roman" w:hAnsi="Times New Roman" w:cs="Times New Roman" w:eastAsiaTheme="minorEastAsia"/>
          <w:strike w:val="0"/>
          <w:dstrike w:val="0"/>
          <w:color w:val="auto"/>
          <w:spacing w:val="-5"/>
          <w:sz w:val="24"/>
          <w:szCs w:val="24"/>
          <w:lang w:val="en-US" w:eastAsia="zh-CN"/>
        </w:rPr>
        <w:t xml:space="preserve">31 </w:t>
      </w:r>
      <w:r>
        <w:rPr>
          <w:rFonts w:hint="eastAsia" w:ascii="Times New Roman" w:hAnsi="Times New Roman" w:cs="Times New Roman" w:eastAsiaTheme="minorEastAsia"/>
          <w:strike w:val="0"/>
          <w:dstrike w:val="0"/>
          <w:color w:val="auto"/>
          <w:spacing w:val="-5"/>
          <w:sz w:val="24"/>
          <w:szCs w:val="24"/>
          <w:lang w:val="en-US" w:eastAsia="zh-CN"/>
        </w:rPr>
        <w:t>号令（</w:t>
      </w:r>
      <w:r>
        <w:rPr>
          <w:rFonts w:hint="default" w:ascii="Times New Roman" w:hAnsi="Times New Roman" w:cs="Times New Roman" w:eastAsiaTheme="minorEastAsia"/>
          <w:strike w:val="0"/>
          <w:dstrike w:val="0"/>
          <w:color w:val="auto"/>
          <w:spacing w:val="-5"/>
          <w:sz w:val="24"/>
          <w:szCs w:val="24"/>
          <w:lang w:val="en-US" w:eastAsia="zh-CN"/>
        </w:rPr>
        <w:t xml:space="preserve">2015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日））； </w:t>
      </w:r>
    </w:p>
    <w:p w14:paraId="78671ABD">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《关于强化建设项目环境影响评价事中事后监管的实施意见》（环环 评〔</w:t>
      </w:r>
      <w:r>
        <w:rPr>
          <w:rFonts w:hint="default" w:ascii="Times New Roman" w:hAnsi="Times New Roman" w:cs="Times New Roman" w:eastAsiaTheme="minorEastAsia"/>
          <w:strike w:val="0"/>
          <w:dstrike w:val="0"/>
          <w:color w:val="auto"/>
          <w:spacing w:val="-5"/>
          <w:sz w:val="24"/>
          <w:szCs w:val="24"/>
          <w:lang w:val="en-US" w:eastAsia="zh-CN"/>
        </w:rPr>
        <w:t>2018</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11 </w:t>
      </w:r>
      <w:r>
        <w:rPr>
          <w:rFonts w:hint="eastAsia" w:ascii="Times New Roman" w:hAnsi="Times New Roman" w:cs="Times New Roman" w:eastAsiaTheme="minorEastAsia"/>
          <w:strike w:val="0"/>
          <w:dstrike w:val="0"/>
          <w:color w:val="auto"/>
          <w:spacing w:val="-5"/>
          <w:sz w:val="24"/>
          <w:szCs w:val="24"/>
          <w:lang w:val="en-US" w:eastAsia="zh-CN"/>
        </w:rPr>
        <w:t xml:space="preserve">号）； </w:t>
      </w:r>
    </w:p>
    <w:p w14:paraId="49E32A8C">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国务院关于印发《空气质量持续改善行动计划》的通知（国发〔</w:t>
      </w:r>
      <w:r>
        <w:rPr>
          <w:rFonts w:hint="default" w:ascii="Times New Roman" w:hAnsi="Times New Roman" w:cs="Times New Roman" w:eastAsiaTheme="minorEastAsia"/>
          <w:strike w:val="0"/>
          <w:dstrike w:val="0"/>
          <w:color w:val="auto"/>
          <w:spacing w:val="-5"/>
          <w:sz w:val="24"/>
          <w:szCs w:val="24"/>
          <w:lang w:val="en-US" w:eastAsia="zh-CN"/>
        </w:rPr>
        <w:t>2023</w:t>
      </w:r>
      <w:r>
        <w:rPr>
          <w:rFonts w:hint="eastAsia" w:ascii="Times New Roman" w:hAnsi="Times New Roman" w:cs="Times New Roman" w:eastAsiaTheme="minorEastAsia"/>
          <w:strike w:val="0"/>
          <w:dstrike w:val="0"/>
          <w:color w:val="auto"/>
          <w:spacing w:val="-5"/>
          <w:sz w:val="24"/>
          <w:szCs w:val="24"/>
          <w:lang w:val="en-US" w:eastAsia="zh-CN"/>
        </w:rPr>
        <w:t xml:space="preserve">〕 </w:t>
      </w:r>
      <w:r>
        <w:rPr>
          <w:rFonts w:hint="default" w:ascii="Times New Roman" w:hAnsi="Times New Roman" w:cs="Times New Roman" w:eastAsiaTheme="minorEastAsia"/>
          <w:strike w:val="0"/>
          <w:dstrike w:val="0"/>
          <w:color w:val="auto"/>
          <w:spacing w:val="-5"/>
          <w:sz w:val="24"/>
          <w:szCs w:val="24"/>
          <w:lang w:val="en-US" w:eastAsia="zh-CN"/>
        </w:rPr>
        <w:t xml:space="preserve">24 </w:t>
      </w:r>
      <w:r>
        <w:rPr>
          <w:rFonts w:hint="eastAsia" w:ascii="Times New Roman" w:hAnsi="Times New Roman" w:cs="Times New Roman" w:eastAsiaTheme="minorEastAsia"/>
          <w:strike w:val="0"/>
          <w:dstrike w:val="0"/>
          <w:color w:val="auto"/>
          <w:spacing w:val="-5"/>
          <w:sz w:val="24"/>
          <w:szCs w:val="24"/>
          <w:lang w:val="en-US" w:eastAsia="zh-CN"/>
        </w:rPr>
        <w:t>号）；</w:t>
      </w:r>
    </w:p>
    <w:p w14:paraId="2CE0E753">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《中共中央、国务院关于深入打好污染防治攻坚战的意见》（</w:t>
      </w:r>
      <w:r>
        <w:rPr>
          <w:rFonts w:hint="default" w:ascii="Times New Roman" w:hAnsi="Times New Roman" w:cs="Times New Roman" w:eastAsiaTheme="minorEastAsia"/>
          <w:strike w:val="0"/>
          <w:dstrike w:val="0"/>
          <w:color w:val="auto"/>
          <w:spacing w:val="-5"/>
          <w:sz w:val="24"/>
          <w:szCs w:val="24"/>
          <w:lang w:val="en-US" w:eastAsia="zh-CN"/>
        </w:rPr>
        <w:t xml:space="preserve">2021 </w:t>
      </w:r>
      <w:r>
        <w:rPr>
          <w:rFonts w:hint="eastAsia" w:ascii="Times New Roman" w:hAnsi="Times New Roman" w:cs="Times New Roman" w:eastAsiaTheme="minorEastAsia"/>
          <w:strike w:val="0"/>
          <w:dstrike w:val="0"/>
          <w:color w:val="auto"/>
          <w:spacing w:val="-5"/>
          <w:sz w:val="24"/>
          <w:szCs w:val="24"/>
          <w:lang w:val="en-US" w:eastAsia="zh-CN"/>
        </w:rPr>
        <w:t>年</w:t>
      </w:r>
      <w:r>
        <w:rPr>
          <w:rFonts w:hint="default" w:ascii="Times New Roman" w:hAnsi="Times New Roman" w:cs="Times New Roman" w:eastAsiaTheme="minorEastAsia"/>
          <w:strike w:val="0"/>
          <w:dstrike w:val="0"/>
          <w:color w:val="auto"/>
          <w:spacing w:val="-5"/>
          <w:sz w:val="24"/>
          <w:szCs w:val="24"/>
          <w:lang w:val="en-US" w:eastAsia="zh-CN"/>
        </w:rPr>
        <w:t xml:space="preserve">11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2 </w:t>
      </w:r>
      <w:r>
        <w:rPr>
          <w:rFonts w:hint="eastAsia" w:ascii="Times New Roman" w:hAnsi="Times New Roman" w:cs="Times New Roman" w:eastAsiaTheme="minorEastAsia"/>
          <w:strike w:val="0"/>
          <w:dstrike w:val="0"/>
          <w:color w:val="auto"/>
          <w:spacing w:val="-5"/>
          <w:sz w:val="24"/>
          <w:szCs w:val="24"/>
          <w:lang w:val="en-US" w:eastAsia="zh-CN"/>
        </w:rPr>
        <w:t xml:space="preserve">日实施）； </w:t>
      </w:r>
    </w:p>
    <w:p w14:paraId="0BDC920D">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 xml:space="preserve">《地下水管理条例》，国务院令第 </w:t>
      </w:r>
      <w:r>
        <w:rPr>
          <w:rFonts w:hint="default" w:ascii="Times New Roman" w:hAnsi="Times New Roman" w:cs="Times New Roman" w:eastAsiaTheme="minorEastAsia"/>
          <w:strike w:val="0"/>
          <w:dstrike w:val="0"/>
          <w:color w:val="auto"/>
          <w:spacing w:val="-5"/>
          <w:sz w:val="24"/>
          <w:szCs w:val="24"/>
          <w:lang w:val="en-US" w:eastAsia="zh-CN"/>
        </w:rPr>
        <w:t xml:space="preserve">748 </w:t>
      </w:r>
      <w:r>
        <w:rPr>
          <w:rFonts w:hint="eastAsia" w:ascii="Times New Roman" w:hAnsi="Times New Roman" w:cs="Times New Roman" w:eastAsiaTheme="minorEastAsia"/>
          <w:strike w:val="0"/>
          <w:dstrike w:val="0"/>
          <w:color w:val="auto"/>
          <w:spacing w:val="-5"/>
          <w:sz w:val="24"/>
          <w:szCs w:val="24"/>
          <w:lang w:val="en-US" w:eastAsia="zh-CN"/>
        </w:rPr>
        <w:t>号，</w:t>
      </w:r>
      <w:r>
        <w:rPr>
          <w:rFonts w:hint="default" w:ascii="Times New Roman" w:hAnsi="Times New Roman" w:cs="Times New Roman" w:eastAsiaTheme="minorEastAsia"/>
          <w:strike w:val="0"/>
          <w:dstrike w:val="0"/>
          <w:color w:val="auto"/>
          <w:spacing w:val="-5"/>
          <w:sz w:val="24"/>
          <w:szCs w:val="24"/>
          <w:lang w:val="en-US" w:eastAsia="zh-CN"/>
        </w:rPr>
        <w:t>2021</w:t>
      </w:r>
      <w:r>
        <w:rPr>
          <w:rFonts w:hint="eastAsia" w:ascii="Times New Roman" w:hAnsi="Times New Roman" w:cs="Times New Roman" w:eastAsiaTheme="minorEastAsia"/>
          <w:strike w:val="0"/>
          <w:dstrike w:val="0"/>
          <w:color w:val="auto"/>
          <w:spacing w:val="-5"/>
          <w:sz w:val="24"/>
          <w:szCs w:val="24"/>
          <w:lang w:val="en-US" w:eastAsia="zh-CN"/>
        </w:rPr>
        <w:t>年</w:t>
      </w:r>
      <w:r>
        <w:rPr>
          <w:rFonts w:hint="default" w:ascii="Times New Roman" w:hAnsi="Times New Roman" w:cs="Times New Roman" w:eastAsiaTheme="minorEastAsia"/>
          <w:strike w:val="0"/>
          <w:dstrike w:val="0"/>
          <w:color w:val="auto"/>
          <w:spacing w:val="-5"/>
          <w:sz w:val="24"/>
          <w:szCs w:val="24"/>
          <w:lang w:val="en-US" w:eastAsia="zh-CN"/>
        </w:rPr>
        <w:t>12</w:t>
      </w:r>
      <w:r>
        <w:rPr>
          <w:rFonts w:hint="eastAsia" w:ascii="Times New Roman" w:hAnsi="Times New Roman" w:cs="Times New Roman" w:eastAsiaTheme="minorEastAsia"/>
          <w:strike w:val="0"/>
          <w:dstrike w:val="0"/>
          <w:color w:val="auto"/>
          <w:spacing w:val="-5"/>
          <w:sz w:val="24"/>
          <w:szCs w:val="24"/>
          <w:lang w:val="en-US" w:eastAsia="zh-CN"/>
        </w:rPr>
        <w:t>月</w:t>
      </w:r>
      <w:r>
        <w:rPr>
          <w:rFonts w:hint="default" w:ascii="Times New Roman" w:hAnsi="Times New Roman" w:cs="Times New Roman" w:eastAsiaTheme="minorEastAsia"/>
          <w:strike w:val="0"/>
          <w:dstrike w:val="0"/>
          <w:color w:val="auto"/>
          <w:spacing w:val="-5"/>
          <w:sz w:val="24"/>
          <w:szCs w:val="24"/>
          <w:lang w:val="en-US" w:eastAsia="zh-CN"/>
        </w:rPr>
        <w:t>1</w:t>
      </w:r>
      <w:r>
        <w:rPr>
          <w:rFonts w:hint="eastAsia" w:ascii="Times New Roman" w:hAnsi="Times New Roman" w:cs="Times New Roman" w:eastAsiaTheme="minorEastAsia"/>
          <w:strike w:val="0"/>
          <w:dstrike w:val="0"/>
          <w:color w:val="auto"/>
          <w:spacing w:val="-5"/>
          <w:sz w:val="24"/>
          <w:szCs w:val="24"/>
          <w:lang w:val="en-US" w:eastAsia="zh-CN"/>
        </w:rPr>
        <w:t>日起施行；</w:t>
      </w:r>
    </w:p>
    <w:p w14:paraId="3A40B5C6">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《云南省地下水管理条例》，省政府令第226号，</w:t>
      </w:r>
      <w:r>
        <w:rPr>
          <w:rFonts w:hint="default" w:ascii="Times New Roman" w:hAnsi="Times New Roman" w:cs="Times New Roman" w:eastAsiaTheme="minorEastAsia"/>
          <w:strike w:val="0"/>
          <w:dstrike w:val="0"/>
          <w:color w:val="auto"/>
          <w:spacing w:val="-5"/>
          <w:sz w:val="24"/>
          <w:szCs w:val="24"/>
          <w:lang w:val="en-US" w:eastAsia="zh-CN"/>
        </w:rPr>
        <w:t>2024</w:t>
      </w:r>
      <w:r>
        <w:rPr>
          <w:rFonts w:hint="eastAsia" w:ascii="Times New Roman" w:hAnsi="Times New Roman" w:cs="Times New Roman" w:eastAsiaTheme="minorEastAsia"/>
          <w:strike w:val="0"/>
          <w:dstrike w:val="0"/>
          <w:color w:val="auto"/>
          <w:spacing w:val="-5"/>
          <w:sz w:val="24"/>
          <w:szCs w:val="24"/>
          <w:lang w:val="en-US" w:eastAsia="zh-CN"/>
        </w:rPr>
        <w:t>年</w:t>
      </w:r>
      <w:r>
        <w:rPr>
          <w:rFonts w:hint="default" w:ascii="Times New Roman" w:hAnsi="Times New Roman" w:cs="Times New Roman" w:eastAsiaTheme="minorEastAsia"/>
          <w:strike w:val="0"/>
          <w:dstrike w:val="0"/>
          <w:color w:val="auto"/>
          <w:spacing w:val="-5"/>
          <w:sz w:val="24"/>
          <w:szCs w:val="24"/>
          <w:lang w:val="en-US" w:eastAsia="zh-CN"/>
        </w:rPr>
        <w:t>2</w:t>
      </w:r>
      <w:r>
        <w:rPr>
          <w:rFonts w:hint="eastAsia" w:ascii="Times New Roman" w:hAnsi="Times New Roman" w:cs="Times New Roman" w:eastAsiaTheme="minorEastAsia"/>
          <w:strike w:val="0"/>
          <w:dstrike w:val="0"/>
          <w:color w:val="auto"/>
          <w:spacing w:val="-5"/>
          <w:sz w:val="24"/>
          <w:szCs w:val="24"/>
          <w:lang w:val="en-US" w:eastAsia="zh-CN"/>
        </w:rPr>
        <w:t>月</w:t>
      </w:r>
      <w:r>
        <w:rPr>
          <w:rFonts w:hint="default" w:ascii="Times New Roman" w:hAnsi="Times New Roman" w:cs="Times New Roman" w:eastAsiaTheme="minorEastAsia"/>
          <w:strike w:val="0"/>
          <w:dstrike w:val="0"/>
          <w:color w:val="auto"/>
          <w:spacing w:val="-5"/>
          <w:sz w:val="24"/>
          <w:szCs w:val="24"/>
          <w:lang w:val="en-US" w:eastAsia="zh-CN"/>
        </w:rPr>
        <w:t>1</w:t>
      </w:r>
      <w:r>
        <w:rPr>
          <w:rFonts w:hint="eastAsia" w:ascii="Times New Roman" w:hAnsi="Times New Roman" w:cs="Times New Roman" w:eastAsiaTheme="minorEastAsia"/>
          <w:strike w:val="0"/>
          <w:dstrike w:val="0"/>
          <w:color w:val="auto"/>
          <w:spacing w:val="-5"/>
          <w:sz w:val="24"/>
          <w:szCs w:val="24"/>
          <w:lang w:val="en-US" w:eastAsia="zh-CN"/>
        </w:rPr>
        <w:t>日起施行；</w:t>
      </w:r>
    </w:p>
    <w:p w14:paraId="5AE690D1">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国务院关于印发《固体废物综合治理行动计划》的通知（国发〔</w:t>
      </w:r>
      <w:r>
        <w:rPr>
          <w:rFonts w:hint="default" w:ascii="Times New Roman" w:hAnsi="Times New Roman" w:cs="Times New Roman" w:eastAsiaTheme="minorEastAsia"/>
          <w:strike w:val="0"/>
          <w:dstrike w:val="0"/>
          <w:color w:val="auto"/>
          <w:spacing w:val="-5"/>
          <w:sz w:val="24"/>
          <w:szCs w:val="24"/>
          <w:lang w:val="en-US" w:eastAsia="zh-CN"/>
        </w:rPr>
        <w:t>2025</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14 </w:t>
      </w:r>
      <w:r>
        <w:rPr>
          <w:rFonts w:hint="eastAsia" w:ascii="Times New Roman" w:hAnsi="Times New Roman" w:cs="Times New Roman" w:eastAsiaTheme="minorEastAsia"/>
          <w:strike w:val="0"/>
          <w:dstrike w:val="0"/>
          <w:color w:val="auto"/>
          <w:spacing w:val="-5"/>
          <w:sz w:val="24"/>
          <w:szCs w:val="24"/>
          <w:lang w:val="en-US" w:eastAsia="zh-CN"/>
        </w:rPr>
        <w:t>号）；</w:t>
      </w:r>
    </w:p>
    <w:p w14:paraId="2ECF53B4">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 xml:space="preserve">《企业环境信息依法披露管理办法》（生态环境部令 第 </w:t>
      </w:r>
      <w:r>
        <w:rPr>
          <w:rFonts w:hint="default" w:ascii="Times New Roman" w:hAnsi="Times New Roman" w:cs="Times New Roman" w:eastAsiaTheme="minorEastAsia"/>
          <w:strike w:val="0"/>
          <w:dstrike w:val="0"/>
          <w:color w:val="auto"/>
          <w:spacing w:val="-5"/>
          <w:sz w:val="24"/>
          <w:szCs w:val="24"/>
          <w:lang w:val="en-US" w:eastAsia="zh-CN"/>
        </w:rPr>
        <w:t xml:space="preserve">24 </w:t>
      </w:r>
      <w:r>
        <w:rPr>
          <w:rFonts w:hint="eastAsia" w:ascii="Times New Roman" w:hAnsi="Times New Roman" w:cs="Times New Roman" w:eastAsiaTheme="minorEastAsia"/>
          <w:strike w:val="0"/>
          <w:dstrike w:val="0"/>
          <w:color w:val="auto"/>
          <w:spacing w:val="-5"/>
          <w:sz w:val="24"/>
          <w:szCs w:val="24"/>
          <w:lang w:val="en-US" w:eastAsia="zh-CN"/>
        </w:rPr>
        <w:t>号，自</w:t>
      </w:r>
      <w:r>
        <w:rPr>
          <w:rFonts w:hint="default" w:ascii="Times New Roman" w:hAnsi="Times New Roman" w:cs="Times New Roman" w:eastAsiaTheme="minorEastAsia"/>
          <w:strike w:val="0"/>
          <w:dstrike w:val="0"/>
          <w:color w:val="auto"/>
          <w:spacing w:val="-5"/>
          <w:sz w:val="24"/>
          <w:szCs w:val="24"/>
          <w:lang w:val="en-US" w:eastAsia="zh-CN"/>
        </w:rPr>
        <w:t xml:space="preserve">2022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2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8 </w:t>
      </w:r>
      <w:r>
        <w:rPr>
          <w:rFonts w:hint="eastAsia" w:ascii="Times New Roman" w:hAnsi="Times New Roman" w:cs="Times New Roman" w:eastAsiaTheme="minorEastAsia"/>
          <w:strike w:val="0"/>
          <w:dstrike w:val="0"/>
          <w:color w:val="auto"/>
          <w:spacing w:val="-5"/>
          <w:sz w:val="24"/>
          <w:szCs w:val="24"/>
          <w:lang w:val="en-US" w:eastAsia="zh-CN"/>
        </w:rPr>
        <w:t>日起施行）；</w:t>
      </w:r>
    </w:p>
    <w:p w14:paraId="12CE5FB1">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《关于加强资源环境生态红线管控的指导意见的通知》（发改环资〔</w:t>
      </w:r>
      <w:r>
        <w:rPr>
          <w:rFonts w:hint="default" w:ascii="Times New Roman" w:hAnsi="Times New Roman" w:cs="Times New Roman" w:eastAsiaTheme="minorEastAsia"/>
          <w:strike w:val="0"/>
          <w:dstrike w:val="0"/>
          <w:color w:val="auto"/>
          <w:spacing w:val="-5"/>
          <w:sz w:val="24"/>
          <w:szCs w:val="24"/>
          <w:lang w:val="en-US" w:eastAsia="zh-CN"/>
        </w:rPr>
        <w:t>2016</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1162 </w:t>
      </w:r>
      <w:r>
        <w:rPr>
          <w:rFonts w:hint="eastAsia" w:ascii="Times New Roman" w:hAnsi="Times New Roman" w:cs="Times New Roman" w:eastAsiaTheme="minorEastAsia"/>
          <w:strike w:val="0"/>
          <w:dstrike w:val="0"/>
          <w:color w:val="auto"/>
          <w:spacing w:val="-5"/>
          <w:sz w:val="24"/>
          <w:szCs w:val="24"/>
          <w:lang w:val="en-US" w:eastAsia="zh-CN"/>
        </w:rPr>
        <w:t>号）；</w:t>
      </w:r>
    </w:p>
    <w:p w14:paraId="55616FEE">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《自然资源部 生态环境部 国家林业和草原局关于加强生态保护红线管理的通知（试行）》，自然资发〔</w:t>
      </w:r>
      <w:r>
        <w:rPr>
          <w:rFonts w:hint="default" w:ascii="Times New Roman" w:hAnsi="Times New Roman" w:cs="Times New Roman" w:eastAsiaTheme="minorEastAsia"/>
          <w:strike w:val="0"/>
          <w:dstrike w:val="0"/>
          <w:color w:val="auto"/>
          <w:spacing w:val="-5"/>
          <w:sz w:val="24"/>
          <w:szCs w:val="24"/>
          <w:lang w:val="en-US" w:eastAsia="zh-CN"/>
        </w:rPr>
        <w:t>2022</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142 </w:t>
      </w:r>
      <w:r>
        <w:rPr>
          <w:rFonts w:hint="eastAsia" w:ascii="Times New Roman" w:hAnsi="Times New Roman" w:cs="Times New Roman" w:eastAsiaTheme="minorEastAsia"/>
          <w:strike w:val="0"/>
          <w:dstrike w:val="0"/>
          <w:color w:val="auto"/>
          <w:spacing w:val="-5"/>
          <w:sz w:val="24"/>
          <w:szCs w:val="24"/>
          <w:lang w:val="en-US" w:eastAsia="zh-CN"/>
        </w:rPr>
        <w:t>号，</w:t>
      </w:r>
      <w:r>
        <w:rPr>
          <w:rFonts w:hint="default" w:ascii="Times New Roman" w:hAnsi="Times New Roman" w:cs="Times New Roman" w:eastAsiaTheme="minorEastAsia"/>
          <w:strike w:val="0"/>
          <w:dstrike w:val="0"/>
          <w:color w:val="auto"/>
          <w:spacing w:val="-5"/>
          <w:sz w:val="24"/>
          <w:szCs w:val="24"/>
          <w:lang w:val="en-US" w:eastAsia="zh-CN"/>
        </w:rPr>
        <w:t xml:space="preserve">2022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8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16 </w:t>
      </w:r>
      <w:r>
        <w:rPr>
          <w:rFonts w:hint="eastAsia" w:ascii="Times New Roman" w:hAnsi="Times New Roman" w:cs="Times New Roman" w:eastAsiaTheme="minorEastAsia"/>
          <w:strike w:val="0"/>
          <w:dstrike w:val="0"/>
          <w:color w:val="auto"/>
          <w:spacing w:val="-5"/>
          <w:sz w:val="24"/>
          <w:szCs w:val="24"/>
          <w:lang w:val="en-US" w:eastAsia="zh-CN"/>
        </w:rPr>
        <w:t xml:space="preserve">日； </w:t>
      </w:r>
    </w:p>
    <w:p w14:paraId="6B5F8312">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关于印发《生态保护红线生态环境监督办法（试行）》的通知（国环规生态〔</w:t>
      </w:r>
      <w:r>
        <w:rPr>
          <w:rFonts w:hint="default" w:ascii="Times New Roman" w:hAnsi="Times New Roman" w:cs="Times New Roman" w:eastAsiaTheme="minorEastAsia"/>
          <w:strike w:val="0"/>
          <w:dstrike w:val="0"/>
          <w:color w:val="auto"/>
          <w:spacing w:val="-5"/>
          <w:sz w:val="24"/>
          <w:szCs w:val="24"/>
          <w:lang w:val="en-US" w:eastAsia="zh-CN"/>
        </w:rPr>
        <w:t>2022</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2 </w:t>
      </w:r>
      <w:r>
        <w:rPr>
          <w:rFonts w:hint="eastAsia" w:ascii="Times New Roman" w:hAnsi="Times New Roman" w:cs="Times New Roman" w:eastAsiaTheme="minorEastAsia"/>
          <w:strike w:val="0"/>
          <w:dstrike w:val="0"/>
          <w:color w:val="auto"/>
          <w:spacing w:val="-5"/>
          <w:sz w:val="24"/>
          <w:szCs w:val="24"/>
          <w:lang w:val="en-US" w:eastAsia="zh-CN"/>
        </w:rPr>
        <w:t>号）；</w:t>
      </w:r>
    </w:p>
    <w:p w14:paraId="4E9B05DE">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rPr>
      </w:pPr>
      <w:r>
        <w:rPr>
          <w:rFonts w:hint="eastAsia" w:ascii="Times New Roman" w:hAnsi="Times New Roman" w:cs="Times New Roman" w:eastAsiaTheme="minorEastAsia"/>
          <w:strike w:val="0"/>
          <w:dstrike w:val="0"/>
          <w:color w:val="auto"/>
          <w:spacing w:val="-5"/>
          <w:sz w:val="24"/>
          <w:szCs w:val="24"/>
          <w:lang w:val="en-US" w:eastAsia="zh-CN"/>
        </w:rPr>
        <w:t xml:space="preserve">《铁路安全管理条例》（中华人民共和国国务院令第 </w:t>
      </w:r>
      <w:r>
        <w:rPr>
          <w:rFonts w:hint="default" w:ascii="Times New Roman" w:hAnsi="Times New Roman" w:cs="Times New Roman" w:eastAsiaTheme="minorEastAsia"/>
          <w:strike w:val="0"/>
          <w:dstrike w:val="0"/>
          <w:color w:val="auto"/>
          <w:spacing w:val="-5"/>
          <w:sz w:val="24"/>
          <w:szCs w:val="24"/>
          <w:lang w:val="en-US" w:eastAsia="zh-CN"/>
        </w:rPr>
        <w:t xml:space="preserve">639 </w:t>
      </w:r>
      <w:r>
        <w:rPr>
          <w:rFonts w:hint="eastAsia" w:ascii="Times New Roman" w:hAnsi="Times New Roman" w:cs="Times New Roman" w:eastAsiaTheme="minorEastAsia"/>
          <w:strike w:val="0"/>
          <w:dstrike w:val="0"/>
          <w:color w:val="auto"/>
          <w:spacing w:val="-5"/>
          <w:sz w:val="24"/>
          <w:szCs w:val="24"/>
          <w:lang w:val="en-US" w:eastAsia="zh-CN"/>
        </w:rPr>
        <w:t xml:space="preserve">号）。 </w:t>
      </w:r>
    </w:p>
    <w:p w14:paraId="4B30E3A8">
      <w:pPr>
        <w:keepNext w:val="0"/>
        <w:keepLines w:val="0"/>
        <w:pageBreakBefore w:val="0"/>
        <w:widowControl/>
        <w:numPr>
          <w:ilvl w:val="0"/>
          <w:numId w:val="5"/>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国家环保总局《关于公路、铁路（含轻轨）等建设项目环境影响评价 中环境噪声有关问题的通知》（环发〔</w:t>
      </w:r>
      <w:r>
        <w:rPr>
          <w:rFonts w:hint="default" w:ascii="Times New Roman" w:hAnsi="Times New Roman" w:cs="Times New Roman" w:eastAsiaTheme="minorEastAsia"/>
          <w:strike w:val="0"/>
          <w:dstrike w:val="0"/>
          <w:color w:val="auto"/>
          <w:spacing w:val="-5"/>
          <w:sz w:val="24"/>
          <w:szCs w:val="24"/>
          <w:lang w:val="en-US" w:eastAsia="zh-CN"/>
        </w:rPr>
        <w:t>2003</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94 </w:t>
      </w:r>
      <w:r>
        <w:rPr>
          <w:rFonts w:hint="eastAsia" w:ascii="Times New Roman" w:hAnsi="Times New Roman" w:cs="Times New Roman" w:eastAsiaTheme="minorEastAsia"/>
          <w:strike w:val="0"/>
          <w:dstrike w:val="0"/>
          <w:color w:val="auto"/>
          <w:spacing w:val="-5"/>
          <w:sz w:val="24"/>
          <w:szCs w:val="24"/>
          <w:lang w:val="en-US" w:eastAsia="zh-CN"/>
        </w:rPr>
        <w:t xml:space="preserve">号）； </w:t>
      </w:r>
    </w:p>
    <w:p w14:paraId="2886A333">
      <w:pPr>
        <w:keepNext w:val="0"/>
        <w:keepLines w:val="0"/>
        <w:pageBreakBefore w:val="0"/>
        <w:widowControl/>
        <w:wordWrap/>
        <w:overflowPunct/>
        <w:topLinePunct w:val="0"/>
        <w:autoSpaceDE w:val="0"/>
        <w:autoSpaceDN w:val="0"/>
        <w:bidi w:val="0"/>
        <w:spacing w:before="191" w:line="360" w:lineRule="auto"/>
        <w:ind w:left="484"/>
        <w:textAlignment w:val="baseline"/>
        <w:rPr>
          <w:rFonts w:hint="default" w:ascii="Times New Roman" w:hAnsi="Times New Roman" w:eastAsia="Times New Roman" w:cs="Times New Roman"/>
          <w:b/>
          <w:bCs/>
          <w:color w:val="auto"/>
          <w:spacing w:val="-2"/>
          <w:sz w:val="24"/>
          <w:szCs w:val="24"/>
        </w:rPr>
      </w:pPr>
      <w:r>
        <w:rPr>
          <w:rFonts w:hint="default" w:ascii="Times New Roman" w:hAnsi="Times New Roman" w:eastAsia="Times New Roman" w:cs="Times New Roman"/>
          <w:b/>
          <w:bCs/>
          <w:color w:val="auto"/>
          <w:spacing w:val="-2"/>
          <w:sz w:val="24"/>
          <w:szCs w:val="24"/>
          <w:lang w:val="en-US" w:eastAsia="zh-CN"/>
        </w:rPr>
        <w:t xml:space="preserve">1.1.3. </w:t>
      </w:r>
      <w:r>
        <w:rPr>
          <w:rFonts w:hint="eastAsia" w:ascii="Times New Roman" w:hAnsi="Times New Roman" w:eastAsia="Times New Roman" w:cs="Times New Roman"/>
          <w:b/>
          <w:bCs/>
          <w:color w:val="auto"/>
          <w:spacing w:val="-2"/>
          <w:sz w:val="24"/>
          <w:szCs w:val="24"/>
          <w:lang w:val="en-US" w:eastAsia="zh-CN"/>
        </w:rPr>
        <w:t xml:space="preserve">地方法律、法规及政策 </w:t>
      </w:r>
    </w:p>
    <w:p w14:paraId="11E83E6F">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《云南省固体废物污染环境防治条例》</w:t>
      </w:r>
      <w:r>
        <w:rPr>
          <w:rFonts w:hint="default" w:ascii="Times New Roman" w:hAnsi="Times New Roman" w:cs="Times New Roman" w:eastAsiaTheme="minorEastAsia"/>
          <w:strike w:val="0"/>
          <w:dstrike w:val="0"/>
          <w:color w:val="auto"/>
          <w:spacing w:val="-5"/>
          <w:sz w:val="24"/>
          <w:szCs w:val="24"/>
          <w:lang w:val="en-US" w:eastAsia="zh-CN"/>
        </w:rPr>
        <w:t xml:space="preserve">2023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3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日起施行； </w:t>
      </w:r>
    </w:p>
    <w:p w14:paraId="71C2A638">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 xml:space="preserve">《云南省土壤污染防治条例》，自 </w:t>
      </w:r>
      <w:r>
        <w:rPr>
          <w:rFonts w:hint="default" w:ascii="Times New Roman" w:hAnsi="Times New Roman" w:cs="Times New Roman" w:eastAsiaTheme="minorEastAsia"/>
          <w:strike w:val="0"/>
          <w:dstrike w:val="0"/>
          <w:color w:val="auto"/>
          <w:spacing w:val="-5"/>
          <w:sz w:val="24"/>
          <w:szCs w:val="24"/>
          <w:lang w:val="en-US" w:eastAsia="zh-CN"/>
        </w:rPr>
        <w:t xml:space="preserve">2022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5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日起施行； </w:t>
      </w:r>
    </w:p>
    <w:p w14:paraId="31872D76">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 xml:space="preserve">《云南省生态环境保护条例》，自 </w:t>
      </w:r>
      <w:r>
        <w:rPr>
          <w:rFonts w:hint="default" w:ascii="Times New Roman" w:hAnsi="Times New Roman" w:cs="Times New Roman" w:eastAsiaTheme="minorEastAsia"/>
          <w:strike w:val="0"/>
          <w:dstrike w:val="0"/>
          <w:color w:val="auto"/>
          <w:spacing w:val="-5"/>
          <w:sz w:val="24"/>
          <w:szCs w:val="24"/>
          <w:lang w:val="en-US" w:eastAsia="zh-CN"/>
        </w:rPr>
        <w:t xml:space="preserve">2024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 </w:t>
      </w:r>
      <w:r>
        <w:rPr>
          <w:rFonts w:hint="eastAsia" w:ascii="Times New Roman" w:hAnsi="Times New Roman" w:cs="Times New Roman" w:eastAsiaTheme="minorEastAsia"/>
          <w:strike w:val="0"/>
          <w:dstrike w:val="0"/>
          <w:color w:val="auto"/>
          <w:spacing w:val="-5"/>
          <w:sz w:val="24"/>
          <w:szCs w:val="24"/>
          <w:lang w:val="en-US" w:eastAsia="zh-CN"/>
        </w:rPr>
        <w:t xml:space="preserve">日起施行； </w:t>
      </w:r>
    </w:p>
    <w:p w14:paraId="402A96A4">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《云南省水功能区划（</w:t>
      </w:r>
      <w:r>
        <w:rPr>
          <w:rFonts w:hint="default" w:ascii="Times New Roman" w:hAnsi="Times New Roman" w:cs="Times New Roman" w:eastAsiaTheme="minorEastAsia"/>
          <w:strike w:val="0"/>
          <w:dstrike w:val="0"/>
          <w:color w:val="auto"/>
          <w:spacing w:val="-5"/>
          <w:sz w:val="24"/>
          <w:szCs w:val="24"/>
          <w:lang w:val="en-US" w:eastAsia="zh-CN"/>
        </w:rPr>
        <w:t xml:space="preserve">2014 </w:t>
      </w:r>
      <w:r>
        <w:rPr>
          <w:rFonts w:hint="eastAsia" w:ascii="Times New Roman" w:hAnsi="Times New Roman" w:cs="Times New Roman" w:eastAsiaTheme="minorEastAsia"/>
          <w:strike w:val="0"/>
          <w:dstrike w:val="0"/>
          <w:color w:val="auto"/>
          <w:spacing w:val="-5"/>
          <w:sz w:val="24"/>
          <w:szCs w:val="24"/>
          <w:lang w:val="en-US" w:eastAsia="zh-CN"/>
        </w:rPr>
        <w:t xml:space="preserve">年修订）》； </w:t>
      </w:r>
    </w:p>
    <w:p w14:paraId="2AF9DF58">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default" w:ascii="Times New Roman" w:hAnsi="Times New Roman" w:cs="Times New Roman" w:eastAsiaTheme="minorEastAsia"/>
          <w:strike w:val="0"/>
          <w:dstrike w:val="0"/>
          <w:color w:val="auto"/>
          <w:spacing w:val="-5"/>
          <w:sz w:val="24"/>
          <w:szCs w:val="24"/>
          <w:lang w:val="en-US" w:eastAsia="zh-CN"/>
        </w:rPr>
        <w:t>《云南省地方标准用水定额》（DB53/T 168-</w:t>
      </w:r>
      <w:r>
        <w:rPr>
          <w:rFonts w:hint="eastAsia" w:ascii="Times New Roman" w:hAnsi="Times New Roman" w:cs="Times New Roman" w:eastAsiaTheme="minorEastAsia"/>
          <w:strike w:val="0"/>
          <w:dstrike w:val="0"/>
          <w:color w:val="auto"/>
          <w:spacing w:val="-5"/>
          <w:sz w:val="24"/>
          <w:szCs w:val="24"/>
          <w:lang w:val="en-US" w:eastAsia="zh-CN"/>
        </w:rPr>
        <w:t>2026</w:t>
      </w:r>
      <w:r>
        <w:rPr>
          <w:rFonts w:hint="default" w:ascii="Times New Roman" w:hAnsi="Times New Roman" w:cs="Times New Roman" w:eastAsiaTheme="minorEastAsia"/>
          <w:strike w:val="0"/>
          <w:dstrike w:val="0"/>
          <w:color w:val="auto"/>
          <w:spacing w:val="-5"/>
          <w:sz w:val="24"/>
          <w:szCs w:val="24"/>
          <w:lang w:val="en-US" w:eastAsia="zh-CN"/>
        </w:rPr>
        <w:t>）</w:t>
      </w:r>
    </w:p>
    <w:p w14:paraId="70A08F67">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《云南省生态功能区划》（</w:t>
      </w:r>
      <w:r>
        <w:rPr>
          <w:rFonts w:hint="default" w:ascii="Times New Roman" w:hAnsi="Times New Roman" w:cs="Times New Roman" w:eastAsiaTheme="minorEastAsia"/>
          <w:strike w:val="0"/>
          <w:dstrike w:val="0"/>
          <w:color w:val="auto"/>
          <w:spacing w:val="-5"/>
          <w:sz w:val="24"/>
          <w:szCs w:val="24"/>
          <w:lang w:val="en-US" w:eastAsia="zh-CN"/>
        </w:rPr>
        <w:t xml:space="preserve">2009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9 </w:t>
      </w:r>
      <w:r>
        <w:rPr>
          <w:rFonts w:hint="eastAsia" w:ascii="Times New Roman" w:hAnsi="Times New Roman" w:cs="Times New Roman" w:eastAsiaTheme="minorEastAsia"/>
          <w:strike w:val="0"/>
          <w:dstrike w:val="0"/>
          <w:color w:val="auto"/>
          <w:spacing w:val="-5"/>
          <w:sz w:val="24"/>
          <w:szCs w:val="24"/>
          <w:lang w:val="en-US" w:eastAsia="zh-CN"/>
        </w:rPr>
        <w:t xml:space="preserve">月）； </w:t>
      </w:r>
    </w:p>
    <w:p w14:paraId="68DA9F68">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《云南省陆生野生动物保护条例》（</w:t>
      </w:r>
      <w:r>
        <w:rPr>
          <w:rFonts w:hint="default" w:ascii="Times New Roman" w:hAnsi="Times New Roman" w:cs="Times New Roman" w:eastAsiaTheme="minorEastAsia"/>
          <w:strike w:val="0"/>
          <w:dstrike w:val="0"/>
          <w:color w:val="auto"/>
          <w:spacing w:val="-5"/>
          <w:sz w:val="24"/>
          <w:szCs w:val="24"/>
          <w:lang w:val="en-US" w:eastAsia="zh-CN"/>
        </w:rPr>
        <w:t>1997</w:t>
      </w:r>
      <w:r>
        <w:rPr>
          <w:rFonts w:hint="eastAsia" w:ascii="Times New Roman" w:hAnsi="Times New Roman" w:cs="Times New Roman" w:eastAsiaTheme="minorEastAsia"/>
          <w:strike w:val="0"/>
          <w:dstrike w:val="0"/>
          <w:color w:val="auto"/>
          <w:spacing w:val="-5"/>
          <w:sz w:val="24"/>
          <w:szCs w:val="24"/>
          <w:lang w:val="en-US" w:eastAsia="zh-CN"/>
        </w:rPr>
        <w:t>年</w:t>
      </w:r>
      <w:r>
        <w:rPr>
          <w:rFonts w:hint="default" w:ascii="Times New Roman" w:hAnsi="Times New Roman" w:cs="Times New Roman" w:eastAsiaTheme="minorEastAsia"/>
          <w:strike w:val="0"/>
          <w:dstrike w:val="0"/>
          <w:color w:val="auto"/>
          <w:spacing w:val="-5"/>
          <w:sz w:val="24"/>
          <w:szCs w:val="24"/>
          <w:lang w:val="en-US" w:eastAsia="zh-CN"/>
        </w:rPr>
        <w:t>1</w:t>
      </w:r>
      <w:r>
        <w:rPr>
          <w:rFonts w:hint="eastAsia" w:ascii="Times New Roman" w:hAnsi="Times New Roman" w:cs="Times New Roman" w:eastAsiaTheme="minorEastAsia"/>
          <w:strike w:val="0"/>
          <w:dstrike w:val="0"/>
          <w:color w:val="auto"/>
          <w:spacing w:val="-5"/>
          <w:sz w:val="24"/>
          <w:szCs w:val="24"/>
          <w:lang w:val="en-US" w:eastAsia="zh-CN"/>
        </w:rPr>
        <w:t>月</w:t>
      </w:r>
      <w:r>
        <w:rPr>
          <w:rFonts w:hint="default" w:ascii="Times New Roman" w:hAnsi="Times New Roman" w:cs="Times New Roman" w:eastAsiaTheme="minorEastAsia"/>
          <w:strike w:val="0"/>
          <w:dstrike w:val="0"/>
          <w:color w:val="auto"/>
          <w:spacing w:val="-5"/>
          <w:sz w:val="24"/>
          <w:szCs w:val="24"/>
          <w:lang w:val="en-US" w:eastAsia="zh-CN"/>
        </w:rPr>
        <w:t>1</w:t>
      </w:r>
      <w:r>
        <w:rPr>
          <w:rFonts w:hint="eastAsia" w:ascii="Times New Roman" w:hAnsi="Times New Roman" w:cs="Times New Roman" w:eastAsiaTheme="minorEastAsia"/>
          <w:strike w:val="0"/>
          <w:dstrike w:val="0"/>
          <w:color w:val="auto"/>
          <w:spacing w:val="-5"/>
          <w:sz w:val="24"/>
          <w:szCs w:val="24"/>
          <w:lang w:val="en-US" w:eastAsia="zh-CN"/>
        </w:rPr>
        <w:t>日实施，</w:t>
      </w:r>
      <w:r>
        <w:rPr>
          <w:rFonts w:hint="default" w:ascii="Times New Roman" w:hAnsi="Times New Roman" w:cs="Times New Roman" w:eastAsiaTheme="minorEastAsia"/>
          <w:strike w:val="0"/>
          <w:dstrike w:val="0"/>
          <w:color w:val="auto"/>
          <w:spacing w:val="-5"/>
          <w:sz w:val="24"/>
          <w:szCs w:val="24"/>
          <w:lang w:val="en-US" w:eastAsia="zh-CN"/>
        </w:rPr>
        <w:t>2014</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7</w:t>
      </w:r>
      <w:r>
        <w:rPr>
          <w:rFonts w:hint="eastAsia" w:ascii="Times New Roman" w:hAnsi="Times New Roman" w:cs="Times New Roman" w:eastAsiaTheme="minorEastAsia"/>
          <w:strike w:val="0"/>
          <w:dstrike w:val="0"/>
          <w:color w:val="auto"/>
          <w:spacing w:val="-5"/>
          <w:sz w:val="24"/>
          <w:szCs w:val="24"/>
          <w:lang w:val="en-US" w:eastAsia="zh-CN"/>
        </w:rPr>
        <w:t>月</w:t>
      </w:r>
      <w:r>
        <w:rPr>
          <w:rFonts w:hint="default" w:ascii="Times New Roman" w:hAnsi="Times New Roman" w:cs="Times New Roman" w:eastAsiaTheme="minorEastAsia"/>
          <w:strike w:val="0"/>
          <w:dstrike w:val="0"/>
          <w:color w:val="auto"/>
          <w:spacing w:val="-5"/>
          <w:sz w:val="24"/>
          <w:szCs w:val="24"/>
          <w:lang w:val="en-US" w:eastAsia="zh-CN"/>
        </w:rPr>
        <w:t>27</w:t>
      </w:r>
      <w:r>
        <w:rPr>
          <w:rFonts w:hint="eastAsia" w:ascii="Times New Roman" w:hAnsi="Times New Roman" w:cs="Times New Roman" w:eastAsiaTheme="minorEastAsia"/>
          <w:strike w:val="0"/>
          <w:dstrike w:val="0"/>
          <w:color w:val="auto"/>
          <w:spacing w:val="-5"/>
          <w:sz w:val="24"/>
          <w:szCs w:val="24"/>
          <w:lang w:val="en-US" w:eastAsia="zh-CN"/>
        </w:rPr>
        <w:t>日修正）；</w:t>
      </w:r>
    </w:p>
    <w:p w14:paraId="4E7C72EE">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《云南省极小种群野生植物保护名录（</w:t>
      </w:r>
      <w:r>
        <w:rPr>
          <w:rFonts w:hint="default" w:ascii="Times New Roman" w:hAnsi="Times New Roman" w:cs="Times New Roman" w:eastAsiaTheme="minorEastAsia"/>
          <w:strike w:val="0"/>
          <w:dstrike w:val="0"/>
          <w:color w:val="auto"/>
          <w:spacing w:val="-5"/>
          <w:sz w:val="24"/>
          <w:szCs w:val="24"/>
          <w:lang w:val="en-US" w:eastAsia="zh-CN"/>
        </w:rPr>
        <w:t xml:space="preserve">2022 </w:t>
      </w:r>
      <w:r>
        <w:rPr>
          <w:rFonts w:hint="eastAsia" w:ascii="Times New Roman" w:hAnsi="Times New Roman" w:cs="Times New Roman" w:eastAsiaTheme="minorEastAsia"/>
          <w:strike w:val="0"/>
          <w:dstrike w:val="0"/>
          <w:color w:val="auto"/>
          <w:spacing w:val="-5"/>
          <w:sz w:val="24"/>
          <w:szCs w:val="24"/>
          <w:lang w:val="en-US" w:eastAsia="zh-CN"/>
        </w:rPr>
        <w:t xml:space="preserve">年版）》； </w:t>
      </w:r>
    </w:p>
    <w:p w14:paraId="131F14BD">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 xml:space="preserve">《云南省重点保护野生植物名录》（云南省林业和草原局 云南省农业 农村厅 公告 </w:t>
      </w:r>
      <w:r>
        <w:rPr>
          <w:rFonts w:hint="default" w:ascii="Times New Roman" w:hAnsi="Times New Roman" w:cs="Times New Roman" w:eastAsiaTheme="minorEastAsia"/>
          <w:strike w:val="0"/>
          <w:dstrike w:val="0"/>
          <w:color w:val="auto"/>
          <w:spacing w:val="-5"/>
          <w:sz w:val="24"/>
          <w:szCs w:val="24"/>
          <w:lang w:val="en-US" w:eastAsia="zh-CN"/>
        </w:rPr>
        <w:t xml:space="preserve">2023 </w:t>
      </w:r>
      <w:r>
        <w:rPr>
          <w:rFonts w:hint="eastAsia" w:ascii="Times New Roman" w:hAnsi="Times New Roman" w:cs="Times New Roman" w:eastAsiaTheme="minorEastAsia"/>
          <w:strike w:val="0"/>
          <w:dstrike w:val="0"/>
          <w:color w:val="auto"/>
          <w:spacing w:val="-5"/>
          <w:sz w:val="24"/>
          <w:szCs w:val="24"/>
          <w:lang w:val="en-US" w:eastAsia="zh-CN"/>
        </w:rPr>
        <w:t xml:space="preserve">年第 </w:t>
      </w:r>
      <w:r>
        <w:rPr>
          <w:rFonts w:hint="default" w:ascii="Times New Roman" w:hAnsi="Times New Roman" w:cs="Times New Roman" w:eastAsiaTheme="minorEastAsia"/>
          <w:strike w:val="0"/>
          <w:dstrike w:val="0"/>
          <w:color w:val="auto"/>
          <w:spacing w:val="-5"/>
          <w:sz w:val="24"/>
          <w:szCs w:val="24"/>
          <w:lang w:val="en-US" w:eastAsia="zh-CN"/>
        </w:rPr>
        <w:t xml:space="preserve">11 </w:t>
      </w:r>
      <w:r>
        <w:rPr>
          <w:rFonts w:hint="eastAsia" w:ascii="Times New Roman" w:hAnsi="Times New Roman" w:cs="Times New Roman" w:eastAsiaTheme="minorEastAsia"/>
          <w:strike w:val="0"/>
          <w:dstrike w:val="0"/>
          <w:color w:val="auto"/>
          <w:spacing w:val="-5"/>
          <w:sz w:val="24"/>
          <w:szCs w:val="24"/>
          <w:lang w:val="en-US" w:eastAsia="zh-CN"/>
        </w:rPr>
        <w:t>号）；</w:t>
      </w:r>
    </w:p>
    <w:p w14:paraId="19146F99">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《云南省重点保护陆生野生动物名录》（</w:t>
      </w:r>
      <w:r>
        <w:rPr>
          <w:rFonts w:hint="default" w:ascii="Times New Roman" w:hAnsi="Times New Roman" w:cs="Times New Roman" w:eastAsiaTheme="minorEastAsia"/>
          <w:strike w:val="0"/>
          <w:dstrike w:val="0"/>
          <w:color w:val="auto"/>
          <w:spacing w:val="-5"/>
          <w:sz w:val="24"/>
          <w:szCs w:val="24"/>
          <w:lang w:val="en-US" w:eastAsia="zh-CN"/>
        </w:rPr>
        <w:t xml:space="preserve">2023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12 </w:t>
      </w:r>
      <w:r>
        <w:rPr>
          <w:rFonts w:hint="eastAsia" w:ascii="Times New Roman" w:hAnsi="Times New Roman" w:cs="Times New Roman" w:eastAsiaTheme="minorEastAsia"/>
          <w:strike w:val="0"/>
          <w:dstrike w:val="0"/>
          <w:color w:val="auto"/>
          <w:spacing w:val="-5"/>
          <w:sz w:val="24"/>
          <w:szCs w:val="24"/>
          <w:lang w:val="en-US" w:eastAsia="zh-CN"/>
        </w:rPr>
        <w:t xml:space="preserve">月）； </w:t>
      </w:r>
    </w:p>
    <w:p w14:paraId="4C491E35">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《云南省珍稀动物保护目录》（</w:t>
      </w:r>
      <w:r>
        <w:rPr>
          <w:rFonts w:hint="default" w:ascii="Times New Roman" w:hAnsi="Times New Roman" w:cs="Times New Roman" w:eastAsiaTheme="minorEastAsia"/>
          <w:strike w:val="0"/>
          <w:dstrike w:val="0"/>
          <w:color w:val="auto"/>
          <w:spacing w:val="-5"/>
          <w:sz w:val="24"/>
          <w:szCs w:val="24"/>
          <w:lang w:val="en-US" w:eastAsia="zh-CN"/>
        </w:rPr>
        <w:t xml:space="preserve">1989 </w:t>
      </w:r>
      <w:r>
        <w:rPr>
          <w:rFonts w:hint="eastAsia" w:ascii="Times New Roman" w:hAnsi="Times New Roman" w:cs="Times New Roman" w:eastAsiaTheme="minorEastAsia"/>
          <w:strike w:val="0"/>
          <w:dstrike w:val="0"/>
          <w:color w:val="auto"/>
          <w:spacing w:val="-5"/>
          <w:sz w:val="24"/>
          <w:szCs w:val="24"/>
          <w:lang w:val="en-US" w:eastAsia="zh-CN"/>
        </w:rPr>
        <w:t xml:space="preserve">年）； </w:t>
      </w:r>
    </w:p>
    <w:p w14:paraId="4DD6BDE3">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《云南省珍贵树种名录》（</w:t>
      </w:r>
      <w:r>
        <w:rPr>
          <w:rFonts w:hint="default" w:ascii="Times New Roman" w:hAnsi="Times New Roman" w:cs="Times New Roman" w:eastAsiaTheme="minorEastAsia"/>
          <w:strike w:val="0"/>
          <w:dstrike w:val="0"/>
          <w:color w:val="auto"/>
          <w:spacing w:val="-5"/>
          <w:sz w:val="24"/>
          <w:szCs w:val="24"/>
          <w:lang w:val="en-US" w:eastAsia="zh-CN"/>
        </w:rPr>
        <w:t xml:space="preserve">2008 </w:t>
      </w:r>
      <w:r>
        <w:rPr>
          <w:rFonts w:hint="eastAsia" w:ascii="Times New Roman" w:hAnsi="Times New Roman" w:cs="Times New Roman" w:eastAsiaTheme="minorEastAsia"/>
          <w:strike w:val="0"/>
          <w:dstrike w:val="0"/>
          <w:color w:val="auto"/>
          <w:spacing w:val="-5"/>
          <w:sz w:val="24"/>
          <w:szCs w:val="24"/>
          <w:lang w:val="en-US" w:eastAsia="zh-CN"/>
        </w:rPr>
        <w:t xml:space="preserve">年）； </w:t>
      </w:r>
    </w:p>
    <w:p w14:paraId="58E38910">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b w:val="0"/>
          <w:bCs/>
          <w:strike w:val="0"/>
          <w:dstrike w:val="0"/>
          <w:color w:val="auto"/>
          <w:spacing w:val="-5"/>
          <w:sz w:val="24"/>
          <w:szCs w:val="24"/>
          <w:lang w:val="en-US" w:eastAsia="zh-CN"/>
        </w:rPr>
      </w:pPr>
      <w:r>
        <w:rPr>
          <w:rFonts w:hint="default" w:ascii="Times New Roman" w:hAnsi="Times New Roman" w:eastAsia="宋体" w:cs="Times New Roman"/>
          <w:b w:val="0"/>
          <w:bCs/>
          <w:color w:val="auto"/>
          <w:kern w:val="1"/>
          <w:sz w:val="24"/>
          <w:szCs w:val="24"/>
          <w:highlight w:val="none"/>
          <w:lang w:val="en-US" w:eastAsia="zh-CN"/>
        </w:rPr>
        <w:t>《云南省生物多样性保护条例》</w:t>
      </w:r>
      <w:r>
        <w:rPr>
          <w:rFonts w:hint="eastAsia" w:ascii="Times New Roman" w:hAnsi="Times New Roman" w:eastAsia="宋体" w:cs="Times New Roman"/>
          <w:b w:val="0"/>
          <w:bCs/>
          <w:color w:val="auto"/>
          <w:kern w:val="1"/>
          <w:sz w:val="24"/>
          <w:szCs w:val="24"/>
          <w:highlight w:val="none"/>
          <w:lang w:val="en-US" w:eastAsia="zh-CN"/>
        </w:rPr>
        <w:t>（2018年）；</w:t>
      </w:r>
    </w:p>
    <w:p w14:paraId="16F332F2">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b w:val="0"/>
          <w:bCs/>
          <w:strike w:val="0"/>
          <w:dstrike w:val="0"/>
          <w:color w:val="auto"/>
          <w:spacing w:val="-5"/>
          <w:sz w:val="24"/>
          <w:szCs w:val="24"/>
          <w:lang w:val="en-US" w:eastAsia="zh-CN"/>
        </w:rPr>
      </w:pPr>
      <w:r>
        <w:rPr>
          <w:rFonts w:hint="default" w:ascii="Times New Roman" w:hAnsi="Times New Roman" w:eastAsia="宋体" w:cs="Times New Roman"/>
          <w:b w:val="0"/>
          <w:bCs/>
          <w:color w:val="auto"/>
          <w:kern w:val="1"/>
          <w:sz w:val="24"/>
          <w:szCs w:val="24"/>
          <w:highlight w:val="none"/>
          <w:lang w:val="en-US" w:eastAsia="zh-CN"/>
        </w:rPr>
        <w:t>《云南省生物多样性保护战略与行动计划</w:t>
      </w:r>
      <w:r>
        <w:rPr>
          <w:rFonts w:hint="eastAsia" w:ascii="Times New Roman" w:hAnsi="Times New Roman" w:eastAsia="宋体" w:cs="Times New Roman"/>
          <w:b w:val="0"/>
          <w:bCs/>
          <w:color w:val="auto"/>
          <w:kern w:val="1"/>
          <w:sz w:val="24"/>
          <w:szCs w:val="24"/>
          <w:highlight w:val="none"/>
          <w:lang w:val="en-US" w:eastAsia="zh-CN"/>
        </w:rPr>
        <w:t>（</w:t>
      </w:r>
      <w:r>
        <w:rPr>
          <w:rFonts w:hint="default" w:ascii="Times New Roman" w:hAnsi="Times New Roman" w:eastAsia="宋体" w:cs="Times New Roman"/>
          <w:b w:val="0"/>
          <w:bCs/>
          <w:color w:val="auto"/>
          <w:kern w:val="1"/>
          <w:sz w:val="24"/>
          <w:szCs w:val="24"/>
          <w:highlight w:val="none"/>
          <w:lang w:val="en-US" w:eastAsia="zh-CN"/>
        </w:rPr>
        <w:t>2024～2030年）》</w:t>
      </w:r>
    </w:p>
    <w:p w14:paraId="4DAAE953">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《云南省人民政府关于发布云南省生态保护红线的通知》（云政发〔</w:t>
      </w:r>
      <w:r>
        <w:rPr>
          <w:rFonts w:hint="default" w:ascii="Times New Roman" w:hAnsi="Times New Roman" w:cs="Times New Roman" w:eastAsiaTheme="minorEastAsia"/>
          <w:strike w:val="0"/>
          <w:dstrike w:val="0"/>
          <w:color w:val="auto"/>
          <w:spacing w:val="-5"/>
          <w:sz w:val="24"/>
          <w:szCs w:val="24"/>
          <w:lang w:val="en-US" w:eastAsia="zh-CN"/>
        </w:rPr>
        <w:t>2018</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32 </w:t>
      </w:r>
      <w:r>
        <w:rPr>
          <w:rFonts w:hint="eastAsia" w:ascii="Times New Roman" w:hAnsi="Times New Roman" w:cs="Times New Roman" w:eastAsiaTheme="minorEastAsia"/>
          <w:strike w:val="0"/>
          <w:dstrike w:val="0"/>
          <w:color w:val="auto"/>
          <w:spacing w:val="-5"/>
          <w:sz w:val="24"/>
          <w:szCs w:val="24"/>
          <w:lang w:val="en-US" w:eastAsia="zh-CN"/>
        </w:rPr>
        <w:t>号）（</w:t>
      </w:r>
      <w:r>
        <w:rPr>
          <w:rFonts w:hint="default" w:ascii="Times New Roman" w:hAnsi="Times New Roman" w:cs="Times New Roman" w:eastAsiaTheme="minorEastAsia"/>
          <w:strike w:val="0"/>
          <w:dstrike w:val="0"/>
          <w:color w:val="auto"/>
          <w:spacing w:val="-5"/>
          <w:sz w:val="24"/>
          <w:szCs w:val="24"/>
          <w:lang w:val="en-US" w:eastAsia="zh-CN"/>
        </w:rPr>
        <w:t xml:space="preserve">2018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6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29 </w:t>
      </w:r>
      <w:r>
        <w:rPr>
          <w:rFonts w:hint="eastAsia" w:ascii="Times New Roman" w:hAnsi="Times New Roman" w:cs="Times New Roman" w:eastAsiaTheme="minorEastAsia"/>
          <w:strike w:val="0"/>
          <w:dstrike w:val="0"/>
          <w:color w:val="auto"/>
          <w:spacing w:val="-5"/>
          <w:sz w:val="24"/>
          <w:szCs w:val="24"/>
          <w:lang w:val="en-US" w:eastAsia="zh-CN"/>
        </w:rPr>
        <w:t xml:space="preserve">日）； </w:t>
      </w:r>
    </w:p>
    <w:p w14:paraId="38E22E86">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（《云南省生态环境分区管控动态更新方案（</w:t>
      </w:r>
      <w:r>
        <w:rPr>
          <w:rFonts w:hint="default" w:ascii="Times New Roman" w:hAnsi="Times New Roman" w:cs="Times New Roman" w:eastAsiaTheme="minorEastAsia"/>
          <w:strike w:val="0"/>
          <w:dstrike w:val="0"/>
          <w:color w:val="auto"/>
          <w:spacing w:val="-5"/>
          <w:sz w:val="24"/>
          <w:szCs w:val="24"/>
          <w:lang w:val="en-US" w:eastAsia="zh-CN"/>
        </w:rPr>
        <w:t xml:space="preserve">2023 </w:t>
      </w:r>
      <w:r>
        <w:rPr>
          <w:rFonts w:hint="eastAsia" w:ascii="Times New Roman" w:hAnsi="Times New Roman" w:cs="Times New Roman" w:eastAsiaTheme="minorEastAsia"/>
          <w:strike w:val="0"/>
          <w:dstrike w:val="0"/>
          <w:color w:val="auto"/>
          <w:spacing w:val="-5"/>
          <w:sz w:val="24"/>
          <w:szCs w:val="24"/>
          <w:lang w:val="en-US" w:eastAsia="zh-CN"/>
        </w:rPr>
        <w:t>年）》（</w:t>
      </w:r>
      <w:r>
        <w:rPr>
          <w:rFonts w:hint="default" w:ascii="Times New Roman" w:hAnsi="Times New Roman" w:cs="Times New Roman" w:eastAsiaTheme="minorEastAsia"/>
          <w:strike w:val="0"/>
          <w:dstrike w:val="0"/>
          <w:color w:val="auto"/>
          <w:spacing w:val="-5"/>
          <w:sz w:val="24"/>
          <w:szCs w:val="24"/>
          <w:lang w:val="en-US" w:eastAsia="zh-CN"/>
        </w:rPr>
        <w:t xml:space="preserve">2024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11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19 </w:t>
      </w:r>
      <w:r>
        <w:rPr>
          <w:rFonts w:hint="eastAsia" w:ascii="Times New Roman" w:hAnsi="Times New Roman" w:cs="Times New Roman" w:eastAsiaTheme="minorEastAsia"/>
          <w:strike w:val="0"/>
          <w:dstrike w:val="0"/>
          <w:color w:val="auto"/>
          <w:spacing w:val="-5"/>
          <w:sz w:val="24"/>
          <w:szCs w:val="24"/>
          <w:lang w:val="en-US" w:eastAsia="zh-CN"/>
        </w:rPr>
        <w:t xml:space="preserve">日）； </w:t>
      </w:r>
    </w:p>
    <w:p w14:paraId="6E17BB14">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《云南省环境保护厅建设项目环境影响评价政府信息公开工作规程 （试行）的通知》（云环发〔</w:t>
      </w:r>
      <w:r>
        <w:rPr>
          <w:rFonts w:hint="default" w:ascii="Times New Roman" w:hAnsi="Times New Roman" w:cs="Times New Roman" w:eastAsiaTheme="minorEastAsia"/>
          <w:strike w:val="0"/>
          <w:dstrike w:val="0"/>
          <w:color w:val="auto"/>
          <w:spacing w:val="-5"/>
          <w:sz w:val="24"/>
          <w:szCs w:val="24"/>
          <w:lang w:val="en-US" w:eastAsia="zh-CN"/>
        </w:rPr>
        <w:t>2014</w:t>
      </w: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 xml:space="preserve">62 </w:t>
      </w:r>
      <w:r>
        <w:rPr>
          <w:rFonts w:hint="eastAsia" w:ascii="Times New Roman" w:hAnsi="Times New Roman" w:cs="Times New Roman" w:eastAsiaTheme="minorEastAsia"/>
          <w:strike w:val="0"/>
          <w:dstrike w:val="0"/>
          <w:color w:val="auto"/>
          <w:spacing w:val="-5"/>
          <w:sz w:val="24"/>
          <w:szCs w:val="24"/>
          <w:lang w:val="en-US" w:eastAsia="zh-CN"/>
        </w:rPr>
        <w:t xml:space="preserve">号）； </w:t>
      </w:r>
    </w:p>
    <w:p w14:paraId="0CB3D910">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《云南省人民政府关于印发〈云南省空气质量持续改善行动实施方案〉的通知》（</w:t>
      </w:r>
      <w:r>
        <w:rPr>
          <w:rFonts w:hint="default" w:ascii="Times New Roman" w:hAnsi="Times New Roman" w:cs="Times New Roman" w:eastAsiaTheme="minorEastAsia"/>
          <w:strike w:val="0"/>
          <w:dstrike w:val="0"/>
          <w:color w:val="auto"/>
          <w:spacing w:val="-5"/>
          <w:sz w:val="24"/>
          <w:szCs w:val="24"/>
          <w:lang w:val="en-US" w:eastAsia="zh-CN"/>
        </w:rPr>
        <w:t xml:space="preserve">2024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4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23 </w:t>
      </w:r>
      <w:r>
        <w:rPr>
          <w:rFonts w:hint="eastAsia" w:ascii="Times New Roman" w:hAnsi="Times New Roman" w:cs="Times New Roman" w:eastAsiaTheme="minorEastAsia"/>
          <w:strike w:val="0"/>
          <w:dstrike w:val="0"/>
          <w:color w:val="auto"/>
          <w:spacing w:val="-5"/>
          <w:sz w:val="24"/>
          <w:szCs w:val="24"/>
          <w:lang w:val="en-US" w:eastAsia="zh-CN"/>
        </w:rPr>
        <w:t xml:space="preserve">日）； </w:t>
      </w:r>
    </w:p>
    <w:p w14:paraId="47ED6228">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《中共云南省委 云南省人民政府关于深入打好污染防治攻坚战的实施意见》，（</w:t>
      </w:r>
      <w:r>
        <w:rPr>
          <w:rFonts w:hint="default" w:ascii="Times New Roman" w:hAnsi="Times New Roman" w:cs="Times New Roman" w:eastAsiaTheme="minorEastAsia"/>
          <w:strike w:val="0"/>
          <w:dstrike w:val="0"/>
          <w:color w:val="auto"/>
          <w:spacing w:val="-5"/>
          <w:sz w:val="24"/>
          <w:szCs w:val="24"/>
          <w:lang w:val="en-US" w:eastAsia="zh-CN"/>
        </w:rPr>
        <w:t xml:space="preserve">2022 </w:t>
      </w:r>
      <w:r>
        <w:rPr>
          <w:rFonts w:hint="eastAsia" w:ascii="Times New Roman" w:hAnsi="Times New Roman" w:cs="Times New Roman" w:eastAsiaTheme="minorEastAsia"/>
          <w:strike w:val="0"/>
          <w:dstrike w:val="0"/>
          <w:color w:val="auto"/>
          <w:spacing w:val="-5"/>
          <w:sz w:val="24"/>
          <w:szCs w:val="24"/>
          <w:lang w:val="en-US" w:eastAsia="zh-CN"/>
        </w:rPr>
        <w:t xml:space="preserve">年 </w:t>
      </w:r>
      <w:r>
        <w:rPr>
          <w:rFonts w:hint="default" w:ascii="Times New Roman" w:hAnsi="Times New Roman" w:cs="Times New Roman" w:eastAsiaTheme="minorEastAsia"/>
          <w:strike w:val="0"/>
          <w:dstrike w:val="0"/>
          <w:color w:val="auto"/>
          <w:spacing w:val="-5"/>
          <w:sz w:val="24"/>
          <w:szCs w:val="24"/>
          <w:lang w:val="en-US" w:eastAsia="zh-CN"/>
        </w:rPr>
        <w:t xml:space="preserve">7 </w:t>
      </w:r>
      <w:r>
        <w:rPr>
          <w:rFonts w:hint="eastAsia" w:ascii="Times New Roman" w:hAnsi="Times New Roman" w:cs="Times New Roman" w:eastAsiaTheme="minorEastAsia"/>
          <w:strike w:val="0"/>
          <w:dstrike w:val="0"/>
          <w:color w:val="auto"/>
          <w:spacing w:val="-5"/>
          <w:sz w:val="24"/>
          <w:szCs w:val="24"/>
          <w:lang w:val="en-US" w:eastAsia="zh-CN"/>
        </w:rPr>
        <w:t xml:space="preserve">月 </w:t>
      </w:r>
      <w:r>
        <w:rPr>
          <w:rFonts w:hint="default" w:ascii="Times New Roman" w:hAnsi="Times New Roman" w:cs="Times New Roman" w:eastAsiaTheme="minorEastAsia"/>
          <w:strike w:val="0"/>
          <w:dstrike w:val="0"/>
          <w:color w:val="auto"/>
          <w:spacing w:val="-5"/>
          <w:sz w:val="24"/>
          <w:szCs w:val="24"/>
          <w:lang w:val="en-US" w:eastAsia="zh-CN"/>
        </w:rPr>
        <w:t xml:space="preserve">27 </w:t>
      </w:r>
      <w:r>
        <w:rPr>
          <w:rFonts w:hint="eastAsia" w:ascii="Times New Roman" w:hAnsi="Times New Roman" w:cs="Times New Roman" w:eastAsiaTheme="minorEastAsia"/>
          <w:strike w:val="0"/>
          <w:dstrike w:val="0"/>
          <w:color w:val="auto"/>
          <w:spacing w:val="-5"/>
          <w:sz w:val="24"/>
          <w:szCs w:val="24"/>
          <w:lang w:val="en-US" w:eastAsia="zh-CN"/>
        </w:rPr>
        <w:t xml:space="preserve">日，中共云南省委 云南省人民政府印发）； </w:t>
      </w:r>
    </w:p>
    <w:p w14:paraId="607304DE">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《云南省长江经济带发展负面清单指南实施细则（试行，</w:t>
      </w:r>
      <w:r>
        <w:rPr>
          <w:rFonts w:hint="default" w:ascii="Times New Roman" w:hAnsi="Times New Roman" w:cs="Times New Roman" w:eastAsiaTheme="minorEastAsia"/>
          <w:strike w:val="0"/>
          <w:dstrike w:val="0"/>
          <w:color w:val="auto"/>
          <w:spacing w:val="-5"/>
          <w:sz w:val="24"/>
          <w:szCs w:val="24"/>
          <w:lang w:val="en-US" w:eastAsia="zh-CN"/>
        </w:rPr>
        <w:t xml:space="preserve">2022 </w:t>
      </w:r>
      <w:r>
        <w:rPr>
          <w:rFonts w:hint="eastAsia" w:ascii="Times New Roman" w:hAnsi="Times New Roman" w:cs="Times New Roman" w:eastAsiaTheme="minorEastAsia"/>
          <w:strike w:val="0"/>
          <w:dstrike w:val="0"/>
          <w:color w:val="auto"/>
          <w:spacing w:val="-5"/>
          <w:sz w:val="24"/>
          <w:szCs w:val="24"/>
          <w:lang w:val="en-US" w:eastAsia="zh-CN"/>
        </w:rPr>
        <w:t>年版）》；</w:t>
      </w:r>
    </w:p>
    <w:p w14:paraId="36F01BBA">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default" w:ascii="Times New Roman" w:hAnsi="Times New Roman" w:cs="Times New Roman"/>
          <w:color w:val="auto"/>
          <w:kern w:val="0"/>
          <w:sz w:val="24"/>
          <w:highlight w:val="none"/>
          <w:lang w:val="en-US" w:eastAsia="zh-CN"/>
        </w:rPr>
        <w:t>《曲靖市生态环境分区管控动态更新方案</w:t>
      </w:r>
      <w:r>
        <w:rPr>
          <w:rFonts w:hint="eastAsia" w:ascii="Times New Roman" w:hAnsi="Times New Roman" w:cs="Times New Roman"/>
          <w:color w:val="auto"/>
          <w:kern w:val="0"/>
          <w:sz w:val="24"/>
          <w:highlight w:val="none"/>
          <w:lang w:val="en-US" w:eastAsia="zh-CN"/>
        </w:rPr>
        <w:t>（</w:t>
      </w:r>
      <w:r>
        <w:rPr>
          <w:rFonts w:hint="default" w:ascii="Times New Roman" w:hAnsi="Times New Roman" w:cs="Times New Roman"/>
          <w:color w:val="auto"/>
          <w:kern w:val="0"/>
          <w:sz w:val="24"/>
          <w:highlight w:val="none"/>
          <w:lang w:val="en-US" w:eastAsia="zh-CN"/>
        </w:rPr>
        <w:t>2023年）》</w:t>
      </w:r>
      <w:r>
        <w:rPr>
          <w:rFonts w:hint="eastAsia" w:eastAsia="宋体"/>
          <w:color w:val="auto"/>
          <w:lang w:eastAsia="zh-CN"/>
        </w:rPr>
        <w:t>；</w:t>
      </w:r>
    </w:p>
    <w:p w14:paraId="1CFD788E">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b w:val="0"/>
          <w:bCs w:val="0"/>
          <w:strike w:val="0"/>
          <w:dstrike w:val="0"/>
          <w:color w:val="auto"/>
          <w:spacing w:val="-5"/>
          <w:sz w:val="24"/>
          <w:szCs w:val="24"/>
          <w:lang w:val="en-US" w:eastAsia="zh-CN"/>
        </w:rPr>
      </w:pPr>
      <w:r>
        <w:rPr>
          <w:rFonts w:hint="eastAsia" w:ascii="Times New Roman" w:hAnsi="Times New Roman" w:eastAsia="宋体" w:cs="Times New Roman"/>
          <w:b w:val="0"/>
          <w:bCs w:val="0"/>
          <w:color w:val="auto"/>
          <w:kern w:val="0"/>
          <w:sz w:val="24"/>
          <w:lang w:val="en-US" w:eastAsia="zh-CN"/>
        </w:rPr>
        <w:t>《云南省国土空间总体规划（2021-2035年）》；</w:t>
      </w:r>
    </w:p>
    <w:p w14:paraId="470D8783">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b w:val="0"/>
          <w:bCs w:val="0"/>
          <w:strike w:val="0"/>
          <w:dstrike w:val="0"/>
          <w:color w:val="auto"/>
          <w:spacing w:val="-5"/>
          <w:sz w:val="24"/>
          <w:szCs w:val="24"/>
          <w:lang w:val="en-US" w:eastAsia="zh-CN"/>
        </w:rPr>
      </w:pPr>
      <w:r>
        <w:rPr>
          <w:rFonts w:hint="eastAsia" w:ascii="Times New Roman" w:hAnsi="Times New Roman" w:eastAsia="宋体" w:cs="Times New Roman"/>
          <w:b w:val="0"/>
          <w:bCs w:val="0"/>
          <w:color w:val="auto"/>
          <w:kern w:val="0"/>
          <w:sz w:val="24"/>
          <w:lang w:val="en-US" w:eastAsia="zh-CN"/>
        </w:rPr>
        <w:t>《曲靖市国土空间总体规划（2021-2035年）》；</w:t>
      </w:r>
    </w:p>
    <w:p w14:paraId="7B54CDA3">
      <w:pPr>
        <w:spacing w:before="333" w:line="220" w:lineRule="auto"/>
        <w:ind w:left="305"/>
        <w:rPr>
          <w:rFonts w:hint="default" w:ascii="Times New Roman" w:hAnsi="Times New Roman" w:eastAsia="宋体" w:cs="Times New Roman"/>
          <w:color w:val="auto"/>
          <w:sz w:val="30"/>
          <w:szCs w:val="30"/>
        </w:rPr>
      </w:pPr>
      <w:r>
        <w:rPr>
          <w:rFonts w:hint="default" w:ascii="Times New Roman" w:hAnsi="Times New Roman" w:eastAsia="Times New Roman" w:cs="Times New Roman"/>
          <w:b/>
          <w:bCs/>
          <w:color w:val="auto"/>
          <w:spacing w:val="-2"/>
          <w:sz w:val="30"/>
          <w:szCs w:val="30"/>
        </w:rPr>
        <w:t>2.1.3.</w:t>
      </w:r>
      <w:r>
        <w:rPr>
          <w:rFonts w:hint="default" w:ascii="Times New Roman" w:hAnsi="Times New Roman" w:eastAsia="宋体" w:cs="Times New Roman"/>
          <w:b/>
          <w:bCs/>
          <w:color w:val="auto"/>
          <w:spacing w:val="-2"/>
          <w:sz w:val="30"/>
          <w:szCs w:val="30"/>
        </w:rPr>
        <w:t>环境保护技术规范</w:t>
      </w:r>
    </w:p>
    <w:p w14:paraId="59DEA214">
      <w:pPr>
        <w:pStyle w:val="9"/>
        <w:spacing w:line="358" w:lineRule="auto"/>
        <w:rPr>
          <w:rFonts w:hint="default" w:ascii="Times New Roman" w:hAnsi="Times New Roman" w:cs="Times New Roman"/>
          <w:color w:val="auto"/>
        </w:rPr>
      </w:pPr>
    </w:p>
    <w:p w14:paraId="0374A593">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《建设项目环境影响评价技术导则 总纲》（</w:t>
      </w:r>
      <w:r>
        <w:rPr>
          <w:rFonts w:hint="default" w:ascii="Times New Roman" w:hAnsi="Times New Roman" w:cs="Times New Roman" w:eastAsiaTheme="minorEastAsia"/>
          <w:strike w:val="0"/>
          <w:dstrike w:val="0"/>
          <w:color w:val="auto"/>
          <w:spacing w:val="-5"/>
          <w:sz w:val="24"/>
          <w:szCs w:val="24"/>
          <w:lang w:val="en-US" w:eastAsia="zh-CN"/>
        </w:rPr>
        <w:t>HJ 2.1-2016</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5B505A0A">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《环境影响评价技术导则 大气环境》（</w:t>
      </w:r>
      <w:r>
        <w:rPr>
          <w:rFonts w:hint="default" w:ascii="Times New Roman" w:hAnsi="Times New Roman" w:cs="Times New Roman" w:eastAsiaTheme="minorEastAsia"/>
          <w:strike w:val="0"/>
          <w:dstrike w:val="0"/>
          <w:color w:val="auto"/>
          <w:spacing w:val="-5"/>
          <w:sz w:val="24"/>
          <w:szCs w:val="24"/>
          <w:lang w:val="en-US" w:eastAsia="zh-CN"/>
        </w:rPr>
        <w:t>HJ 2.2-2018</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1E334510">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《环境影响评价技术导则 地表水环境》（</w:t>
      </w:r>
      <w:r>
        <w:rPr>
          <w:rFonts w:hint="default" w:ascii="Times New Roman" w:hAnsi="Times New Roman" w:cs="Times New Roman" w:eastAsiaTheme="minorEastAsia"/>
          <w:strike w:val="0"/>
          <w:dstrike w:val="0"/>
          <w:color w:val="auto"/>
          <w:spacing w:val="-5"/>
          <w:sz w:val="24"/>
          <w:szCs w:val="24"/>
          <w:lang w:val="en-US" w:eastAsia="zh-CN"/>
        </w:rPr>
        <w:t>HJ 2.3-2018</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658A78E5">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《环境影响评价技术导则 地下水环境》（</w:t>
      </w:r>
      <w:r>
        <w:rPr>
          <w:rFonts w:hint="default" w:ascii="Times New Roman" w:hAnsi="Times New Roman" w:cs="Times New Roman" w:eastAsiaTheme="minorEastAsia"/>
          <w:strike w:val="0"/>
          <w:dstrike w:val="0"/>
          <w:color w:val="auto"/>
          <w:spacing w:val="-5"/>
          <w:sz w:val="24"/>
          <w:szCs w:val="24"/>
          <w:lang w:val="en-US" w:eastAsia="zh-CN"/>
        </w:rPr>
        <w:t>HJ 610-2016</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71D111F2">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《环境影响评价技术导则 声环境》（</w:t>
      </w:r>
      <w:r>
        <w:rPr>
          <w:rFonts w:hint="default" w:ascii="Times New Roman" w:hAnsi="Times New Roman" w:cs="Times New Roman" w:eastAsiaTheme="minorEastAsia"/>
          <w:strike w:val="0"/>
          <w:dstrike w:val="0"/>
          <w:color w:val="auto"/>
          <w:spacing w:val="-5"/>
          <w:sz w:val="24"/>
          <w:szCs w:val="24"/>
          <w:lang w:val="en-US" w:eastAsia="zh-CN"/>
        </w:rPr>
        <w:t>HJ 2.4-2021</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764DCBA3">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《环境影响评价技术导则 生态影响》（</w:t>
      </w:r>
      <w:r>
        <w:rPr>
          <w:rFonts w:hint="default" w:ascii="Times New Roman" w:hAnsi="Times New Roman" w:cs="Times New Roman" w:eastAsiaTheme="minorEastAsia"/>
          <w:strike w:val="0"/>
          <w:dstrike w:val="0"/>
          <w:color w:val="auto"/>
          <w:spacing w:val="-5"/>
          <w:sz w:val="24"/>
          <w:szCs w:val="24"/>
          <w:lang w:val="en-US" w:eastAsia="zh-CN"/>
        </w:rPr>
        <w:t>HJ 19-2022</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2AE1EEEE">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《环境影响评价技术导则 土壤环境（试行）》（</w:t>
      </w:r>
      <w:r>
        <w:rPr>
          <w:rFonts w:hint="default" w:ascii="Times New Roman" w:hAnsi="Times New Roman" w:cs="Times New Roman" w:eastAsiaTheme="minorEastAsia"/>
          <w:strike w:val="0"/>
          <w:dstrike w:val="0"/>
          <w:color w:val="auto"/>
          <w:spacing w:val="-5"/>
          <w:sz w:val="24"/>
          <w:szCs w:val="24"/>
          <w:lang w:val="en-US" w:eastAsia="zh-CN"/>
        </w:rPr>
        <w:t>HJ 964-2018</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35E1BE3A">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《建设项目环境风险评价技术导则》（</w:t>
      </w:r>
      <w:r>
        <w:rPr>
          <w:rFonts w:hint="default" w:ascii="Times New Roman" w:hAnsi="Times New Roman" w:cs="Times New Roman" w:eastAsiaTheme="minorEastAsia"/>
          <w:strike w:val="0"/>
          <w:dstrike w:val="0"/>
          <w:color w:val="auto"/>
          <w:spacing w:val="-5"/>
          <w:sz w:val="24"/>
          <w:szCs w:val="24"/>
          <w:lang w:val="en-US" w:eastAsia="zh-CN"/>
        </w:rPr>
        <w:t>HJ 169-2018</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011EEBF8">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《环境监测技术规范》（原国家环境保护总局，</w:t>
      </w:r>
      <w:r>
        <w:rPr>
          <w:rFonts w:hint="default" w:ascii="Times New Roman" w:hAnsi="Times New Roman" w:cs="Times New Roman" w:eastAsiaTheme="minorEastAsia"/>
          <w:strike w:val="0"/>
          <w:dstrike w:val="0"/>
          <w:color w:val="auto"/>
          <w:spacing w:val="-5"/>
          <w:sz w:val="24"/>
          <w:szCs w:val="24"/>
          <w:lang w:val="en-US" w:eastAsia="zh-CN"/>
        </w:rPr>
        <w:t xml:space="preserve">1996 </w:t>
      </w:r>
      <w:r>
        <w:rPr>
          <w:rFonts w:hint="eastAsia" w:ascii="Times New Roman" w:hAnsi="Times New Roman" w:cs="Times New Roman" w:eastAsiaTheme="minorEastAsia"/>
          <w:strike w:val="0"/>
          <w:dstrike w:val="0"/>
          <w:color w:val="auto"/>
          <w:spacing w:val="-5"/>
          <w:sz w:val="24"/>
          <w:szCs w:val="24"/>
          <w:lang w:val="en-US" w:eastAsia="zh-CN"/>
        </w:rPr>
        <w:t xml:space="preserve">年）； </w:t>
      </w:r>
    </w:p>
    <w:p w14:paraId="3993E124">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《大气污染物无组织排放监测技术导则》（</w:t>
      </w:r>
      <w:r>
        <w:rPr>
          <w:rFonts w:hint="default" w:ascii="Times New Roman" w:hAnsi="Times New Roman" w:cs="Times New Roman" w:eastAsiaTheme="minorEastAsia"/>
          <w:strike w:val="0"/>
          <w:dstrike w:val="0"/>
          <w:color w:val="auto"/>
          <w:spacing w:val="-5"/>
          <w:sz w:val="24"/>
          <w:szCs w:val="24"/>
          <w:lang w:val="en-US" w:eastAsia="zh-CN"/>
        </w:rPr>
        <w:t>HJ/T55-2000</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5CBE29DD">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《声环境质量标准》（</w:t>
      </w:r>
      <w:r>
        <w:rPr>
          <w:rFonts w:hint="default" w:ascii="Times New Roman" w:hAnsi="Times New Roman" w:cs="Times New Roman" w:eastAsiaTheme="minorEastAsia"/>
          <w:strike w:val="0"/>
          <w:dstrike w:val="0"/>
          <w:color w:val="auto"/>
          <w:spacing w:val="-5"/>
          <w:sz w:val="24"/>
          <w:szCs w:val="24"/>
          <w:lang w:val="en-US" w:eastAsia="zh-CN"/>
        </w:rPr>
        <w:t>GB3096-2008</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6C91F3FB">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《铁路边界噪声限值及其测量方法》（GB12525-90）及其修改方案；</w:t>
      </w:r>
    </w:p>
    <w:p w14:paraId="295888AA">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《铁路环境测量 环境噪声测量》（TBT3050-2022）；</w:t>
      </w:r>
    </w:p>
    <w:p w14:paraId="7814BFEE">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《声学 环境噪声的描述、测量与评价 第 1 部分：基本参量与 评价方法》（GB/T 3222.1-2022）；</w:t>
      </w:r>
    </w:p>
    <w:p w14:paraId="5410EA3D">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《铁路工程环境保护设计规范》（</w:t>
      </w:r>
      <w:r>
        <w:rPr>
          <w:rFonts w:hint="default" w:ascii="Times New Roman" w:hAnsi="Times New Roman" w:cs="Times New Roman" w:eastAsiaTheme="minorEastAsia"/>
          <w:strike w:val="0"/>
          <w:dstrike w:val="0"/>
          <w:color w:val="auto"/>
          <w:spacing w:val="-5"/>
          <w:sz w:val="24"/>
          <w:szCs w:val="24"/>
          <w:lang w:val="en-US" w:eastAsia="zh-CN"/>
        </w:rPr>
        <w:t>TB10501-2016</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77C37CEA">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《排污单位环境管理台账及排污许可证执行报告执行技术规范 总则》 （</w:t>
      </w:r>
      <w:r>
        <w:rPr>
          <w:rFonts w:hint="default" w:ascii="Times New Roman" w:hAnsi="Times New Roman" w:cs="Times New Roman" w:eastAsiaTheme="minorEastAsia"/>
          <w:strike w:val="0"/>
          <w:dstrike w:val="0"/>
          <w:color w:val="auto"/>
          <w:spacing w:val="-5"/>
          <w:sz w:val="24"/>
          <w:szCs w:val="24"/>
          <w:lang w:val="en-US" w:eastAsia="zh-CN"/>
        </w:rPr>
        <w:t>HJ944-2018</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1959ADC9">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《排污许可证申请与核发技术规范 总则》（</w:t>
      </w:r>
      <w:r>
        <w:rPr>
          <w:rFonts w:hint="default" w:ascii="Times New Roman" w:hAnsi="Times New Roman" w:cs="Times New Roman" w:eastAsiaTheme="minorEastAsia"/>
          <w:strike w:val="0"/>
          <w:dstrike w:val="0"/>
          <w:color w:val="auto"/>
          <w:spacing w:val="-5"/>
          <w:sz w:val="24"/>
          <w:szCs w:val="24"/>
          <w:lang w:val="en-US" w:eastAsia="zh-CN"/>
        </w:rPr>
        <w:t>HJ 942-2018</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57F237E3">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《排污单位自行监测技术指南 总则》（</w:t>
      </w:r>
      <w:r>
        <w:rPr>
          <w:rFonts w:hint="default" w:ascii="Times New Roman" w:hAnsi="Times New Roman" w:cs="Times New Roman" w:eastAsiaTheme="minorEastAsia"/>
          <w:strike w:val="0"/>
          <w:dstrike w:val="0"/>
          <w:color w:val="auto"/>
          <w:spacing w:val="-5"/>
          <w:sz w:val="24"/>
          <w:szCs w:val="24"/>
          <w:lang w:val="en-US" w:eastAsia="zh-CN"/>
        </w:rPr>
        <w:t>HJ 819-2017</w:t>
      </w:r>
      <w:r>
        <w:rPr>
          <w:rFonts w:hint="eastAsia" w:ascii="Times New Roman" w:hAnsi="Times New Roman" w:cs="Times New Roman" w:eastAsiaTheme="minorEastAsia"/>
          <w:strike w:val="0"/>
          <w:dstrike w:val="0"/>
          <w:color w:val="auto"/>
          <w:spacing w:val="-5"/>
          <w:sz w:val="24"/>
          <w:szCs w:val="24"/>
          <w:lang w:val="en-US" w:eastAsia="zh-CN"/>
        </w:rPr>
        <w:t xml:space="preserve">）； </w:t>
      </w:r>
    </w:p>
    <w:p w14:paraId="0A8D90EC">
      <w:pPr>
        <w:keepNext w:val="0"/>
        <w:keepLines w:val="0"/>
        <w:pageBreakBefore w:val="0"/>
        <w:widowControl/>
        <w:numPr>
          <w:ilvl w:val="0"/>
          <w:numId w:val="7"/>
        </w:numPr>
        <w:kinsoku/>
        <w:wordWrap/>
        <w:overflowPunct/>
        <w:topLinePunct w:val="0"/>
        <w:autoSpaceDE w:val="0"/>
        <w:autoSpaceDN w:val="0"/>
        <w:bidi w:val="0"/>
        <w:adjustRightInd/>
        <w:snapToGrid/>
        <w:spacing w:line="360" w:lineRule="auto"/>
        <w:ind w:left="0" w:leftChars="0" w:firstLine="482" w:firstLineChars="0"/>
        <w:textAlignment w:val="baseline"/>
        <w:rPr>
          <w:rFonts w:hint="eastAsia"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《铁路建设项目环境影响评价文件审批原则（试行）》（环办环评〔2016〕114号（4））。</w:t>
      </w:r>
    </w:p>
    <w:p w14:paraId="511E3DA6">
      <w:pPr>
        <w:spacing w:before="98" w:line="220" w:lineRule="auto"/>
        <w:ind w:left="305"/>
        <w:rPr>
          <w:rFonts w:hint="default" w:ascii="Times New Roman" w:hAnsi="Times New Roman" w:eastAsia="宋体" w:cs="Times New Roman"/>
          <w:color w:val="auto"/>
          <w:sz w:val="30"/>
          <w:szCs w:val="30"/>
        </w:rPr>
      </w:pPr>
      <w:r>
        <w:rPr>
          <w:rFonts w:hint="default" w:ascii="Times New Roman" w:hAnsi="Times New Roman" w:eastAsia="Times New Roman" w:cs="Times New Roman"/>
          <w:b/>
          <w:bCs/>
          <w:color w:val="auto"/>
          <w:spacing w:val="-2"/>
          <w:sz w:val="30"/>
          <w:szCs w:val="30"/>
        </w:rPr>
        <w:t>2.1.4.</w:t>
      </w:r>
      <w:r>
        <w:rPr>
          <w:rFonts w:hint="default" w:ascii="Times New Roman" w:hAnsi="Times New Roman" w:eastAsia="宋体" w:cs="Times New Roman"/>
          <w:b/>
          <w:bCs/>
          <w:color w:val="auto"/>
          <w:spacing w:val="-2"/>
          <w:sz w:val="30"/>
          <w:szCs w:val="30"/>
        </w:rPr>
        <w:t>项目相关文件</w:t>
      </w:r>
    </w:p>
    <w:p w14:paraId="56734986">
      <w:pPr>
        <w:pStyle w:val="9"/>
        <w:spacing w:line="358" w:lineRule="auto"/>
        <w:rPr>
          <w:rFonts w:hint="default" w:ascii="Times New Roman" w:hAnsi="Times New Roman" w:cs="Times New Roman"/>
          <w:color w:val="auto"/>
        </w:rPr>
      </w:pPr>
    </w:p>
    <w:p w14:paraId="63F1562D">
      <w:pPr>
        <w:keepNext w:val="0"/>
        <w:keepLines w:val="0"/>
        <w:pageBreakBefore w:val="0"/>
        <w:widowControl/>
        <w:numPr>
          <w:ilvl w:val="0"/>
          <w:numId w:val="8"/>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lang w:val="en-US" w:eastAsia="zh-CN"/>
        </w:rPr>
      </w:pPr>
      <w:r>
        <w:rPr>
          <w:rFonts w:hint="default" w:ascii="Times New Roman" w:hAnsi="Times New Roman" w:cs="Times New Roman" w:eastAsiaTheme="minorEastAsia"/>
          <w:strike w:val="0"/>
          <w:dstrike w:val="0"/>
          <w:color w:val="auto"/>
          <w:spacing w:val="-5"/>
          <w:sz w:val="24"/>
          <w:szCs w:val="24"/>
          <w:lang w:val="en-US" w:eastAsia="zh-CN"/>
        </w:rPr>
        <w:t>环评委托书；</w:t>
      </w:r>
    </w:p>
    <w:p w14:paraId="553FD9FE">
      <w:pPr>
        <w:keepNext w:val="0"/>
        <w:keepLines w:val="0"/>
        <w:pageBreakBefore w:val="0"/>
        <w:widowControl/>
        <w:numPr>
          <w:ilvl w:val="0"/>
          <w:numId w:val="8"/>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lang w:val="en-US" w:eastAsia="zh-CN"/>
        </w:rPr>
      </w:pPr>
      <w:r>
        <w:rPr>
          <w:rFonts w:hint="default" w:ascii="Times New Roman" w:hAnsi="Times New Roman" w:cs="Times New Roman" w:eastAsiaTheme="minorEastAsia"/>
          <w:strike w:val="0"/>
          <w:dstrike w:val="0"/>
          <w:color w:val="auto"/>
          <w:spacing w:val="-5"/>
          <w:sz w:val="24"/>
          <w:szCs w:val="24"/>
          <w:lang w:val="en-US" w:eastAsia="zh-CN"/>
        </w:rPr>
        <w:t>云南曲煤焦化实业发展有限公司集装箱堆场提质改造项目可行性研究报告；</w:t>
      </w:r>
    </w:p>
    <w:p w14:paraId="5A50B4A9">
      <w:pPr>
        <w:keepNext w:val="0"/>
        <w:keepLines w:val="0"/>
        <w:pageBreakBefore w:val="0"/>
        <w:widowControl/>
        <w:numPr>
          <w:ilvl w:val="0"/>
          <w:numId w:val="8"/>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lang w:val="en-US" w:eastAsia="zh-CN"/>
        </w:rPr>
      </w:pPr>
      <w:r>
        <w:rPr>
          <w:rFonts w:hint="default" w:ascii="Times New Roman" w:hAnsi="Times New Roman" w:cs="Times New Roman" w:eastAsiaTheme="minorEastAsia"/>
          <w:strike w:val="0"/>
          <w:dstrike w:val="0"/>
          <w:color w:val="auto"/>
          <w:spacing w:val="-5"/>
          <w:sz w:val="24"/>
          <w:szCs w:val="24"/>
          <w:lang w:val="en-US" w:eastAsia="zh-CN"/>
        </w:rPr>
        <w:t>《云南曲煤焦化实业发展有限公司集装箱堆场提质改造项目地下水补充监测》（报告编号：GR20260630009）</w:t>
      </w:r>
      <w:r>
        <w:rPr>
          <w:rFonts w:hint="eastAsia" w:ascii="Times New Roman" w:hAnsi="Times New Roman" w:cs="Times New Roman" w:eastAsiaTheme="minorEastAsia"/>
          <w:strike w:val="0"/>
          <w:dstrike w:val="0"/>
          <w:color w:val="auto"/>
          <w:spacing w:val="-5"/>
          <w:sz w:val="24"/>
          <w:szCs w:val="24"/>
          <w:lang w:val="en-US" w:eastAsia="zh-CN"/>
        </w:rPr>
        <w:t>；</w:t>
      </w:r>
    </w:p>
    <w:p w14:paraId="4944F3C7">
      <w:pPr>
        <w:keepNext w:val="0"/>
        <w:keepLines w:val="0"/>
        <w:pageBreakBefore w:val="0"/>
        <w:widowControl/>
        <w:numPr>
          <w:ilvl w:val="0"/>
          <w:numId w:val="8"/>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lang w:val="en-US" w:eastAsia="zh-CN"/>
        </w:rPr>
      </w:pPr>
      <w:r>
        <w:rPr>
          <w:rFonts w:hint="default" w:ascii="Times New Roman" w:hAnsi="Times New Roman" w:cs="Times New Roman" w:eastAsiaTheme="minorEastAsia"/>
          <w:strike w:val="0"/>
          <w:dstrike w:val="0"/>
          <w:color w:val="auto"/>
          <w:spacing w:val="-5"/>
          <w:sz w:val="24"/>
          <w:szCs w:val="24"/>
          <w:lang w:val="en-US" w:eastAsia="zh-CN"/>
        </w:rPr>
        <w:t>《云南曲煤焦化实业发展有限公司集装箱堆场提质改造项目环境空气、声环境质量现状监测》（报告编号：JLXJC2026-XJ15）</w:t>
      </w:r>
      <w:r>
        <w:rPr>
          <w:rFonts w:hint="eastAsia" w:ascii="Times New Roman" w:hAnsi="Times New Roman" w:cs="Times New Roman" w:eastAsiaTheme="minorEastAsia"/>
          <w:strike w:val="0"/>
          <w:dstrike w:val="0"/>
          <w:color w:val="auto"/>
          <w:spacing w:val="-5"/>
          <w:sz w:val="24"/>
          <w:szCs w:val="24"/>
          <w:lang w:val="en-US" w:eastAsia="zh-CN"/>
        </w:rPr>
        <w:t>；</w:t>
      </w:r>
    </w:p>
    <w:p w14:paraId="625EF430">
      <w:pPr>
        <w:keepNext w:val="0"/>
        <w:keepLines w:val="0"/>
        <w:pageBreakBefore w:val="0"/>
        <w:widowControl/>
        <w:numPr>
          <w:ilvl w:val="0"/>
          <w:numId w:val="8"/>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lang w:val="en-US" w:eastAsia="zh-CN"/>
        </w:rPr>
      </w:pPr>
      <w:r>
        <w:rPr>
          <w:rFonts w:hint="eastAsia" w:ascii="Times New Roman" w:hAnsi="Times New Roman" w:cs="Times New Roman" w:eastAsiaTheme="minorEastAsia"/>
          <w:strike w:val="0"/>
          <w:dstrike w:val="0"/>
          <w:color w:val="auto"/>
          <w:spacing w:val="-5"/>
          <w:sz w:val="24"/>
          <w:szCs w:val="24"/>
          <w:lang w:val="en-US" w:eastAsia="zh-CN"/>
        </w:rPr>
        <w:t>《</w:t>
      </w:r>
      <w:r>
        <w:rPr>
          <w:rFonts w:hint="default" w:ascii="Times New Roman" w:hAnsi="Times New Roman" w:cs="Times New Roman" w:eastAsiaTheme="minorEastAsia"/>
          <w:strike w:val="0"/>
          <w:dstrike w:val="0"/>
          <w:color w:val="auto"/>
          <w:spacing w:val="-5"/>
          <w:sz w:val="24"/>
          <w:szCs w:val="24"/>
          <w:lang w:val="en-US" w:eastAsia="zh-CN"/>
        </w:rPr>
        <w:t>云南曲煤焦化实业发展有限公司集装箱堆场提质改造项目场地岩士工程详细勘察报告</w:t>
      </w:r>
      <w:r>
        <w:rPr>
          <w:rFonts w:hint="eastAsia" w:ascii="Times New Roman" w:hAnsi="Times New Roman" w:cs="Times New Roman" w:eastAsiaTheme="minorEastAsia"/>
          <w:strike w:val="0"/>
          <w:dstrike w:val="0"/>
          <w:color w:val="auto"/>
          <w:spacing w:val="-5"/>
          <w:sz w:val="24"/>
          <w:szCs w:val="24"/>
          <w:lang w:val="en-US" w:eastAsia="zh-CN"/>
        </w:rPr>
        <w:t>》（云南岩土工程勘察设计研究院有限公司，工程勘察专业类（岩土工程（勘察））甲级）及勘察文件审查意见；</w:t>
      </w:r>
    </w:p>
    <w:p w14:paraId="030CFB11">
      <w:pPr>
        <w:keepNext w:val="0"/>
        <w:keepLines w:val="0"/>
        <w:pageBreakBefore w:val="0"/>
        <w:widowControl/>
        <w:numPr>
          <w:ilvl w:val="0"/>
          <w:numId w:val="8"/>
        </w:numPr>
        <w:kinsoku/>
        <w:wordWrap/>
        <w:overflowPunct/>
        <w:topLinePunct w:val="0"/>
        <w:autoSpaceDE w:val="0"/>
        <w:autoSpaceDN w:val="0"/>
        <w:bidi w:val="0"/>
        <w:adjustRightInd/>
        <w:snapToGrid/>
        <w:spacing w:line="360" w:lineRule="auto"/>
        <w:ind w:left="0" w:leftChars="0" w:firstLine="482" w:firstLineChars="0"/>
        <w:textAlignment w:val="baseline"/>
        <w:rPr>
          <w:rFonts w:hint="default" w:ascii="Times New Roman" w:hAnsi="Times New Roman" w:cs="Times New Roman" w:eastAsiaTheme="minorEastAsia"/>
          <w:strike w:val="0"/>
          <w:dstrike w:val="0"/>
          <w:color w:val="auto"/>
          <w:spacing w:val="-5"/>
          <w:sz w:val="24"/>
          <w:szCs w:val="24"/>
          <w:lang w:val="en-US" w:eastAsia="zh-CN"/>
        </w:rPr>
      </w:pPr>
      <w:r>
        <w:rPr>
          <w:rFonts w:hint="default" w:ascii="Times New Roman" w:hAnsi="Times New Roman" w:cs="Times New Roman" w:eastAsiaTheme="minorEastAsia"/>
          <w:strike w:val="0"/>
          <w:dstrike w:val="0"/>
          <w:color w:val="auto"/>
          <w:spacing w:val="-5"/>
          <w:sz w:val="24"/>
          <w:szCs w:val="24"/>
          <w:lang w:val="en-US" w:eastAsia="zh-CN"/>
        </w:rPr>
        <w:t>云南曲煤焦化实业发展有限公司提供的其他技术资料。</w:t>
      </w:r>
    </w:p>
    <w:p w14:paraId="01169578">
      <w:pPr>
        <w:pStyle w:val="9"/>
        <w:keepNext w:val="0"/>
        <w:keepLines w:val="0"/>
        <w:pageBreakBefore w:val="0"/>
        <w:widowControl/>
        <w:kinsoku w:val="0"/>
        <w:wordWrap/>
        <w:overflowPunct/>
        <w:topLinePunct w:val="0"/>
        <w:autoSpaceDE w:val="0"/>
        <w:autoSpaceDN w:val="0"/>
        <w:bidi w:val="0"/>
        <w:adjustRightInd/>
        <w:snapToGrid/>
        <w:spacing w:line="360" w:lineRule="auto"/>
        <w:textAlignment w:val="baseline"/>
        <w:outlineLvl w:val="1"/>
        <w:rPr>
          <w:color w:val="auto"/>
          <w:sz w:val="30"/>
          <w:szCs w:val="30"/>
        </w:rPr>
      </w:pPr>
      <w:bookmarkStart w:id="51" w:name="_Toc13508"/>
      <w:r>
        <w:rPr>
          <w:rFonts w:ascii="Times New Roman" w:hAnsi="Times New Roman" w:eastAsia="Times New Roman" w:cs="Times New Roman"/>
          <w:b/>
          <w:bCs/>
          <w:color w:val="auto"/>
          <w:spacing w:val="-2"/>
          <w:sz w:val="30"/>
          <w:szCs w:val="30"/>
        </w:rPr>
        <w:t>1.2.</w:t>
      </w:r>
      <w:r>
        <w:rPr>
          <w:b/>
          <w:bCs/>
          <w:color w:val="auto"/>
          <w:spacing w:val="-2"/>
          <w:sz w:val="30"/>
          <w:szCs w:val="30"/>
        </w:rPr>
        <w:t>评价目的与评价原则</w:t>
      </w:r>
      <w:bookmarkEnd w:id="51"/>
    </w:p>
    <w:p w14:paraId="2FC1D836">
      <w:pPr>
        <w:keepNext w:val="0"/>
        <w:keepLines w:val="0"/>
        <w:pageBreakBefore w:val="0"/>
        <w:widowControl/>
        <w:kinsoku w:val="0"/>
        <w:wordWrap/>
        <w:overflowPunct/>
        <w:topLinePunct w:val="0"/>
        <w:autoSpaceDE w:val="0"/>
        <w:autoSpaceDN w:val="0"/>
        <w:bidi w:val="0"/>
        <w:adjustRightInd/>
        <w:snapToGrid/>
        <w:spacing w:line="360" w:lineRule="auto"/>
        <w:ind w:left="0" w:firstLine="420" w:firstLineChars="200"/>
        <w:textAlignment w:val="baseline"/>
        <w:rPr>
          <w:rFonts w:ascii="Arial"/>
          <w:color w:val="auto"/>
          <w:sz w:val="21"/>
        </w:rPr>
      </w:pPr>
    </w:p>
    <w:p w14:paraId="6175EE73">
      <w:pPr>
        <w:pStyle w:val="9"/>
        <w:keepNext w:val="0"/>
        <w:keepLines w:val="0"/>
        <w:pageBreakBefore w:val="0"/>
        <w:widowControl/>
        <w:kinsoku w:val="0"/>
        <w:wordWrap/>
        <w:overflowPunct/>
        <w:topLinePunct w:val="0"/>
        <w:autoSpaceDE w:val="0"/>
        <w:autoSpaceDN w:val="0"/>
        <w:bidi w:val="0"/>
        <w:adjustRightInd/>
        <w:snapToGrid/>
        <w:spacing w:line="360" w:lineRule="auto"/>
        <w:textAlignment w:val="baseline"/>
        <w:outlineLvl w:val="3"/>
        <w:rPr>
          <w:color w:val="auto"/>
          <w:sz w:val="28"/>
          <w:szCs w:val="28"/>
        </w:rPr>
      </w:pPr>
      <w:r>
        <w:rPr>
          <w:rFonts w:ascii="Times New Roman" w:hAnsi="Times New Roman" w:eastAsia="Times New Roman" w:cs="Times New Roman"/>
          <w:b/>
          <w:bCs/>
          <w:color w:val="auto"/>
          <w:spacing w:val="-3"/>
          <w:sz w:val="28"/>
          <w:szCs w:val="28"/>
        </w:rPr>
        <w:t>1.2.1.</w:t>
      </w:r>
      <w:r>
        <w:rPr>
          <w:b/>
          <w:bCs/>
          <w:color w:val="auto"/>
          <w:spacing w:val="-3"/>
          <w:sz w:val="28"/>
          <w:szCs w:val="28"/>
        </w:rPr>
        <w:t>评价目的</w:t>
      </w:r>
    </w:p>
    <w:p w14:paraId="1C6D07DD">
      <w:pPr>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（1）通过对项目所在地区的环境现状调查、监测等手段，掌握评价区环境质量和生态环境现状，分析工程建设与环境功能区划的相容性。</w:t>
      </w:r>
    </w:p>
    <w:p w14:paraId="083A270F">
      <w:pPr>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2）预测及评价项目建设期、运营期对周围环境可能造成的影响程度和范围。从环境保护角度论证本项目建设的合理性、可行性。根据工程环境影响情况，提出切实可行的环保措施和建议，使项目建设对环境造成的不利影响降至最低，达到建设与环境保护持续、协调发展的目的。</w:t>
      </w:r>
    </w:p>
    <w:p w14:paraId="5FCF258D">
      <w:pPr>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color w:val="auto"/>
          <w:spacing w:val="0"/>
        </w:rPr>
      </w:pPr>
      <w:r>
        <w:rPr>
          <w:rFonts w:hint="default" w:ascii="Times New Roman" w:hAnsi="Times New Roman" w:eastAsia="宋体" w:cs="Times New Roman"/>
          <w:color w:val="auto"/>
          <w:spacing w:val="0"/>
          <w:sz w:val="24"/>
          <w:szCs w:val="24"/>
        </w:rPr>
        <w:t>（3）从环保的角度，明确项目建设是否可行，同时为项目的环境管理提供科学依据</w:t>
      </w:r>
      <w:r>
        <w:rPr>
          <w:color w:val="auto"/>
          <w:spacing w:val="0"/>
        </w:rPr>
        <w:t>。</w:t>
      </w:r>
    </w:p>
    <w:p w14:paraId="147D5A15">
      <w:pPr>
        <w:pStyle w:val="9"/>
        <w:keepNext w:val="0"/>
        <w:keepLines w:val="0"/>
        <w:pageBreakBefore w:val="0"/>
        <w:widowControl/>
        <w:kinsoku w:val="0"/>
        <w:wordWrap/>
        <w:overflowPunct/>
        <w:topLinePunct w:val="0"/>
        <w:autoSpaceDE w:val="0"/>
        <w:autoSpaceDN w:val="0"/>
        <w:bidi w:val="0"/>
        <w:adjustRightInd/>
        <w:snapToGrid/>
        <w:spacing w:line="360" w:lineRule="auto"/>
        <w:textAlignment w:val="baseline"/>
        <w:outlineLvl w:val="3"/>
        <w:rPr>
          <w:rFonts w:ascii="Times New Roman" w:hAnsi="Times New Roman" w:eastAsia="Times New Roman" w:cs="Times New Roman"/>
          <w:b/>
          <w:bCs/>
          <w:color w:val="auto"/>
          <w:spacing w:val="-3"/>
          <w:sz w:val="28"/>
          <w:szCs w:val="28"/>
        </w:rPr>
      </w:pPr>
      <w:r>
        <w:rPr>
          <w:rFonts w:ascii="Times New Roman" w:hAnsi="Times New Roman" w:eastAsia="Times New Roman" w:cs="Times New Roman"/>
          <w:b/>
          <w:bCs/>
          <w:color w:val="auto"/>
          <w:spacing w:val="-3"/>
          <w:sz w:val="28"/>
          <w:szCs w:val="28"/>
        </w:rPr>
        <w:t>1.2.2.评价原则</w:t>
      </w:r>
    </w:p>
    <w:p w14:paraId="64B3F892">
      <w:pPr>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本着以人为本、保护环境的主导思想，在调查</w:t>
      </w:r>
      <w:r>
        <w:rPr>
          <w:rFonts w:hint="eastAsia" w:ascii="Times New Roman" w:hAnsi="Times New Roman" w:eastAsia="宋体" w:cs="Times New Roman"/>
          <w:color w:val="auto"/>
          <w:spacing w:val="0"/>
          <w:sz w:val="24"/>
          <w:szCs w:val="24"/>
          <w:lang w:val="en-US" w:eastAsia="zh-CN"/>
        </w:rPr>
        <w:t>建设</w:t>
      </w:r>
      <w:r>
        <w:rPr>
          <w:rFonts w:hint="default" w:ascii="Times New Roman" w:hAnsi="Times New Roman" w:eastAsia="宋体" w:cs="Times New Roman"/>
          <w:color w:val="auto"/>
          <w:spacing w:val="0"/>
          <w:sz w:val="24"/>
          <w:szCs w:val="24"/>
        </w:rPr>
        <w:t>工程涉及区域环境质量现状、保护目标分布、环境功能要求的基础上，根据工程分析，就工程潜在的环境影响，以声环境、振动环境为重点，就声环境、振动环境、水环境、环境空气、固体废物等不同环境要素，按施工期和运营期预测评价工程对沿线区域环境的影响范围和影响程度；同时根据国家和云南省、</w:t>
      </w:r>
      <w:r>
        <w:rPr>
          <w:rFonts w:hint="eastAsia" w:ascii="Times New Roman" w:hAnsi="Times New Roman" w:eastAsia="宋体" w:cs="Times New Roman"/>
          <w:color w:val="auto"/>
          <w:spacing w:val="0"/>
          <w:sz w:val="24"/>
          <w:szCs w:val="24"/>
          <w:lang w:eastAsia="zh-CN"/>
        </w:rPr>
        <w:t>曲靖市</w:t>
      </w:r>
      <w:r>
        <w:rPr>
          <w:rFonts w:hint="default" w:ascii="Times New Roman" w:hAnsi="Times New Roman" w:eastAsia="宋体" w:cs="Times New Roman"/>
          <w:color w:val="auto"/>
          <w:spacing w:val="0"/>
          <w:sz w:val="24"/>
          <w:szCs w:val="24"/>
        </w:rPr>
        <w:t>的有关环境保护法律、法规及标准，结合</w:t>
      </w:r>
      <w:r>
        <w:rPr>
          <w:rFonts w:hint="eastAsia" w:ascii="Times New Roman" w:hAnsi="Times New Roman" w:eastAsia="宋体" w:cs="Times New Roman"/>
          <w:color w:val="auto"/>
          <w:spacing w:val="0"/>
          <w:sz w:val="24"/>
          <w:szCs w:val="24"/>
          <w:lang w:val="en-US" w:eastAsia="zh-CN"/>
        </w:rPr>
        <w:t>产业园区</w:t>
      </w:r>
      <w:r>
        <w:rPr>
          <w:rFonts w:hint="default" w:ascii="Times New Roman" w:hAnsi="Times New Roman" w:eastAsia="宋体" w:cs="Times New Roman"/>
          <w:color w:val="auto"/>
          <w:spacing w:val="0"/>
          <w:sz w:val="24"/>
          <w:szCs w:val="24"/>
        </w:rPr>
        <w:t>总体规划和环保要求，对工程设计中拟采取的环保措施进行分析，对未能满足环保要求的工程活动提出切实可行的减缓措施或替代方案，并进行技术经济论证；将评价结论和有关建议及时反馈建设单位、设计部门和规划部门，从环境保护的角度指导工程设计、施工。</w:t>
      </w:r>
    </w:p>
    <w:p w14:paraId="225FCD8A">
      <w:pPr>
        <w:pStyle w:val="9"/>
        <w:keepNext w:val="0"/>
        <w:keepLines w:val="0"/>
        <w:pageBreakBefore w:val="0"/>
        <w:widowControl/>
        <w:wordWrap/>
        <w:overflowPunct/>
        <w:topLinePunct w:val="0"/>
        <w:autoSpaceDE w:val="0"/>
        <w:autoSpaceDN w:val="0"/>
        <w:bidi w:val="0"/>
        <w:adjustRightInd/>
        <w:snapToGrid/>
        <w:spacing w:line="360" w:lineRule="auto"/>
        <w:ind w:left="0"/>
        <w:textAlignment w:val="baseline"/>
        <w:outlineLvl w:val="1"/>
        <w:rPr>
          <w:color w:val="auto"/>
          <w:sz w:val="30"/>
          <w:szCs w:val="30"/>
        </w:rPr>
      </w:pPr>
      <w:bookmarkStart w:id="52" w:name="bookmark10"/>
      <w:bookmarkEnd w:id="52"/>
      <w:bookmarkStart w:id="53" w:name="_Toc6034"/>
      <w:r>
        <w:rPr>
          <w:rFonts w:ascii="Times New Roman" w:hAnsi="Times New Roman" w:eastAsia="Times New Roman" w:cs="Times New Roman"/>
          <w:b/>
          <w:bCs/>
          <w:color w:val="auto"/>
          <w:spacing w:val="-4"/>
          <w:sz w:val="30"/>
          <w:szCs w:val="30"/>
        </w:rPr>
        <w:t xml:space="preserve">1.3 </w:t>
      </w:r>
      <w:r>
        <w:rPr>
          <w:b/>
          <w:bCs/>
          <w:color w:val="auto"/>
          <w:spacing w:val="-4"/>
          <w:sz w:val="30"/>
          <w:szCs w:val="30"/>
        </w:rPr>
        <w:t>评价时段及重点</w:t>
      </w:r>
      <w:bookmarkEnd w:id="53"/>
    </w:p>
    <w:p w14:paraId="329B9C91">
      <w:pPr>
        <w:pStyle w:val="9"/>
        <w:keepNext w:val="0"/>
        <w:keepLines w:val="0"/>
        <w:pageBreakBefore w:val="0"/>
        <w:widowControl/>
        <w:kinsoku/>
        <w:wordWrap/>
        <w:overflowPunct/>
        <w:topLinePunct w:val="0"/>
        <w:autoSpaceDE w:val="0"/>
        <w:autoSpaceDN w:val="0"/>
        <w:bidi w:val="0"/>
        <w:adjustRightInd/>
        <w:snapToGrid/>
        <w:spacing w:line="360" w:lineRule="auto"/>
        <w:ind w:left="0" w:firstLine="548" w:firstLineChars="200"/>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1.3.1 </w:t>
      </w:r>
      <w:r>
        <w:rPr>
          <w:b/>
          <w:bCs/>
          <w:color w:val="auto"/>
          <w:spacing w:val="-3"/>
          <w:sz w:val="28"/>
          <w:szCs w:val="28"/>
        </w:rPr>
        <w:t>评价时段</w:t>
      </w:r>
    </w:p>
    <w:p w14:paraId="7518DDE4">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本次评价以施工期与运营期为主。</w:t>
      </w:r>
    </w:p>
    <w:p w14:paraId="1548B4AB">
      <w:pPr>
        <w:pStyle w:val="9"/>
        <w:keepNext w:val="0"/>
        <w:keepLines w:val="0"/>
        <w:pageBreakBefore w:val="0"/>
        <w:widowControl/>
        <w:kinsoku/>
        <w:wordWrap/>
        <w:overflowPunct/>
        <w:topLinePunct w:val="0"/>
        <w:autoSpaceDE w:val="0"/>
        <w:autoSpaceDN w:val="0"/>
        <w:bidi w:val="0"/>
        <w:adjustRightInd/>
        <w:snapToGrid/>
        <w:spacing w:line="360" w:lineRule="auto"/>
        <w:ind w:left="0" w:firstLine="548" w:firstLineChars="200"/>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1.3.2 </w:t>
      </w:r>
      <w:r>
        <w:rPr>
          <w:b/>
          <w:bCs/>
          <w:color w:val="auto"/>
          <w:spacing w:val="-3"/>
          <w:sz w:val="28"/>
          <w:szCs w:val="28"/>
        </w:rPr>
        <w:t>评价重点</w:t>
      </w:r>
    </w:p>
    <w:p w14:paraId="68572131">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通过对本项目的环境影响进行识别、分析，确定本环评报告书的重点内容为：</w:t>
      </w:r>
    </w:p>
    <w:p w14:paraId="1697C2CD">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（1）工程概况及工程分析；</w:t>
      </w:r>
    </w:p>
    <w:p w14:paraId="2B788CB0">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（2）对施工期周边生态、地表水、大气、声环境、振动环境的影响分析以及提出减缓措施；</w:t>
      </w:r>
    </w:p>
    <w:p w14:paraId="155A6858">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（3）对运营期噪声、振动进行预测评价，提出治理的对策、措施；</w:t>
      </w:r>
    </w:p>
    <w:p w14:paraId="391A6203">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（4）对运营期废水、废气、固废产生及影响进行分析，污染防治的对策、措施；</w:t>
      </w:r>
    </w:p>
    <w:p w14:paraId="5F76661B">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（5）对运营期生态环境进行分析，提出减缓、避让等措施；</w:t>
      </w:r>
    </w:p>
    <w:p w14:paraId="7EFB948D">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（6）分析项目存在的环境风险，提出可靠的环境风险防范措施；</w:t>
      </w:r>
    </w:p>
    <w:p w14:paraId="499736A5">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1"/>
        <w:rPr>
          <w:color w:val="auto"/>
          <w:sz w:val="30"/>
          <w:szCs w:val="30"/>
        </w:rPr>
      </w:pPr>
      <w:bookmarkStart w:id="54" w:name="bookmark11"/>
      <w:bookmarkEnd w:id="54"/>
      <w:bookmarkStart w:id="55" w:name="_Toc12534"/>
      <w:r>
        <w:rPr>
          <w:rFonts w:ascii="Times New Roman" w:hAnsi="Times New Roman" w:eastAsia="Times New Roman" w:cs="Times New Roman"/>
          <w:b/>
          <w:bCs/>
          <w:color w:val="auto"/>
          <w:spacing w:val="-3"/>
          <w:sz w:val="30"/>
          <w:szCs w:val="30"/>
        </w:rPr>
        <w:t xml:space="preserve">1.4 </w:t>
      </w:r>
      <w:r>
        <w:rPr>
          <w:b/>
          <w:bCs/>
          <w:color w:val="auto"/>
          <w:spacing w:val="-3"/>
          <w:sz w:val="30"/>
          <w:szCs w:val="30"/>
        </w:rPr>
        <w:t>环境影响因素识别和评价因子筛选</w:t>
      </w:r>
      <w:bookmarkEnd w:id="55"/>
    </w:p>
    <w:p w14:paraId="1500F113">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1.4.1 </w:t>
      </w:r>
      <w:r>
        <w:rPr>
          <w:b/>
          <w:bCs/>
          <w:color w:val="auto"/>
          <w:spacing w:val="-3"/>
          <w:sz w:val="28"/>
          <w:szCs w:val="28"/>
        </w:rPr>
        <w:t>环境影响因素识别</w:t>
      </w:r>
    </w:p>
    <w:p w14:paraId="7D213C04">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项目评价时段为施工期和运营期，项目施工期主要涉及轨道工程、集装箱装卸场地建设、材料运输等工程行为，运营期主要涉及列车运行、装卸作业、员工生活、车辆运输等环节，主要影响因素为生态、噪声、振动、水、空气、固体废物等。根据铁路工程建设特点结合现场调查结果，设置环境问题识别矩阵表1.4-1。</w:t>
      </w:r>
    </w:p>
    <w:p w14:paraId="0CB248F4">
      <w:pPr>
        <w:rPr>
          <w:rFonts w:hint="default" w:ascii="Times New Roman" w:hAnsi="Times New Roman" w:eastAsia="宋体" w:cs="Times New Roman"/>
          <w:snapToGrid w:val="0"/>
          <w:color w:val="auto"/>
          <w:spacing w:val="0"/>
          <w:kern w:val="0"/>
          <w:sz w:val="24"/>
          <w:szCs w:val="24"/>
          <w:lang w:val="en-US" w:eastAsia="en-US" w:bidi="ar-SA"/>
        </w:rPr>
      </w:pPr>
    </w:p>
    <w:p w14:paraId="31C95CB9">
      <w:pPr>
        <w:rPr>
          <w:rFonts w:hint="default" w:ascii="Times New Roman" w:hAnsi="Times New Roman" w:eastAsia="宋体" w:cs="Times New Roman"/>
          <w:snapToGrid w:val="0"/>
          <w:color w:val="auto"/>
          <w:spacing w:val="0"/>
          <w:kern w:val="0"/>
          <w:sz w:val="24"/>
          <w:szCs w:val="24"/>
          <w:lang w:val="en-US" w:eastAsia="en-US" w:bidi="ar-SA"/>
        </w:rPr>
      </w:pPr>
    </w:p>
    <w:p w14:paraId="792B3684">
      <w:pPr>
        <w:rPr>
          <w:rFonts w:hint="default" w:ascii="Times New Roman" w:hAnsi="Times New Roman" w:eastAsia="宋体" w:cs="Times New Roman"/>
          <w:snapToGrid w:val="0"/>
          <w:color w:val="auto"/>
          <w:spacing w:val="0"/>
          <w:kern w:val="0"/>
          <w:sz w:val="24"/>
          <w:szCs w:val="24"/>
          <w:lang w:val="en-US" w:eastAsia="en-US" w:bidi="ar-SA"/>
        </w:rPr>
      </w:pPr>
    </w:p>
    <w:p w14:paraId="362FD07F">
      <w:pPr>
        <w:rPr>
          <w:rFonts w:hint="default" w:ascii="Times New Roman" w:hAnsi="Times New Roman" w:eastAsia="宋体" w:cs="Times New Roman"/>
          <w:snapToGrid w:val="0"/>
          <w:color w:val="auto"/>
          <w:spacing w:val="0"/>
          <w:kern w:val="0"/>
          <w:sz w:val="24"/>
          <w:szCs w:val="24"/>
          <w:lang w:val="en-US" w:eastAsia="en-US" w:bidi="ar-SA"/>
        </w:rPr>
      </w:pPr>
    </w:p>
    <w:p w14:paraId="44E458D3">
      <w:pPr>
        <w:pStyle w:val="36"/>
        <w:keepNext w:val="0"/>
        <w:keepLines w:val="0"/>
        <w:pageBreakBefore w:val="0"/>
        <w:widowControl w:val="0"/>
        <w:numPr>
          <w:ilvl w:val="1"/>
          <w:numId w:val="9"/>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b/>
          <w:bCs/>
          <w:color w:val="auto"/>
          <w:spacing w:val="-3"/>
        </w:rPr>
        <w:t>本项目环境问题识别矩阵</w:t>
      </w:r>
    </w:p>
    <w:tbl>
      <w:tblPr>
        <w:tblStyle w:val="26"/>
        <w:tblW w:w="8435" w:type="dxa"/>
        <w:tblInd w:w="2"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556"/>
        <w:gridCol w:w="1099"/>
        <w:gridCol w:w="480"/>
        <w:gridCol w:w="480"/>
        <w:gridCol w:w="558"/>
        <w:gridCol w:w="446"/>
        <w:gridCol w:w="607"/>
        <w:gridCol w:w="386"/>
        <w:gridCol w:w="478"/>
        <w:gridCol w:w="434"/>
        <w:gridCol w:w="572"/>
        <w:gridCol w:w="531"/>
        <w:gridCol w:w="523"/>
        <w:gridCol w:w="607"/>
        <w:gridCol w:w="678"/>
      </w:tblGrid>
      <w:tr w14:paraId="0837D4E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1655" w:type="dxa"/>
            <w:gridSpan w:val="2"/>
            <w:vMerge w:val="restart"/>
            <w:tcBorders>
              <w:bottom w:val="nil"/>
            </w:tcBorders>
            <w:vAlign w:val="center"/>
          </w:tcPr>
          <w:p w14:paraId="3EEEA5F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环境因素类别</w:t>
            </w:r>
          </w:p>
        </w:tc>
        <w:tc>
          <w:tcPr>
            <w:tcW w:w="480" w:type="dxa"/>
            <w:vMerge w:val="restart"/>
            <w:tcBorders>
              <w:bottom w:val="nil"/>
            </w:tcBorders>
            <w:textDirection w:val="tbRlV"/>
            <w:vAlign w:val="center"/>
          </w:tcPr>
          <w:p w14:paraId="4579790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工程行为</w:t>
            </w:r>
          </w:p>
        </w:tc>
        <w:tc>
          <w:tcPr>
            <w:tcW w:w="1038" w:type="dxa"/>
            <w:gridSpan w:val="2"/>
            <w:vAlign w:val="center"/>
          </w:tcPr>
          <w:p w14:paraId="750132F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废气排放</w:t>
            </w:r>
          </w:p>
        </w:tc>
        <w:tc>
          <w:tcPr>
            <w:tcW w:w="1053" w:type="dxa"/>
            <w:gridSpan w:val="2"/>
            <w:vAlign w:val="center"/>
          </w:tcPr>
          <w:p w14:paraId="2377D61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废水排放</w:t>
            </w:r>
          </w:p>
        </w:tc>
        <w:tc>
          <w:tcPr>
            <w:tcW w:w="864" w:type="dxa"/>
            <w:gridSpan w:val="2"/>
            <w:vAlign w:val="center"/>
          </w:tcPr>
          <w:p w14:paraId="29C16A4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1"/>
                <w:sz w:val="20"/>
                <w:szCs w:val="20"/>
              </w:rPr>
              <w:t>噪声</w:t>
            </w:r>
          </w:p>
        </w:tc>
        <w:tc>
          <w:tcPr>
            <w:tcW w:w="1006" w:type="dxa"/>
            <w:gridSpan w:val="2"/>
            <w:vAlign w:val="center"/>
          </w:tcPr>
          <w:p w14:paraId="085D73D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4"/>
                <w:sz w:val="20"/>
                <w:szCs w:val="20"/>
              </w:rPr>
              <w:t>振动</w:t>
            </w:r>
          </w:p>
        </w:tc>
        <w:tc>
          <w:tcPr>
            <w:tcW w:w="1054" w:type="dxa"/>
            <w:gridSpan w:val="2"/>
            <w:vAlign w:val="center"/>
          </w:tcPr>
          <w:p w14:paraId="1EB275B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2"/>
                <w:sz w:val="20"/>
                <w:szCs w:val="20"/>
              </w:rPr>
              <w:t>固废处理</w:t>
            </w:r>
          </w:p>
        </w:tc>
        <w:tc>
          <w:tcPr>
            <w:tcW w:w="607" w:type="dxa"/>
            <w:vAlign w:val="center"/>
          </w:tcPr>
          <w:p w14:paraId="5B59B65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3"/>
                <w:sz w:val="20"/>
                <w:szCs w:val="20"/>
              </w:rPr>
              <w:t>生态</w:t>
            </w:r>
          </w:p>
        </w:tc>
        <w:tc>
          <w:tcPr>
            <w:tcW w:w="678" w:type="dxa"/>
            <w:vAlign w:val="center"/>
          </w:tcPr>
          <w:p w14:paraId="5AF9400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3"/>
                <w:sz w:val="20"/>
                <w:szCs w:val="20"/>
              </w:rPr>
              <w:t>环境</w:t>
            </w:r>
          </w:p>
          <w:p w14:paraId="4867E2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3"/>
                <w:sz w:val="20"/>
                <w:szCs w:val="20"/>
              </w:rPr>
              <w:t>风险</w:t>
            </w:r>
          </w:p>
        </w:tc>
      </w:tr>
      <w:tr w14:paraId="6069BD2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655" w:type="dxa"/>
            <w:gridSpan w:val="2"/>
            <w:vMerge w:val="continue"/>
            <w:tcBorders>
              <w:top w:val="nil"/>
            </w:tcBorders>
            <w:vAlign w:val="center"/>
          </w:tcPr>
          <w:p w14:paraId="2AFB704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480" w:type="dxa"/>
            <w:vMerge w:val="continue"/>
            <w:tcBorders>
              <w:top w:val="nil"/>
            </w:tcBorders>
            <w:textDirection w:val="tbRlV"/>
            <w:vAlign w:val="center"/>
          </w:tcPr>
          <w:p w14:paraId="1B9DBD4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480" w:type="dxa"/>
            <w:textDirection w:val="tbRlV"/>
            <w:vAlign w:val="center"/>
          </w:tcPr>
          <w:p w14:paraId="3F88AC7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施工期</w:t>
            </w:r>
          </w:p>
        </w:tc>
        <w:tc>
          <w:tcPr>
            <w:tcW w:w="558" w:type="dxa"/>
            <w:textDirection w:val="tbRlV"/>
            <w:vAlign w:val="center"/>
          </w:tcPr>
          <w:p w14:paraId="45A01EA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运营期</w:t>
            </w:r>
          </w:p>
        </w:tc>
        <w:tc>
          <w:tcPr>
            <w:tcW w:w="446" w:type="dxa"/>
            <w:textDirection w:val="tbRlV"/>
            <w:vAlign w:val="center"/>
          </w:tcPr>
          <w:p w14:paraId="1EC90A9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施工期</w:t>
            </w:r>
          </w:p>
        </w:tc>
        <w:tc>
          <w:tcPr>
            <w:tcW w:w="607" w:type="dxa"/>
            <w:vAlign w:val="center"/>
          </w:tcPr>
          <w:p w14:paraId="3180453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3"/>
                <w:sz w:val="20"/>
                <w:szCs w:val="20"/>
              </w:rPr>
              <w:t>运营</w:t>
            </w:r>
            <w:r>
              <w:rPr>
                <w:b/>
                <w:bCs/>
                <w:color w:val="auto"/>
                <w:spacing w:val="-3"/>
                <w:sz w:val="20"/>
                <w:szCs w:val="20"/>
              </w:rPr>
              <w:t>期</w:t>
            </w:r>
          </w:p>
        </w:tc>
        <w:tc>
          <w:tcPr>
            <w:tcW w:w="386" w:type="dxa"/>
            <w:textDirection w:val="tbRlV"/>
            <w:vAlign w:val="center"/>
          </w:tcPr>
          <w:p w14:paraId="2223C78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施工期</w:t>
            </w:r>
          </w:p>
        </w:tc>
        <w:tc>
          <w:tcPr>
            <w:tcW w:w="478" w:type="dxa"/>
            <w:textDirection w:val="tbRlV"/>
            <w:vAlign w:val="center"/>
          </w:tcPr>
          <w:p w14:paraId="30D4D9A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运营期</w:t>
            </w:r>
          </w:p>
        </w:tc>
        <w:tc>
          <w:tcPr>
            <w:tcW w:w="434" w:type="dxa"/>
            <w:textDirection w:val="tbRlV"/>
            <w:vAlign w:val="center"/>
          </w:tcPr>
          <w:p w14:paraId="33C4F16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施工期</w:t>
            </w:r>
          </w:p>
        </w:tc>
        <w:tc>
          <w:tcPr>
            <w:tcW w:w="572" w:type="dxa"/>
            <w:textDirection w:val="tbRlV"/>
            <w:vAlign w:val="center"/>
          </w:tcPr>
          <w:p w14:paraId="36EA692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运营期</w:t>
            </w:r>
          </w:p>
        </w:tc>
        <w:tc>
          <w:tcPr>
            <w:tcW w:w="531" w:type="dxa"/>
            <w:textDirection w:val="tbRlV"/>
            <w:vAlign w:val="center"/>
          </w:tcPr>
          <w:p w14:paraId="52913ED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施工期</w:t>
            </w:r>
          </w:p>
        </w:tc>
        <w:tc>
          <w:tcPr>
            <w:tcW w:w="523" w:type="dxa"/>
            <w:textDirection w:val="tbRlV"/>
            <w:vAlign w:val="center"/>
          </w:tcPr>
          <w:p w14:paraId="6F1D42E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运营期</w:t>
            </w:r>
          </w:p>
        </w:tc>
        <w:tc>
          <w:tcPr>
            <w:tcW w:w="607" w:type="dxa"/>
            <w:vAlign w:val="center"/>
          </w:tcPr>
          <w:p w14:paraId="6729714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4"/>
                <w:sz w:val="20"/>
                <w:szCs w:val="20"/>
              </w:rPr>
              <w:t>施工</w:t>
            </w:r>
            <w:r>
              <w:rPr>
                <w:b/>
                <w:bCs/>
                <w:color w:val="auto"/>
                <w:spacing w:val="-3"/>
                <w:sz w:val="20"/>
                <w:szCs w:val="20"/>
              </w:rPr>
              <w:t>期</w:t>
            </w:r>
          </w:p>
        </w:tc>
        <w:tc>
          <w:tcPr>
            <w:tcW w:w="678" w:type="dxa"/>
            <w:vAlign w:val="center"/>
          </w:tcPr>
          <w:p w14:paraId="55C6A75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3"/>
                <w:sz w:val="20"/>
                <w:szCs w:val="20"/>
              </w:rPr>
              <w:t>运营</w:t>
            </w:r>
            <w:r>
              <w:rPr>
                <w:b/>
                <w:bCs/>
                <w:color w:val="auto"/>
                <w:spacing w:val="-3"/>
                <w:sz w:val="20"/>
                <w:szCs w:val="20"/>
              </w:rPr>
              <w:t>期</w:t>
            </w:r>
          </w:p>
        </w:tc>
      </w:tr>
      <w:tr w14:paraId="5CA3495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56" w:type="dxa"/>
            <w:vMerge w:val="restart"/>
            <w:tcBorders>
              <w:bottom w:val="nil"/>
            </w:tcBorders>
            <w:textDirection w:val="tbRlV"/>
            <w:vAlign w:val="center"/>
          </w:tcPr>
          <w:p w14:paraId="12DD85C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8"/>
                <w:position w:val="1"/>
                <w:sz w:val="20"/>
                <w:szCs w:val="20"/>
              </w:rPr>
              <w:t>自</w:t>
            </w:r>
            <w:r>
              <w:rPr>
                <w:color w:val="auto"/>
                <w:spacing w:val="8"/>
                <w:sz w:val="20"/>
                <w:szCs w:val="20"/>
              </w:rPr>
              <w:t>然条件</w:t>
            </w:r>
          </w:p>
        </w:tc>
        <w:tc>
          <w:tcPr>
            <w:tcW w:w="1099" w:type="dxa"/>
            <w:vAlign w:val="center"/>
          </w:tcPr>
          <w:p w14:paraId="3E9D8A0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6"/>
                <w:sz w:val="20"/>
                <w:szCs w:val="20"/>
              </w:rPr>
              <w:t>地质、地貌</w:t>
            </w:r>
          </w:p>
        </w:tc>
        <w:tc>
          <w:tcPr>
            <w:tcW w:w="480" w:type="dxa"/>
            <w:vAlign w:val="center"/>
          </w:tcPr>
          <w:p w14:paraId="4E30F1D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5CEE37E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65425AB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7886BB2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19BDFE8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46FF973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05CA025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162B8A6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19691FD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5B75B58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0AF8F71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4A2A653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68A8F1F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36CBD18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56" w:type="dxa"/>
            <w:vMerge w:val="continue"/>
            <w:tcBorders>
              <w:top w:val="nil"/>
              <w:bottom w:val="nil"/>
            </w:tcBorders>
            <w:textDirection w:val="tbRlV"/>
            <w:vAlign w:val="center"/>
          </w:tcPr>
          <w:p w14:paraId="604E1FA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4A04447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4"/>
                <w:sz w:val="20"/>
                <w:szCs w:val="20"/>
              </w:rPr>
              <w:t>气候</w:t>
            </w:r>
          </w:p>
        </w:tc>
        <w:tc>
          <w:tcPr>
            <w:tcW w:w="480" w:type="dxa"/>
            <w:vAlign w:val="center"/>
          </w:tcPr>
          <w:p w14:paraId="69EE5E0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1AAF0C4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5C9CEC9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7A4962C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25FE007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5CF800E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10D5929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230B8B6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0A68A26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08CAA17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47FBB1A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53A7993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62B9540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2DCEAD9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255E880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351CD05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5"/>
                <w:sz w:val="20"/>
                <w:szCs w:val="20"/>
              </w:rPr>
              <w:t>空气质量</w:t>
            </w:r>
          </w:p>
        </w:tc>
        <w:tc>
          <w:tcPr>
            <w:tcW w:w="480" w:type="dxa"/>
            <w:vAlign w:val="center"/>
          </w:tcPr>
          <w:p w14:paraId="3F0D837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480" w:type="dxa"/>
            <w:vAlign w:val="center"/>
          </w:tcPr>
          <w:p w14:paraId="55AF4C0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558" w:type="dxa"/>
            <w:vAlign w:val="center"/>
          </w:tcPr>
          <w:p w14:paraId="4BC4E69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rFonts w:ascii="Times New Roman" w:hAnsi="Times New Roman" w:eastAsia="Times New Roman" w:cs="Times New Roman"/>
                <w:color w:val="auto"/>
                <w:spacing w:val="-1"/>
                <w:position w:val="-1"/>
                <w:sz w:val="20"/>
                <w:szCs w:val="20"/>
              </w:rPr>
              <w:t>○</w:t>
            </w:r>
          </w:p>
        </w:tc>
        <w:tc>
          <w:tcPr>
            <w:tcW w:w="446" w:type="dxa"/>
            <w:vAlign w:val="center"/>
          </w:tcPr>
          <w:p w14:paraId="3136B6E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6FB5BA2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5907868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6A7FA78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2FFC8DF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7DB52C2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4DD8483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4603AB7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1195265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1A2D277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rFonts w:ascii="Times New Roman" w:hAnsi="Times New Roman" w:eastAsia="Times New Roman" w:cs="Times New Roman"/>
                <w:color w:val="auto"/>
                <w:spacing w:val="-1"/>
                <w:position w:val="-1"/>
                <w:sz w:val="20"/>
                <w:szCs w:val="20"/>
              </w:rPr>
              <w:t>○</w:t>
            </w:r>
          </w:p>
        </w:tc>
      </w:tr>
      <w:tr w14:paraId="12458C4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3FBBB8F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0A6C908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地表水文</w:t>
            </w:r>
          </w:p>
        </w:tc>
        <w:tc>
          <w:tcPr>
            <w:tcW w:w="480" w:type="dxa"/>
            <w:vAlign w:val="center"/>
          </w:tcPr>
          <w:p w14:paraId="67F6DD6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0BEFA16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4ED5EC9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4243766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5DAFB55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6E65FBE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1EC2716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2E52F5A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0215808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7D0779C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68AB766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4711BE8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28499B6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41039B0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6861965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30A1D0B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地表水质</w:t>
            </w:r>
          </w:p>
        </w:tc>
        <w:tc>
          <w:tcPr>
            <w:tcW w:w="480" w:type="dxa"/>
            <w:vAlign w:val="center"/>
          </w:tcPr>
          <w:p w14:paraId="3557028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63D83A6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09B73CF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522FC08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3716B0F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3180418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5C81D11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5921875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3BF3F58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4FB82D4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4A30881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305FC2B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45B276B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0136FF5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76AABD6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233AF16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地下水文</w:t>
            </w:r>
          </w:p>
        </w:tc>
        <w:tc>
          <w:tcPr>
            <w:tcW w:w="480" w:type="dxa"/>
            <w:vAlign w:val="center"/>
          </w:tcPr>
          <w:p w14:paraId="4B2D87C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4E05695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4AA3DE2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4AF9230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2A844B6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176B419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4BF4B29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78DCC51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477559A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7EACB31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3FFAF6D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392F8AA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626085C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731FCE1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6912605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465734B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地下水质</w:t>
            </w:r>
          </w:p>
        </w:tc>
        <w:tc>
          <w:tcPr>
            <w:tcW w:w="480" w:type="dxa"/>
            <w:vAlign w:val="center"/>
          </w:tcPr>
          <w:p w14:paraId="6397FFF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63B12DB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559E823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5D0C8D2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4FCC572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4CCD9AA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39A927E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74F5DD8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2346856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70694D2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4048141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386AC76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581B4AE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725EDE3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5EFC472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6570AE4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4"/>
                <w:sz w:val="20"/>
                <w:szCs w:val="20"/>
              </w:rPr>
              <w:t>植被</w:t>
            </w:r>
          </w:p>
        </w:tc>
        <w:tc>
          <w:tcPr>
            <w:tcW w:w="480" w:type="dxa"/>
            <w:vAlign w:val="center"/>
          </w:tcPr>
          <w:p w14:paraId="632B87F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59FA1B1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3359DBF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20E2384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1C4796B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337D7E9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3029D74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4684D0B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1C46D64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0F241DB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6C41036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45268B0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02CEBD4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1D4FD5F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1294B2D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6178930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4"/>
                <w:sz w:val="20"/>
                <w:szCs w:val="20"/>
              </w:rPr>
              <w:t>土壤</w:t>
            </w:r>
          </w:p>
        </w:tc>
        <w:tc>
          <w:tcPr>
            <w:tcW w:w="480" w:type="dxa"/>
            <w:vAlign w:val="center"/>
          </w:tcPr>
          <w:p w14:paraId="4D3D295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2C13FA3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387C9C4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4927566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2D4C152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281EAE6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546051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1460624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260B2D3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39D59CF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5D559F2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0A6826C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0CCCFAC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6727A3C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0D53967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177A906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6"/>
                <w:sz w:val="20"/>
                <w:szCs w:val="20"/>
              </w:rPr>
              <w:t>水土流失</w:t>
            </w:r>
          </w:p>
        </w:tc>
        <w:tc>
          <w:tcPr>
            <w:tcW w:w="480" w:type="dxa"/>
            <w:vAlign w:val="center"/>
          </w:tcPr>
          <w:p w14:paraId="6AA4D1F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480" w:type="dxa"/>
            <w:vAlign w:val="center"/>
          </w:tcPr>
          <w:p w14:paraId="6A04B2E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431BFBE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027809A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7DBF546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54E8F19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0190A42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6149091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56BA25F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49E847C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523" w:type="dxa"/>
            <w:vAlign w:val="center"/>
          </w:tcPr>
          <w:p w14:paraId="127AE01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5889175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678" w:type="dxa"/>
            <w:vAlign w:val="center"/>
          </w:tcPr>
          <w:p w14:paraId="51BE05C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35400B9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tcBorders>
            <w:textDirection w:val="tbRlV"/>
            <w:vAlign w:val="center"/>
          </w:tcPr>
          <w:p w14:paraId="0D5B2E2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2180E95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5"/>
                <w:sz w:val="20"/>
                <w:szCs w:val="20"/>
              </w:rPr>
              <w:t>声环境</w:t>
            </w:r>
          </w:p>
        </w:tc>
        <w:tc>
          <w:tcPr>
            <w:tcW w:w="480" w:type="dxa"/>
            <w:vAlign w:val="center"/>
          </w:tcPr>
          <w:p w14:paraId="2A0671B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480" w:type="dxa"/>
            <w:vAlign w:val="center"/>
          </w:tcPr>
          <w:p w14:paraId="68E91CF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140DC7E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7A937E1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20ABF98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7E9A31A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position w:val="-1"/>
                <w:sz w:val="20"/>
                <w:szCs w:val="20"/>
              </w:rPr>
              <w:t>○</w:t>
            </w:r>
          </w:p>
        </w:tc>
        <w:tc>
          <w:tcPr>
            <w:tcW w:w="478" w:type="dxa"/>
            <w:vAlign w:val="center"/>
          </w:tcPr>
          <w:p w14:paraId="3390E6A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1"/>
                <w:sz w:val="20"/>
                <w:szCs w:val="20"/>
              </w:rPr>
              <w:t>◎</w:t>
            </w:r>
          </w:p>
        </w:tc>
        <w:tc>
          <w:tcPr>
            <w:tcW w:w="434" w:type="dxa"/>
            <w:vAlign w:val="center"/>
          </w:tcPr>
          <w:p w14:paraId="148BA40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572" w:type="dxa"/>
            <w:vAlign w:val="center"/>
          </w:tcPr>
          <w:p w14:paraId="42C1AAE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1"/>
                <w:sz w:val="20"/>
                <w:szCs w:val="20"/>
              </w:rPr>
              <w:t>◎</w:t>
            </w:r>
          </w:p>
        </w:tc>
        <w:tc>
          <w:tcPr>
            <w:tcW w:w="531" w:type="dxa"/>
            <w:vAlign w:val="center"/>
          </w:tcPr>
          <w:p w14:paraId="39C878F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51E8FF4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1401DA4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386BF36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358086C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restart"/>
            <w:tcBorders>
              <w:bottom w:val="nil"/>
            </w:tcBorders>
            <w:textDirection w:val="tbRlV"/>
            <w:vAlign w:val="center"/>
          </w:tcPr>
          <w:p w14:paraId="3D6C32F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8"/>
                <w:position w:val="1"/>
                <w:sz w:val="20"/>
                <w:szCs w:val="20"/>
              </w:rPr>
              <w:t>自</w:t>
            </w:r>
            <w:r>
              <w:rPr>
                <w:color w:val="auto"/>
                <w:spacing w:val="8"/>
                <w:sz w:val="20"/>
                <w:szCs w:val="20"/>
              </w:rPr>
              <w:t>然资源</w:t>
            </w:r>
          </w:p>
        </w:tc>
        <w:tc>
          <w:tcPr>
            <w:tcW w:w="1099" w:type="dxa"/>
            <w:vAlign w:val="center"/>
          </w:tcPr>
          <w:p w14:paraId="5CA4F31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6"/>
                <w:sz w:val="20"/>
                <w:szCs w:val="20"/>
              </w:rPr>
              <w:t>水资源</w:t>
            </w:r>
          </w:p>
        </w:tc>
        <w:tc>
          <w:tcPr>
            <w:tcW w:w="480" w:type="dxa"/>
            <w:vAlign w:val="center"/>
          </w:tcPr>
          <w:p w14:paraId="085F803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4E1F1A7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455DFB8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32BFBAC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605C2EB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0C6267C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17E27B9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1A3C349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1E87B0F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7C1A078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252C026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214B331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1CD581C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171DF4B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56" w:type="dxa"/>
            <w:vMerge w:val="continue"/>
            <w:tcBorders>
              <w:top w:val="nil"/>
              <w:bottom w:val="nil"/>
            </w:tcBorders>
            <w:textDirection w:val="tbRlV"/>
            <w:vAlign w:val="center"/>
          </w:tcPr>
          <w:p w14:paraId="20E3FEE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7F808A1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森林资源</w:t>
            </w:r>
          </w:p>
        </w:tc>
        <w:tc>
          <w:tcPr>
            <w:tcW w:w="480" w:type="dxa"/>
            <w:vAlign w:val="center"/>
          </w:tcPr>
          <w:p w14:paraId="28C971F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0211CB9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7C37583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537BC9F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394D742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4B7CC7C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3DA4678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3A76A44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30633C0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01FD33A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49824C8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15B7486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78" w:type="dxa"/>
            <w:vAlign w:val="center"/>
          </w:tcPr>
          <w:p w14:paraId="175E8EE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1891A5F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556" w:type="dxa"/>
            <w:vMerge w:val="continue"/>
            <w:tcBorders>
              <w:top w:val="nil"/>
            </w:tcBorders>
            <w:textDirection w:val="tbRlV"/>
            <w:vAlign w:val="center"/>
          </w:tcPr>
          <w:p w14:paraId="46E354A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c>
          <w:tcPr>
            <w:tcW w:w="1099" w:type="dxa"/>
            <w:vAlign w:val="center"/>
          </w:tcPr>
          <w:p w14:paraId="0A920EB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土地资源</w:t>
            </w:r>
          </w:p>
        </w:tc>
        <w:tc>
          <w:tcPr>
            <w:tcW w:w="480" w:type="dxa"/>
            <w:vAlign w:val="center"/>
          </w:tcPr>
          <w:p w14:paraId="4B9440A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80" w:type="dxa"/>
            <w:vAlign w:val="center"/>
          </w:tcPr>
          <w:p w14:paraId="2AFEF73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58" w:type="dxa"/>
            <w:vAlign w:val="center"/>
          </w:tcPr>
          <w:p w14:paraId="7A29B4C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46" w:type="dxa"/>
            <w:vAlign w:val="center"/>
          </w:tcPr>
          <w:p w14:paraId="5B3A144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417045E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386" w:type="dxa"/>
            <w:vAlign w:val="center"/>
          </w:tcPr>
          <w:p w14:paraId="51533AE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78" w:type="dxa"/>
            <w:vAlign w:val="center"/>
          </w:tcPr>
          <w:p w14:paraId="46DBC4C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434" w:type="dxa"/>
            <w:vAlign w:val="center"/>
          </w:tcPr>
          <w:p w14:paraId="2DE088C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72" w:type="dxa"/>
            <w:vAlign w:val="center"/>
          </w:tcPr>
          <w:p w14:paraId="261C514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31" w:type="dxa"/>
            <w:vAlign w:val="center"/>
          </w:tcPr>
          <w:p w14:paraId="24FBC24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523" w:type="dxa"/>
            <w:vAlign w:val="center"/>
          </w:tcPr>
          <w:p w14:paraId="7751FDC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c>
          <w:tcPr>
            <w:tcW w:w="607" w:type="dxa"/>
            <w:vAlign w:val="center"/>
          </w:tcPr>
          <w:p w14:paraId="7DB96FA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position w:val="-1"/>
                <w:sz w:val="20"/>
                <w:szCs w:val="20"/>
              </w:rPr>
              <w:t>○</w:t>
            </w:r>
          </w:p>
        </w:tc>
        <w:tc>
          <w:tcPr>
            <w:tcW w:w="678" w:type="dxa"/>
            <w:vAlign w:val="center"/>
          </w:tcPr>
          <w:p w14:paraId="00D54AE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2"/>
                <w:sz w:val="20"/>
                <w:szCs w:val="20"/>
              </w:rPr>
              <w:t>/</w:t>
            </w:r>
          </w:p>
        </w:tc>
      </w:tr>
      <w:tr w14:paraId="3EE1F59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8435" w:type="dxa"/>
            <w:gridSpan w:val="15"/>
            <w:vAlign w:val="center"/>
          </w:tcPr>
          <w:p w14:paraId="2CC7850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8"/>
                <w:sz w:val="20"/>
                <w:szCs w:val="20"/>
              </w:rPr>
              <w:t>备注：</w:t>
            </w:r>
            <w:r>
              <w:rPr>
                <w:rFonts w:ascii="Times New Roman" w:hAnsi="Times New Roman" w:eastAsia="Times New Roman" w:cs="Times New Roman"/>
                <w:color w:val="auto"/>
                <w:spacing w:val="8"/>
                <w:sz w:val="20"/>
                <w:szCs w:val="20"/>
              </w:rPr>
              <w:t>●</w:t>
            </w:r>
            <w:r>
              <w:rPr>
                <w:color w:val="auto"/>
                <w:spacing w:val="8"/>
                <w:sz w:val="20"/>
                <w:szCs w:val="20"/>
              </w:rPr>
              <w:t>重大影响；◎中度影响；</w:t>
            </w:r>
            <w:r>
              <w:rPr>
                <w:rFonts w:ascii="Times New Roman" w:hAnsi="Times New Roman" w:eastAsia="Times New Roman" w:cs="Times New Roman"/>
                <w:color w:val="auto"/>
                <w:spacing w:val="8"/>
                <w:sz w:val="20"/>
                <w:szCs w:val="20"/>
              </w:rPr>
              <w:t>○</w:t>
            </w:r>
            <w:r>
              <w:rPr>
                <w:color w:val="auto"/>
                <w:spacing w:val="8"/>
                <w:sz w:val="20"/>
                <w:szCs w:val="20"/>
              </w:rPr>
              <w:t>轻微影响；</w:t>
            </w:r>
            <w:r>
              <w:rPr>
                <w:rFonts w:ascii="Times New Roman" w:hAnsi="Times New Roman" w:eastAsia="Times New Roman" w:cs="Times New Roman"/>
                <w:color w:val="auto"/>
                <w:spacing w:val="8"/>
                <w:sz w:val="20"/>
                <w:szCs w:val="20"/>
              </w:rPr>
              <w:t>/</w:t>
            </w:r>
            <w:r>
              <w:rPr>
                <w:color w:val="auto"/>
                <w:spacing w:val="8"/>
                <w:sz w:val="20"/>
                <w:szCs w:val="20"/>
              </w:rPr>
              <w:t>影响很小或无影响</w:t>
            </w:r>
            <w:r>
              <w:rPr>
                <w:color w:val="auto"/>
                <w:spacing w:val="-4"/>
                <w:sz w:val="20"/>
                <w:szCs w:val="20"/>
              </w:rPr>
              <w:t>；＋</w:t>
            </w:r>
            <w:r>
              <w:rPr>
                <w:color w:val="auto"/>
                <w:spacing w:val="8"/>
                <w:sz w:val="20"/>
                <w:szCs w:val="20"/>
              </w:rPr>
              <w:t>正面影响</w:t>
            </w:r>
            <w:r>
              <w:rPr>
                <w:color w:val="auto"/>
                <w:spacing w:val="-4"/>
                <w:sz w:val="20"/>
                <w:szCs w:val="20"/>
              </w:rPr>
              <w:t>；－</w:t>
            </w:r>
            <w:r>
              <w:rPr>
                <w:color w:val="auto"/>
                <w:spacing w:val="8"/>
                <w:sz w:val="20"/>
                <w:szCs w:val="20"/>
              </w:rPr>
              <w:t>负</w:t>
            </w:r>
            <w:r>
              <w:rPr>
                <w:color w:val="auto"/>
                <w:spacing w:val="7"/>
                <w:sz w:val="20"/>
                <w:szCs w:val="20"/>
              </w:rPr>
              <w:t>面影响。</w:t>
            </w:r>
          </w:p>
        </w:tc>
      </w:tr>
    </w:tbl>
    <w:p w14:paraId="6B9247C6">
      <w:pPr>
        <w:pStyle w:val="9"/>
        <w:spacing w:before="115" w:line="219" w:lineRule="auto"/>
        <w:ind w:left="400"/>
        <w:rPr>
          <w:color w:val="auto"/>
        </w:rPr>
      </w:pPr>
      <w:r>
        <w:rPr>
          <w:color w:val="auto"/>
          <w:spacing w:val="-2"/>
        </w:rPr>
        <w:t>项目对环境影响性质分析见下表</w:t>
      </w:r>
      <w:r>
        <w:rPr>
          <w:rFonts w:ascii="Times New Roman" w:hAnsi="Times New Roman" w:eastAsia="Times New Roman" w:cs="Times New Roman"/>
          <w:color w:val="auto"/>
          <w:spacing w:val="-2"/>
        </w:rPr>
        <w:t>1.4-2</w:t>
      </w:r>
      <w:r>
        <w:rPr>
          <w:color w:val="auto"/>
          <w:spacing w:val="-2"/>
        </w:rPr>
        <w:t>。</w:t>
      </w:r>
    </w:p>
    <w:p w14:paraId="57E2131C">
      <w:pPr>
        <w:pStyle w:val="36"/>
        <w:keepNext w:val="0"/>
        <w:keepLines w:val="0"/>
        <w:pageBreakBefore w:val="0"/>
        <w:widowControl w:val="0"/>
        <w:numPr>
          <w:ilvl w:val="1"/>
          <w:numId w:val="9"/>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环境影响性质分析</w:t>
      </w:r>
    </w:p>
    <w:tbl>
      <w:tblPr>
        <w:tblStyle w:val="26"/>
        <w:tblW w:w="8155" w:type="dxa"/>
        <w:tblInd w:w="1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6"/>
        <w:gridCol w:w="650"/>
        <w:gridCol w:w="680"/>
        <w:gridCol w:w="742"/>
        <w:gridCol w:w="1005"/>
        <w:gridCol w:w="1222"/>
        <w:gridCol w:w="1051"/>
        <w:gridCol w:w="757"/>
        <w:gridCol w:w="822"/>
      </w:tblGrid>
      <w:tr w14:paraId="092CB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226" w:type="dxa"/>
            <w:vAlign w:val="center"/>
          </w:tcPr>
          <w:p w14:paraId="4D54BEB7">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6"/>
                <w:sz w:val="20"/>
                <w:szCs w:val="20"/>
              </w:rPr>
              <w:t>环境因素</w:t>
            </w:r>
          </w:p>
          <w:p w14:paraId="2D5EA5C4">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6"/>
                <w:sz w:val="20"/>
                <w:szCs w:val="20"/>
              </w:rPr>
              <w:t>影响性质</w:t>
            </w:r>
          </w:p>
        </w:tc>
        <w:tc>
          <w:tcPr>
            <w:tcW w:w="650" w:type="dxa"/>
            <w:vAlign w:val="center"/>
          </w:tcPr>
          <w:p w14:paraId="7DFD63F1">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2"/>
                <w:sz w:val="20"/>
                <w:szCs w:val="20"/>
              </w:rPr>
              <w:t>短期</w:t>
            </w:r>
          </w:p>
          <w:p w14:paraId="12A87570">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3"/>
                <w:sz w:val="20"/>
                <w:szCs w:val="20"/>
              </w:rPr>
              <w:t>影响</w:t>
            </w:r>
          </w:p>
        </w:tc>
        <w:tc>
          <w:tcPr>
            <w:tcW w:w="680" w:type="dxa"/>
            <w:vAlign w:val="center"/>
          </w:tcPr>
          <w:p w14:paraId="15EC34C9">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3"/>
                <w:sz w:val="20"/>
                <w:szCs w:val="20"/>
              </w:rPr>
              <w:t>长期</w:t>
            </w:r>
          </w:p>
          <w:p w14:paraId="603029D0">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3"/>
                <w:sz w:val="20"/>
                <w:szCs w:val="20"/>
              </w:rPr>
              <w:t>影响</w:t>
            </w:r>
          </w:p>
        </w:tc>
        <w:tc>
          <w:tcPr>
            <w:tcW w:w="742" w:type="dxa"/>
            <w:vAlign w:val="center"/>
          </w:tcPr>
          <w:p w14:paraId="1074DDB2">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9"/>
                <w:sz w:val="20"/>
                <w:szCs w:val="20"/>
              </w:rPr>
              <w:t>可逆</w:t>
            </w:r>
          </w:p>
          <w:p w14:paraId="3B50452F">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9"/>
                <w:sz w:val="20"/>
                <w:szCs w:val="20"/>
              </w:rPr>
              <w:t>影响</w:t>
            </w:r>
          </w:p>
        </w:tc>
        <w:tc>
          <w:tcPr>
            <w:tcW w:w="1005" w:type="dxa"/>
            <w:vAlign w:val="center"/>
          </w:tcPr>
          <w:p w14:paraId="2C1EAF8A">
            <w:pPr>
              <w:pStyle w:val="27"/>
              <w:keepNext w:val="0"/>
              <w:keepLines w:val="0"/>
              <w:pageBreakBefore w:val="0"/>
              <w:widowControl/>
              <w:kinsoku/>
              <w:wordWrap/>
              <w:overflowPunct/>
              <w:topLinePunct w:val="0"/>
              <w:autoSpaceDE w:val="0"/>
              <w:autoSpaceDN w:val="0"/>
              <w:bidi w:val="0"/>
              <w:adjustRightInd/>
              <w:snapToGrid/>
              <w:spacing w:line="240" w:lineRule="auto"/>
              <w:ind w:left="0" w:right="0" w:hanging="109"/>
              <w:jc w:val="center"/>
              <w:textAlignment w:val="baseline"/>
              <w:rPr>
                <w:b/>
                <w:bCs/>
                <w:color w:val="auto"/>
                <w:spacing w:val="10"/>
                <w:sz w:val="20"/>
                <w:szCs w:val="20"/>
              </w:rPr>
            </w:pPr>
            <w:r>
              <w:rPr>
                <w:b/>
                <w:bCs/>
                <w:color w:val="auto"/>
                <w:spacing w:val="10"/>
                <w:sz w:val="20"/>
                <w:szCs w:val="20"/>
              </w:rPr>
              <w:t>不可逆</w:t>
            </w:r>
          </w:p>
          <w:p w14:paraId="72B7CCE8">
            <w:pPr>
              <w:pStyle w:val="27"/>
              <w:keepNext w:val="0"/>
              <w:keepLines w:val="0"/>
              <w:pageBreakBefore w:val="0"/>
              <w:widowControl/>
              <w:kinsoku/>
              <w:wordWrap/>
              <w:overflowPunct/>
              <w:topLinePunct w:val="0"/>
              <w:autoSpaceDE w:val="0"/>
              <w:autoSpaceDN w:val="0"/>
              <w:bidi w:val="0"/>
              <w:adjustRightInd/>
              <w:snapToGrid/>
              <w:spacing w:line="240" w:lineRule="auto"/>
              <w:ind w:left="0" w:right="0" w:hanging="109"/>
              <w:jc w:val="center"/>
              <w:textAlignment w:val="baseline"/>
              <w:rPr>
                <w:color w:val="auto"/>
                <w:sz w:val="20"/>
                <w:szCs w:val="20"/>
              </w:rPr>
            </w:pPr>
            <w:r>
              <w:rPr>
                <w:b/>
                <w:bCs/>
                <w:color w:val="auto"/>
                <w:spacing w:val="7"/>
                <w:sz w:val="20"/>
                <w:szCs w:val="20"/>
              </w:rPr>
              <w:t>影响</w:t>
            </w:r>
          </w:p>
        </w:tc>
        <w:tc>
          <w:tcPr>
            <w:tcW w:w="1222" w:type="dxa"/>
            <w:vAlign w:val="center"/>
          </w:tcPr>
          <w:p w14:paraId="464B0F7B">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15"/>
                <w:sz w:val="20"/>
                <w:szCs w:val="20"/>
              </w:rPr>
              <w:t>直接影响</w:t>
            </w:r>
          </w:p>
        </w:tc>
        <w:tc>
          <w:tcPr>
            <w:tcW w:w="1051" w:type="dxa"/>
            <w:vAlign w:val="center"/>
          </w:tcPr>
          <w:p w14:paraId="5BC72A32">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3"/>
                <w:sz w:val="20"/>
                <w:szCs w:val="20"/>
              </w:rPr>
              <w:t>间接影响</w:t>
            </w:r>
          </w:p>
        </w:tc>
        <w:tc>
          <w:tcPr>
            <w:tcW w:w="757" w:type="dxa"/>
            <w:vAlign w:val="center"/>
          </w:tcPr>
          <w:p w14:paraId="7D7A8437">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5"/>
                <w:sz w:val="20"/>
                <w:szCs w:val="20"/>
              </w:rPr>
              <w:t>局部</w:t>
            </w:r>
          </w:p>
          <w:p w14:paraId="49CA96E3">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7"/>
                <w:sz w:val="20"/>
                <w:szCs w:val="20"/>
              </w:rPr>
              <w:t>影响</w:t>
            </w:r>
          </w:p>
        </w:tc>
        <w:tc>
          <w:tcPr>
            <w:tcW w:w="822" w:type="dxa"/>
            <w:vAlign w:val="center"/>
          </w:tcPr>
          <w:p w14:paraId="51873F3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89"/>
              <w:jc w:val="center"/>
              <w:textAlignment w:val="baseline"/>
              <w:rPr>
                <w:color w:val="auto"/>
                <w:sz w:val="20"/>
                <w:szCs w:val="20"/>
              </w:rPr>
            </w:pPr>
            <w:r>
              <w:rPr>
                <w:b/>
                <w:bCs/>
                <w:color w:val="auto"/>
                <w:spacing w:val="8"/>
                <w:sz w:val="20"/>
                <w:szCs w:val="20"/>
              </w:rPr>
              <w:t>大范</w:t>
            </w:r>
            <w:r>
              <w:rPr>
                <w:b/>
                <w:bCs/>
                <w:color w:val="auto"/>
                <w:spacing w:val="4"/>
                <w:sz w:val="20"/>
                <w:szCs w:val="20"/>
              </w:rPr>
              <w:t>围影响</w:t>
            </w:r>
          </w:p>
        </w:tc>
      </w:tr>
      <w:tr w14:paraId="5FD8F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26" w:type="dxa"/>
            <w:vAlign w:val="center"/>
          </w:tcPr>
          <w:p w14:paraId="226389B8">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6"/>
                <w:sz w:val="20"/>
                <w:szCs w:val="20"/>
              </w:rPr>
              <w:t>大气环境</w:t>
            </w:r>
          </w:p>
        </w:tc>
        <w:tc>
          <w:tcPr>
            <w:tcW w:w="650" w:type="dxa"/>
            <w:vAlign w:val="center"/>
          </w:tcPr>
          <w:p w14:paraId="1D8924DC">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680" w:type="dxa"/>
            <w:vAlign w:val="center"/>
          </w:tcPr>
          <w:p w14:paraId="134A52A7">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742" w:type="dxa"/>
            <w:vAlign w:val="center"/>
          </w:tcPr>
          <w:p w14:paraId="0F39B539">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1005" w:type="dxa"/>
            <w:vAlign w:val="center"/>
          </w:tcPr>
          <w:p w14:paraId="63F44067">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c>
          <w:tcPr>
            <w:tcW w:w="1222" w:type="dxa"/>
            <w:vAlign w:val="center"/>
          </w:tcPr>
          <w:p w14:paraId="5A5568E4">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w:t>
            </w:r>
          </w:p>
        </w:tc>
        <w:tc>
          <w:tcPr>
            <w:tcW w:w="1051" w:type="dxa"/>
            <w:vAlign w:val="center"/>
          </w:tcPr>
          <w:p w14:paraId="4B265A80">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c>
          <w:tcPr>
            <w:tcW w:w="757" w:type="dxa"/>
            <w:vAlign w:val="center"/>
          </w:tcPr>
          <w:p w14:paraId="24916F1D">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822" w:type="dxa"/>
            <w:vAlign w:val="center"/>
          </w:tcPr>
          <w:p w14:paraId="6EA3CEA0">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r>
      <w:tr w14:paraId="3C954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26" w:type="dxa"/>
            <w:vAlign w:val="center"/>
          </w:tcPr>
          <w:p w14:paraId="30A18D0A">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8"/>
                <w:sz w:val="20"/>
                <w:szCs w:val="20"/>
              </w:rPr>
              <w:t>地表水环境</w:t>
            </w:r>
          </w:p>
        </w:tc>
        <w:tc>
          <w:tcPr>
            <w:tcW w:w="650" w:type="dxa"/>
            <w:vAlign w:val="center"/>
          </w:tcPr>
          <w:p w14:paraId="1C7DA62A">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b/>
                <w:bCs/>
                <w:color w:val="auto"/>
                <w:spacing w:val="12"/>
                <w:position w:val="-2"/>
                <w:sz w:val="19"/>
                <w:szCs w:val="19"/>
              </w:rPr>
              <w:t>—</w:t>
            </w:r>
          </w:p>
        </w:tc>
        <w:tc>
          <w:tcPr>
            <w:tcW w:w="680" w:type="dxa"/>
            <w:vAlign w:val="center"/>
          </w:tcPr>
          <w:p w14:paraId="67A16A86">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42" w:type="dxa"/>
            <w:vAlign w:val="center"/>
          </w:tcPr>
          <w:p w14:paraId="00616860">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005" w:type="dxa"/>
            <w:vAlign w:val="center"/>
          </w:tcPr>
          <w:p w14:paraId="4A8890FD">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222" w:type="dxa"/>
            <w:vAlign w:val="center"/>
          </w:tcPr>
          <w:p w14:paraId="06A2C55E">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051" w:type="dxa"/>
            <w:vAlign w:val="center"/>
          </w:tcPr>
          <w:p w14:paraId="2D611729">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w:t>
            </w:r>
          </w:p>
        </w:tc>
        <w:tc>
          <w:tcPr>
            <w:tcW w:w="757" w:type="dxa"/>
            <w:vAlign w:val="center"/>
          </w:tcPr>
          <w:p w14:paraId="3E31E451">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822" w:type="dxa"/>
            <w:vAlign w:val="center"/>
          </w:tcPr>
          <w:p w14:paraId="1A22EE25">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r>
      <w:tr w14:paraId="3DDDE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26" w:type="dxa"/>
            <w:vAlign w:val="center"/>
          </w:tcPr>
          <w:p w14:paraId="588A94FA">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5"/>
                <w:sz w:val="20"/>
                <w:szCs w:val="20"/>
              </w:rPr>
              <w:t>声环境</w:t>
            </w:r>
          </w:p>
        </w:tc>
        <w:tc>
          <w:tcPr>
            <w:tcW w:w="650" w:type="dxa"/>
            <w:vAlign w:val="center"/>
          </w:tcPr>
          <w:p w14:paraId="273E27D3">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680" w:type="dxa"/>
            <w:vAlign w:val="center"/>
          </w:tcPr>
          <w:p w14:paraId="45BB27BB">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742" w:type="dxa"/>
            <w:vAlign w:val="center"/>
          </w:tcPr>
          <w:p w14:paraId="19F6FCD5">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1005" w:type="dxa"/>
            <w:vAlign w:val="center"/>
          </w:tcPr>
          <w:p w14:paraId="447AF472">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222" w:type="dxa"/>
            <w:vAlign w:val="center"/>
          </w:tcPr>
          <w:p w14:paraId="1FD21D82">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w:t>
            </w:r>
          </w:p>
        </w:tc>
        <w:tc>
          <w:tcPr>
            <w:tcW w:w="1051" w:type="dxa"/>
            <w:vAlign w:val="center"/>
          </w:tcPr>
          <w:p w14:paraId="4EC885BB">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57" w:type="dxa"/>
            <w:vAlign w:val="center"/>
          </w:tcPr>
          <w:p w14:paraId="73E94D0D">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822" w:type="dxa"/>
            <w:vAlign w:val="center"/>
          </w:tcPr>
          <w:p w14:paraId="027FC3FE">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r>
      <w:tr w14:paraId="710C3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26" w:type="dxa"/>
            <w:vAlign w:val="center"/>
          </w:tcPr>
          <w:p w14:paraId="4BAE9C9C">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7"/>
                <w:sz w:val="20"/>
                <w:szCs w:val="20"/>
              </w:rPr>
              <w:t>振动环境</w:t>
            </w:r>
          </w:p>
        </w:tc>
        <w:tc>
          <w:tcPr>
            <w:tcW w:w="650" w:type="dxa"/>
            <w:vAlign w:val="center"/>
          </w:tcPr>
          <w:p w14:paraId="7DF35676">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680" w:type="dxa"/>
            <w:vAlign w:val="center"/>
          </w:tcPr>
          <w:p w14:paraId="3465D548">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742" w:type="dxa"/>
            <w:vAlign w:val="center"/>
          </w:tcPr>
          <w:p w14:paraId="0E9B87D3">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1005" w:type="dxa"/>
            <w:vAlign w:val="center"/>
          </w:tcPr>
          <w:p w14:paraId="64C07DF9">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222" w:type="dxa"/>
            <w:vAlign w:val="center"/>
          </w:tcPr>
          <w:p w14:paraId="6C0B30D6">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1"/>
                <w:sz w:val="20"/>
                <w:szCs w:val="20"/>
              </w:rPr>
              <w:t>√</w:t>
            </w:r>
          </w:p>
        </w:tc>
        <w:tc>
          <w:tcPr>
            <w:tcW w:w="1051" w:type="dxa"/>
            <w:vAlign w:val="center"/>
          </w:tcPr>
          <w:p w14:paraId="00C60BF1">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57" w:type="dxa"/>
            <w:vAlign w:val="center"/>
          </w:tcPr>
          <w:p w14:paraId="6E5FBD79">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822" w:type="dxa"/>
            <w:vAlign w:val="center"/>
          </w:tcPr>
          <w:p w14:paraId="239577E7">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r>
      <w:tr w14:paraId="3D00E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226" w:type="dxa"/>
            <w:vAlign w:val="center"/>
          </w:tcPr>
          <w:p w14:paraId="2C85EFDF">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6"/>
                <w:sz w:val="20"/>
                <w:szCs w:val="20"/>
              </w:rPr>
              <w:t>生态环境</w:t>
            </w:r>
          </w:p>
        </w:tc>
        <w:tc>
          <w:tcPr>
            <w:tcW w:w="650" w:type="dxa"/>
            <w:vAlign w:val="center"/>
          </w:tcPr>
          <w:p w14:paraId="512492B5">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680" w:type="dxa"/>
            <w:vAlign w:val="center"/>
          </w:tcPr>
          <w:p w14:paraId="22DE44BA">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42" w:type="dxa"/>
            <w:vAlign w:val="center"/>
          </w:tcPr>
          <w:p w14:paraId="643BB2D8">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005" w:type="dxa"/>
            <w:vAlign w:val="center"/>
          </w:tcPr>
          <w:p w14:paraId="5FB85798">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222" w:type="dxa"/>
            <w:vAlign w:val="center"/>
          </w:tcPr>
          <w:p w14:paraId="0BECEAB5">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c>
          <w:tcPr>
            <w:tcW w:w="1051" w:type="dxa"/>
            <w:vAlign w:val="center"/>
          </w:tcPr>
          <w:p w14:paraId="7884E606">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position w:val="-1"/>
                <w:sz w:val="20"/>
                <w:szCs w:val="20"/>
              </w:rPr>
              <w:t>√</w:t>
            </w:r>
          </w:p>
        </w:tc>
        <w:tc>
          <w:tcPr>
            <w:tcW w:w="757" w:type="dxa"/>
            <w:vAlign w:val="center"/>
          </w:tcPr>
          <w:p w14:paraId="5834675E">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z w:val="19"/>
                <w:szCs w:val="19"/>
              </w:rPr>
              <w:t>√</w:t>
            </w:r>
          </w:p>
        </w:tc>
        <w:tc>
          <w:tcPr>
            <w:tcW w:w="822" w:type="dxa"/>
            <w:vAlign w:val="center"/>
          </w:tcPr>
          <w:p w14:paraId="58E8FF3B">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2"/>
                <w:position w:val="-2"/>
                <w:sz w:val="20"/>
                <w:szCs w:val="20"/>
              </w:rPr>
              <w:t>—</w:t>
            </w:r>
          </w:p>
        </w:tc>
      </w:tr>
      <w:tr w14:paraId="54ACD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226" w:type="dxa"/>
            <w:vAlign w:val="center"/>
          </w:tcPr>
          <w:p w14:paraId="3376E300">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8"/>
                <w:sz w:val="20"/>
                <w:szCs w:val="20"/>
              </w:rPr>
              <w:t>地下水环境</w:t>
            </w:r>
          </w:p>
        </w:tc>
        <w:tc>
          <w:tcPr>
            <w:tcW w:w="650" w:type="dxa"/>
            <w:vAlign w:val="center"/>
          </w:tcPr>
          <w:p w14:paraId="50DF6C06">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680" w:type="dxa"/>
            <w:vAlign w:val="center"/>
          </w:tcPr>
          <w:p w14:paraId="774F58A1">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42" w:type="dxa"/>
            <w:vAlign w:val="center"/>
          </w:tcPr>
          <w:p w14:paraId="00879FF7">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005" w:type="dxa"/>
            <w:vAlign w:val="center"/>
          </w:tcPr>
          <w:p w14:paraId="7F770EA8">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222" w:type="dxa"/>
            <w:vAlign w:val="center"/>
          </w:tcPr>
          <w:p w14:paraId="73ADCE61">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051" w:type="dxa"/>
            <w:vAlign w:val="center"/>
          </w:tcPr>
          <w:p w14:paraId="38CA429F">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57" w:type="dxa"/>
            <w:vAlign w:val="center"/>
          </w:tcPr>
          <w:p w14:paraId="6CBFBD1C">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822" w:type="dxa"/>
            <w:vAlign w:val="center"/>
          </w:tcPr>
          <w:p w14:paraId="215A351E">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r>
      <w:tr w14:paraId="17327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226" w:type="dxa"/>
            <w:vAlign w:val="center"/>
          </w:tcPr>
          <w:p w14:paraId="34878FA3">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7"/>
                <w:sz w:val="20"/>
                <w:szCs w:val="20"/>
              </w:rPr>
              <w:t>土壤环境</w:t>
            </w:r>
          </w:p>
        </w:tc>
        <w:tc>
          <w:tcPr>
            <w:tcW w:w="650" w:type="dxa"/>
            <w:vAlign w:val="center"/>
          </w:tcPr>
          <w:p w14:paraId="15FDC338">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680" w:type="dxa"/>
            <w:vAlign w:val="center"/>
          </w:tcPr>
          <w:p w14:paraId="2B7E6B22">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42" w:type="dxa"/>
            <w:vAlign w:val="center"/>
          </w:tcPr>
          <w:p w14:paraId="2FBB5D7D">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005" w:type="dxa"/>
            <w:vAlign w:val="center"/>
          </w:tcPr>
          <w:p w14:paraId="0C832907">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222" w:type="dxa"/>
            <w:vAlign w:val="center"/>
          </w:tcPr>
          <w:p w14:paraId="4A88D765">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1051" w:type="dxa"/>
            <w:vAlign w:val="center"/>
          </w:tcPr>
          <w:p w14:paraId="79FE52D2">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757" w:type="dxa"/>
            <w:vAlign w:val="center"/>
          </w:tcPr>
          <w:p w14:paraId="36AF0CD6">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c>
          <w:tcPr>
            <w:tcW w:w="822" w:type="dxa"/>
            <w:vAlign w:val="center"/>
          </w:tcPr>
          <w:p w14:paraId="1C559147">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Times New Roman" w:hAnsi="Times New Roman" w:eastAsia="Times New Roman" w:cs="Times New Roman"/>
                <w:color w:val="auto"/>
                <w:sz w:val="19"/>
                <w:szCs w:val="19"/>
              </w:rPr>
            </w:pPr>
            <w:r>
              <w:rPr>
                <w:rFonts w:ascii="Times New Roman" w:hAnsi="Times New Roman" w:eastAsia="Times New Roman" w:cs="Times New Roman"/>
                <w:color w:val="auto"/>
                <w:spacing w:val="12"/>
                <w:position w:val="-2"/>
                <w:sz w:val="19"/>
                <w:szCs w:val="19"/>
              </w:rPr>
              <w:t>—</w:t>
            </w:r>
          </w:p>
        </w:tc>
      </w:tr>
    </w:tbl>
    <w:p w14:paraId="654C0C4F">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总体上讲，项目对环境产生的环境污染影响表现为以能量损耗型（噪声、振动）为主，以物质消耗型（污水、废气、固体废物）为辅；对生态环境影响表现为以自然生态环境影响（土地利用、水土流失、动植物影响等）为主。</w:t>
      </w:r>
    </w:p>
    <w:p w14:paraId="081D35CD">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3"/>
        <w:rPr>
          <w:rFonts w:ascii="Times New Roman" w:hAnsi="Times New Roman" w:eastAsia="Times New Roman" w:cs="Times New Roman"/>
          <w:b/>
          <w:bCs/>
          <w:color w:val="auto"/>
          <w:spacing w:val="-3"/>
          <w:sz w:val="28"/>
          <w:szCs w:val="28"/>
        </w:rPr>
      </w:pPr>
      <w:r>
        <w:rPr>
          <w:rFonts w:ascii="Times New Roman" w:hAnsi="Times New Roman" w:eastAsia="Times New Roman" w:cs="Times New Roman"/>
          <w:b/>
          <w:bCs/>
          <w:color w:val="auto"/>
          <w:spacing w:val="-3"/>
          <w:sz w:val="28"/>
          <w:szCs w:val="28"/>
        </w:rPr>
        <w:t>1.4.2 评价因子筛选</w:t>
      </w:r>
    </w:p>
    <w:p w14:paraId="58E92CC3">
      <w:pPr>
        <w:spacing w:line="306" w:lineRule="auto"/>
        <w:rPr>
          <w:rFonts w:ascii="Arial"/>
          <w:color w:val="auto"/>
          <w:sz w:val="21"/>
        </w:rPr>
      </w:pPr>
    </w:p>
    <w:p w14:paraId="6E85E541">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通过对项目环境影响识别，结合周围区域环境质量现状和沿线环境敏感性，以及建设项目污染物排放规律以及排放量，确定的本次评价因子见表1.4-</w:t>
      </w:r>
      <w:r>
        <w:rPr>
          <w:rFonts w:hint="eastAsia" w:ascii="Times New Roman" w:hAnsi="Times New Roman" w:eastAsia="宋体" w:cs="Times New Roman"/>
          <w:snapToGrid w:val="0"/>
          <w:color w:val="auto"/>
          <w:spacing w:val="0"/>
          <w:kern w:val="0"/>
          <w:sz w:val="24"/>
          <w:szCs w:val="24"/>
          <w:lang w:val="en-US" w:eastAsia="zh-CN" w:bidi="ar-SA"/>
        </w:rPr>
        <w:t>3</w:t>
      </w:r>
      <w:r>
        <w:rPr>
          <w:rFonts w:hint="default" w:ascii="Times New Roman" w:hAnsi="Times New Roman" w:eastAsia="宋体" w:cs="Times New Roman"/>
          <w:snapToGrid w:val="0"/>
          <w:color w:val="auto"/>
          <w:spacing w:val="0"/>
          <w:kern w:val="0"/>
          <w:sz w:val="24"/>
          <w:szCs w:val="24"/>
          <w:lang w:val="en-US" w:eastAsia="en-US" w:bidi="ar-SA"/>
        </w:rPr>
        <w:t>。</w:t>
      </w:r>
    </w:p>
    <w:p w14:paraId="1950FC46">
      <w:pPr>
        <w:rPr>
          <w:rFonts w:hint="default"/>
          <w:color w:val="auto"/>
          <w:lang w:val="en-US" w:eastAsia="en-US"/>
        </w:rPr>
      </w:pPr>
    </w:p>
    <w:p w14:paraId="1D636610">
      <w:pPr>
        <w:pStyle w:val="36"/>
        <w:keepNext w:val="0"/>
        <w:keepLines w:val="0"/>
        <w:pageBreakBefore w:val="0"/>
        <w:widowControl w:val="0"/>
        <w:numPr>
          <w:ilvl w:val="1"/>
          <w:numId w:val="9"/>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环境影响评价因子表</w:t>
      </w:r>
    </w:p>
    <w:tbl>
      <w:tblPr>
        <w:tblStyle w:val="26"/>
        <w:tblW w:w="84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248"/>
        <w:gridCol w:w="2340"/>
        <w:gridCol w:w="2694"/>
      </w:tblGrid>
      <w:tr w14:paraId="26FAA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188" w:type="dxa"/>
            <w:vAlign w:val="center"/>
          </w:tcPr>
          <w:p w14:paraId="5BA8481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环境要素</w:t>
            </w:r>
          </w:p>
        </w:tc>
        <w:tc>
          <w:tcPr>
            <w:tcW w:w="2248" w:type="dxa"/>
            <w:vAlign w:val="center"/>
          </w:tcPr>
          <w:p w14:paraId="276304A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生态破坏</w:t>
            </w:r>
            <w:r>
              <w:rPr>
                <w:rFonts w:ascii="Times New Roman" w:hAnsi="Times New Roman" w:eastAsia="Times New Roman" w:cs="Times New Roman"/>
                <w:b/>
                <w:bCs/>
                <w:color w:val="auto"/>
                <w:spacing w:val="0"/>
                <w:w w:val="100"/>
                <w:position w:val="0"/>
                <w:sz w:val="21"/>
                <w:szCs w:val="21"/>
              </w:rPr>
              <w:t>/</w:t>
            </w:r>
            <w:r>
              <w:rPr>
                <w:b/>
                <w:bCs/>
                <w:color w:val="auto"/>
                <w:spacing w:val="0"/>
                <w:w w:val="100"/>
                <w:position w:val="0"/>
                <w:sz w:val="21"/>
                <w:szCs w:val="21"/>
              </w:rPr>
              <w:t>污染源</w:t>
            </w:r>
          </w:p>
        </w:tc>
        <w:tc>
          <w:tcPr>
            <w:tcW w:w="2340" w:type="dxa"/>
            <w:vAlign w:val="center"/>
          </w:tcPr>
          <w:p w14:paraId="14CDB29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环境现状评价因子</w:t>
            </w:r>
          </w:p>
        </w:tc>
        <w:tc>
          <w:tcPr>
            <w:tcW w:w="2694" w:type="dxa"/>
            <w:vAlign w:val="center"/>
          </w:tcPr>
          <w:p w14:paraId="1BE05D3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预测评价因子、影响分析</w:t>
            </w:r>
          </w:p>
        </w:tc>
      </w:tr>
      <w:tr w14:paraId="31091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188" w:type="dxa"/>
            <w:vAlign w:val="center"/>
          </w:tcPr>
          <w:p w14:paraId="74DFDD1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生态环境</w:t>
            </w:r>
          </w:p>
        </w:tc>
        <w:tc>
          <w:tcPr>
            <w:tcW w:w="2248" w:type="dxa"/>
            <w:vAlign w:val="center"/>
          </w:tcPr>
          <w:p w14:paraId="089F003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工程占地</w:t>
            </w:r>
            <w:r>
              <w:rPr>
                <w:rFonts w:hint="eastAsia"/>
                <w:color w:val="auto"/>
                <w:spacing w:val="0"/>
                <w:w w:val="100"/>
                <w:position w:val="0"/>
                <w:sz w:val="21"/>
                <w:szCs w:val="21"/>
                <w:lang w:eastAsia="zh-CN"/>
              </w:rPr>
              <w:t>、</w:t>
            </w:r>
            <w:r>
              <w:rPr>
                <w:color w:val="auto"/>
                <w:spacing w:val="0"/>
                <w:w w:val="100"/>
                <w:position w:val="0"/>
                <w:sz w:val="21"/>
                <w:szCs w:val="21"/>
              </w:rPr>
              <w:t>集装箱装卸场施工土石方工程。</w:t>
            </w:r>
          </w:p>
        </w:tc>
        <w:tc>
          <w:tcPr>
            <w:tcW w:w="2340" w:type="dxa"/>
            <w:vAlign w:val="center"/>
          </w:tcPr>
          <w:p w14:paraId="37ED9FF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eastAsia"/>
                <w:color w:val="auto"/>
                <w:spacing w:val="0"/>
                <w:w w:val="100"/>
                <w:position w:val="0"/>
                <w:sz w:val="21"/>
                <w:szCs w:val="21"/>
                <w:lang w:val="en-US" w:eastAsia="zh-CN"/>
              </w:rPr>
              <w:t>物种：分布范围、种群数量</w:t>
            </w:r>
            <w:r>
              <w:rPr>
                <w:color w:val="auto"/>
                <w:spacing w:val="0"/>
                <w:w w:val="100"/>
                <w:position w:val="0"/>
                <w:sz w:val="21"/>
                <w:szCs w:val="21"/>
              </w:rPr>
              <w:t>。</w:t>
            </w:r>
          </w:p>
          <w:p w14:paraId="2044623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color w:val="auto"/>
                <w:spacing w:val="0"/>
                <w:w w:val="100"/>
                <w:position w:val="0"/>
                <w:sz w:val="21"/>
                <w:szCs w:val="21"/>
                <w:lang w:val="en-US" w:eastAsia="zh-CN"/>
              </w:rPr>
            </w:pPr>
            <w:r>
              <w:rPr>
                <w:rFonts w:hint="eastAsia"/>
                <w:color w:val="auto"/>
                <w:spacing w:val="0"/>
                <w:w w:val="100"/>
                <w:position w:val="0"/>
                <w:sz w:val="21"/>
                <w:szCs w:val="21"/>
                <w:lang w:val="en-US" w:eastAsia="zh-CN"/>
              </w:rPr>
              <w:t>生物群落：物种组成、群落结构</w:t>
            </w:r>
          </w:p>
          <w:p w14:paraId="62928D7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color w:val="auto"/>
                <w:spacing w:val="0"/>
                <w:w w:val="100"/>
                <w:position w:val="0"/>
                <w:sz w:val="21"/>
                <w:szCs w:val="21"/>
                <w:lang w:val="en-US" w:eastAsia="zh-CN"/>
              </w:rPr>
            </w:pPr>
            <w:r>
              <w:rPr>
                <w:rFonts w:hint="eastAsia"/>
                <w:color w:val="auto"/>
                <w:spacing w:val="0"/>
                <w:w w:val="100"/>
                <w:position w:val="0"/>
                <w:sz w:val="21"/>
                <w:szCs w:val="21"/>
                <w:lang w:val="en-US" w:eastAsia="zh-CN"/>
              </w:rPr>
              <w:t>生态系统：植被覆盖度</w:t>
            </w:r>
          </w:p>
        </w:tc>
        <w:tc>
          <w:tcPr>
            <w:tcW w:w="2694" w:type="dxa"/>
            <w:vAlign w:val="center"/>
          </w:tcPr>
          <w:p w14:paraId="274684E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土地利用现状、植被现状、野生动植物现状。</w:t>
            </w:r>
          </w:p>
        </w:tc>
      </w:tr>
      <w:tr w14:paraId="588E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9" w:hRule="atLeast"/>
        </w:trPr>
        <w:tc>
          <w:tcPr>
            <w:tcW w:w="1188" w:type="dxa"/>
            <w:vAlign w:val="center"/>
          </w:tcPr>
          <w:p w14:paraId="71BFA99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环境空气</w:t>
            </w:r>
          </w:p>
        </w:tc>
        <w:tc>
          <w:tcPr>
            <w:tcW w:w="2248" w:type="dxa"/>
            <w:vAlign w:val="center"/>
          </w:tcPr>
          <w:p w14:paraId="0039625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施工扬尘、施工机械和运输车辆废气、焊接烟尘；内燃机废气、装卸扬尘、运输车辆尾气、道路扬尘</w:t>
            </w:r>
          </w:p>
        </w:tc>
        <w:tc>
          <w:tcPr>
            <w:tcW w:w="2340" w:type="dxa"/>
            <w:vAlign w:val="center"/>
          </w:tcPr>
          <w:p w14:paraId="42500D4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SO</w:t>
            </w:r>
            <w:r>
              <w:rPr>
                <w:rFonts w:ascii="Times New Roman" w:hAnsi="Times New Roman" w:eastAsia="Times New Roman" w:cs="Times New Roman"/>
                <w:color w:val="auto"/>
                <w:spacing w:val="0"/>
                <w:w w:val="100"/>
                <w:position w:val="0"/>
                <w:sz w:val="21"/>
                <w:szCs w:val="21"/>
                <w:vertAlign w:val="subscript"/>
              </w:rPr>
              <w:t>2</w:t>
            </w: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NO</w:t>
            </w:r>
            <w:r>
              <w:rPr>
                <w:rFonts w:ascii="Times New Roman" w:hAnsi="Times New Roman" w:eastAsia="Times New Roman" w:cs="Times New Roman"/>
                <w:color w:val="auto"/>
                <w:spacing w:val="0"/>
                <w:w w:val="100"/>
                <w:position w:val="0"/>
                <w:sz w:val="21"/>
                <w:szCs w:val="21"/>
                <w:vertAlign w:val="subscript"/>
              </w:rPr>
              <w:t>2</w:t>
            </w: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PM</w:t>
            </w:r>
            <w:r>
              <w:rPr>
                <w:rFonts w:ascii="Times New Roman" w:hAnsi="Times New Roman" w:eastAsia="Times New Roman" w:cs="Times New Roman"/>
                <w:color w:val="auto"/>
                <w:spacing w:val="0"/>
                <w:w w:val="100"/>
                <w:position w:val="0"/>
                <w:sz w:val="21"/>
                <w:szCs w:val="21"/>
                <w:vertAlign w:val="subscript"/>
              </w:rPr>
              <w:t>10</w:t>
            </w: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CO</w:t>
            </w: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O</w:t>
            </w:r>
            <w:r>
              <w:rPr>
                <w:rFonts w:ascii="Times New Roman" w:hAnsi="Times New Roman" w:eastAsia="Times New Roman" w:cs="Times New Roman"/>
                <w:color w:val="auto"/>
                <w:spacing w:val="0"/>
                <w:w w:val="100"/>
                <w:position w:val="0"/>
                <w:sz w:val="21"/>
                <w:szCs w:val="21"/>
                <w:vertAlign w:val="subscript"/>
              </w:rPr>
              <w:t>3</w:t>
            </w: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PM</w:t>
            </w:r>
            <w:r>
              <w:rPr>
                <w:rFonts w:ascii="Times New Roman" w:hAnsi="Times New Roman" w:eastAsia="Times New Roman" w:cs="Times New Roman"/>
                <w:color w:val="auto"/>
                <w:spacing w:val="0"/>
                <w:w w:val="100"/>
                <w:position w:val="0"/>
                <w:sz w:val="21"/>
                <w:szCs w:val="21"/>
                <w:vertAlign w:val="subscript"/>
              </w:rPr>
              <w:t>2.5</w:t>
            </w: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TSP</w:t>
            </w:r>
            <w:r>
              <w:rPr>
                <w:color w:val="auto"/>
                <w:spacing w:val="0"/>
                <w:w w:val="100"/>
                <w:position w:val="0"/>
                <w:sz w:val="21"/>
                <w:szCs w:val="21"/>
              </w:rPr>
              <w:t>。</w:t>
            </w:r>
          </w:p>
        </w:tc>
        <w:tc>
          <w:tcPr>
            <w:tcW w:w="2694" w:type="dxa"/>
            <w:vAlign w:val="center"/>
          </w:tcPr>
          <w:p w14:paraId="00A3275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施工扬尘、施工机械和运输车辆废气、焊接烟尘；内燃机废气、装卸扬尘、运输车辆尾气、道路扬尘</w:t>
            </w:r>
          </w:p>
        </w:tc>
      </w:tr>
      <w:tr w14:paraId="7AB7A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1188" w:type="dxa"/>
            <w:vAlign w:val="center"/>
          </w:tcPr>
          <w:p w14:paraId="4733619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地表水</w:t>
            </w:r>
          </w:p>
        </w:tc>
        <w:tc>
          <w:tcPr>
            <w:tcW w:w="2248" w:type="dxa"/>
            <w:vAlign w:val="center"/>
          </w:tcPr>
          <w:p w14:paraId="0EE3A53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施工废水、生活污水。</w:t>
            </w:r>
          </w:p>
        </w:tc>
        <w:tc>
          <w:tcPr>
            <w:tcW w:w="2340" w:type="dxa"/>
            <w:vAlign w:val="center"/>
          </w:tcPr>
          <w:p w14:paraId="0C2F1A2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hint="default" w:ascii="Times New Roman" w:hAnsi="Times New Roman" w:eastAsia="宋体" w:cs="Times New Roman"/>
                <w:color w:val="auto"/>
                <w:sz w:val="21"/>
                <w:szCs w:val="21"/>
              </w:rPr>
              <w:t>pH、水温、悬浮物、溶解氧、COD、BOD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、氨氮、TP、TN、铜、锌、氟化物、硒、砷、汞、镉、六价铬、铅、氰化物、挥发酚、石油类、阴离子表面活性剂、硫化物、粪大肠菌群</w:t>
            </w:r>
            <w:r>
              <w:rPr>
                <w:rFonts w:ascii="Times New Roman" w:hAnsi="Times New Roman" w:eastAsia="Times New Roman" w:cs="Times New Roman"/>
                <w:color w:val="auto"/>
                <w:spacing w:val="0"/>
                <w:w w:val="100"/>
                <w:position w:val="0"/>
                <w:sz w:val="21"/>
                <w:szCs w:val="21"/>
              </w:rPr>
              <w:t>/</w:t>
            </w:r>
          </w:p>
        </w:tc>
        <w:tc>
          <w:tcPr>
            <w:tcW w:w="2694" w:type="dxa"/>
            <w:vAlign w:val="center"/>
          </w:tcPr>
          <w:p w14:paraId="249929A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w w:val="100"/>
                <w:position w:val="0"/>
                <w:sz w:val="21"/>
                <w:szCs w:val="21"/>
                <w:lang w:eastAsia="zh-CN"/>
              </w:rPr>
            </w:pPr>
            <w:r>
              <w:rPr>
                <w:rFonts w:hint="eastAsia" w:ascii="Times New Roman" w:hAnsi="Times New Roman" w:eastAsia="宋体" w:cs="Times New Roman"/>
                <w:color w:val="auto"/>
                <w:spacing w:val="0"/>
                <w:w w:val="100"/>
                <w:position w:val="0"/>
                <w:sz w:val="21"/>
                <w:szCs w:val="21"/>
                <w:lang w:val="en-US" w:eastAsia="zh-CN"/>
              </w:rPr>
              <w:t>/</w:t>
            </w:r>
          </w:p>
        </w:tc>
      </w:tr>
      <w:tr w14:paraId="26A83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1188" w:type="dxa"/>
            <w:vAlign w:val="center"/>
          </w:tcPr>
          <w:p w14:paraId="157320D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w w:val="100"/>
                <w:position w:val="0"/>
                <w:sz w:val="21"/>
                <w:szCs w:val="21"/>
                <w:lang w:val="en-US" w:eastAsia="zh-CN"/>
              </w:rPr>
            </w:pPr>
            <w:r>
              <w:rPr>
                <w:rFonts w:hint="eastAsia"/>
                <w:color w:val="auto"/>
                <w:spacing w:val="0"/>
                <w:w w:val="100"/>
                <w:position w:val="0"/>
                <w:sz w:val="21"/>
                <w:szCs w:val="21"/>
                <w:lang w:val="en-US" w:eastAsia="zh-CN"/>
              </w:rPr>
              <w:t>地下水</w:t>
            </w:r>
          </w:p>
        </w:tc>
        <w:tc>
          <w:tcPr>
            <w:tcW w:w="2248" w:type="dxa"/>
            <w:vAlign w:val="center"/>
          </w:tcPr>
          <w:p w14:paraId="398EC0A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eastAsia="宋体"/>
                <w:color w:val="auto"/>
                <w:spacing w:val="0"/>
                <w:w w:val="100"/>
                <w:position w:val="0"/>
                <w:sz w:val="21"/>
                <w:szCs w:val="21"/>
                <w:lang w:val="en-US" w:eastAsia="zh-CN"/>
              </w:rPr>
            </w:pPr>
            <w:r>
              <w:rPr>
                <w:rFonts w:hint="eastAsia"/>
                <w:color w:val="auto"/>
                <w:spacing w:val="0"/>
                <w:w w:val="100"/>
                <w:position w:val="0"/>
                <w:sz w:val="21"/>
                <w:szCs w:val="21"/>
                <w:lang w:val="en-US" w:eastAsia="zh-CN"/>
              </w:rPr>
              <w:t>初期雨水、生活污水</w:t>
            </w:r>
          </w:p>
        </w:tc>
        <w:tc>
          <w:tcPr>
            <w:tcW w:w="2340" w:type="dxa"/>
            <w:vAlign w:val="center"/>
          </w:tcPr>
          <w:p w14:paraId="795AED5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hint="eastAsia" w:ascii="Times New Roman" w:hAnsi="Times New Roman" w:eastAsia="Times New Roman" w:cs="Times New Roman"/>
                <w:color w:val="auto"/>
                <w:spacing w:val="0"/>
                <w:w w:val="100"/>
                <w:position w:val="0"/>
                <w:sz w:val="21"/>
                <w:szCs w:val="21"/>
              </w:rPr>
              <w:t>K</w:t>
            </w:r>
            <w:r>
              <w:rPr>
                <w:rFonts w:hint="eastAsia" w:ascii="Times New Roman" w:hAnsi="Times New Roman" w:eastAsia="Times New Roman" w:cs="Times New Roman"/>
                <w:color w:val="auto"/>
                <w:spacing w:val="0"/>
                <w:w w:val="100"/>
                <w:position w:val="0"/>
                <w:sz w:val="21"/>
                <w:szCs w:val="21"/>
                <w:vertAlign w:val="superscript"/>
              </w:rPr>
              <w:t>+</w:t>
            </w:r>
            <w:r>
              <w:rPr>
                <w:rFonts w:hint="eastAsia" w:ascii="Times New Roman" w:hAnsi="Times New Roman" w:eastAsia="Times New Roman" w:cs="Times New Roman"/>
                <w:color w:val="auto"/>
                <w:spacing w:val="0"/>
                <w:w w:val="100"/>
                <w:position w:val="0"/>
                <w:sz w:val="21"/>
                <w:szCs w:val="21"/>
              </w:rPr>
              <w:t>、Na</w:t>
            </w:r>
            <w:r>
              <w:rPr>
                <w:rFonts w:hint="eastAsia" w:ascii="Times New Roman" w:hAnsi="Times New Roman" w:eastAsia="Times New Roman" w:cs="Times New Roman"/>
                <w:color w:val="auto"/>
                <w:spacing w:val="0"/>
                <w:w w:val="100"/>
                <w:position w:val="0"/>
                <w:sz w:val="21"/>
                <w:szCs w:val="21"/>
                <w:vertAlign w:val="superscript"/>
              </w:rPr>
              <w:t>+</w:t>
            </w:r>
            <w:r>
              <w:rPr>
                <w:rFonts w:hint="eastAsia" w:ascii="Times New Roman" w:hAnsi="Times New Roman" w:eastAsia="Times New Roman" w:cs="Times New Roman"/>
                <w:color w:val="auto"/>
                <w:spacing w:val="0"/>
                <w:w w:val="100"/>
                <w:position w:val="0"/>
                <w:sz w:val="21"/>
                <w:szCs w:val="21"/>
              </w:rPr>
              <w:t>、Ca</w:t>
            </w:r>
            <w:r>
              <w:rPr>
                <w:rFonts w:hint="eastAsia" w:ascii="Times New Roman" w:hAnsi="Times New Roman" w:eastAsia="Times New Roman" w:cs="Times New Roman"/>
                <w:color w:val="auto"/>
                <w:spacing w:val="0"/>
                <w:w w:val="100"/>
                <w:position w:val="0"/>
                <w:sz w:val="21"/>
                <w:szCs w:val="21"/>
                <w:vertAlign w:val="superscript"/>
              </w:rPr>
              <w:t>2+</w:t>
            </w:r>
            <w:r>
              <w:rPr>
                <w:rFonts w:hint="eastAsia" w:ascii="Times New Roman" w:hAnsi="Times New Roman" w:eastAsia="Times New Roman" w:cs="Times New Roman"/>
                <w:color w:val="auto"/>
                <w:spacing w:val="0"/>
                <w:w w:val="100"/>
                <w:position w:val="0"/>
                <w:sz w:val="21"/>
                <w:szCs w:val="21"/>
              </w:rPr>
              <w:t>、Mg2</w:t>
            </w:r>
            <w:r>
              <w:rPr>
                <w:rFonts w:hint="eastAsia" w:ascii="Times New Roman" w:hAnsi="Times New Roman" w:eastAsia="Times New Roman" w:cs="Times New Roman"/>
                <w:color w:val="auto"/>
                <w:spacing w:val="0"/>
                <w:w w:val="100"/>
                <w:position w:val="0"/>
                <w:sz w:val="21"/>
                <w:szCs w:val="21"/>
                <w:vertAlign w:val="superscript"/>
              </w:rPr>
              <w:t>+</w:t>
            </w:r>
            <w:r>
              <w:rPr>
                <w:rFonts w:hint="eastAsia" w:ascii="Times New Roman" w:hAnsi="Times New Roman" w:eastAsia="Times New Roman" w:cs="Times New Roman"/>
                <w:color w:val="auto"/>
                <w:spacing w:val="0"/>
                <w:w w:val="100"/>
                <w:position w:val="0"/>
                <w:sz w:val="21"/>
                <w:szCs w:val="21"/>
              </w:rPr>
              <w:t>、CO3</w:t>
            </w:r>
            <w:r>
              <w:rPr>
                <w:rFonts w:hint="eastAsia" w:ascii="Times New Roman" w:hAnsi="Times New Roman" w:eastAsia="Times New Roman" w:cs="Times New Roman"/>
                <w:color w:val="auto"/>
                <w:spacing w:val="0"/>
                <w:w w:val="100"/>
                <w:position w:val="0"/>
                <w:sz w:val="21"/>
                <w:szCs w:val="21"/>
                <w:vertAlign w:val="superscript"/>
              </w:rPr>
              <w:t>2</w:t>
            </w:r>
            <w:r>
              <w:rPr>
                <w:rFonts w:hint="eastAsia" w:ascii="Times New Roman" w:hAnsi="Times New Roman" w:eastAsia="Times New Roman" w:cs="Times New Roman"/>
                <w:color w:val="auto"/>
                <w:spacing w:val="0"/>
                <w:w w:val="100"/>
                <w:position w:val="0"/>
                <w:sz w:val="21"/>
                <w:szCs w:val="21"/>
              </w:rPr>
              <w:t>-、HCO</w:t>
            </w:r>
            <w:r>
              <w:rPr>
                <w:rFonts w:hint="eastAsia" w:ascii="Times New Roman" w:hAnsi="Times New Roman" w:eastAsia="Times New Roman" w:cs="Times New Roman"/>
                <w:color w:val="auto"/>
                <w:spacing w:val="0"/>
                <w:w w:val="100"/>
                <w:position w:val="0"/>
                <w:sz w:val="21"/>
                <w:szCs w:val="21"/>
                <w:vertAlign w:val="superscript"/>
              </w:rPr>
              <w:t>3-</w:t>
            </w:r>
            <w:r>
              <w:rPr>
                <w:rFonts w:hint="eastAsia" w:ascii="Times New Roman" w:hAnsi="Times New Roman" w:eastAsia="Times New Roman" w:cs="Times New Roman"/>
                <w:color w:val="auto"/>
                <w:spacing w:val="0"/>
                <w:w w:val="100"/>
                <w:position w:val="0"/>
                <w:sz w:val="21"/>
                <w:szCs w:val="21"/>
              </w:rPr>
              <w:t>、C</w:t>
            </w:r>
            <w:r>
              <w:rPr>
                <w:rFonts w:hint="eastAsia" w:ascii="Times New Roman" w:hAnsi="Times New Roman" w:eastAsia="Times New Roman" w:cs="Times New Roman"/>
                <w:color w:val="auto"/>
                <w:spacing w:val="0"/>
                <w:w w:val="100"/>
                <w:position w:val="0"/>
                <w:sz w:val="21"/>
                <w:szCs w:val="21"/>
                <w:vertAlign w:val="baseline"/>
              </w:rPr>
              <w:t>l</w:t>
            </w:r>
            <w:r>
              <w:rPr>
                <w:rFonts w:hint="eastAsia" w:ascii="Times New Roman" w:hAnsi="Times New Roman" w:eastAsia="Times New Roman" w:cs="Times New Roman"/>
                <w:color w:val="auto"/>
                <w:spacing w:val="0"/>
                <w:w w:val="100"/>
                <w:position w:val="0"/>
                <w:sz w:val="21"/>
                <w:szCs w:val="21"/>
                <w:vertAlign w:val="superscript"/>
              </w:rPr>
              <w:t>-</w:t>
            </w:r>
            <w:r>
              <w:rPr>
                <w:rFonts w:hint="eastAsia" w:ascii="Times New Roman" w:hAnsi="Times New Roman" w:eastAsia="Times New Roman" w:cs="Times New Roman"/>
                <w:color w:val="auto"/>
                <w:spacing w:val="0"/>
                <w:w w:val="100"/>
                <w:position w:val="0"/>
                <w:sz w:val="21"/>
                <w:szCs w:val="21"/>
              </w:rPr>
              <w:t>、SO4</w:t>
            </w:r>
            <w:r>
              <w:rPr>
                <w:rFonts w:hint="eastAsia" w:ascii="Times New Roman" w:hAnsi="Times New Roman" w:eastAsia="Times New Roman" w:cs="Times New Roman"/>
                <w:color w:val="auto"/>
                <w:spacing w:val="0"/>
                <w:w w:val="100"/>
                <w:position w:val="0"/>
                <w:sz w:val="21"/>
                <w:szCs w:val="21"/>
                <w:vertAlign w:val="superscript"/>
              </w:rPr>
              <w:t>2-</w:t>
            </w:r>
            <w:r>
              <w:rPr>
                <w:rFonts w:hint="eastAsia" w:ascii="Times New Roman" w:hAnsi="Times New Roman" w:eastAsia="Times New Roman" w:cs="Times New Roman"/>
                <w:color w:val="auto"/>
                <w:spacing w:val="0"/>
                <w:w w:val="100"/>
                <w:position w:val="0"/>
                <w:sz w:val="21"/>
                <w:szCs w:val="21"/>
              </w:rPr>
              <w:t>、pH、氨氮、硝酸盐、亚硝酸盐、挥发性酚类、氰化物、砷、汞、六价铬、总硬度、铅、氟、镉、铁、锰、溶解性总固体、高锰酸盐指数、硫酸盐、氯化物、总大肠菌群、细菌总数、苯、甲苯、二甲苯</w:t>
            </w:r>
          </w:p>
        </w:tc>
        <w:tc>
          <w:tcPr>
            <w:tcW w:w="2694" w:type="dxa"/>
            <w:vAlign w:val="center"/>
          </w:tcPr>
          <w:p w14:paraId="0F43CA0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hint="eastAsia" w:ascii="Times New Roman" w:hAnsi="Times New Roman" w:eastAsia="Times New Roman" w:cs="Times New Roman"/>
                <w:color w:val="auto"/>
                <w:spacing w:val="0"/>
                <w:w w:val="100"/>
                <w:position w:val="0"/>
                <w:sz w:val="21"/>
                <w:szCs w:val="21"/>
              </w:rPr>
              <w:t>氨氮</w:t>
            </w:r>
          </w:p>
        </w:tc>
      </w:tr>
      <w:tr w14:paraId="39B87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1188" w:type="dxa"/>
            <w:vAlign w:val="center"/>
          </w:tcPr>
          <w:p w14:paraId="7603558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声环境</w:t>
            </w:r>
          </w:p>
        </w:tc>
        <w:tc>
          <w:tcPr>
            <w:tcW w:w="2248" w:type="dxa"/>
            <w:vAlign w:val="center"/>
          </w:tcPr>
          <w:p w14:paraId="4684E6D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施工设备及施工作业噪声；列车运行噪声、交通噪声。</w:t>
            </w:r>
          </w:p>
        </w:tc>
        <w:tc>
          <w:tcPr>
            <w:tcW w:w="2340" w:type="dxa"/>
            <w:vAlign w:val="center"/>
          </w:tcPr>
          <w:p w14:paraId="6EC606E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等效连续</w:t>
            </w:r>
            <w:r>
              <w:rPr>
                <w:rFonts w:ascii="Times New Roman" w:hAnsi="Times New Roman" w:eastAsia="Times New Roman" w:cs="Times New Roman"/>
                <w:color w:val="auto"/>
                <w:spacing w:val="0"/>
                <w:w w:val="100"/>
                <w:position w:val="0"/>
                <w:sz w:val="21"/>
                <w:szCs w:val="21"/>
              </w:rPr>
              <w:t>A</w:t>
            </w:r>
            <w:r>
              <w:rPr>
                <w:color w:val="auto"/>
                <w:spacing w:val="0"/>
                <w:w w:val="100"/>
                <w:position w:val="0"/>
                <w:sz w:val="21"/>
                <w:szCs w:val="21"/>
              </w:rPr>
              <w:t>声级</w:t>
            </w:r>
            <w:r>
              <w:rPr>
                <w:rFonts w:hint="eastAsia"/>
                <w:color w:val="auto"/>
                <w:spacing w:val="0"/>
                <w:w w:val="100"/>
                <w:position w:val="0"/>
                <w:sz w:val="21"/>
                <w:szCs w:val="21"/>
                <w:lang w:eastAsia="zh-CN"/>
              </w:rPr>
              <w:t>（</w:t>
            </w:r>
            <w:r>
              <w:rPr>
                <w:rFonts w:hint="eastAsia"/>
                <w:color w:val="auto"/>
                <w:spacing w:val="0"/>
                <w:w w:val="100"/>
                <w:position w:val="0"/>
                <w:sz w:val="21"/>
                <w:szCs w:val="21"/>
                <w:lang w:val="en-US" w:eastAsia="zh-CN"/>
              </w:rPr>
              <w:t>昼间、夜间</w:t>
            </w:r>
            <w:r>
              <w:rPr>
                <w:rFonts w:hint="eastAsia"/>
                <w:color w:val="auto"/>
                <w:spacing w:val="0"/>
                <w:w w:val="100"/>
                <w:position w:val="0"/>
                <w:sz w:val="21"/>
                <w:szCs w:val="21"/>
                <w:lang w:eastAsia="zh-CN"/>
              </w:rPr>
              <w:t>）</w:t>
            </w:r>
            <w:r>
              <w:rPr>
                <w:color w:val="auto"/>
                <w:spacing w:val="0"/>
                <w:w w:val="100"/>
                <w:position w:val="0"/>
                <w:sz w:val="21"/>
                <w:szCs w:val="21"/>
              </w:rPr>
              <w:t>。</w:t>
            </w:r>
          </w:p>
        </w:tc>
        <w:tc>
          <w:tcPr>
            <w:tcW w:w="2694" w:type="dxa"/>
            <w:vAlign w:val="center"/>
          </w:tcPr>
          <w:p w14:paraId="42EC6B4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等效连续</w:t>
            </w:r>
            <w:r>
              <w:rPr>
                <w:rFonts w:ascii="Times New Roman" w:hAnsi="Times New Roman" w:eastAsia="Times New Roman" w:cs="Times New Roman"/>
                <w:color w:val="auto"/>
                <w:spacing w:val="0"/>
                <w:w w:val="100"/>
                <w:position w:val="0"/>
                <w:sz w:val="21"/>
                <w:szCs w:val="21"/>
              </w:rPr>
              <w:t>A</w:t>
            </w:r>
            <w:r>
              <w:rPr>
                <w:color w:val="auto"/>
                <w:spacing w:val="0"/>
                <w:w w:val="100"/>
                <w:position w:val="0"/>
                <w:sz w:val="21"/>
                <w:szCs w:val="21"/>
              </w:rPr>
              <w:t>声级</w:t>
            </w:r>
            <w:r>
              <w:rPr>
                <w:rFonts w:hint="eastAsia"/>
                <w:color w:val="auto"/>
                <w:spacing w:val="0"/>
                <w:w w:val="100"/>
                <w:position w:val="0"/>
                <w:sz w:val="21"/>
                <w:szCs w:val="21"/>
                <w:lang w:eastAsia="zh-CN"/>
              </w:rPr>
              <w:t>（</w:t>
            </w:r>
            <w:r>
              <w:rPr>
                <w:rFonts w:hint="eastAsia"/>
                <w:color w:val="auto"/>
                <w:spacing w:val="0"/>
                <w:w w:val="100"/>
                <w:position w:val="0"/>
                <w:sz w:val="21"/>
                <w:szCs w:val="21"/>
                <w:lang w:val="en-US" w:eastAsia="zh-CN"/>
              </w:rPr>
              <w:t>昼间</w:t>
            </w:r>
            <w:r>
              <w:rPr>
                <w:rFonts w:hint="eastAsia"/>
                <w:color w:val="auto"/>
                <w:spacing w:val="0"/>
                <w:w w:val="100"/>
                <w:position w:val="0"/>
                <w:sz w:val="21"/>
                <w:szCs w:val="21"/>
                <w:lang w:eastAsia="zh-CN"/>
              </w:rPr>
              <w:t>）</w:t>
            </w:r>
            <w:r>
              <w:rPr>
                <w:color w:val="auto"/>
                <w:spacing w:val="0"/>
                <w:w w:val="100"/>
                <w:position w:val="0"/>
                <w:sz w:val="21"/>
                <w:szCs w:val="21"/>
              </w:rPr>
              <w:t>。</w:t>
            </w:r>
          </w:p>
        </w:tc>
      </w:tr>
      <w:tr w14:paraId="2E9E8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188" w:type="dxa"/>
            <w:vAlign w:val="center"/>
          </w:tcPr>
          <w:p w14:paraId="35633F5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振动环境</w:t>
            </w:r>
          </w:p>
        </w:tc>
        <w:tc>
          <w:tcPr>
            <w:tcW w:w="2248" w:type="dxa"/>
            <w:vAlign w:val="center"/>
          </w:tcPr>
          <w:p w14:paraId="2E53FD4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施工机械振动、列车运行振动。</w:t>
            </w:r>
          </w:p>
        </w:tc>
        <w:tc>
          <w:tcPr>
            <w:tcW w:w="2340" w:type="dxa"/>
            <w:vAlign w:val="center"/>
          </w:tcPr>
          <w:p w14:paraId="4AECEC3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w w:val="100"/>
                <w:position w:val="0"/>
                <w:sz w:val="21"/>
                <w:szCs w:val="21"/>
                <w:lang w:eastAsia="zh-CN"/>
              </w:rPr>
            </w:pPr>
            <w:r>
              <w:rPr>
                <w:rFonts w:hint="eastAsia"/>
                <w:color w:val="auto"/>
                <w:spacing w:val="0"/>
                <w:w w:val="100"/>
                <w:position w:val="0"/>
                <w:sz w:val="21"/>
                <w:szCs w:val="21"/>
                <w:lang w:val="en-US" w:eastAsia="zh-CN"/>
              </w:rPr>
              <w:t>/</w:t>
            </w:r>
          </w:p>
        </w:tc>
        <w:tc>
          <w:tcPr>
            <w:tcW w:w="2694" w:type="dxa"/>
            <w:vAlign w:val="center"/>
          </w:tcPr>
          <w:p w14:paraId="023DD7A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eastAsia"/>
                <w:color w:val="auto"/>
                <w:spacing w:val="0"/>
                <w:w w:val="100"/>
                <w:position w:val="0"/>
                <w:sz w:val="21"/>
                <w:szCs w:val="21"/>
                <w:lang w:val="en-US" w:eastAsia="zh-CN"/>
              </w:rPr>
              <w:t>最大</w:t>
            </w:r>
            <w:r>
              <w:rPr>
                <w:color w:val="auto"/>
                <w:spacing w:val="0"/>
                <w:w w:val="100"/>
                <w:position w:val="0"/>
                <w:sz w:val="21"/>
                <w:szCs w:val="21"/>
              </w:rPr>
              <w:t>铅垂向</w:t>
            </w:r>
            <w:r>
              <w:rPr>
                <w:rFonts w:ascii="Times New Roman" w:hAnsi="Times New Roman" w:eastAsia="Times New Roman" w:cs="Times New Roman"/>
                <w:color w:val="auto"/>
                <w:spacing w:val="0"/>
                <w:w w:val="100"/>
                <w:position w:val="0"/>
                <w:sz w:val="21"/>
                <w:szCs w:val="21"/>
              </w:rPr>
              <w:t>Z</w:t>
            </w:r>
            <w:r>
              <w:rPr>
                <w:color w:val="auto"/>
                <w:spacing w:val="0"/>
                <w:w w:val="100"/>
                <w:position w:val="0"/>
                <w:sz w:val="21"/>
                <w:szCs w:val="21"/>
              </w:rPr>
              <w:t>振级</w:t>
            </w:r>
            <w:r>
              <w:rPr>
                <w:rFonts w:hint="eastAsia"/>
                <w:color w:val="auto"/>
                <w:spacing w:val="0"/>
                <w:w w:val="100"/>
                <w:position w:val="0"/>
                <w:sz w:val="21"/>
                <w:szCs w:val="21"/>
                <w:lang w:eastAsia="zh-CN"/>
              </w:rPr>
              <w:t>（</w:t>
            </w:r>
            <w:r>
              <w:rPr>
                <w:rFonts w:hint="eastAsia"/>
                <w:color w:val="auto"/>
                <w:spacing w:val="0"/>
                <w:w w:val="100"/>
                <w:position w:val="0"/>
                <w:sz w:val="21"/>
                <w:szCs w:val="21"/>
                <w:lang w:val="en-US" w:eastAsia="zh-CN"/>
              </w:rPr>
              <w:t>昼间</w:t>
            </w:r>
            <w:r>
              <w:rPr>
                <w:rFonts w:hint="eastAsia"/>
                <w:color w:val="auto"/>
                <w:spacing w:val="0"/>
                <w:w w:val="100"/>
                <w:position w:val="0"/>
                <w:sz w:val="21"/>
                <w:szCs w:val="21"/>
                <w:lang w:eastAsia="zh-CN"/>
              </w:rPr>
              <w:t>）</w:t>
            </w:r>
          </w:p>
        </w:tc>
      </w:tr>
      <w:tr w14:paraId="675C8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188" w:type="dxa"/>
            <w:vAlign w:val="center"/>
          </w:tcPr>
          <w:p w14:paraId="6B6E44D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环境风险</w:t>
            </w:r>
          </w:p>
        </w:tc>
        <w:tc>
          <w:tcPr>
            <w:tcW w:w="2248" w:type="dxa"/>
            <w:vAlign w:val="center"/>
          </w:tcPr>
          <w:p w14:paraId="4987855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eastAsia"/>
                <w:color w:val="auto"/>
                <w:spacing w:val="0"/>
                <w:w w:val="100"/>
                <w:position w:val="0"/>
                <w:sz w:val="21"/>
                <w:szCs w:val="21"/>
                <w:lang w:eastAsia="zh-CN"/>
              </w:rPr>
              <w:t>危废暂存间、</w:t>
            </w:r>
            <w:r>
              <w:rPr>
                <w:rFonts w:hint="eastAsia"/>
                <w:color w:val="auto"/>
                <w:spacing w:val="0"/>
                <w:w w:val="100"/>
                <w:position w:val="0"/>
                <w:sz w:val="21"/>
                <w:szCs w:val="21"/>
                <w:lang w:val="en-US" w:eastAsia="zh-CN"/>
              </w:rPr>
              <w:t>柴油箱</w:t>
            </w:r>
            <w:r>
              <w:rPr>
                <w:color w:val="auto"/>
                <w:spacing w:val="0"/>
                <w:w w:val="100"/>
                <w:position w:val="0"/>
                <w:sz w:val="21"/>
                <w:szCs w:val="21"/>
              </w:rPr>
              <w:t>。</w:t>
            </w:r>
          </w:p>
        </w:tc>
        <w:tc>
          <w:tcPr>
            <w:tcW w:w="2340" w:type="dxa"/>
            <w:vAlign w:val="center"/>
          </w:tcPr>
          <w:p w14:paraId="6913AFB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w:t>
            </w:r>
          </w:p>
        </w:tc>
        <w:tc>
          <w:tcPr>
            <w:tcW w:w="2694" w:type="dxa"/>
            <w:vAlign w:val="center"/>
          </w:tcPr>
          <w:p w14:paraId="16D9DF5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eastAsia"/>
                <w:color w:val="auto"/>
                <w:spacing w:val="0"/>
                <w:w w:val="100"/>
                <w:position w:val="0"/>
                <w:sz w:val="21"/>
                <w:szCs w:val="21"/>
                <w:lang w:val="en-US" w:eastAsia="zh-CN"/>
              </w:rPr>
              <w:t>柴油</w:t>
            </w:r>
            <w:r>
              <w:rPr>
                <w:color w:val="auto"/>
                <w:spacing w:val="0"/>
                <w:w w:val="100"/>
                <w:position w:val="0"/>
                <w:sz w:val="21"/>
                <w:szCs w:val="21"/>
              </w:rPr>
              <w:t>泄漏风险导致火灾产生次生</w:t>
            </w:r>
            <w:r>
              <w:rPr>
                <w:rFonts w:ascii="Times New Roman" w:hAnsi="Times New Roman" w:eastAsia="Times New Roman" w:cs="Times New Roman"/>
                <w:color w:val="auto"/>
                <w:spacing w:val="0"/>
                <w:w w:val="100"/>
                <w:position w:val="0"/>
                <w:sz w:val="21"/>
                <w:szCs w:val="21"/>
              </w:rPr>
              <w:t>/</w:t>
            </w:r>
            <w:r>
              <w:rPr>
                <w:color w:val="auto"/>
                <w:spacing w:val="0"/>
                <w:w w:val="100"/>
                <w:position w:val="0"/>
                <w:sz w:val="21"/>
                <w:szCs w:val="21"/>
              </w:rPr>
              <w:t>伴生污染物风险。</w:t>
            </w:r>
          </w:p>
        </w:tc>
      </w:tr>
      <w:tr w14:paraId="14630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188" w:type="dxa"/>
            <w:vAlign w:val="center"/>
          </w:tcPr>
          <w:p w14:paraId="4543FC0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固体废物</w:t>
            </w:r>
          </w:p>
        </w:tc>
        <w:tc>
          <w:tcPr>
            <w:tcW w:w="2248" w:type="dxa"/>
            <w:vAlign w:val="center"/>
          </w:tcPr>
          <w:p w14:paraId="6F42929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建筑垃圾、生活垃圾、危险废物。</w:t>
            </w:r>
          </w:p>
        </w:tc>
        <w:tc>
          <w:tcPr>
            <w:tcW w:w="2340" w:type="dxa"/>
            <w:vAlign w:val="center"/>
          </w:tcPr>
          <w:p w14:paraId="0C90846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w:t>
            </w:r>
          </w:p>
        </w:tc>
        <w:tc>
          <w:tcPr>
            <w:tcW w:w="2694" w:type="dxa"/>
            <w:vAlign w:val="center"/>
          </w:tcPr>
          <w:p w14:paraId="0622138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一般固体废物</w:t>
            </w:r>
            <w:r>
              <w:rPr>
                <w:rFonts w:hint="eastAsia"/>
                <w:color w:val="auto"/>
                <w:spacing w:val="0"/>
                <w:w w:val="100"/>
                <w:position w:val="0"/>
                <w:sz w:val="21"/>
                <w:szCs w:val="21"/>
                <w:lang w:eastAsia="zh-CN"/>
              </w:rPr>
              <w:t>、</w:t>
            </w:r>
            <w:r>
              <w:rPr>
                <w:color w:val="auto"/>
                <w:spacing w:val="0"/>
                <w:w w:val="100"/>
                <w:position w:val="0"/>
                <w:sz w:val="21"/>
                <w:szCs w:val="21"/>
              </w:rPr>
              <w:t>生活垃圾</w:t>
            </w:r>
            <w:r>
              <w:rPr>
                <w:rFonts w:hint="eastAsia"/>
                <w:color w:val="auto"/>
                <w:spacing w:val="0"/>
                <w:w w:val="100"/>
                <w:position w:val="0"/>
                <w:sz w:val="21"/>
                <w:szCs w:val="21"/>
                <w:lang w:eastAsia="zh-CN"/>
              </w:rPr>
              <w:t>、</w:t>
            </w:r>
            <w:r>
              <w:rPr>
                <w:rFonts w:hint="eastAsia"/>
                <w:color w:val="auto"/>
                <w:spacing w:val="0"/>
                <w:w w:val="100"/>
                <w:position w:val="0"/>
                <w:sz w:val="21"/>
                <w:szCs w:val="21"/>
                <w:lang w:val="en-US" w:eastAsia="zh-CN"/>
              </w:rPr>
              <w:t>危险废物</w:t>
            </w:r>
            <w:r>
              <w:rPr>
                <w:color w:val="auto"/>
                <w:spacing w:val="0"/>
                <w:w w:val="100"/>
                <w:position w:val="0"/>
                <w:sz w:val="21"/>
                <w:szCs w:val="21"/>
              </w:rPr>
              <w:t>。</w:t>
            </w:r>
          </w:p>
        </w:tc>
      </w:tr>
    </w:tbl>
    <w:p w14:paraId="0856552D">
      <w:pPr>
        <w:pStyle w:val="9"/>
        <w:keepNext w:val="0"/>
        <w:keepLines w:val="0"/>
        <w:pageBreakBefore w:val="0"/>
        <w:widowControl/>
        <w:kinsoku/>
        <w:wordWrap/>
        <w:overflowPunct/>
        <w:topLinePunct w:val="0"/>
        <w:autoSpaceDE w:val="0"/>
        <w:autoSpaceDN w:val="0"/>
        <w:bidi w:val="0"/>
        <w:spacing w:before="45" w:line="360" w:lineRule="auto"/>
        <w:ind w:left="104"/>
        <w:textAlignment w:val="baseline"/>
        <w:outlineLvl w:val="1"/>
        <w:rPr>
          <w:color w:val="auto"/>
          <w:sz w:val="30"/>
          <w:szCs w:val="30"/>
        </w:rPr>
      </w:pPr>
      <w:bookmarkStart w:id="56" w:name="bookmark12"/>
      <w:bookmarkEnd w:id="56"/>
      <w:bookmarkStart w:id="57" w:name="_Toc8334"/>
      <w:r>
        <w:rPr>
          <w:rFonts w:ascii="Times New Roman" w:hAnsi="Times New Roman" w:eastAsia="Times New Roman" w:cs="Times New Roman"/>
          <w:b/>
          <w:bCs/>
          <w:color w:val="auto"/>
          <w:spacing w:val="-4"/>
          <w:sz w:val="30"/>
          <w:szCs w:val="30"/>
        </w:rPr>
        <w:t xml:space="preserve">1.5 </w:t>
      </w:r>
      <w:r>
        <w:rPr>
          <w:b/>
          <w:bCs/>
          <w:color w:val="auto"/>
          <w:spacing w:val="-4"/>
          <w:sz w:val="30"/>
          <w:szCs w:val="30"/>
        </w:rPr>
        <w:t>评价等级</w:t>
      </w:r>
      <w:bookmarkEnd w:id="57"/>
    </w:p>
    <w:p w14:paraId="177A05BA">
      <w:pPr>
        <w:pStyle w:val="9"/>
        <w:keepNext w:val="0"/>
        <w:keepLines w:val="0"/>
        <w:pageBreakBefore w:val="0"/>
        <w:widowControl/>
        <w:kinsoku/>
        <w:wordWrap/>
        <w:overflowPunct/>
        <w:topLinePunct w:val="0"/>
        <w:autoSpaceDE w:val="0"/>
        <w:autoSpaceDN w:val="0"/>
        <w:bidi w:val="0"/>
        <w:spacing w:before="91" w:line="360" w:lineRule="auto"/>
        <w:ind w:left="103"/>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1.5.1 </w:t>
      </w:r>
      <w:r>
        <w:rPr>
          <w:b/>
          <w:bCs/>
          <w:color w:val="auto"/>
          <w:spacing w:val="-3"/>
          <w:sz w:val="28"/>
          <w:szCs w:val="28"/>
        </w:rPr>
        <w:t>大气评价等级</w:t>
      </w:r>
    </w:p>
    <w:p w14:paraId="7293405F">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根据《环境影响评价技术导则 大气环境》（HJ2.2-2018）中</w:t>
      </w:r>
      <w:r>
        <w:rPr>
          <w:rFonts w:hint="eastAsia" w:ascii="Times New Roman" w:hAnsi="Times New Roman" w:eastAsia="宋体" w:cs="Times New Roman"/>
          <w:snapToGrid w:val="0"/>
          <w:color w:val="auto"/>
          <w:spacing w:val="0"/>
          <w:kern w:val="0"/>
          <w:sz w:val="24"/>
          <w:szCs w:val="24"/>
          <w:lang w:val="en-US" w:eastAsia="zh-CN" w:bidi="ar-SA"/>
        </w:rPr>
        <w:t>“</w:t>
      </w:r>
      <w:r>
        <w:rPr>
          <w:rFonts w:hint="default" w:ascii="Times New Roman" w:hAnsi="Times New Roman" w:eastAsia="宋体" w:cs="Times New Roman"/>
          <w:snapToGrid w:val="0"/>
          <w:color w:val="auto"/>
          <w:spacing w:val="0"/>
          <w:kern w:val="0"/>
          <w:sz w:val="24"/>
          <w:szCs w:val="24"/>
          <w:lang w:val="en-US" w:eastAsia="en-US" w:bidi="ar-SA"/>
        </w:rPr>
        <w:t>5.3.3.3 对等级公路、铁路项目，分别按项目沿线主要集中式排放源（如服务区、车站大气污染源）排放的污染物计算其评价等级</w:t>
      </w:r>
      <w:r>
        <w:rPr>
          <w:rFonts w:hint="eastAsia" w:ascii="Times New Roman" w:hAnsi="Times New Roman" w:eastAsia="宋体" w:cs="Times New Roman"/>
          <w:snapToGrid w:val="0"/>
          <w:color w:val="auto"/>
          <w:spacing w:val="0"/>
          <w:kern w:val="0"/>
          <w:sz w:val="24"/>
          <w:szCs w:val="24"/>
          <w:lang w:val="en-US" w:eastAsia="zh-CN" w:bidi="ar-SA"/>
        </w:rPr>
        <w:t>”</w:t>
      </w:r>
      <w:r>
        <w:rPr>
          <w:rFonts w:hint="default" w:ascii="Times New Roman" w:hAnsi="Times New Roman" w:eastAsia="宋体" w:cs="Times New Roman"/>
          <w:snapToGrid w:val="0"/>
          <w:color w:val="auto"/>
          <w:spacing w:val="0"/>
          <w:kern w:val="0"/>
          <w:sz w:val="24"/>
          <w:szCs w:val="24"/>
          <w:lang w:val="en-US" w:eastAsia="en-US" w:bidi="ar-SA"/>
        </w:rPr>
        <w:t>。</w:t>
      </w:r>
    </w:p>
    <w:p w14:paraId="35F6C34C">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项目铁路专用线不涉及建设服务区、车站，项目装卸场地主要堆放集装箱，且运输的货物为</w:t>
      </w:r>
      <w:r>
        <w:rPr>
          <w:rFonts w:hint="eastAsia" w:ascii="Times New Roman" w:hAnsi="Times New Roman" w:eastAsia="宋体" w:cs="Times New Roman"/>
          <w:snapToGrid w:val="0"/>
          <w:color w:val="auto"/>
          <w:spacing w:val="0"/>
          <w:kern w:val="0"/>
          <w:sz w:val="24"/>
          <w:szCs w:val="24"/>
          <w:lang w:val="en-US" w:eastAsia="zh-CN" w:bidi="ar-SA"/>
        </w:rPr>
        <w:t>煤焦</w:t>
      </w:r>
      <w:r>
        <w:rPr>
          <w:rFonts w:hint="default" w:ascii="Times New Roman" w:hAnsi="Times New Roman" w:eastAsia="宋体" w:cs="Times New Roman"/>
          <w:snapToGrid w:val="0"/>
          <w:color w:val="auto"/>
          <w:spacing w:val="0"/>
          <w:kern w:val="0"/>
          <w:sz w:val="24"/>
          <w:szCs w:val="24"/>
          <w:lang w:val="en-US" w:eastAsia="en-US" w:bidi="ar-SA"/>
        </w:rPr>
        <w:t>，产生的装卸扬尘可忽略不计，无集中式排放源。项目大气污染源主要是内燃机废气、道路扬尘、汽车尾气等，均为移动源，扩散速度快，对环境影响较小。</w:t>
      </w:r>
      <w:r>
        <w:rPr>
          <w:rFonts w:hint="eastAsia" w:ascii="Times New Roman" w:hAnsi="Times New Roman" w:eastAsia="宋体" w:cs="Times New Roman"/>
          <w:snapToGrid w:val="0"/>
          <w:color w:val="auto"/>
          <w:spacing w:val="0"/>
          <w:kern w:val="0"/>
          <w:sz w:val="24"/>
          <w:szCs w:val="24"/>
          <w:lang w:val="en-US" w:eastAsia="zh-CN" w:bidi="ar-SA"/>
        </w:rPr>
        <w:t>项目</w:t>
      </w:r>
      <w:r>
        <w:rPr>
          <w:rFonts w:hint="default" w:ascii="Times New Roman" w:hAnsi="Times New Roman" w:eastAsia="宋体" w:cs="Times New Roman"/>
          <w:snapToGrid w:val="0"/>
          <w:color w:val="auto"/>
          <w:spacing w:val="0"/>
          <w:kern w:val="0"/>
          <w:sz w:val="24"/>
          <w:szCs w:val="24"/>
          <w:lang w:val="en-US" w:eastAsia="en-US" w:bidi="ar-SA"/>
        </w:rPr>
        <w:t>不存在集中式大气污染源</w:t>
      </w:r>
      <w:r>
        <w:rPr>
          <w:rFonts w:hint="eastAsia" w:ascii="Times New Roman" w:hAnsi="Times New Roman" w:eastAsia="宋体" w:cs="Times New Roman"/>
          <w:snapToGrid w:val="0"/>
          <w:color w:val="auto"/>
          <w:spacing w:val="0"/>
          <w:kern w:val="0"/>
          <w:sz w:val="24"/>
          <w:szCs w:val="24"/>
          <w:lang w:val="en-US" w:eastAsia="zh-CN" w:bidi="ar-SA"/>
        </w:rPr>
        <w:t>和固定污染源</w:t>
      </w:r>
      <w:r>
        <w:rPr>
          <w:rFonts w:hint="default" w:ascii="Times New Roman" w:hAnsi="Times New Roman" w:eastAsia="宋体" w:cs="Times New Roman"/>
          <w:snapToGrid w:val="0"/>
          <w:color w:val="auto"/>
          <w:spacing w:val="0"/>
          <w:kern w:val="0"/>
          <w:sz w:val="24"/>
          <w:szCs w:val="24"/>
          <w:lang w:val="en-US" w:eastAsia="en-US" w:bidi="ar-SA"/>
        </w:rPr>
        <w:t>，因此大气评价等级评定为三级。</w:t>
      </w:r>
    </w:p>
    <w:p w14:paraId="1DC94C3F">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根据《环境影响评价技术导则 大气环境》（HJ2.2-2018），三级评价项目不需要设置大气环境影响评价范围。</w:t>
      </w:r>
    </w:p>
    <w:p w14:paraId="4DF9182F">
      <w:pPr>
        <w:pStyle w:val="9"/>
        <w:keepNext w:val="0"/>
        <w:keepLines w:val="0"/>
        <w:pageBreakBefore w:val="0"/>
        <w:widowControl/>
        <w:kinsoku/>
        <w:wordWrap/>
        <w:overflowPunct/>
        <w:topLinePunct w:val="0"/>
        <w:autoSpaceDE w:val="0"/>
        <w:autoSpaceDN w:val="0"/>
        <w:bidi w:val="0"/>
        <w:adjustRightInd/>
        <w:snapToGrid/>
        <w:spacing w:before="54" w:line="360" w:lineRule="auto"/>
        <w:ind w:left="131"/>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1.5.2 </w:t>
      </w:r>
      <w:r>
        <w:rPr>
          <w:b/>
          <w:bCs/>
          <w:color w:val="auto"/>
          <w:spacing w:val="-3"/>
          <w:sz w:val="28"/>
          <w:szCs w:val="28"/>
        </w:rPr>
        <w:t>地表水评价等级</w:t>
      </w:r>
    </w:p>
    <w:p w14:paraId="7B7EC44F">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eastAsia" w:ascii="Times New Roman" w:hAnsi="Times New Roman" w:eastAsia="宋体" w:cs="Times New Roman"/>
          <w:snapToGrid w:val="0"/>
          <w:color w:val="auto"/>
          <w:spacing w:val="0"/>
          <w:kern w:val="0"/>
          <w:sz w:val="24"/>
          <w:szCs w:val="24"/>
          <w:lang w:val="en-US" w:eastAsia="zh-CN" w:bidi="ar-SA"/>
        </w:rPr>
      </w:pPr>
      <w:r>
        <w:rPr>
          <w:rFonts w:hint="default" w:ascii="Times New Roman" w:hAnsi="Times New Roman" w:eastAsia="宋体" w:cs="Times New Roman"/>
          <w:snapToGrid w:val="0"/>
          <w:color w:val="auto"/>
          <w:spacing w:val="0"/>
          <w:kern w:val="0"/>
          <w:sz w:val="24"/>
          <w:szCs w:val="24"/>
          <w:lang w:val="en-US" w:eastAsia="en-US" w:bidi="ar-SA"/>
        </w:rPr>
        <w:t>根据《环境影响评价技术导则 地表水环境》（HJ2.3-2018），水污染影响型建设项目地表水评价等级按照排放方式、排放量确定，划分依据见表1.5-1</w:t>
      </w:r>
      <w:r>
        <w:rPr>
          <w:rFonts w:hint="eastAsia" w:ascii="Times New Roman" w:hAnsi="Times New Roman" w:eastAsia="宋体" w:cs="Times New Roman"/>
          <w:snapToGrid w:val="0"/>
          <w:color w:val="auto"/>
          <w:spacing w:val="0"/>
          <w:kern w:val="0"/>
          <w:sz w:val="24"/>
          <w:szCs w:val="24"/>
          <w:lang w:val="en-US" w:eastAsia="zh-CN" w:bidi="ar-SA"/>
        </w:rPr>
        <w:t>。</w:t>
      </w:r>
    </w:p>
    <w:p w14:paraId="28375832">
      <w:pPr>
        <w:pStyle w:val="36"/>
        <w:keepNext w:val="0"/>
        <w:keepLines w:val="0"/>
        <w:pageBreakBefore w:val="0"/>
        <w:widowControl w:val="0"/>
        <w:numPr>
          <w:ilvl w:val="1"/>
          <w:numId w:val="10"/>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 xml:space="preserve">  地表水评价工作等级划分表</w:t>
      </w:r>
    </w:p>
    <w:tbl>
      <w:tblPr>
        <w:tblStyle w:val="26"/>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1"/>
        <w:gridCol w:w="2333"/>
        <w:gridCol w:w="4065"/>
      </w:tblGrid>
      <w:tr w14:paraId="6B447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121" w:type="dxa"/>
            <w:vMerge w:val="restart"/>
            <w:tcBorders>
              <w:bottom w:val="nil"/>
            </w:tcBorders>
            <w:vAlign w:val="center"/>
          </w:tcPr>
          <w:p w14:paraId="49949089">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0"/>
                <w:szCs w:val="20"/>
              </w:rPr>
            </w:pPr>
            <w:r>
              <w:rPr>
                <w:b/>
                <w:bCs/>
                <w:color w:val="auto"/>
                <w:spacing w:val="6"/>
                <w:sz w:val="20"/>
                <w:szCs w:val="20"/>
              </w:rPr>
              <w:t>评价等级</w:t>
            </w:r>
          </w:p>
        </w:tc>
        <w:tc>
          <w:tcPr>
            <w:tcW w:w="6398" w:type="dxa"/>
            <w:gridSpan w:val="2"/>
            <w:vAlign w:val="top"/>
          </w:tcPr>
          <w:p w14:paraId="62438DF7">
            <w:pPr>
              <w:pStyle w:val="27"/>
              <w:spacing w:before="113" w:line="227" w:lineRule="auto"/>
              <w:ind w:left="2783"/>
              <w:rPr>
                <w:color w:val="auto"/>
                <w:sz w:val="20"/>
                <w:szCs w:val="20"/>
              </w:rPr>
            </w:pPr>
            <w:r>
              <w:rPr>
                <w:b/>
                <w:bCs/>
                <w:color w:val="auto"/>
                <w:spacing w:val="6"/>
                <w:sz w:val="20"/>
                <w:szCs w:val="20"/>
              </w:rPr>
              <w:t>判定依据</w:t>
            </w:r>
          </w:p>
        </w:tc>
      </w:tr>
      <w:tr w14:paraId="65938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2121" w:type="dxa"/>
            <w:vMerge w:val="continue"/>
            <w:tcBorders>
              <w:top w:val="nil"/>
            </w:tcBorders>
            <w:vAlign w:val="top"/>
          </w:tcPr>
          <w:p w14:paraId="39E0D653">
            <w:pPr>
              <w:rPr>
                <w:rFonts w:ascii="Arial"/>
                <w:color w:val="auto"/>
                <w:sz w:val="21"/>
              </w:rPr>
            </w:pPr>
          </w:p>
        </w:tc>
        <w:tc>
          <w:tcPr>
            <w:tcW w:w="2333" w:type="dxa"/>
            <w:vAlign w:val="top"/>
          </w:tcPr>
          <w:p w14:paraId="7667A199">
            <w:pPr>
              <w:pStyle w:val="27"/>
              <w:spacing w:before="263" w:line="229" w:lineRule="auto"/>
              <w:ind w:left="752"/>
              <w:rPr>
                <w:color w:val="auto"/>
                <w:sz w:val="20"/>
                <w:szCs w:val="20"/>
              </w:rPr>
            </w:pPr>
            <w:r>
              <w:rPr>
                <w:b/>
                <w:bCs/>
                <w:color w:val="auto"/>
                <w:spacing w:val="6"/>
                <w:sz w:val="20"/>
                <w:szCs w:val="20"/>
              </w:rPr>
              <w:t>排放方式</w:t>
            </w:r>
          </w:p>
        </w:tc>
        <w:tc>
          <w:tcPr>
            <w:tcW w:w="4065" w:type="dxa"/>
            <w:vAlign w:val="top"/>
          </w:tcPr>
          <w:p w14:paraId="23A58B3E">
            <w:pPr>
              <w:pStyle w:val="27"/>
              <w:spacing w:before="93" w:line="268" w:lineRule="auto"/>
              <w:ind w:left="721" w:right="734" w:firstLine="126"/>
              <w:rPr>
                <w:color w:val="auto"/>
                <w:sz w:val="20"/>
                <w:szCs w:val="20"/>
              </w:rPr>
            </w:pPr>
            <w:r>
              <w:rPr>
                <w:b/>
                <w:bCs/>
                <w:color w:val="auto"/>
                <w:spacing w:val="5"/>
                <w:sz w:val="20"/>
                <w:szCs w:val="20"/>
              </w:rPr>
              <w:t>废水排放量</w:t>
            </w:r>
            <w:r>
              <w:rPr>
                <w:color w:val="auto"/>
                <w:spacing w:val="-35"/>
                <w:sz w:val="20"/>
                <w:szCs w:val="20"/>
              </w:rPr>
              <w:t xml:space="preserve"> </w:t>
            </w:r>
            <w:r>
              <w:rPr>
                <w:rFonts w:ascii="Times New Roman" w:hAnsi="Times New Roman" w:eastAsia="Times New Roman" w:cs="Times New Roman"/>
                <w:b/>
                <w:bCs/>
                <w:color w:val="auto"/>
                <w:spacing w:val="5"/>
                <w:sz w:val="20"/>
                <w:szCs w:val="20"/>
              </w:rPr>
              <w:t>Q/</w:t>
            </w:r>
            <w:r>
              <w:rPr>
                <w:b/>
                <w:bCs/>
                <w:color w:val="auto"/>
                <w:spacing w:val="5"/>
                <w:sz w:val="20"/>
                <w:szCs w:val="20"/>
              </w:rPr>
              <w:t>（</w:t>
            </w:r>
            <w:r>
              <w:rPr>
                <w:rFonts w:ascii="Times New Roman" w:hAnsi="Times New Roman" w:eastAsia="Times New Roman" w:cs="Times New Roman"/>
                <w:b/>
                <w:bCs/>
                <w:color w:val="auto"/>
                <w:spacing w:val="5"/>
                <w:sz w:val="20"/>
                <w:szCs w:val="20"/>
              </w:rPr>
              <w:t>m</w:t>
            </w:r>
            <w:r>
              <w:rPr>
                <w:rFonts w:ascii="Times New Roman" w:hAnsi="Times New Roman" w:eastAsia="Times New Roman" w:cs="Times New Roman"/>
                <w:b/>
                <w:bCs/>
                <w:color w:val="auto"/>
                <w:spacing w:val="5"/>
                <w:position w:val="6"/>
                <w:sz w:val="13"/>
                <w:szCs w:val="13"/>
              </w:rPr>
              <w:t>3</w:t>
            </w:r>
            <w:r>
              <w:rPr>
                <w:rFonts w:ascii="Times New Roman" w:hAnsi="Times New Roman" w:eastAsia="Times New Roman" w:cs="Times New Roman"/>
                <w:b/>
                <w:bCs/>
                <w:color w:val="auto"/>
                <w:spacing w:val="5"/>
                <w:sz w:val="20"/>
                <w:szCs w:val="20"/>
              </w:rPr>
              <w:t>/d</w:t>
            </w:r>
            <w:r>
              <w:rPr>
                <w:b/>
                <w:bCs/>
                <w:color w:val="auto"/>
                <w:spacing w:val="18"/>
                <w:sz w:val="20"/>
                <w:szCs w:val="20"/>
              </w:rPr>
              <w:t>）；</w:t>
            </w:r>
            <w:r>
              <w:rPr>
                <w:b/>
                <w:bCs/>
                <w:color w:val="auto"/>
                <w:spacing w:val="5"/>
                <w:sz w:val="20"/>
                <w:szCs w:val="20"/>
              </w:rPr>
              <w:t>水污染当量数</w:t>
            </w:r>
            <w:r>
              <w:rPr>
                <w:color w:val="auto"/>
                <w:spacing w:val="-39"/>
                <w:sz w:val="20"/>
                <w:szCs w:val="20"/>
              </w:rPr>
              <w:t xml:space="preserve"> </w:t>
            </w:r>
            <w:r>
              <w:rPr>
                <w:rFonts w:ascii="Times New Roman" w:hAnsi="Times New Roman" w:eastAsia="Times New Roman" w:cs="Times New Roman"/>
                <w:b/>
                <w:bCs/>
                <w:color w:val="auto"/>
                <w:spacing w:val="5"/>
                <w:sz w:val="20"/>
                <w:szCs w:val="20"/>
              </w:rPr>
              <w:t>W/</w:t>
            </w:r>
            <w:r>
              <w:rPr>
                <w:b/>
                <w:bCs/>
                <w:color w:val="auto"/>
                <w:spacing w:val="5"/>
                <w:sz w:val="20"/>
                <w:szCs w:val="20"/>
              </w:rPr>
              <w:t>（无量纲）</w:t>
            </w:r>
          </w:p>
        </w:tc>
      </w:tr>
      <w:tr w14:paraId="022ED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2121" w:type="dxa"/>
            <w:vAlign w:val="top"/>
          </w:tcPr>
          <w:p w14:paraId="17C404A2">
            <w:pPr>
              <w:pStyle w:val="27"/>
              <w:spacing w:before="94" w:line="221" w:lineRule="auto"/>
              <w:ind w:left="860"/>
              <w:rPr>
                <w:color w:val="auto"/>
                <w:sz w:val="20"/>
                <w:szCs w:val="20"/>
              </w:rPr>
            </w:pPr>
            <w:r>
              <w:rPr>
                <w:color w:val="auto"/>
                <w:spacing w:val="3"/>
                <w:sz w:val="20"/>
                <w:szCs w:val="20"/>
              </w:rPr>
              <w:t>一级</w:t>
            </w:r>
          </w:p>
        </w:tc>
        <w:tc>
          <w:tcPr>
            <w:tcW w:w="2333" w:type="dxa"/>
            <w:vAlign w:val="top"/>
          </w:tcPr>
          <w:p w14:paraId="1174F9D3">
            <w:pPr>
              <w:pStyle w:val="27"/>
              <w:spacing w:before="94" w:line="221" w:lineRule="auto"/>
              <w:ind w:left="754"/>
              <w:rPr>
                <w:color w:val="auto"/>
                <w:sz w:val="20"/>
                <w:szCs w:val="20"/>
              </w:rPr>
            </w:pPr>
            <w:r>
              <w:rPr>
                <w:color w:val="auto"/>
                <w:spacing w:val="6"/>
                <w:sz w:val="20"/>
                <w:szCs w:val="20"/>
              </w:rPr>
              <w:t>直接排放</w:t>
            </w:r>
          </w:p>
        </w:tc>
        <w:tc>
          <w:tcPr>
            <w:tcW w:w="4065" w:type="dxa"/>
            <w:vAlign w:val="top"/>
          </w:tcPr>
          <w:p w14:paraId="38770991">
            <w:pPr>
              <w:pStyle w:val="27"/>
              <w:spacing w:before="94" w:line="221" w:lineRule="auto"/>
              <w:ind w:left="1012"/>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4"/>
                <w:sz w:val="20"/>
                <w:szCs w:val="20"/>
              </w:rPr>
              <w:t xml:space="preserve">Q≥20000 </w:t>
            </w:r>
            <w:r>
              <w:rPr>
                <w:color w:val="auto"/>
                <w:spacing w:val="4"/>
                <w:sz w:val="20"/>
                <w:szCs w:val="20"/>
              </w:rPr>
              <w:t>或</w:t>
            </w:r>
            <w:r>
              <w:rPr>
                <w:color w:val="auto"/>
                <w:spacing w:val="-31"/>
                <w:sz w:val="20"/>
                <w:szCs w:val="20"/>
              </w:rPr>
              <w:t xml:space="preserve"> </w:t>
            </w:r>
            <w:r>
              <w:rPr>
                <w:rFonts w:ascii="Times New Roman" w:hAnsi="Times New Roman" w:eastAsia="Times New Roman" w:cs="Times New Roman"/>
                <w:color w:val="auto"/>
                <w:spacing w:val="4"/>
                <w:sz w:val="20"/>
                <w:szCs w:val="20"/>
              </w:rPr>
              <w:t>W≥600000</w:t>
            </w:r>
          </w:p>
        </w:tc>
      </w:tr>
      <w:tr w14:paraId="7F5F8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2121" w:type="dxa"/>
            <w:vAlign w:val="top"/>
          </w:tcPr>
          <w:p w14:paraId="3DAC52B2">
            <w:pPr>
              <w:pStyle w:val="27"/>
              <w:spacing w:before="96" w:line="219" w:lineRule="auto"/>
              <w:ind w:left="860"/>
              <w:rPr>
                <w:color w:val="auto"/>
                <w:sz w:val="20"/>
                <w:szCs w:val="20"/>
              </w:rPr>
            </w:pPr>
            <w:r>
              <w:rPr>
                <w:color w:val="auto"/>
                <w:spacing w:val="3"/>
                <w:sz w:val="20"/>
                <w:szCs w:val="20"/>
              </w:rPr>
              <w:t>二级</w:t>
            </w:r>
          </w:p>
        </w:tc>
        <w:tc>
          <w:tcPr>
            <w:tcW w:w="2333" w:type="dxa"/>
            <w:vAlign w:val="top"/>
          </w:tcPr>
          <w:p w14:paraId="6012191E">
            <w:pPr>
              <w:pStyle w:val="27"/>
              <w:spacing w:before="96" w:line="219" w:lineRule="auto"/>
              <w:ind w:left="754"/>
              <w:rPr>
                <w:color w:val="auto"/>
                <w:sz w:val="20"/>
                <w:szCs w:val="20"/>
              </w:rPr>
            </w:pPr>
            <w:r>
              <w:rPr>
                <w:color w:val="auto"/>
                <w:spacing w:val="6"/>
                <w:sz w:val="20"/>
                <w:szCs w:val="20"/>
              </w:rPr>
              <w:t>直接排放</w:t>
            </w:r>
          </w:p>
        </w:tc>
        <w:tc>
          <w:tcPr>
            <w:tcW w:w="4065" w:type="dxa"/>
            <w:vAlign w:val="top"/>
          </w:tcPr>
          <w:p w14:paraId="7E59BF30">
            <w:pPr>
              <w:pStyle w:val="27"/>
              <w:spacing w:before="96" w:line="219" w:lineRule="auto"/>
              <w:ind w:left="1828"/>
              <w:rPr>
                <w:color w:val="auto"/>
                <w:sz w:val="20"/>
                <w:szCs w:val="20"/>
              </w:rPr>
            </w:pPr>
            <w:r>
              <w:rPr>
                <w:color w:val="auto"/>
                <w:spacing w:val="4"/>
                <w:sz w:val="20"/>
                <w:szCs w:val="20"/>
              </w:rPr>
              <w:t>其他</w:t>
            </w:r>
          </w:p>
        </w:tc>
      </w:tr>
      <w:tr w14:paraId="4F7EA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2121" w:type="dxa"/>
            <w:vAlign w:val="top"/>
          </w:tcPr>
          <w:p w14:paraId="669F850F">
            <w:pPr>
              <w:pStyle w:val="27"/>
              <w:spacing w:before="95" w:line="220" w:lineRule="auto"/>
              <w:ind w:left="756"/>
              <w:rPr>
                <w:rFonts w:ascii="Times New Roman" w:hAnsi="Times New Roman" w:eastAsia="Times New Roman" w:cs="Times New Roman"/>
                <w:color w:val="auto"/>
                <w:sz w:val="20"/>
                <w:szCs w:val="20"/>
              </w:rPr>
            </w:pPr>
            <w:r>
              <w:rPr>
                <w:color w:val="auto"/>
                <w:spacing w:val="4"/>
                <w:sz w:val="20"/>
                <w:szCs w:val="20"/>
              </w:rPr>
              <w:t>三级</w:t>
            </w:r>
            <w:r>
              <w:rPr>
                <w:color w:val="auto"/>
                <w:spacing w:val="-45"/>
                <w:sz w:val="20"/>
                <w:szCs w:val="20"/>
              </w:rPr>
              <w:t xml:space="preserve"> </w:t>
            </w:r>
            <w:r>
              <w:rPr>
                <w:rFonts w:ascii="Times New Roman" w:hAnsi="Times New Roman" w:eastAsia="Times New Roman" w:cs="Times New Roman"/>
                <w:color w:val="auto"/>
                <w:spacing w:val="4"/>
                <w:sz w:val="20"/>
                <w:szCs w:val="20"/>
              </w:rPr>
              <w:t>A</w:t>
            </w:r>
          </w:p>
        </w:tc>
        <w:tc>
          <w:tcPr>
            <w:tcW w:w="2333" w:type="dxa"/>
            <w:vAlign w:val="top"/>
          </w:tcPr>
          <w:p w14:paraId="3CF96FD8">
            <w:pPr>
              <w:pStyle w:val="27"/>
              <w:spacing w:before="95" w:line="220" w:lineRule="auto"/>
              <w:ind w:left="754"/>
              <w:rPr>
                <w:color w:val="auto"/>
                <w:sz w:val="20"/>
                <w:szCs w:val="20"/>
              </w:rPr>
            </w:pPr>
            <w:r>
              <w:rPr>
                <w:color w:val="auto"/>
                <w:spacing w:val="6"/>
                <w:sz w:val="20"/>
                <w:szCs w:val="20"/>
              </w:rPr>
              <w:t>直接排放</w:t>
            </w:r>
          </w:p>
        </w:tc>
        <w:tc>
          <w:tcPr>
            <w:tcW w:w="4065" w:type="dxa"/>
            <w:vAlign w:val="top"/>
          </w:tcPr>
          <w:p w14:paraId="5E82CFB9">
            <w:pPr>
              <w:pStyle w:val="27"/>
              <w:spacing w:before="95" w:line="220" w:lineRule="auto"/>
              <w:ind w:left="1128"/>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5"/>
                <w:sz w:val="20"/>
                <w:szCs w:val="20"/>
              </w:rPr>
              <w:t>Q</w:t>
            </w:r>
            <w:r>
              <w:rPr>
                <w:color w:val="auto"/>
                <w:spacing w:val="5"/>
                <w:sz w:val="20"/>
                <w:szCs w:val="20"/>
              </w:rPr>
              <w:t>＜</w:t>
            </w:r>
            <w:r>
              <w:rPr>
                <w:rFonts w:ascii="Times New Roman" w:hAnsi="Times New Roman" w:eastAsia="Times New Roman" w:cs="Times New Roman"/>
                <w:color w:val="auto"/>
                <w:spacing w:val="5"/>
                <w:sz w:val="20"/>
                <w:szCs w:val="20"/>
              </w:rPr>
              <w:t xml:space="preserve">200 </w:t>
            </w:r>
            <w:r>
              <w:rPr>
                <w:color w:val="auto"/>
                <w:spacing w:val="5"/>
                <w:sz w:val="20"/>
                <w:szCs w:val="20"/>
              </w:rPr>
              <w:t>且</w:t>
            </w:r>
            <w:r>
              <w:rPr>
                <w:color w:val="auto"/>
                <w:spacing w:val="-39"/>
                <w:sz w:val="20"/>
                <w:szCs w:val="20"/>
              </w:rPr>
              <w:t xml:space="preserve"> </w:t>
            </w:r>
            <w:r>
              <w:rPr>
                <w:rFonts w:ascii="Times New Roman" w:hAnsi="Times New Roman" w:eastAsia="Times New Roman" w:cs="Times New Roman"/>
                <w:color w:val="auto"/>
                <w:spacing w:val="5"/>
                <w:sz w:val="20"/>
                <w:szCs w:val="20"/>
              </w:rPr>
              <w:t>W</w:t>
            </w:r>
            <w:r>
              <w:rPr>
                <w:color w:val="auto"/>
                <w:spacing w:val="5"/>
                <w:sz w:val="20"/>
                <w:szCs w:val="20"/>
              </w:rPr>
              <w:t>＜</w:t>
            </w:r>
            <w:r>
              <w:rPr>
                <w:rFonts w:ascii="Times New Roman" w:hAnsi="Times New Roman" w:eastAsia="Times New Roman" w:cs="Times New Roman"/>
                <w:color w:val="auto"/>
                <w:spacing w:val="5"/>
                <w:sz w:val="20"/>
                <w:szCs w:val="20"/>
              </w:rPr>
              <w:t>6000</w:t>
            </w:r>
          </w:p>
        </w:tc>
      </w:tr>
      <w:tr w14:paraId="3C176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2121" w:type="dxa"/>
            <w:vAlign w:val="top"/>
          </w:tcPr>
          <w:p w14:paraId="42C3AD52">
            <w:pPr>
              <w:pStyle w:val="27"/>
              <w:spacing w:before="96" w:line="220" w:lineRule="auto"/>
              <w:ind w:left="761"/>
              <w:rPr>
                <w:rFonts w:ascii="Times New Roman" w:hAnsi="Times New Roman" w:eastAsia="Times New Roman" w:cs="Times New Roman"/>
                <w:color w:val="auto"/>
                <w:sz w:val="20"/>
                <w:szCs w:val="20"/>
              </w:rPr>
            </w:pPr>
            <w:r>
              <w:rPr>
                <w:color w:val="auto"/>
                <w:spacing w:val="3"/>
                <w:sz w:val="20"/>
                <w:szCs w:val="20"/>
              </w:rPr>
              <w:t>三级</w:t>
            </w:r>
            <w:r>
              <w:rPr>
                <w:color w:val="auto"/>
                <w:spacing w:val="-42"/>
                <w:sz w:val="20"/>
                <w:szCs w:val="20"/>
              </w:rPr>
              <w:t xml:space="preserve"> </w:t>
            </w:r>
            <w:r>
              <w:rPr>
                <w:rFonts w:ascii="Times New Roman" w:hAnsi="Times New Roman" w:eastAsia="Times New Roman" w:cs="Times New Roman"/>
                <w:color w:val="auto"/>
                <w:spacing w:val="3"/>
                <w:sz w:val="20"/>
                <w:szCs w:val="20"/>
              </w:rPr>
              <w:t>B</w:t>
            </w:r>
          </w:p>
        </w:tc>
        <w:tc>
          <w:tcPr>
            <w:tcW w:w="2333" w:type="dxa"/>
            <w:vAlign w:val="top"/>
          </w:tcPr>
          <w:p w14:paraId="28AFC16C">
            <w:pPr>
              <w:pStyle w:val="27"/>
              <w:spacing w:before="96" w:line="220" w:lineRule="auto"/>
              <w:ind w:left="769"/>
              <w:rPr>
                <w:color w:val="auto"/>
                <w:sz w:val="20"/>
                <w:szCs w:val="20"/>
              </w:rPr>
            </w:pPr>
            <w:r>
              <w:rPr>
                <w:color w:val="auto"/>
                <w:spacing w:val="3"/>
                <w:sz w:val="20"/>
                <w:szCs w:val="20"/>
              </w:rPr>
              <w:t>间接排放</w:t>
            </w:r>
          </w:p>
        </w:tc>
        <w:tc>
          <w:tcPr>
            <w:tcW w:w="4065" w:type="dxa"/>
            <w:vAlign w:val="top"/>
          </w:tcPr>
          <w:p w14:paraId="463DAA4A">
            <w:pPr>
              <w:spacing w:before="221" w:line="96" w:lineRule="exact"/>
              <w:ind w:left="1817"/>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0"/>
                <w:position w:val="-2"/>
                <w:sz w:val="20"/>
                <w:szCs w:val="20"/>
              </w:rPr>
              <w:t>——</w:t>
            </w:r>
          </w:p>
        </w:tc>
      </w:tr>
      <w:tr w14:paraId="2AA149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8519" w:type="dxa"/>
            <w:gridSpan w:val="3"/>
            <w:vAlign w:val="center"/>
          </w:tcPr>
          <w:p w14:paraId="78AD74DA">
            <w:pPr>
              <w:pStyle w:val="27"/>
              <w:spacing w:before="98" w:line="268" w:lineRule="auto"/>
              <w:ind w:left="115" w:right="137"/>
              <w:jc w:val="left"/>
              <w:rPr>
                <w:color w:val="auto"/>
                <w:sz w:val="20"/>
                <w:szCs w:val="20"/>
              </w:rPr>
            </w:pPr>
            <w:r>
              <w:rPr>
                <w:color w:val="auto"/>
                <w:spacing w:val="9"/>
                <w:sz w:val="20"/>
                <w:szCs w:val="20"/>
              </w:rPr>
              <w:t>注</w:t>
            </w:r>
            <w:r>
              <w:rPr>
                <w:rFonts w:ascii="Times New Roman" w:hAnsi="Times New Roman" w:eastAsia="Times New Roman" w:cs="Times New Roman"/>
                <w:color w:val="auto"/>
                <w:spacing w:val="9"/>
                <w:sz w:val="20"/>
                <w:szCs w:val="20"/>
              </w:rPr>
              <w:t>10</w:t>
            </w:r>
            <w:r>
              <w:rPr>
                <w:color w:val="auto"/>
                <w:spacing w:val="9"/>
                <w:sz w:val="20"/>
                <w:szCs w:val="20"/>
              </w:rPr>
              <w:t>：建设项目生产工艺中有废水产生，但作</w:t>
            </w:r>
            <w:r>
              <w:rPr>
                <w:color w:val="auto"/>
                <w:spacing w:val="8"/>
                <w:sz w:val="20"/>
                <w:szCs w:val="20"/>
              </w:rPr>
              <w:t>为回水利用，不排放到外环境，按三级</w:t>
            </w:r>
            <w:r>
              <w:rPr>
                <w:rFonts w:ascii="Times New Roman" w:hAnsi="Times New Roman" w:eastAsia="Times New Roman" w:cs="Times New Roman"/>
                <w:color w:val="auto"/>
                <w:spacing w:val="8"/>
                <w:sz w:val="20"/>
                <w:szCs w:val="20"/>
              </w:rPr>
              <w:t>B</w:t>
            </w:r>
            <w:r>
              <w:rPr>
                <w:color w:val="auto"/>
                <w:spacing w:val="8"/>
                <w:sz w:val="20"/>
                <w:szCs w:val="20"/>
              </w:rPr>
              <w:t>评</w:t>
            </w:r>
            <w:r>
              <w:rPr>
                <w:color w:val="auto"/>
                <w:sz w:val="20"/>
                <w:szCs w:val="20"/>
              </w:rPr>
              <w:t>价。</w:t>
            </w:r>
          </w:p>
        </w:tc>
      </w:tr>
    </w:tbl>
    <w:p w14:paraId="54C28E39">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本项目初期雨水经收集处理后回用于项目绿化、洒水降尘，回用不完的由云南曲煤焦化实业发展有限公司内部清运至铁路卸煤区洒水降尘。</w:t>
      </w:r>
      <w:r>
        <w:rPr>
          <w:rFonts w:hint="eastAsia" w:cs="Times New Roman"/>
          <w:color w:val="auto"/>
          <w:sz w:val="24"/>
          <w:lang w:val="en-US" w:eastAsia="zh-CN"/>
        </w:rPr>
        <w:t>生活废水经化粪池处理后委托环卫部门清运处置</w:t>
      </w: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snapToGrid w:val="0"/>
          <w:color w:val="auto"/>
          <w:spacing w:val="0"/>
          <w:kern w:val="0"/>
          <w:sz w:val="24"/>
          <w:szCs w:val="24"/>
          <w:lang w:val="en-US" w:eastAsia="en-US" w:bidi="ar-SA"/>
        </w:rPr>
        <w:t>根据《环境影响评价技术导则 地表水环境》（HJ2.3-2018），判断本项目水环境影响评价工作等级为三级B。</w:t>
      </w:r>
    </w:p>
    <w:p w14:paraId="7949C791">
      <w:pPr>
        <w:pStyle w:val="9"/>
        <w:keepNext w:val="0"/>
        <w:keepLines w:val="0"/>
        <w:pageBreakBefore w:val="0"/>
        <w:widowControl/>
        <w:kinsoku/>
        <w:wordWrap/>
        <w:overflowPunct/>
        <w:topLinePunct w:val="0"/>
        <w:autoSpaceDE w:val="0"/>
        <w:autoSpaceDN w:val="0"/>
        <w:bidi w:val="0"/>
        <w:spacing w:before="51" w:line="360" w:lineRule="auto"/>
        <w:ind w:left="131"/>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1.5.3 </w:t>
      </w:r>
      <w:r>
        <w:rPr>
          <w:b/>
          <w:bCs/>
          <w:color w:val="auto"/>
          <w:spacing w:val="-3"/>
          <w:sz w:val="28"/>
          <w:szCs w:val="28"/>
        </w:rPr>
        <w:t>地下水评价等级</w:t>
      </w:r>
    </w:p>
    <w:p w14:paraId="325FA35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snapToGrid w:val="0"/>
          <w:color w:val="auto"/>
          <w:spacing w:val="0"/>
          <w:kern w:val="0"/>
          <w:sz w:val="24"/>
          <w:szCs w:val="24"/>
          <w:lang w:val="en-US" w:eastAsia="en-US" w:bidi="ar-SA"/>
        </w:rPr>
        <w:t>本项目位于</w:t>
      </w:r>
      <w:r>
        <w:rPr>
          <w:rFonts w:hint="eastAsia" w:ascii="Times New Roman" w:hAnsi="Times New Roman" w:eastAsia="宋体" w:cs="Times New Roman"/>
          <w:snapToGrid w:val="0"/>
          <w:color w:val="auto"/>
          <w:spacing w:val="0"/>
          <w:kern w:val="0"/>
          <w:sz w:val="24"/>
          <w:szCs w:val="24"/>
          <w:lang w:val="en-US" w:eastAsia="zh-CN" w:bidi="ar-SA"/>
        </w:rPr>
        <w:t>曲靖高新技术产业开发区花山片区</w:t>
      </w:r>
      <w:r>
        <w:rPr>
          <w:rFonts w:hint="default" w:ascii="Times New Roman" w:hAnsi="Times New Roman" w:eastAsia="宋体" w:cs="Times New Roman"/>
          <w:snapToGrid w:val="0"/>
          <w:color w:val="auto"/>
          <w:spacing w:val="0"/>
          <w:kern w:val="0"/>
          <w:sz w:val="24"/>
          <w:szCs w:val="24"/>
          <w:lang w:val="en-US" w:eastAsia="en-US" w:bidi="ar-SA"/>
        </w:rPr>
        <w:t>，属于</w:t>
      </w:r>
      <w:r>
        <w:rPr>
          <w:rFonts w:hint="eastAsia" w:ascii="Times New Roman" w:hAnsi="Times New Roman" w:eastAsia="宋体" w:cs="Times New Roman"/>
          <w:snapToGrid w:val="0"/>
          <w:color w:val="auto"/>
          <w:spacing w:val="0"/>
          <w:kern w:val="0"/>
          <w:sz w:val="24"/>
          <w:szCs w:val="24"/>
          <w:lang w:val="en-US" w:eastAsia="zh-CN" w:bidi="ar-SA"/>
        </w:rPr>
        <w:t>装卸搬运仓储业和铁路专用线建设项目</w:t>
      </w:r>
      <w:r>
        <w:rPr>
          <w:rFonts w:hint="default" w:ascii="Times New Roman" w:hAnsi="Times New Roman" w:eastAsia="宋体" w:cs="Times New Roman"/>
          <w:snapToGrid w:val="0"/>
          <w:color w:val="auto"/>
          <w:spacing w:val="0"/>
          <w:kern w:val="0"/>
          <w:sz w:val="24"/>
          <w:szCs w:val="24"/>
          <w:lang w:val="en-US" w:eastAsia="en-US" w:bidi="ar-SA"/>
        </w:rPr>
        <w:t>，根据《环境影响评价技术导则 地下水环境》（HJ 610-2016）附录A，本项目行业类别为</w:t>
      </w:r>
      <w:r>
        <w:rPr>
          <w:rFonts w:hint="eastAsia" w:ascii="Times New Roman" w:hAnsi="Times New Roman" w:eastAsia="宋体" w:cs="Times New Roman"/>
          <w:snapToGrid w:val="0"/>
          <w:color w:val="auto"/>
          <w:spacing w:val="0"/>
          <w:kern w:val="0"/>
          <w:sz w:val="24"/>
          <w:szCs w:val="24"/>
          <w:lang w:val="en-US" w:eastAsia="zh-CN" w:bidi="ar-SA"/>
        </w:rPr>
        <w:t>“U城镇基础设施及房地产 154、仓储（不含油库、气库、煤炭储存）其他</w:t>
      </w:r>
      <w:r>
        <w:rPr>
          <w:rFonts w:hint="default" w:ascii="Times New Roman" w:hAnsi="Times New Roman" w:eastAsia="宋体" w:cs="Times New Roman"/>
          <w:snapToGrid w:val="0"/>
          <w:color w:val="auto"/>
          <w:spacing w:val="0"/>
          <w:kern w:val="0"/>
          <w:sz w:val="24"/>
          <w:szCs w:val="24"/>
          <w:lang w:val="en-US" w:eastAsia="en-US" w:bidi="ar-SA"/>
        </w:rPr>
        <w:t>Ⅲ类</w:t>
      </w:r>
      <w:r>
        <w:rPr>
          <w:rFonts w:hint="eastAsia" w:ascii="Times New Roman" w:hAnsi="Times New Roman" w:eastAsia="宋体" w:cs="Times New Roman"/>
          <w:snapToGrid w:val="0"/>
          <w:color w:val="auto"/>
          <w:spacing w:val="0"/>
          <w:kern w:val="0"/>
          <w:sz w:val="24"/>
          <w:szCs w:val="24"/>
          <w:lang w:val="en-US" w:eastAsia="zh-CN" w:bidi="ar-SA"/>
        </w:rPr>
        <w:t xml:space="preserve">以及 </w:t>
      </w:r>
      <w:r>
        <w:rPr>
          <w:rFonts w:hint="default" w:ascii="Times New Roman" w:hAnsi="Times New Roman" w:eastAsia="宋体" w:cs="Times New Roman"/>
          <w:snapToGrid w:val="0"/>
          <w:color w:val="auto"/>
          <w:spacing w:val="0"/>
          <w:kern w:val="0"/>
          <w:sz w:val="24"/>
          <w:szCs w:val="24"/>
          <w:lang w:val="en-US" w:eastAsia="en-US" w:bidi="ar-SA"/>
        </w:rPr>
        <w:t>Q 铁路</w:t>
      </w:r>
      <w:r>
        <w:rPr>
          <w:rFonts w:hint="eastAsia" w:ascii="Times New Roman" w:hAnsi="Times New Roman" w:eastAsia="宋体" w:cs="Times New Roman"/>
          <w:snapToGrid w:val="0"/>
          <w:color w:val="auto"/>
          <w:spacing w:val="0"/>
          <w:kern w:val="0"/>
          <w:sz w:val="24"/>
          <w:szCs w:val="24"/>
          <w:lang w:val="en-US" w:eastAsia="zh-CN" w:bidi="ar-SA"/>
        </w:rPr>
        <w:t>”</w:t>
      </w:r>
      <w:r>
        <w:rPr>
          <w:rFonts w:hint="default" w:ascii="Times New Roman" w:hAnsi="Times New Roman" w:eastAsia="宋体" w:cs="Times New Roman"/>
          <w:snapToGrid w:val="0"/>
          <w:color w:val="auto"/>
          <w:spacing w:val="0"/>
          <w:kern w:val="0"/>
          <w:sz w:val="24"/>
          <w:szCs w:val="24"/>
          <w:lang w:val="en-US" w:eastAsia="en-US" w:bidi="ar-SA"/>
        </w:rPr>
        <w:t>里的</w:t>
      </w:r>
      <w:r>
        <w:rPr>
          <w:rFonts w:hint="eastAsia" w:ascii="Times New Roman" w:hAnsi="Times New Roman" w:eastAsia="宋体" w:cs="Times New Roman"/>
          <w:snapToGrid w:val="0"/>
          <w:color w:val="auto"/>
          <w:spacing w:val="0"/>
          <w:kern w:val="0"/>
          <w:sz w:val="24"/>
          <w:szCs w:val="24"/>
          <w:lang w:val="en-US" w:eastAsia="zh-CN" w:bidi="ar-SA"/>
        </w:rPr>
        <w:t>“</w:t>
      </w:r>
      <w:r>
        <w:rPr>
          <w:rFonts w:hint="default" w:ascii="Times New Roman" w:hAnsi="Times New Roman" w:eastAsia="宋体" w:cs="Times New Roman"/>
          <w:snapToGrid w:val="0"/>
          <w:color w:val="auto"/>
          <w:spacing w:val="0"/>
          <w:kern w:val="0"/>
          <w:sz w:val="24"/>
          <w:szCs w:val="24"/>
          <w:lang w:val="en-US" w:eastAsia="en-US" w:bidi="ar-SA"/>
        </w:rPr>
        <w:t>124 、新建铁路</w:t>
      </w:r>
      <w:r>
        <w:rPr>
          <w:rFonts w:hint="eastAsia" w:ascii="Times New Roman" w:hAnsi="Times New Roman" w:eastAsia="宋体" w:cs="Times New Roman"/>
          <w:snapToGrid w:val="0"/>
          <w:color w:val="auto"/>
          <w:spacing w:val="0"/>
          <w:kern w:val="0"/>
          <w:sz w:val="24"/>
          <w:szCs w:val="24"/>
          <w:lang w:val="en-US" w:eastAsia="zh-CN" w:bidi="ar-SA"/>
        </w:rPr>
        <w:t>”</w:t>
      </w:r>
      <w:r>
        <w:rPr>
          <w:rFonts w:hint="default" w:ascii="Times New Roman" w:hAnsi="Times New Roman" w:eastAsia="宋体" w:cs="Times New Roman"/>
          <w:snapToGrid w:val="0"/>
          <w:color w:val="auto"/>
          <w:spacing w:val="0"/>
          <w:kern w:val="0"/>
          <w:sz w:val="24"/>
          <w:szCs w:val="24"/>
          <w:lang w:val="en-US" w:eastAsia="en-US" w:bidi="ar-SA"/>
        </w:rPr>
        <w:t>，报告书机务段Ⅲ类、其余Ⅳ类；本项目不新增机务设施，利用</w:t>
      </w:r>
      <w:r>
        <w:rPr>
          <w:rFonts w:hint="eastAsia" w:ascii="Times New Roman" w:hAnsi="Times New Roman" w:eastAsia="宋体" w:cs="Times New Roman"/>
          <w:snapToGrid w:val="0"/>
          <w:color w:val="auto"/>
          <w:spacing w:val="0"/>
          <w:kern w:val="0"/>
          <w:sz w:val="24"/>
          <w:szCs w:val="24"/>
          <w:lang w:val="en-US" w:eastAsia="zh-CN" w:bidi="ar-SA"/>
        </w:rPr>
        <w:t>珠江源站</w:t>
      </w:r>
      <w:r>
        <w:rPr>
          <w:rFonts w:hint="default" w:ascii="Times New Roman" w:hAnsi="Times New Roman" w:eastAsia="宋体" w:cs="Times New Roman"/>
          <w:snapToGrid w:val="0"/>
          <w:color w:val="auto"/>
          <w:spacing w:val="0"/>
          <w:kern w:val="0"/>
          <w:sz w:val="24"/>
          <w:szCs w:val="24"/>
          <w:lang w:val="en-US" w:eastAsia="en-US" w:bidi="ar-SA"/>
        </w:rPr>
        <w:t>既有设施，属于Ⅳ类项目。</w:t>
      </w:r>
      <w:r>
        <w:rPr>
          <w:rFonts w:hint="default" w:ascii="Times New Roman" w:hAnsi="Times New Roman" w:cs="Times New Roman"/>
          <w:color w:val="auto"/>
          <w:sz w:val="24"/>
          <w:szCs w:val="24"/>
          <w:lang w:val="en-US" w:eastAsia="zh-CN"/>
        </w:rPr>
        <w:t>本项目运输物品</w:t>
      </w:r>
      <w:r>
        <w:rPr>
          <w:rFonts w:hint="eastAsia" w:ascii="Times New Roman" w:hAnsi="Times New Roman" w:cs="Times New Roman"/>
          <w:color w:val="auto"/>
          <w:sz w:val="24"/>
          <w:szCs w:val="24"/>
          <w:lang w:val="en-US" w:eastAsia="zh-CN"/>
        </w:rPr>
        <w:t>全部为</w:t>
      </w:r>
      <w:r>
        <w:rPr>
          <w:rFonts w:hint="default" w:ascii="Times New Roman" w:hAnsi="Times New Roman" w:cs="Times New Roman"/>
          <w:color w:val="auto"/>
          <w:sz w:val="24"/>
          <w:szCs w:val="24"/>
          <w:lang w:val="en-US" w:eastAsia="zh-CN"/>
        </w:rPr>
        <w:t>装有煤焦的密闭集装箱</w:t>
      </w:r>
      <w:r>
        <w:rPr>
          <w:rFonts w:hint="eastAsia" w:ascii="Times New Roman" w:hAnsi="Times New Roman" w:cs="Times New Roman"/>
          <w:color w:val="auto"/>
          <w:sz w:val="24"/>
          <w:szCs w:val="24"/>
          <w:lang w:val="en-US" w:eastAsia="zh-CN"/>
        </w:rPr>
        <w:t>，煤焦是由配合煤送入焦炉炭化室内，经过高温干馏炼后得到的多孔炭质固体，俗称焦炭，不属于煤炭。</w:t>
      </w:r>
    </w:p>
    <w:p w14:paraId="388DF069">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zh-CN" w:bidi="ar-SA"/>
        </w:rPr>
      </w:pPr>
      <w:r>
        <w:rPr>
          <w:rFonts w:hint="default" w:ascii="Times New Roman" w:hAnsi="Times New Roman" w:eastAsia="宋体" w:cs="Times New Roman"/>
          <w:snapToGrid w:val="0"/>
          <w:color w:val="auto"/>
          <w:spacing w:val="0"/>
          <w:kern w:val="0"/>
          <w:sz w:val="24"/>
          <w:szCs w:val="24"/>
          <w:lang w:val="en-US" w:eastAsia="en-US" w:bidi="ar-SA"/>
        </w:rPr>
        <w:t>项目</w:t>
      </w:r>
      <w:r>
        <w:rPr>
          <w:rFonts w:hint="eastAsia" w:ascii="Times New Roman" w:hAnsi="Times New Roman" w:eastAsia="宋体" w:cs="Times New Roman"/>
          <w:snapToGrid w:val="0"/>
          <w:color w:val="auto"/>
          <w:spacing w:val="0"/>
          <w:kern w:val="0"/>
          <w:sz w:val="24"/>
          <w:szCs w:val="24"/>
          <w:lang w:val="en-US" w:eastAsia="zh-CN" w:bidi="ar-SA"/>
        </w:rPr>
        <w:t>环境影响评价类别为报告书</w:t>
      </w:r>
      <w:r>
        <w:rPr>
          <w:rFonts w:hint="default" w:ascii="Times New Roman" w:hAnsi="Times New Roman" w:eastAsia="宋体" w:cs="Times New Roman"/>
          <w:snapToGrid w:val="0"/>
          <w:color w:val="auto"/>
          <w:spacing w:val="0"/>
          <w:kern w:val="0"/>
          <w:sz w:val="24"/>
          <w:szCs w:val="24"/>
          <w:lang w:val="en-US" w:eastAsia="en-US" w:bidi="ar-SA"/>
        </w:rPr>
        <w:t>，判定为Ⅲ类项目。建设项目的地下水环境敏感程度可分为敏感、较敏感、不敏感三级，分级原则见表</w:t>
      </w:r>
      <w:r>
        <w:rPr>
          <w:rFonts w:hint="eastAsia" w:ascii="Times New Roman" w:hAnsi="Times New Roman" w:eastAsia="宋体" w:cs="Times New Roman"/>
          <w:snapToGrid w:val="0"/>
          <w:color w:val="auto"/>
          <w:spacing w:val="0"/>
          <w:kern w:val="0"/>
          <w:sz w:val="24"/>
          <w:szCs w:val="24"/>
          <w:lang w:val="en-US" w:eastAsia="zh-CN" w:bidi="ar-SA"/>
        </w:rPr>
        <w:t>1.5.3-1。</w:t>
      </w:r>
    </w:p>
    <w:p w14:paraId="79B79DCF">
      <w:pPr>
        <w:pStyle w:val="36"/>
        <w:keepNext w:val="0"/>
        <w:keepLines w:val="0"/>
        <w:pageBreakBefore w:val="0"/>
        <w:widowControl w:val="0"/>
        <w:numPr>
          <w:ilvl w:val="1"/>
          <w:numId w:val="10"/>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地下水环境敏感程度分级表</w:t>
      </w:r>
    </w:p>
    <w:tbl>
      <w:tblPr>
        <w:tblStyle w:val="21"/>
        <w:tblW w:w="8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5848"/>
        <w:gridCol w:w="2148"/>
      </w:tblGrid>
      <w:tr w14:paraId="2E46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742" w:type="dxa"/>
            <w:vAlign w:val="center"/>
          </w:tcPr>
          <w:p w14:paraId="096F6AD4">
            <w:pPr>
              <w:spacing w:line="320" w:lineRule="atLeast"/>
              <w:jc w:val="center"/>
              <w:rPr>
                <w:rFonts w:ascii="Times New Roman" w:hAnsi="Times New Roman"/>
                <w:color w:val="auto"/>
                <w:kern w:val="0"/>
                <w:sz w:val="21"/>
                <w:szCs w:val="21"/>
              </w:rPr>
            </w:pPr>
            <w:r>
              <w:rPr>
                <w:rFonts w:ascii="Times New Roman" w:hAnsi="Times New Roman"/>
                <w:color w:val="auto"/>
                <w:kern w:val="0"/>
                <w:sz w:val="21"/>
                <w:szCs w:val="21"/>
              </w:rPr>
              <w:t>敏感程度</w:t>
            </w:r>
          </w:p>
        </w:tc>
        <w:tc>
          <w:tcPr>
            <w:tcW w:w="5848" w:type="dxa"/>
            <w:vAlign w:val="center"/>
          </w:tcPr>
          <w:p w14:paraId="27EDAA90">
            <w:pPr>
              <w:spacing w:line="320" w:lineRule="atLeast"/>
              <w:jc w:val="center"/>
              <w:rPr>
                <w:rFonts w:ascii="Times New Roman" w:hAnsi="Times New Roman"/>
                <w:color w:val="auto"/>
                <w:kern w:val="0"/>
                <w:sz w:val="21"/>
                <w:szCs w:val="21"/>
              </w:rPr>
            </w:pPr>
            <w:r>
              <w:rPr>
                <w:rFonts w:ascii="Times New Roman" w:hAnsi="Times New Roman"/>
                <w:color w:val="auto"/>
                <w:kern w:val="0"/>
                <w:sz w:val="21"/>
                <w:szCs w:val="21"/>
              </w:rPr>
              <w:t>地下水环境敏感特征</w:t>
            </w:r>
          </w:p>
        </w:tc>
        <w:tc>
          <w:tcPr>
            <w:tcW w:w="2148" w:type="dxa"/>
            <w:vAlign w:val="center"/>
          </w:tcPr>
          <w:p w14:paraId="53F642DB">
            <w:pPr>
              <w:spacing w:line="320" w:lineRule="atLeast"/>
              <w:jc w:val="center"/>
              <w:rPr>
                <w:rFonts w:ascii="Times New Roman" w:hAnsi="Times New Roman"/>
                <w:color w:val="auto"/>
                <w:kern w:val="0"/>
                <w:sz w:val="21"/>
                <w:szCs w:val="21"/>
              </w:rPr>
            </w:pPr>
            <w:r>
              <w:rPr>
                <w:rFonts w:hint="default" w:ascii="Times New Roman" w:hAnsi="Times New Roman" w:eastAsia="宋体" w:cs="Times New Roman"/>
                <w:b w:val="0"/>
                <w:bCs w:val="0"/>
                <w:color w:val="auto"/>
                <w:sz w:val="21"/>
                <w:szCs w:val="21"/>
              </w:rPr>
              <w:t>本项目情况</w:t>
            </w:r>
          </w:p>
        </w:tc>
      </w:tr>
      <w:tr w14:paraId="3AF5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742" w:type="dxa"/>
            <w:vAlign w:val="center"/>
          </w:tcPr>
          <w:p w14:paraId="5D87CD1A">
            <w:pPr>
              <w:spacing w:line="320" w:lineRule="atLeast"/>
              <w:jc w:val="center"/>
              <w:rPr>
                <w:rFonts w:ascii="Times New Roman" w:hAnsi="Times New Roman"/>
                <w:color w:val="auto"/>
                <w:kern w:val="0"/>
                <w:sz w:val="21"/>
                <w:szCs w:val="21"/>
              </w:rPr>
            </w:pPr>
            <w:r>
              <w:rPr>
                <w:rFonts w:ascii="Times New Roman" w:hAnsi="Times New Roman"/>
                <w:color w:val="auto"/>
                <w:kern w:val="0"/>
                <w:sz w:val="21"/>
                <w:szCs w:val="21"/>
              </w:rPr>
              <w:t>敏感</w:t>
            </w:r>
          </w:p>
        </w:tc>
        <w:tc>
          <w:tcPr>
            <w:tcW w:w="5848" w:type="dxa"/>
            <w:vAlign w:val="center"/>
          </w:tcPr>
          <w:p w14:paraId="509E5251">
            <w:pPr>
              <w:spacing w:line="320" w:lineRule="atLeast"/>
              <w:jc w:val="both"/>
              <w:rPr>
                <w:rFonts w:ascii="Times New Roman" w:hAnsi="Times New Roman"/>
                <w:color w:val="auto"/>
                <w:kern w:val="0"/>
                <w:sz w:val="21"/>
                <w:szCs w:val="21"/>
              </w:rPr>
            </w:pPr>
            <w:r>
              <w:rPr>
                <w:rFonts w:ascii="Times New Roman" w:hAnsi="Times New Roman"/>
                <w:color w:val="auto"/>
                <w:kern w:val="0"/>
                <w:sz w:val="21"/>
                <w:szCs w:val="21"/>
              </w:rPr>
              <w:t>集中式饮用水水源</w:t>
            </w:r>
            <w:r>
              <w:rPr>
                <w:rFonts w:hint="eastAsia" w:ascii="Times New Roman" w:hAnsi="Times New Roman"/>
                <w:color w:val="auto"/>
                <w:kern w:val="0"/>
                <w:sz w:val="21"/>
                <w:szCs w:val="21"/>
                <w:lang w:eastAsia="zh-CN"/>
              </w:rPr>
              <w:t>（</w:t>
            </w:r>
            <w:r>
              <w:rPr>
                <w:rFonts w:ascii="Times New Roman" w:hAnsi="Times New Roman"/>
                <w:color w:val="auto"/>
                <w:kern w:val="0"/>
                <w:sz w:val="21"/>
                <w:szCs w:val="21"/>
              </w:rPr>
              <w:t>包括已建成的在用、备用、应急水源，在建和规划的饮用水水源准保护区</w:t>
            </w:r>
            <w:r>
              <w:rPr>
                <w:rFonts w:hint="eastAsia" w:ascii="Times New Roman" w:hAnsi="Times New Roman"/>
                <w:color w:val="auto"/>
                <w:kern w:val="0"/>
                <w:sz w:val="21"/>
                <w:szCs w:val="21"/>
                <w:lang w:eastAsia="zh-CN"/>
              </w:rPr>
              <w:t>）</w:t>
            </w:r>
            <w:r>
              <w:rPr>
                <w:rFonts w:ascii="Times New Roman" w:hAnsi="Times New Roman"/>
                <w:color w:val="auto"/>
                <w:kern w:val="0"/>
                <w:sz w:val="21"/>
                <w:szCs w:val="21"/>
              </w:rPr>
              <w:t>；除集中式饮用水水源以外的国家或地方政府设定的与地下水环境相关的其他保护区，如热水、矿泉水、温水等特殊地下水资源保护区。</w:t>
            </w:r>
          </w:p>
        </w:tc>
        <w:tc>
          <w:tcPr>
            <w:tcW w:w="2148" w:type="dxa"/>
            <w:vMerge w:val="restart"/>
            <w:vAlign w:val="center"/>
          </w:tcPr>
          <w:p w14:paraId="666EFBFB">
            <w:pPr>
              <w:keepNext w:val="0"/>
              <w:keepLines w:val="0"/>
              <w:pageBreakBefore w:val="0"/>
              <w:widowControl/>
              <w:kinsoku/>
              <w:wordWrap/>
              <w:overflowPunct/>
              <w:topLinePunct w:val="0"/>
              <w:autoSpaceDE w:val="0"/>
              <w:autoSpaceDN w:val="0"/>
              <w:bidi w:val="0"/>
              <w:adjustRightInd w:val="0"/>
              <w:snapToGrid w:val="0"/>
              <w:spacing w:line="320" w:lineRule="atLeast"/>
              <w:jc w:val="both"/>
              <w:textAlignment w:val="baseline"/>
              <w:rPr>
                <w:rFonts w:hint="eastAsia" w:ascii="Times New Roman" w:hAnsi="Times New Roman" w:eastAsia="宋体"/>
                <w:color w:val="auto"/>
                <w:kern w:val="0"/>
                <w:sz w:val="21"/>
                <w:szCs w:val="21"/>
                <w:lang w:eastAsia="zh-CN"/>
              </w:rPr>
            </w:pPr>
            <w:r>
              <w:rPr>
                <w:rFonts w:hint="default" w:ascii="Times New Roman" w:hAnsi="Times New Roman" w:eastAsia="宋体" w:cs="Times New Roman"/>
                <w:color w:val="auto"/>
                <w:sz w:val="21"/>
                <w:szCs w:val="21"/>
              </w:rPr>
              <w:t>本项目位于</w:t>
            </w:r>
            <w:r>
              <w:rPr>
                <w:rFonts w:hint="eastAsia"/>
                <w:color w:val="auto"/>
                <w:sz w:val="21"/>
                <w:szCs w:val="21"/>
                <w:lang w:eastAsia="zh-CN"/>
              </w:rPr>
              <w:t>曲靖高新技术产业开发区花山片区</w:t>
            </w:r>
            <w:r>
              <w:rPr>
                <w:rFonts w:hint="eastAsia" w:ascii="宋体" w:hAnsi="宋体" w:cs="宋体"/>
                <w:color w:val="auto"/>
                <w:sz w:val="21"/>
                <w:szCs w:val="21"/>
                <w:lang w:val="en-US" w:eastAsia="zh-CN" w:bidi="ar"/>
              </w:rPr>
              <w:t>范围内</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实地走访调查发现项目区周边居民区</w:t>
            </w:r>
            <w:r>
              <w:rPr>
                <w:rFonts w:hint="default" w:ascii="Times New Roman" w:hAnsi="Times New Roman" w:eastAsia="宋体" w:cs="Times New Roman"/>
                <w:color w:val="auto"/>
                <w:sz w:val="21"/>
                <w:szCs w:val="21"/>
                <w:highlight w:val="none"/>
                <w:lang w:val="en-US" w:eastAsia="zh-CN"/>
              </w:rPr>
              <w:t>多年前已实现集中供水</w:t>
            </w:r>
            <w:r>
              <w:rPr>
                <w:rFonts w:hint="default" w:ascii="Times New Roman" w:hAnsi="Times New Roman" w:eastAsia="宋体" w:cs="Times New Roman"/>
                <w:color w:val="auto"/>
                <w:sz w:val="21"/>
                <w:szCs w:val="21"/>
                <w:lang w:val="en-US" w:eastAsia="zh-CN"/>
              </w:rPr>
              <w:t>，不存在集中或分散式饮用水源分布，不存在特殊地下水资源保护区分布，</w:t>
            </w:r>
            <w:r>
              <w:rPr>
                <w:rFonts w:hint="default" w:ascii="Times New Roman" w:hAnsi="Times New Roman" w:eastAsia="宋体" w:cs="Times New Roman"/>
                <w:color w:val="auto"/>
                <w:sz w:val="21"/>
                <w:szCs w:val="21"/>
              </w:rPr>
              <w:t>属于不敏感地区</w:t>
            </w:r>
            <w:r>
              <w:rPr>
                <w:rFonts w:hint="eastAsia" w:ascii="Times New Roman" w:hAnsi="Times New Roman" w:eastAsia="宋体" w:cs="Times New Roman"/>
                <w:color w:val="auto"/>
                <w:sz w:val="21"/>
                <w:szCs w:val="21"/>
                <w:lang w:eastAsia="zh-CN"/>
              </w:rPr>
              <w:t>。</w:t>
            </w:r>
          </w:p>
        </w:tc>
      </w:tr>
      <w:tr w14:paraId="1E81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742" w:type="dxa"/>
            <w:vAlign w:val="center"/>
          </w:tcPr>
          <w:p w14:paraId="0328EA39">
            <w:pPr>
              <w:spacing w:line="320" w:lineRule="atLeast"/>
              <w:jc w:val="center"/>
              <w:rPr>
                <w:rFonts w:ascii="Times New Roman" w:hAnsi="Times New Roman"/>
                <w:color w:val="auto"/>
                <w:kern w:val="0"/>
                <w:sz w:val="21"/>
                <w:szCs w:val="21"/>
              </w:rPr>
            </w:pPr>
            <w:r>
              <w:rPr>
                <w:rFonts w:ascii="Times New Roman" w:hAnsi="Times New Roman"/>
                <w:color w:val="auto"/>
                <w:kern w:val="0"/>
                <w:sz w:val="21"/>
                <w:szCs w:val="21"/>
              </w:rPr>
              <w:t>较敏感</w:t>
            </w:r>
          </w:p>
        </w:tc>
        <w:tc>
          <w:tcPr>
            <w:tcW w:w="5848" w:type="dxa"/>
            <w:vAlign w:val="center"/>
          </w:tcPr>
          <w:p w14:paraId="0777B614">
            <w:pPr>
              <w:spacing w:line="320" w:lineRule="atLeast"/>
              <w:jc w:val="both"/>
              <w:rPr>
                <w:rFonts w:ascii="Times New Roman" w:hAnsi="Times New Roman"/>
                <w:color w:val="auto"/>
                <w:kern w:val="0"/>
                <w:sz w:val="21"/>
                <w:szCs w:val="21"/>
              </w:rPr>
            </w:pPr>
            <w:r>
              <w:rPr>
                <w:rFonts w:ascii="Times New Roman" w:hAnsi="Times New Roman"/>
                <w:color w:val="auto"/>
                <w:kern w:val="0"/>
                <w:sz w:val="21"/>
                <w:szCs w:val="21"/>
              </w:rPr>
              <w:t>集中式饮用水水源</w:t>
            </w:r>
            <w:r>
              <w:rPr>
                <w:rFonts w:hint="eastAsia" w:ascii="Times New Roman" w:hAnsi="Times New Roman"/>
                <w:color w:val="auto"/>
                <w:kern w:val="0"/>
                <w:sz w:val="21"/>
                <w:szCs w:val="21"/>
                <w:lang w:eastAsia="zh-CN"/>
              </w:rPr>
              <w:t>（</w:t>
            </w:r>
            <w:r>
              <w:rPr>
                <w:rFonts w:ascii="Times New Roman" w:hAnsi="Times New Roman"/>
                <w:color w:val="auto"/>
                <w:kern w:val="0"/>
                <w:sz w:val="21"/>
                <w:szCs w:val="21"/>
              </w:rPr>
              <w:t>包括已建成的在用、备用、应急水源，在建和规划的饮用水水源</w:t>
            </w:r>
            <w:r>
              <w:rPr>
                <w:rFonts w:hint="eastAsia" w:ascii="Times New Roman" w:hAnsi="Times New Roman"/>
                <w:color w:val="auto"/>
                <w:kern w:val="0"/>
                <w:sz w:val="21"/>
                <w:szCs w:val="21"/>
                <w:lang w:eastAsia="zh-CN"/>
              </w:rPr>
              <w:t>）</w:t>
            </w:r>
            <w:r>
              <w:rPr>
                <w:rFonts w:ascii="Times New Roman" w:hAnsi="Times New Roman"/>
                <w:color w:val="auto"/>
                <w:kern w:val="0"/>
                <w:sz w:val="21"/>
                <w:szCs w:val="21"/>
              </w:rPr>
              <w:t>准保护区以外的补给径流区；未规划准保护区的集中式饮用水水源，其保护区以外的补给径流区；分散式饮用水水源地；特殊地下水资源</w:t>
            </w:r>
            <w:r>
              <w:rPr>
                <w:rFonts w:hint="eastAsia" w:ascii="Times New Roman" w:hAnsi="Times New Roman"/>
                <w:color w:val="auto"/>
                <w:kern w:val="0"/>
                <w:sz w:val="21"/>
                <w:szCs w:val="21"/>
                <w:lang w:eastAsia="zh-CN"/>
              </w:rPr>
              <w:t>（</w:t>
            </w:r>
            <w:r>
              <w:rPr>
                <w:rFonts w:ascii="Times New Roman" w:hAnsi="Times New Roman"/>
                <w:color w:val="auto"/>
                <w:kern w:val="0"/>
                <w:sz w:val="21"/>
                <w:szCs w:val="21"/>
              </w:rPr>
              <w:t>如矿泉水、温泉等</w:t>
            </w:r>
            <w:r>
              <w:rPr>
                <w:rFonts w:hint="eastAsia" w:ascii="Times New Roman" w:hAnsi="Times New Roman"/>
                <w:color w:val="auto"/>
                <w:kern w:val="0"/>
                <w:sz w:val="21"/>
                <w:szCs w:val="21"/>
                <w:lang w:eastAsia="zh-CN"/>
              </w:rPr>
              <w:t>）</w:t>
            </w:r>
            <w:r>
              <w:rPr>
                <w:rFonts w:ascii="Times New Roman" w:hAnsi="Times New Roman"/>
                <w:color w:val="auto"/>
                <w:kern w:val="0"/>
                <w:sz w:val="21"/>
                <w:szCs w:val="21"/>
              </w:rPr>
              <w:t>保护区以外的分布区等</w:t>
            </w:r>
            <w:r>
              <w:rPr>
                <w:rFonts w:hint="eastAsia" w:ascii="Times New Roman" w:hAnsi="Times New Roman"/>
                <w:color w:val="auto"/>
                <w:kern w:val="0"/>
                <w:sz w:val="21"/>
                <w:szCs w:val="21"/>
                <w:lang w:eastAsia="zh-CN"/>
              </w:rPr>
              <w:t>其他未</w:t>
            </w:r>
            <w:r>
              <w:rPr>
                <w:rFonts w:ascii="Times New Roman" w:hAnsi="Times New Roman"/>
                <w:color w:val="auto"/>
                <w:kern w:val="0"/>
                <w:sz w:val="21"/>
                <w:szCs w:val="21"/>
              </w:rPr>
              <w:t>列入上述敏感分级的环境敏感区</w:t>
            </w:r>
            <w:r>
              <w:rPr>
                <w:rFonts w:ascii="Times New Roman" w:hAnsi="Times New Roman"/>
                <w:color w:val="auto"/>
                <w:kern w:val="0"/>
                <w:sz w:val="21"/>
                <w:szCs w:val="21"/>
                <w:vertAlign w:val="superscript"/>
              </w:rPr>
              <w:t>a</w:t>
            </w:r>
            <w:r>
              <w:rPr>
                <w:rFonts w:ascii="Times New Roman" w:hAnsi="Times New Roman"/>
                <w:color w:val="auto"/>
                <w:kern w:val="0"/>
                <w:sz w:val="21"/>
                <w:szCs w:val="21"/>
              </w:rPr>
              <w:t>。</w:t>
            </w:r>
          </w:p>
        </w:tc>
        <w:tc>
          <w:tcPr>
            <w:tcW w:w="2148" w:type="dxa"/>
            <w:vMerge w:val="continue"/>
            <w:vAlign w:val="center"/>
          </w:tcPr>
          <w:p w14:paraId="43343C7E">
            <w:pPr>
              <w:spacing w:line="320" w:lineRule="atLeast"/>
              <w:jc w:val="center"/>
              <w:rPr>
                <w:rFonts w:ascii="Times New Roman" w:hAnsi="Times New Roman"/>
                <w:color w:val="auto"/>
                <w:kern w:val="0"/>
                <w:sz w:val="21"/>
                <w:szCs w:val="21"/>
              </w:rPr>
            </w:pPr>
          </w:p>
        </w:tc>
      </w:tr>
      <w:tr w14:paraId="161E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742" w:type="dxa"/>
            <w:vAlign w:val="center"/>
          </w:tcPr>
          <w:p w14:paraId="659C77EB">
            <w:pPr>
              <w:spacing w:line="320" w:lineRule="atLeast"/>
              <w:jc w:val="center"/>
              <w:rPr>
                <w:rFonts w:ascii="Times New Roman" w:hAnsi="Times New Roman"/>
                <w:color w:val="auto"/>
                <w:kern w:val="0"/>
                <w:sz w:val="21"/>
                <w:szCs w:val="21"/>
              </w:rPr>
            </w:pPr>
            <w:r>
              <w:rPr>
                <w:rFonts w:ascii="Times New Roman" w:hAnsi="Times New Roman"/>
                <w:color w:val="auto"/>
                <w:kern w:val="0"/>
                <w:sz w:val="21"/>
                <w:szCs w:val="21"/>
              </w:rPr>
              <w:t>不敏感</w:t>
            </w:r>
          </w:p>
        </w:tc>
        <w:tc>
          <w:tcPr>
            <w:tcW w:w="5848" w:type="dxa"/>
            <w:vAlign w:val="center"/>
          </w:tcPr>
          <w:p w14:paraId="0BAFFC35">
            <w:pPr>
              <w:spacing w:line="320" w:lineRule="atLeast"/>
              <w:jc w:val="center"/>
              <w:rPr>
                <w:rFonts w:ascii="Times New Roman" w:hAnsi="Times New Roman"/>
                <w:color w:val="auto"/>
                <w:kern w:val="0"/>
                <w:sz w:val="21"/>
                <w:szCs w:val="21"/>
              </w:rPr>
            </w:pPr>
            <w:r>
              <w:rPr>
                <w:rFonts w:ascii="Times New Roman" w:hAnsi="Times New Roman"/>
                <w:color w:val="auto"/>
                <w:kern w:val="0"/>
                <w:sz w:val="21"/>
                <w:szCs w:val="21"/>
              </w:rPr>
              <w:t>上述地区之外的其他地区</w:t>
            </w:r>
          </w:p>
        </w:tc>
        <w:tc>
          <w:tcPr>
            <w:tcW w:w="2148" w:type="dxa"/>
            <w:vMerge w:val="continue"/>
            <w:vAlign w:val="center"/>
          </w:tcPr>
          <w:p w14:paraId="731DFCCA">
            <w:pPr>
              <w:spacing w:line="320" w:lineRule="atLeast"/>
              <w:jc w:val="center"/>
              <w:rPr>
                <w:rFonts w:ascii="Times New Roman" w:hAnsi="Times New Roman"/>
                <w:color w:val="auto"/>
                <w:kern w:val="0"/>
                <w:sz w:val="21"/>
                <w:szCs w:val="21"/>
              </w:rPr>
            </w:pPr>
          </w:p>
        </w:tc>
      </w:tr>
      <w:tr w14:paraId="2FF5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738" w:type="dxa"/>
            <w:gridSpan w:val="3"/>
            <w:vAlign w:val="center"/>
          </w:tcPr>
          <w:p w14:paraId="2C65672F">
            <w:pPr>
              <w:spacing w:line="320" w:lineRule="atLeast"/>
              <w:jc w:val="center"/>
              <w:rPr>
                <w:rFonts w:ascii="Times New Roman" w:hAnsi="Times New Roman"/>
                <w:color w:val="auto"/>
                <w:kern w:val="0"/>
                <w:sz w:val="21"/>
                <w:szCs w:val="21"/>
              </w:rPr>
            </w:pPr>
            <w:r>
              <w:rPr>
                <w:rFonts w:ascii="Times New Roman" w:hAnsi="Times New Roman"/>
                <w:color w:val="auto"/>
                <w:kern w:val="0"/>
                <w:sz w:val="21"/>
                <w:szCs w:val="21"/>
              </w:rPr>
              <w:t>注：a</w:t>
            </w:r>
            <w:r>
              <w:rPr>
                <w:rFonts w:hint="eastAsia" w:ascii="Times New Roman" w:hAnsi="Times New Roman" w:eastAsia="宋体"/>
                <w:color w:val="auto"/>
                <w:kern w:val="0"/>
                <w:sz w:val="21"/>
                <w:szCs w:val="21"/>
                <w:lang w:eastAsia="zh-CN"/>
              </w:rPr>
              <w:t>“</w:t>
            </w:r>
            <w:r>
              <w:rPr>
                <w:rFonts w:ascii="Times New Roman" w:hAnsi="Times New Roman"/>
                <w:color w:val="auto"/>
                <w:kern w:val="0"/>
                <w:sz w:val="21"/>
                <w:szCs w:val="21"/>
              </w:rPr>
              <w:t>环境敏感区”是指《建设项目环境影响评价分类管理名录》中所界定的涉及地下水的环境敏感区。</w:t>
            </w:r>
          </w:p>
        </w:tc>
      </w:tr>
    </w:tbl>
    <w:p w14:paraId="7A14F7E0">
      <w:pPr>
        <w:pStyle w:val="34"/>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firstLine="480" w:firstLineChars="200"/>
        <w:jc w:val="both"/>
        <w:textAlignment w:val="auto"/>
        <w:rPr>
          <w:rFonts w:ascii="Times New Roman" w:hAnsi="Times New Roman" w:eastAsia="宋体" w:cs="Times New Roman"/>
          <w:b w:val="0"/>
          <w:color w:val="auto"/>
          <w:kern w:val="0"/>
          <w:sz w:val="24"/>
          <w:szCs w:val="24"/>
          <w:shd w:val="clear" w:color="auto" w:fill="FFFFFF"/>
          <w:lang w:val="en-US" w:eastAsia="zh-CN" w:bidi="ar-SA"/>
        </w:rPr>
      </w:pPr>
      <w:r>
        <w:rPr>
          <w:rFonts w:hint="default" w:ascii="Times New Roman" w:hAnsi="Times New Roman" w:eastAsia="宋体" w:cs="Times New Roman"/>
          <w:b w:val="0"/>
          <w:color w:val="auto"/>
          <w:kern w:val="0"/>
          <w:sz w:val="24"/>
          <w:szCs w:val="24"/>
          <w:shd w:val="clear" w:color="auto" w:fill="FFFFFF"/>
          <w:lang w:val="en-US" w:eastAsia="zh-CN" w:bidi="ar-SA"/>
        </w:rPr>
        <w:t>建设项目地下水环境影响评价工作等级划分见表1</w:t>
      </w:r>
      <w:r>
        <w:rPr>
          <w:rFonts w:hint="eastAsia" w:eastAsia="宋体" w:cs="Times New Roman"/>
          <w:b w:val="0"/>
          <w:color w:val="auto"/>
          <w:kern w:val="0"/>
          <w:sz w:val="24"/>
          <w:szCs w:val="24"/>
          <w:shd w:val="clear" w:color="auto" w:fill="FFFFFF"/>
          <w:lang w:val="en-US" w:eastAsia="zh-CN" w:bidi="ar-SA"/>
        </w:rPr>
        <w:t>.5-3</w:t>
      </w:r>
      <w:r>
        <w:rPr>
          <w:rFonts w:hint="default" w:ascii="Times New Roman" w:hAnsi="Times New Roman" w:eastAsia="宋体" w:cs="Times New Roman"/>
          <w:b w:val="0"/>
          <w:color w:val="auto"/>
          <w:kern w:val="0"/>
          <w:sz w:val="24"/>
          <w:szCs w:val="24"/>
          <w:shd w:val="clear" w:color="auto" w:fill="FFFFFF"/>
          <w:lang w:val="en-US" w:eastAsia="zh-CN" w:bidi="ar-SA"/>
        </w:rPr>
        <w:t>。</w:t>
      </w:r>
    </w:p>
    <w:p w14:paraId="2D6456A1">
      <w:pPr>
        <w:pStyle w:val="36"/>
        <w:keepNext w:val="0"/>
        <w:keepLines w:val="0"/>
        <w:pageBreakBefore w:val="0"/>
        <w:widowControl w:val="0"/>
        <w:numPr>
          <w:ilvl w:val="1"/>
          <w:numId w:val="10"/>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项目地下水评价工作等级判定表</w:t>
      </w:r>
    </w:p>
    <w:tbl>
      <w:tblPr>
        <w:tblStyle w:val="22"/>
        <w:tblW w:w="8578" w:type="dxa"/>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8" w:type="dxa"/>
          <w:bottom w:w="0" w:type="dxa"/>
          <w:right w:w="108" w:type="dxa"/>
        </w:tblCellMar>
      </w:tblPr>
      <w:tblGrid>
        <w:gridCol w:w="3075"/>
        <w:gridCol w:w="2143"/>
        <w:gridCol w:w="1733"/>
        <w:gridCol w:w="1627"/>
      </w:tblGrid>
      <w:tr w14:paraId="4BFD08E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29" w:hRule="atLeast"/>
          <w:jc w:val="center"/>
        </w:trPr>
        <w:tc>
          <w:tcPr>
            <w:tcW w:w="3075" w:type="dxa"/>
            <w:vAlign w:val="center"/>
          </w:tcPr>
          <w:p w14:paraId="77C91B9D">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环境敏感程度项目类别</w:t>
            </w:r>
          </w:p>
        </w:tc>
        <w:tc>
          <w:tcPr>
            <w:tcW w:w="2143" w:type="dxa"/>
            <w:vAlign w:val="center"/>
          </w:tcPr>
          <w:p w14:paraId="69701E5F">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Ⅰ类项目</w:t>
            </w:r>
          </w:p>
        </w:tc>
        <w:tc>
          <w:tcPr>
            <w:tcW w:w="1733" w:type="dxa"/>
            <w:vAlign w:val="center"/>
          </w:tcPr>
          <w:p w14:paraId="476ECD73">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Ⅱ类项目</w:t>
            </w:r>
          </w:p>
        </w:tc>
        <w:tc>
          <w:tcPr>
            <w:tcW w:w="1627" w:type="dxa"/>
            <w:vAlign w:val="center"/>
          </w:tcPr>
          <w:p w14:paraId="611CF8C8">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Ⅲ类项目</w:t>
            </w:r>
          </w:p>
        </w:tc>
      </w:tr>
      <w:tr w14:paraId="4D3CC54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3075" w:type="dxa"/>
            <w:vAlign w:val="center"/>
          </w:tcPr>
          <w:p w14:paraId="1BC56751">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敏感</w:t>
            </w:r>
          </w:p>
        </w:tc>
        <w:tc>
          <w:tcPr>
            <w:tcW w:w="2143" w:type="dxa"/>
            <w:vAlign w:val="center"/>
          </w:tcPr>
          <w:p w14:paraId="41F6B94A">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一</w:t>
            </w:r>
          </w:p>
        </w:tc>
        <w:tc>
          <w:tcPr>
            <w:tcW w:w="1733" w:type="dxa"/>
            <w:vAlign w:val="center"/>
          </w:tcPr>
          <w:p w14:paraId="4209BA8A">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一</w:t>
            </w:r>
          </w:p>
        </w:tc>
        <w:tc>
          <w:tcPr>
            <w:tcW w:w="1627" w:type="dxa"/>
            <w:vAlign w:val="center"/>
          </w:tcPr>
          <w:p w14:paraId="1E7B5188">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二</w:t>
            </w:r>
          </w:p>
        </w:tc>
      </w:tr>
      <w:tr w14:paraId="1A5DA9E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3075" w:type="dxa"/>
            <w:vAlign w:val="center"/>
          </w:tcPr>
          <w:p w14:paraId="3C1C98A6">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较敏感</w:t>
            </w:r>
          </w:p>
        </w:tc>
        <w:tc>
          <w:tcPr>
            <w:tcW w:w="2143" w:type="dxa"/>
            <w:vAlign w:val="center"/>
          </w:tcPr>
          <w:p w14:paraId="202752BF">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一</w:t>
            </w:r>
          </w:p>
        </w:tc>
        <w:tc>
          <w:tcPr>
            <w:tcW w:w="1733" w:type="dxa"/>
            <w:vAlign w:val="center"/>
          </w:tcPr>
          <w:p w14:paraId="6ECA28D4">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二</w:t>
            </w:r>
          </w:p>
        </w:tc>
        <w:tc>
          <w:tcPr>
            <w:tcW w:w="1627" w:type="dxa"/>
            <w:vAlign w:val="center"/>
          </w:tcPr>
          <w:p w14:paraId="2B96AF2D">
            <w:pPr>
              <w:pStyle w:val="34"/>
              <w:adjustRightInd w:val="0"/>
              <w:snapToGrid w:val="0"/>
              <w:spacing w:before="0" w:beforeLines="0" w:after="0" w:afterLines="0"/>
              <w:rPr>
                <w:rFonts w:eastAsia="宋体" w:cs="Times New Roman"/>
                <w:b w:val="0"/>
                <w:bCs/>
                <w:color w:val="auto"/>
                <w:kern w:val="0"/>
              </w:rPr>
            </w:pPr>
            <w:r>
              <w:rPr>
                <w:rFonts w:eastAsia="宋体" w:cs="Times New Roman"/>
                <w:color w:val="auto"/>
                <w:kern w:val="0"/>
              </w:rPr>
              <w:t>三</w:t>
            </w:r>
          </w:p>
        </w:tc>
      </w:tr>
      <w:tr w14:paraId="4BA5ADB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294" w:hRule="atLeast"/>
          <w:jc w:val="center"/>
        </w:trPr>
        <w:tc>
          <w:tcPr>
            <w:tcW w:w="3075" w:type="dxa"/>
            <w:vAlign w:val="center"/>
          </w:tcPr>
          <w:p w14:paraId="6FE60F19">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不敏感</w:t>
            </w:r>
          </w:p>
        </w:tc>
        <w:tc>
          <w:tcPr>
            <w:tcW w:w="2143" w:type="dxa"/>
            <w:vAlign w:val="center"/>
          </w:tcPr>
          <w:p w14:paraId="5A066B40">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二</w:t>
            </w:r>
          </w:p>
        </w:tc>
        <w:tc>
          <w:tcPr>
            <w:tcW w:w="1733" w:type="dxa"/>
            <w:vAlign w:val="center"/>
          </w:tcPr>
          <w:p w14:paraId="2381376E">
            <w:pPr>
              <w:pStyle w:val="34"/>
              <w:adjustRightInd w:val="0"/>
              <w:snapToGrid w:val="0"/>
              <w:spacing w:before="0" w:beforeLines="0" w:after="0" w:afterLines="0"/>
              <w:rPr>
                <w:rFonts w:eastAsia="宋体" w:cs="Times New Roman"/>
                <w:b w:val="0"/>
                <w:bCs/>
                <w:color w:val="auto"/>
                <w:kern w:val="0"/>
              </w:rPr>
            </w:pPr>
            <w:r>
              <w:rPr>
                <w:rFonts w:eastAsia="宋体" w:cs="Times New Roman"/>
                <w:b w:val="0"/>
                <w:bCs/>
                <w:color w:val="auto"/>
                <w:kern w:val="0"/>
              </w:rPr>
              <w:t>三</w:t>
            </w:r>
          </w:p>
        </w:tc>
        <w:tc>
          <w:tcPr>
            <w:tcW w:w="1627" w:type="dxa"/>
            <w:vAlign w:val="center"/>
          </w:tcPr>
          <w:p w14:paraId="6C1BB40D">
            <w:pPr>
              <w:pStyle w:val="34"/>
              <w:adjustRightInd w:val="0"/>
              <w:snapToGrid w:val="0"/>
              <w:spacing w:before="0" w:beforeLines="0" w:after="0" w:afterLines="0"/>
              <w:rPr>
                <w:rFonts w:eastAsia="宋体" w:cs="Times New Roman"/>
                <w:b w:val="0"/>
                <w:bCs/>
                <w:color w:val="auto"/>
                <w:kern w:val="0"/>
              </w:rPr>
            </w:pPr>
            <w:r>
              <w:rPr>
                <w:rFonts w:eastAsia="宋体" w:cs="Times New Roman"/>
                <w:color w:val="auto"/>
                <w:kern w:val="0"/>
              </w:rPr>
              <w:t>三</w:t>
            </w:r>
          </w:p>
        </w:tc>
      </w:tr>
    </w:tbl>
    <w:p w14:paraId="4C52C75C">
      <w:pPr>
        <w:pStyle w:val="1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cs="Times New Roman"/>
          <w:b/>
          <w:bCs/>
          <w:color w:val="auto"/>
          <w:shd w:val="clear" w:color="auto" w:fill="FFFFFF"/>
          <w:lang w:eastAsia="zh-CN"/>
        </w:rPr>
      </w:pPr>
      <w:r>
        <w:rPr>
          <w:rFonts w:hint="default" w:ascii="Times New Roman" w:hAnsi="Times New Roman" w:cs="Times New Roman"/>
          <w:color w:val="auto"/>
          <w:sz w:val="24"/>
          <w:szCs w:val="24"/>
          <w:lang w:val="en-US" w:eastAsia="zh-CN"/>
        </w:rPr>
        <w:t>本项目周边不存在集中或分散式饮用水源，故</w:t>
      </w:r>
      <w:r>
        <w:rPr>
          <w:rFonts w:hint="default" w:ascii="Times New Roman" w:hAnsi="Times New Roman" w:eastAsia="宋体" w:cs="Times New Roman"/>
          <w:color w:val="auto"/>
          <w:sz w:val="24"/>
          <w:szCs w:val="24"/>
        </w:rPr>
        <w:t>地下水敏感程度为不敏感</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综合</w:t>
      </w:r>
      <w:r>
        <w:rPr>
          <w:rFonts w:hint="default" w:ascii="Times New Roman" w:hAnsi="Times New Roman" w:eastAsia="宋体" w:cs="Times New Roman"/>
          <w:color w:val="auto"/>
          <w:sz w:val="24"/>
          <w:szCs w:val="24"/>
          <w:lang w:val="en-US" w:eastAsia="zh-CN"/>
        </w:rPr>
        <w:t>判定</w:t>
      </w:r>
      <w:r>
        <w:rPr>
          <w:rFonts w:hint="default" w:ascii="Times New Roman" w:hAnsi="Times New Roman" w:cs="Times New Roman"/>
          <w:color w:val="auto"/>
          <w:sz w:val="24"/>
          <w:szCs w:val="24"/>
          <w:lang w:val="en-US" w:eastAsia="zh-CN"/>
        </w:rPr>
        <w:t>本项目</w:t>
      </w:r>
      <w:r>
        <w:rPr>
          <w:rFonts w:hint="default" w:ascii="Times New Roman" w:hAnsi="Times New Roman" w:eastAsia="宋体" w:cs="Times New Roman"/>
          <w:color w:val="auto"/>
          <w:sz w:val="24"/>
          <w:szCs w:val="24"/>
        </w:rPr>
        <w:t>地下水评价等级为</w:t>
      </w:r>
      <w:r>
        <w:rPr>
          <w:rFonts w:hint="default" w:ascii="Times New Roman" w:hAnsi="Times New Roman" w:cs="Times New Roman"/>
          <w:color w:val="auto"/>
          <w:sz w:val="24"/>
          <w:szCs w:val="24"/>
          <w:lang w:eastAsia="zh-CN"/>
        </w:rPr>
        <w:t>三级</w:t>
      </w:r>
      <w:r>
        <w:rPr>
          <w:rFonts w:hint="default" w:ascii="Times New Roman" w:hAnsi="Times New Roman" w:eastAsia="宋体" w:cs="Times New Roman"/>
          <w:color w:val="auto"/>
          <w:sz w:val="24"/>
          <w:szCs w:val="24"/>
        </w:rPr>
        <w:t>。</w:t>
      </w:r>
    </w:p>
    <w:p w14:paraId="4370458F">
      <w:pPr>
        <w:pStyle w:val="9"/>
        <w:keepNext w:val="0"/>
        <w:keepLines w:val="0"/>
        <w:pageBreakBefore w:val="0"/>
        <w:widowControl/>
        <w:wordWrap/>
        <w:overflowPunct/>
        <w:topLinePunct w:val="0"/>
        <w:autoSpaceDE w:val="0"/>
        <w:autoSpaceDN w:val="0"/>
        <w:bidi w:val="0"/>
        <w:adjustRightInd/>
        <w:snapToGrid/>
        <w:spacing w:before="56" w:line="360" w:lineRule="auto"/>
        <w:ind w:left="131"/>
        <w:textAlignment w:val="baseline"/>
        <w:outlineLvl w:val="3"/>
        <w:rPr>
          <w:color w:val="auto"/>
          <w:sz w:val="28"/>
          <w:szCs w:val="28"/>
        </w:rPr>
      </w:pPr>
      <w:r>
        <w:rPr>
          <w:rFonts w:ascii="Times New Roman" w:hAnsi="Times New Roman" w:eastAsia="Times New Roman" w:cs="Times New Roman"/>
          <w:b/>
          <w:bCs/>
          <w:color w:val="auto"/>
          <w:spacing w:val="-3"/>
          <w:sz w:val="28"/>
          <w:szCs w:val="28"/>
        </w:rPr>
        <w:t>1.5.4.</w:t>
      </w:r>
      <w:r>
        <w:rPr>
          <w:b/>
          <w:bCs/>
          <w:color w:val="auto"/>
          <w:spacing w:val="-3"/>
          <w:sz w:val="28"/>
          <w:szCs w:val="28"/>
        </w:rPr>
        <w:t>声</w:t>
      </w:r>
      <w:r>
        <w:rPr>
          <w:rFonts w:hint="eastAsia" w:eastAsia="宋体"/>
          <w:b/>
          <w:bCs/>
          <w:color w:val="auto"/>
          <w:spacing w:val="-3"/>
          <w:sz w:val="28"/>
          <w:szCs w:val="28"/>
          <w:lang w:val="en-US" w:eastAsia="zh-CN"/>
        </w:rPr>
        <w:t>环境</w:t>
      </w:r>
      <w:r>
        <w:rPr>
          <w:b/>
          <w:bCs/>
          <w:color w:val="auto"/>
          <w:spacing w:val="-3"/>
          <w:sz w:val="28"/>
          <w:szCs w:val="28"/>
        </w:rPr>
        <w:t>评价等级</w:t>
      </w:r>
    </w:p>
    <w:p w14:paraId="35136FF2">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snapToGrid w:val="0"/>
          <w:color w:val="auto"/>
          <w:spacing w:val="0"/>
          <w:kern w:val="0"/>
          <w:sz w:val="24"/>
          <w:szCs w:val="24"/>
          <w:lang w:val="en-US" w:eastAsia="en-US" w:bidi="ar-SA"/>
        </w:rPr>
      </w:pPr>
      <w:r>
        <w:rPr>
          <w:rFonts w:hint="default" w:ascii="Times New Roman" w:hAnsi="Times New Roman" w:eastAsia="宋体" w:cs="Times New Roman"/>
          <w:snapToGrid w:val="0"/>
          <w:color w:val="auto"/>
          <w:spacing w:val="0"/>
          <w:kern w:val="0"/>
          <w:sz w:val="24"/>
          <w:szCs w:val="24"/>
          <w:lang w:val="en-US" w:eastAsia="en-US" w:bidi="ar-SA"/>
        </w:rPr>
        <w:t>项目位于</w:t>
      </w:r>
      <w:r>
        <w:rPr>
          <w:rFonts w:hint="eastAsia" w:ascii="Times New Roman" w:hAnsi="Times New Roman" w:eastAsia="宋体" w:cs="Times New Roman"/>
          <w:snapToGrid w:val="0"/>
          <w:color w:val="auto"/>
          <w:spacing w:val="0"/>
          <w:kern w:val="0"/>
          <w:sz w:val="24"/>
          <w:szCs w:val="24"/>
          <w:lang w:val="en-US" w:eastAsia="zh-CN" w:bidi="ar-SA"/>
        </w:rPr>
        <w:t>曲靖高新技术产业开发区花山片区</w:t>
      </w:r>
      <w:r>
        <w:rPr>
          <w:rFonts w:hint="default" w:ascii="Times New Roman" w:hAnsi="Times New Roman" w:eastAsia="宋体" w:cs="Times New Roman"/>
          <w:snapToGrid w:val="0"/>
          <w:color w:val="auto"/>
          <w:spacing w:val="0"/>
          <w:kern w:val="0"/>
          <w:sz w:val="24"/>
          <w:szCs w:val="24"/>
          <w:lang w:val="en-US" w:eastAsia="en-US" w:bidi="ar-SA"/>
        </w:rPr>
        <w:t>，项目所在区域适用《声环境质量标准》（GB3096-2008）3类地区，</w:t>
      </w:r>
      <w:r>
        <w:rPr>
          <w:rFonts w:hint="eastAsia" w:ascii="Times New Roman" w:hAnsi="Times New Roman" w:eastAsia="宋体" w:cs="Times New Roman"/>
          <w:snapToGrid w:val="0"/>
          <w:color w:val="auto"/>
          <w:spacing w:val="0"/>
          <w:kern w:val="0"/>
          <w:sz w:val="24"/>
          <w:szCs w:val="24"/>
          <w:lang w:val="en-US" w:eastAsia="zh-CN" w:bidi="ar-SA"/>
        </w:rPr>
        <w:t>项目声环境评价范围200m内无声环境保护目标，且无人口受到影响。</w:t>
      </w:r>
      <w:r>
        <w:rPr>
          <w:rFonts w:hint="default" w:ascii="Times New Roman" w:hAnsi="Times New Roman" w:eastAsia="宋体" w:cs="Times New Roman"/>
          <w:snapToGrid w:val="0"/>
          <w:color w:val="auto"/>
          <w:spacing w:val="0"/>
          <w:kern w:val="0"/>
          <w:sz w:val="24"/>
          <w:szCs w:val="24"/>
          <w:lang w:val="en-US" w:eastAsia="en-US" w:bidi="ar-SA"/>
        </w:rPr>
        <w:t>根据《环境影响评价技术导则·声环境》（HJ2.4-2021）要求，最终确定本项目的声环境影响评价等级为</w:t>
      </w:r>
      <w:r>
        <w:rPr>
          <w:rFonts w:hint="eastAsia" w:ascii="Times New Roman" w:hAnsi="Times New Roman" w:eastAsia="宋体" w:cs="Times New Roman"/>
          <w:snapToGrid w:val="0"/>
          <w:color w:val="auto"/>
          <w:spacing w:val="0"/>
          <w:kern w:val="0"/>
          <w:sz w:val="24"/>
          <w:szCs w:val="24"/>
          <w:lang w:val="en-US" w:eastAsia="zh-CN" w:bidi="ar-SA"/>
        </w:rPr>
        <w:t>三</w:t>
      </w:r>
      <w:r>
        <w:rPr>
          <w:rFonts w:hint="default" w:ascii="Times New Roman" w:hAnsi="Times New Roman" w:eastAsia="宋体" w:cs="Times New Roman"/>
          <w:snapToGrid w:val="0"/>
          <w:color w:val="auto"/>
          <w:spacing w:val="0"/>
          <w:kern w:val="0"/>
          <w:sz w:val="24"/>
          <w:szCs w:val="24"/>
          <w:lang w:val="en-US" w:eastAsia="en-US" w:bidi="ar-SA"/>
        </w:rPr>
        <w:t>级。声环境影响评价工作等级判定见表1.5</w:t>
      </w:r>
      <w:r>
        <w:rPr>
          <w:rFonts w:hint="eastAsia" w:ascii="Times New Roman" w:hAnsi="Times New Roman" w:eastAsia="宋体" w:cs="Times New Roman"/>
          <w:snapToGrid w:val="0"/>
          <w:color w:val="auto"/>
          <w:spacing w:val="0"/>
          <w:kern w:val="0"/>
          <w:sz w:val="24"/>
          <w:szCs w:val="24"/>
          <w:lang w:val="en-US" w:eastAsia="zh-CN" w:bidi="ar-SA"/>
        </w:rPr>
        <w:t>-4</w:t>
      </w:r>
      <w:r>
        <w:rPr>
          <w:rFonts w:hint="default" w:ascii="Times New Roman" w:hAnsi="Times New Roman" w:eastAsia="宋体" w:cs="Times New Roman"/>
          <w:snapToGrid w:val="0"/>
          <w:color w:val="auto"/>
          <w:spacing w:val="0"/>
          <w:kern w:val="0"/>
          <w:sz w:val="24"/>
          <w:szCs w:val="24"/>
          <w:lang w:val="en-US" w:eastAsia="en-US" w:bidi="ar-SA"/>
        </w:rPr>
        <w:t>。</w:t>
      </w:r>
    </w:p>
    <w:p w14:paraId="04308D96">
      <w:pPr>
        <w:rPr>
          <w:rFonts w:hint="default" w:ascii="Times New Roman" w:hAnsi="Times New Roman" w:eastAsia="宋体" w:cs="Times New Roman"/>
          <w:snapToGrid w:val="0"/>
          <w:color w:val="auto"/>
          <w:spacing w:val="0"/>
          <w:kern w:val="0"/>
          <w:sz w:val="24"/>
          <w:szCs w:val="24"/>
          <w:lang w:val="en-US" w:eastAsia="en-US" w:bidi="ar-SA"/>
        </w:rPr>
      </w:pPr>
    </w:p>
    <w:p w14:paraId="7C34D056">
      <w:pPr>
        <w:rPr>
          <w:rFonts w:hint="default" w:ascii="Times New Roman" w:hAnsi="Times New Roman" w:eastAsia="宋体" w:cs="Times New Roman"/>
          <w:snapToGrid w:val="0"/>
          <w:color w:val="auto"/>
          <w:spacing w:val="0"/>
          <w:kern w:val="0"/>
          <w:sz w:val="24"/>
          <w:szCs w:val="24"/>
          <w:lang w:val="en-US" w:eastAsia="en-US" w:bidi="ar-SA"/>
        </w:rPr>
      </w:pPr>
    </w:p>
    <w:p w14:paraId="0DC6E6E0">
      <w:pPr>
        <w:rPr>
          <w:rFonts w:hint="default" w:ascii="Times New Roman" w:hAnsi="Times New Roman" w:eastAsia="宋体" w:cs="Times New Roman"/>
          <w:snapToGrid w:val="0"/>
          <w:color w:val="auto"/>
          <w:spacing w:val="0"/>
          <w:kern w:val="0"/>
          <w:sz w:val="24"/>
          <w:szCs w:val="24"/>
          <w:lang w:val="en-US" w:eastAsia="en-US" w:bidi="ar-SA"/>
        </w:rPr>
      </w:pPr>
    </w:p>
    <w:p w14:paraId="47382BD6">
      <w:pPr>
        <w:rPr>
          <w:rFonts w:hint="default" w:ascii="Times New Roman" w:hAnsi="Times New Roman" w:eastAsia="宋体" w:cs="Times New Roman"/>
          <w:snapToGrid w:val="0"/>
          <w:color w:val="auto"/>
          <w:spacing w:val="0"/>
          <w:kern w:val="0"/>
          <w:sz w:val="24"/>
          <w:szCs w:val="24"/>
          <w:lang w:val="en-US" w:eastAsia="en-US" w:bidi="ar-SA"/>
        </w:rPr>
      </w:pPr>
    </w:p>
    <w:p w14:paraId="197BF72D">
      <w:pPr>
        <w:rPr>
          <w:rFonts w:hint="default" w:ascii="Times New Roman" w:hAnsi="Times New Roman" w:eastAsia="宋体" w:cs="Times New Roman"/>
          <w:snapToGrid w:val="0"/>
          <w:color w:val="auto"/>
          <w:spacing w:val="0"/>
          <w:kern w:val="0"/>
          <w:sz w:val="24"/>
          <w:szCs w:val="24"/>
          <w:lang w:val="en-US" w:eastAsia="en-US" w:bidi="ar-SA"/>
        </w:rPr>
      </w:pPr>
    </w:p>
    <w:p w14:paraId="03F31E2C">
      <w:pPr>
        <w:rPr>
          <w:rFonts w:hint="default" w:ascii="Times New Roman" w:hAnsi="Times New Roman" w:eastAsia="宋体" w:cs="Times New Roman"/>
          <w:snapToGrid w:val="0"/>
          <w:color w:val="auto"/>
          <w:spacing w:val="0"/>
          <w:kern w:val="0"/>
          <w:sz w:val="24"/>
          <w:szCs w:val="24"/>
          <w:lang w:val="en-US" w:eastAsia="en-US" w:bidi="ar-SA"/>
        </w:rPr>
      </w:pPr>
    </w:p>
    <w:p w14:paraId="491AB8E4">
      <w:pPr>
        <w:pStyle w:val="36"/>
        <w:keepNext w:val="0"/>
        <w:keepLines w:val="0"/>
        <w:pageBreakBefore w:val="0"/>
        <w:widowControl w:val="0"/>
        <w:numPr>
          <w:ilvl w:val="1"/>
          <w:numId w:val="10"/>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项目声环境评价工作等级划分判据</w:t>
      </w:r>
    </w:p>
    <w:tbl>
      <w:tblPr>
        <w:tblStyle w:val="26"/>
        <w:tblW w:w="8378"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8"/>
        <w:gridCol w:w="4850"/>
        <w:gridCol w:w="2750"/>
      </w:tblGrid>
      <w:tr w14:paraId="38E2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trPr>
        <w:tc>
          <w:tcPr>
            <w:tcW w:w="778" w:type="dxa"/>
            <w:vAlign w:val="center"/>
          </w:tcPr>
          <w:p w14:paraId="74E26C22">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2"/>
                <w:sz w:val="20"/>
                <w:szCs w:val="20"/>
              </w:rPr>
              <w:t>分级</w:t>
            </w:r>
          </w:p>
        </w:tc>
        <w:tc>
          <w:tcPr>
            <w:tcW w:w="4850" w:type="dxa"/>
            <w:vAlign w:val="center"/>
          </w:tcPr>
          <w:p w14:paraId="67E3588B">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5"/>
                <w:sz w:val="20"/>
                <w:szCs w:val="20"/>
              </w:rPr>
              <w:t>分级规定</w:t>
            </w:r>
          </w:p>
        </w:tc>
        <w:tc>
          <w:tcPr>
            <w:tcW w:w="2750" w:type="dxa"/>
            <w:vAlign w:val="center"/>
          </w:tcPr>
          <w:p w14:paraId="5BDC9A9F">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b/>
                <w:bCs/>
                <w:color w:val="auto"/>
                <w:spacing w:val="6"/>
                <w:sz w:val="20"/>
                <w:szCs w:val="20"/>
              </w:rPr>
              <w:t>本项目情况</w:t>
            </w:r>
          </w:p>
        </w:tc>
      </w:tr>
      <w:tr w14:paraId="718A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1" w:hRule="atLeast"/>
        </w:trPr>
        <w:tc>
          <w:tcPr>
            <w:tcW w:w="778" w:type="dxa"/>
            <w:vAlign w:val="center"/>
          </w:tcPr>
          <w:p w14:paraId="5F669FCB">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3"/>
                <w:sz w:val="20"/>
                <w:szCs w:val="20"/>
              </w:rPr>
              <w:t>一级</w:t>
            </w:r>
          </w:p>
        </w:tc>
        <w:tc>
          <w:tcPr>
            <w:tcW w:w="4850" w:type="dxa"/>
            <w:vAlign w:val="center"/>
          </w:tcPr>
          <w:p w14:paraId="347F6721">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10"/>
                <w:sz w:val="20"/>
                <w:szCs w:val="20"/>
              </w:rPr>
              <w:t>评价范围内有适用于</w:t>
            </w:r>
            <w:r>
              <w:rPr>
                <w:rFonts w:ascii="Times New Roman" w:hAnsi="Times New Roman" w:eastAsia="Times New Roman" w:cs="Times New Roman"/>
                <w:color w:val="auto"/>
                <w:sz w:val="20"/>
                <w:szCs w:val="20"/>
              </w:rPr>
              <w:t>GB</w:t>
            </w:r>
            <w:r>
              <w:rPr>
                <w:rFonts w:ascii="Times New Roman" w:hAnsi="Times New Roman" w:eastAsia="Times New Roman" w:cs="Times New Roman"/>
                <w:color w:val="auto"/>
                <w:spacing w:val="10"/>
                <w:sz w:val="20"/>
                <w:szCs w:val="20"/>
              </w:rPr>
              <w:t>3096</w:t>
            </w:r>
            <w:r>
              <w:rPr>
                <w:color w:val="auto"/>
                <w:spacing w:val="10"/>
                <w:sz w:val="20"/>
                <w:szCs w:val="20"/>
              </w:rPr>
              <w:t>规定的</w:t>
            </w:r>
            <w:r>
              <w:rPr>
                <w:rFonts w:ascii="Times New Roman" w:hAnsi="Times New Roman" w:eastAsia="Times New Roman" w:cs="Times New Roman"/>
                <w:color w:val="auto"/>
                <w:spacing w:val="10"/>
                <w:sz w:val="20"/>
                <w:szCs w:val="20"/>
              </w:rPr>
              <w:t>0</w:t>
            </w:r>
            <w:r>
              <w:rPr>
                <w:color w:val="auto"/>
                <w:spacing w:val="10"/>
                <w:sz w:val="20"/>
                <w:szCs w:val="20"/>
              </w:rPr>
              <w:t>类声环境功能</w:t>
            </w:r>
            <w:r>
              <w:rPr>
                <w:color w:val="auto"/>
                <w:spacing w:val="5"/>
                <w:sz w:val="20"/>
                <w:szCs w:val="20"/>
              </w:rPr>
              <w:t>区域，或建设项目建设前后评价范围内声环境保护目标噪声级增量达</w:t>
            </w:r>
            <w:r>
              <w:rPr>
                <w:rFonts w:ascii="Times New Roman" w:hAnsi="Times New Roman" w:eastAsia="Times New Roman" w:cs="Times New Roman"/>
                <w:color w:val="auto"/>
                <w:spacing w:val="5"/>
                <w:sz w:val="20"/>
                <w:szCs w:val="20"/>
              </w:rPr>
              <w:t>5</w:t>
            </w:r>
            <w:r>
              <w:rPr>
                <w:rFonts w:ascii="Times New Roman" w:hAnsi="Times New Roman" w:eastAsia="Times New Roman" w:cs="Times New Roman"/>
                <w:color w:val="auto"/>
                <w:sz w:val="20"/>
                <w:szCs w:val="20"/>
              </w:rPr>
              <w:t>dB</w:t>
            </w:r>
            <w:r>
              <w:rPr>
                <w:color w:val="auto"/>
                <w:spacing w:val="5"/>
                <w:sz w:val="20"/>
                <w:szCs w:val="20"/>
              </w:rPr>
              <w:t>（</w:t>
            </w:r>
            <w:r>
              <w:rPr>
                <w:rFonts w:ascii="Times New Roman" w:hAnsi="Times New Roman" w:eastAsia="Times New Roman" w:cs="Times New Roman"/>
                <w:color w:val="auto"/>
                <w:spacing w:val="5"/>
                <w:sz w:val="20"/>
                <w:szCs w:val="20"/>
              </w:rPr>
              <w:t>A</w:t>
            </w:r>
            <w:r>
              <w:rPr>
                <w:color w:val="auto"/>
                <w:spacing w:val="5"/>
                <w:sz w:val="20"/>
                <w:szCs w:val="20"/>
              </w:rPr>
              <w:t>）以上（不含</w:t>
            </w:r>
            <w:r>
              <w:rPr>
                <w:rFonts w:ascii="Times New Roman" w:hAnsi="Times New Roman" w:eastAsia="Times New Roman" w:cs="Times New Roman"/>
                <w:color w:val="auto"/>
                <w:spacing w:val="5"/>
                <w:sz w:val="20"/>
                <w:szCs w:val="20"/>
              </w:rPr>
              <w:t>5</w:t>
            </w:r>
            <w:r>
              <w:rPr>
                <w:rFonts w:ascii="Times New Roman" w:hAnsi="Times New Roman" w:eastAsia="Times New Roman" w:cs="Times New Roman"/>
                <w:color w:val="auto"/>
                <w:sz w:val="20"/>
                <w:szCs w:val="20"/>
              </w:rPr>
              <w:t>dB</w:t>
            </w:r>
            <w:r>
              <w:rPr>
                <w:color w:val="auto"/>
                <w:spacing w:val="5"/>
                <w:sz w:val="20"/>
                <w:szCs w:val="20"/>
              </w:rPr>
              <w:t>（</w:t>
            </w:r>
            <w:r>
              <w:rPr>
                <w:rFonts w:ascii="Times New Roman" w:hAnsi="Times New Roman" w:eastAsia="Times New Roman" w:cs="Times New Roman"/>
                <w:color w:val="auto"/>
                <w:spacing w:val="5"/>
                <w:sz w:val="20"/>
                <w:szCs w:val="20"/>
              </w:rPr>
              <w:t>A</w:t>
            </w:r>
            <w:r>
              <w:rPr>
                <w:color w:val="auto"/>
                <w:spacing w:val="1"/>
                <w:sz w:val="20"/>
                <w:szCs w:val="20"/>
              </w:rPr>
              <w:t>）），</w:t>
            </w:r>
            <w:r>
              <w:rPr>
                <w:color w:val="auto"/>
                <w:spacing w:val="5"/>
                <w:sz w:val="20"/>
                <w:szCs w:val="20"/>
              </w:rPr>
              <w:t>或</w:t>
            </w:r>
            <w:r>
              <w:rPr>
                <w:color w:val="auto"/>
                <w:spacing w:val="8"/>
                <w:sz w:val="20"/>
                <w:szCs w:val="20"/>
              </w:rPr>
              <w:t>受影响人口数量显著增加时，按一级评价。</w:t>
            </w:r>
          </w:p>
        </w:tc>
        <w:tc>
          <w:tcPr>
            <w:tcW w:w="2750" w:type="dxa"/>
            <w:vMerge w:val="restart"/>
            <w:vAlign w:val="center"/>
          </w:tcPr>
          <w:p w14:paraId="76727711">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7"/>
                <w:sz w:val="20"/>
                <w:szCs w:val="20"/>
              </w:rPr>
            </w:pPr>
            <w:r>
              <w:rPr>
                <w:rFonts w:hint="default" w:ascii="Times New Roman" w:hAnsi="Times New Roman" w:cs="Times New Roman"/>
                <w:color w:val="auto"/>
                <w:spacing w:val="7"/>
                <w:sz w:val="20"/>
                <w:szCs w:val="20"/>
              </w:rPr>
              <w:t>根据《环</w:t>
            </w:r>
            <w:r>
              <w:rPr>
                <w:rFonts w:hint="default" w:ascii="Times New Roman" w:hAnsi="Times New Roman" w:cs="Times New Roman"/>
                <w:color w:val="auto"/>
                <w:spacing w:val="8"/>
                <w:sz w:val="20"/>
                <w:szCs w:val="20"/>
              </w:rPr>
              <w:t>境影响评价技术导则 声环</w:t>
            </w:r>
            <w:r>
              <w:rPr>
                <w:rFonts w:hint="default" w:ascii="Times New Roman" w:hAnsi="Times New Roman" w:cs="Times New Roman"/>
                <w:color w:val="auto"/>
                <w:spacing w:val="6"/>
                <w:sz w:val="20"/>
                <w:szCs w:val="20"/>
              </w:rPr>
              <w:t>境》（</w:t>
            </w:r>
            <w:r>
              <w:rPr>
                <w:rFonts w:hint="default" w:ascii="Times New Roman" w:hAnsi="Times New Roman" w:eastAsia="Times New Roman" w:cs="Times New Roman"/>
                <w:color w:val="auto"/>
                <w:sz w:val="20"/>
                <w:szCs w:val="20"/>
              </w:rPr>
              <w:t>HJ</w:t>
            </w:r>
            <w:r>
              <w:rPr>
                <w:rFonts w:hint="default" w:ascii="Times New Roman" w:hAnsi="Times New Roman" w:eastAsia="Times New Roman" w:cs="Times New Roman"/>
                <w:color w:val="auto"/>
                <w:spacing w:val="6"/>
                <w:sz w:val="20"/>
                <w:szCs w:val="20"/>
              </w:rPr>
              <w:t>2.4-2021</w:t>
            </w:r>
            <w:r>
              <w:rPr>
                <w:rFonts w:hint="default" w:ascii="Times New Roman" w:hAnsi="Times New Roman" w:cs="Times New Roman"/>
                <w:color w:val="auto"/>
                <w:spacing w:val="6"/>
                <w:sz w:val="20"/>
                <w:szCs w:val="20"/>
              </w:rPr>
              <w:t>）中有关判</w:t>
            </w:r>
            <w:r>
              <w:rPr>
                <w:rFonts w:hint="default" w:ascii="Times New Roman" w:hAnsi="Times New Roman" w:cs="Times New Roman"/>
                <w:color w:val="auto"/>
                <w:spacing w:val="7"/>
                <w:sz w:val="20"/>
                <w:szCs w:val="20"/>
              </w:rPr>
              <w:t>据</w:t>
            </w:r>
            <w:r>
              <w:rPr>
                <w:rFonts w:hint="default" w:ascii="Times New Roman" w:hAnsi="Times New Roman" w:cs="Times New Roman"/>
                <w:color w:val="auto"/>
                <w:spacing w:val="7"/>
                <w:sz w:val="20"/>
                <w:szCs w:val="20"/>
                <w:lang w:eastAsia="zh-CN"/>
              </w:rPr>
              <w:t>：</w:t>
            </w:r>
            <w:r>
              <w:rPr>
                <w:rFonts w:hint="default" w:ascii="Times New Roman" w:hAnsi="Times New Roman" w:eastAsia="宋体" w:cs="Times New Roman"/>
                <w:color w:val="auto"/>
                <w:spacing w:val="7"/>
                <w:sz w:val="20"/>
                <w:szCs w:val="20"/>
                <w:lang w:val="en-US" w:eastAsia="en-US"/>
              </w:rPr>
              <w:t>项目位于</w:t>
            </w:r>
            <w:r>
              <w:rPr>
                <w:rFonts w:hint="default" w:ascii="Times New Roman" w:hAnsi="Times New Roman" w:eastAsia="宋体" w:cs="Times New Roman"/>
                <w:color w:val="auto"/>
                <w:spacing w:val="7"/>
                <w:sz w:val="20"/>
                <w:szCs w:val="20"/>
                <w:lang w:val="en-US" w:eastAsia="zh-CN"/>
              </w:rPr>
              <w:t>曲靖高新技术产业开发区花山片区</w:t>
            </w:r>
            <w:r>
              <w:rPr>
                <w:rFonts w:hint="default" w:ascii="Times New Roman" w:hAnsi="Times New Roman" w:eastAsia="宋体" w:cs="Times New Roman"/>
                <w:color w:val="auto"/>
                <w:spacing w:val="7"/>
                <w:sz w:val="20"/>
                <w:szCs w:val="20"/>
                <w:lang w:val="en-US" w:eastAsia="en-US"/>
              </w:rPr>
              <w:t>，项目所在区域适用《声环境质量标准》（GB3096-2008）3类地区，</w:t>
            </w:r>
            <w:r>
              <w:rPr>
                <w:rFonts w:hint="default" w:ascii="Times New Roman" w:hAnsi="Times New Roman" w:eastAsia="宋体" w:cs="Times New Roman"/>
                <w:color w:val="auto"/>
                <w:spacing w:val="7"/>
                <w:sz w:val="20"/>
                <w:szCs w:val="20"/>
                <w:lang w:val="en-US" w:eastAsia="zh-CN"/>
              </w:rPr>
              <w:t>项目声环境评价范围200m内无声环境保护目标，且无人口受到影响。</w:t>
            </w:r>
          </w:p>
          <w:p w14:paraId="1491D794">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rFonts w:hint="default" w:ascii="Times New Roman" w:hAnsi="Times New Roman" w:cs="Times New Roman"/>
                <w:color w:val="auto"/>
                <w:spacing w:val="7"/>
                <w:sz w:val="20"/>
                <w:szCs w:val="20"/>
              </w:rPr>
              <w:t>确定本次噪声评价工作等</w:t>
            </w:r>
            <w:r>
              <w:rPr>
                <w:rFonts w:hint="default" w:ascii="Times New Roman" w:hAnsi="Times New Roman" w:cs="Times New Roman"/>
                <w:color w:val="auto"/>
                <w:spacing w:val="5"/>
                <w:sz w:val="20"/>
                <w:szCs w:val="20"/>
              </w:rPr>
              <w:t>级为</w:t>
            </w:r>
            <w:r>
              <w:rPr>
                <w:rFonts w:hint="default" w:ascii="Times New Roman" w:hAnsi="Times New Roman" w:cs="Times New Roman"/>
                <w:color w:val="auto"/>
                <w:spacing w:val="5"/>
                <w:sz w:val="20"/>
                <w:szCs w:val="20"/>
                <w:lang w:val="en-US" w:eastAsia="zh-CN"/>
              </w:rPr>
              <w:t>三</w:t>
            </w:r>
            <w:r>
              <w:rPr>
                <w:rFonts w:hint="default" w:ascii="Times New Roman" w:hAnsi="Times New Roman" w:cs="Times New Roman"/>
                <w:color w:val="auto"/>
                <w:spacing w:val="5"/>
                <w:sz w:val="20"/>
                <w:szCs w:val="20"/>
              </w:rPr>
              <w:t>级。</w:t>
            </w:r>
          </w:p>
        </w:tc>
      </w:tr>
      <w:tr w14:paraId="2346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7" w:hRule="atLeast"/>
        </w:trPr>
        <w:tc>
          <w:tcPr>
            <w:tcW w:w="778" w:type="dxa"/>
            <w:vAlign w:val="center"/>
          </w:tcPr>
          <w:p w14:paraId="10E2B748">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3"/>
                <w:sz w:val="20"/>
                <w:szCs w:val="20"/>
              </w:rPr>
              <w:t>二级</w:t>
            </w:r>
          </w:p>
        </w:tc>
        <w:tc>
          <w:tcPr>
            <w:tcW w:w="4850" w:type="dxa"/>
            <w:vAlign w:val="center"/>
          </w:tcPr>
          <w:p w14:paraId="02FD5B87">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6"/>
                <w:sz w:val="20"/>
                <w:szCs w:val="20"/>
              </w:rPr>
              <w:t>建设项目所处的声环境功能区为</w:t>
            </w:r>
            <w:r>
              <w:rPr>
                <w:rFonts w:ascii="Times New Roman" w:hAnsi="Times New Roman" w:eastAsia="Times New Roman" w:cs="Times New Roman"/>
                <w:color w:val="auto"/>
                <w:sz w:val="20"/>
                <w:szCs w:val="20"/>
              </w:rPr>
              <w:t>GB</w:t>
            </w:r>
            <w:r>
              <w:rPr>
                <w:rFonts w:ascii="Times New Roman" w:hAnsi="Times New Roman" w:eastAsia="Times New Roman" w:cs="Times New Roman"/>
                <w:color w:val="auto"/>
                <w:spacing w:val="6"/>
                <w:sz w:val="20"/>
                <w:szCs w:val="20"/>
              </w:rPr>
              <w:t>3096</w:t>
            </w:r>
            <w:r>
              <w:rPr>
                <w:color w:val="auto"/>
                <w:spacing w:val="6"/>
                <w:sz w:val="20"/>
                <w:szCs w:val="20"/>
              </w:rPr>
              <w:t>规定的</w:t>
            </w:r>
            <w:r>
              <w:rPr>
                <w:rFonts w:ascii="Times New Roman" w:hAnsi="Times New Roman" w:eastAsia="Times New Roman" w:cs="Times New Roman"/>
                <w:color w:val="auto"/>
                <w:spacing w:val="6"/>
                <w:sz w:val="20"/>
                <w:szCs w:val="20"/>
              </w:rPr>
              <w:t>1</w:t>
            </w:r>
            <w:r>
              <w:rPr>
                <w:color w:val="auto"/>
                <w:spacing w:val="6"/>
                <w:sz w:val="20"/>
                <w:szCs w:val="20"/>
              </w:rPr>
              <w:t>类、</w:t>
            </w:r>
            <w:r>
              <w:rPr>
                <w:rFonts w:ascii="Times New Roman" w:hAnsi="Times New Roman" w:eastAsia="Times New Roman" w:cs="Times New Roman"/>
                <w:color w:val="auto"/>
                <w:spacing w:val="8"/>
                <w:sz w:val="20"/>
                <w:szCs w:val="20"/>
              </w:rPr>
              <w:t>2</w:t>
            </w:r>
            <w:r>
              <w:rPr>
                <w:color w:val="auto"/>
                <w:spacing w:val="8"/>
                <w:sz w:val="20"/>
                <w:szCs w:val="20"/>
              </w:rPr>
              <w:t>类地区，或建设项目建设前后评价范围内</w:t>
            </w:r>
            <w:r>
              <w:rPr>
                <w:color w:val="auto"/>
                <w:spacing w:val="7"/>
                <w:sz w:val="20"/>
                <w:szCs w:val="20"/>
              </w:rPr>
              <w:t>声环境保护</w:t>
            </w:r>
            <w:r>
              <w:rPr>
                <w:color w:val="auto"/>
                <w:spacing w:val="5"/>
                <w:sz w:val="20"/>
                <w:szCs w:val="20"/>
              </w:rPr>
              <w:t>目标噪声级增量达</w:t>
            </w:r>
            <w:r>
              <w:rPr>
                <w:rFonts w:ascii="Times New Roman" w:hAnsi="Times New Roman" w:eastAsia="Times New Roman" w:cs="Times New Roman"/>
                <w:color w:val="auto"/>
                <w:spacing w:val="5"/>
                <w:sz w:val="20"/>
                <w:szCs w:val="20"/>
              </w:rPr>
              <w:t>3</w:t>
            </w:r>
            <w:r>
              <w:rPr>
                <w:rFonts w:ascii="Times New Roman" w:hAnsi="Times New Roman" w:eastAsia="Times New Roman" w:cs="Times New Roman"/>
                <w:color w:val="auto"/>
                <w:sz w:val="20"/>
                <w:szCs w:val="20"/>
              </w:rPr>
              <w:t>dB</w:t>
            </w:r>
            <w:r>
              <w:rPr>
                <w:color w:val="auto"/>
                <w:spacing w:val="5"/>
                <w:sz w:val="20"/>
                <w:szCs w:val="20"/>
              </w:rPr>
              <w:t>（</w:t>
            </w:r>
            <w:r>
              <w:rPr>
                <w:rFonts w:ascii="Times New Roman" w:hAnsi="Times New Roman" w:eastAsia="Times New Roman" w:cs="Times New Roman"/>
                <w:color w:val="auto"/>
                <w:spacing w:val="5"/>
                <w:sz w:val="20"/>
                <w:szCs w:val="20"/>
              </w:rPr>
              <w:t>A</w:t>
            </w:r>
            <w:r>
              <w:rPr>
                <w:color w:val="auto"/>
                <w:spacing w:val="-3"/>
                <w:sz w:val="20"/>
                <w:szCs w:val="20"/>
              </w:rPr>
              <w:t>）～</w:t>
            </w:r>
            <w:r>
              <w:rPr>
                <w:rFonts w:ascii="Times New Roman" w:hAnsi="Times New Roman" w:eastAsia="Times New Roman" w:cs="Times New Roman"/>
                <w:color w:val="auto"/>
                <w:spacing w:val="5"/>
                <w:sz w:val="20"/>
                <w:szCs w:val="20"/>
              </w:rPr>
              <w:t>5</w:t>
            </w:r>
            <w:r>
              <w:rPr>
                <w:rFonts w:ascii="Times New Roman" w:hAnsi="Times New Roman" w:eastAsia="Times New Roman" w:cs="Times New Roman"/>
                <w:color w:val="auto"/>
                <w:sz w:val="20"/>
                <w:szCs w:val="20"/>
              </w:rPr>
              <w:t>dB</w:t>
            </w:r>
            <w:r>
              <w:rPr>
                <w:color w:val="auto"/>
                <w:spacing w:val="5"/>
                <w:sz w:val="20"/>
                <w:szCs w:val="20"/>
              </w:rPr>
              <w:t>（</w:t>
            </w:r>
            <w:r>
              <w:rPr>
                <w:rFonts w:ascii="Times New Roman" w:hAnsi="Times New Roman" w:eastAsia="Times New Roman" w:cs="Times New Roman"/>
                <w:color w:val="auto"/>
                <w:spacing w:val="5"/>
                <w:sz w:val="20"/>
                <w:szCs w:val="20"/>
              </w:rPr>
              <w:t>A</w:t>
            </w:r>
            <w:r>
              <w:rPr>
                <w:color w:val="auto"/>
                <w:spacing w:val="-3"/>
                <w:sz w:val="20"/>
                <w:szCs w:val="20"/>
              </w:rPr>
              <w:t>），</w:t>
            </w:r>
            <w:r>
              <w:rPr>
                <w:color w:val="auto"/>
                <w:spacing w:val="5"/>
                <w:sz w:val="20"/>
                <w:szCs w:val="20"/>
              </w:rPr>
              <w:t>或受噪声影</w:t>
            </w:r>
            <w:r>
              <w:rPr>
                <w:color w:val="auto"/>
                <w:spacing w:val="8"/>
                <w:sz w:val="20"/>
                <w:szCs w:val="20"/>
              </w:rPr>
              <w:t>响人口数量增加较多时，按二级评价。</w:t>
            </w:r>
          </w:p>
        </w:tc>
        <w:tc>
          <w:tcPr>
            <w:tcW w:w="2750" w:type="dxa"/>
            <w:vMerge w:val="continue"/>
            <w:vAlign w:val="center"/>
          </w:tcPr>
          <w:p w14:paraId="36AF7566">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r>
      <w:tr w14:paraId="7A3A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8" w:hRule="atLeast"/>
        </w:trPr>
        <w:tc>
          <w:tcPr>
            <w:tcW w:w="778" w:type="dxa"/>
            <w:vAlign w:val="center"/>
          </w:tcPr>
          <w:p w14:paraId="62A96E1F">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4"/>
                <w:sz w:val="20"/>
                <w:szCs w:val="20"/>
              </w:rPr>
              <w:t>三级</w:t>
            </w:r>
          </w:p>
        </w:tc>
        <w:tc>
          <w:tcPr>
            <w:tcW w:w="4850" w:type="dxa"/>
            <w:vAlign w:val="center"/>
          </w:tcPr>
          <w:p w14:paraId="22A14440">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建设项目所处的声环境功能区为</w:t>
            </w:r>
            <w:r>
              <w:rPr>
                <w:color w:val="auto"/>
                <w:spacing w:val="-42"/>
                <w:sz w:val="20"/>
                <w:szCs w:val="20"/>
              </w:rPr>
              <w:t xml:space="preserve"> </w:t>
            </w:r>
            <w:r>
              <w:rPr>
                <w:rFonts w:ascii="Times New Roman" w:hAnsi="Times New Roman" w:eastAsia="Times New Roman" w:cs="Times New Roman"/>
                <w:color w:val="auto"/>
                <w:sz w:val="20"/>
                <w:szCs w:val="20"/>
              </w:rPr>
              <w:t>GB</w:t>
            </w:r>
            <w:r>
              <w:rPr>
                <w:rFonts w:ascii="Times New Roman" w:hAnsi="Times New Roman" w:eastAsia="Times New Roman" w:cs="Times New Roman"/>
                <w:color w:val="auto"/>
                <w:spacing w:val="7"/>
                <w:sz w:val="20"/>
                <w:szCs w:val="20"/>
              </w:rPr>
              <w:t xml:space="preserve"> 3096 </w:t>
            </w:r>
            <w:r>
              <w:rPr>
                <w:color w:val="auto"/>
                <w:spacing w:val="7"/>
                <w:sz w:val="20"/>
                <w:szCs w:val="20"/>
              </w:rPr>
              <w:t>规定的</w:t>
            </w:r>
            <w:r>
              <w:rPr>
                <w:color w:val="auto"/>
                <w:spacing w:val="-41"/>
                <w:sz w:val="20"/>
                <w:szCs w:val="20"/>
              </w:rPr>
              <w:t xml:space="preserve"> </w:t>
            </w:r>
            <w:r>
              <w:rPr>
                <w:rFonts w:ascii="Times New Roman" w:hAnsi="Times New Roman" w:eastAsia="Times New Roman" w:cs="Times New Roman"/>
                <w:color w:val="auto"/>
                <w:spacing w:val="7"/>
                <w:sz w:val="20"/>
                <w:szCs w:val="20"/>
              </w:rPr>
              <w:t xml:space="preserve">3 </w:t>
            </w:r>
            <w:r>
              <w:rPr>
                <w:color w:val="auto"/>
                <w:spacing w:val="7"/>
                <w:sz w:val="20"/>
                <w:szCs w:val="20"/>
              </w:rPr>
              <w:t>类、</w:t>
            </w:r>
            <w:r>
              <w:rPr>
                <w:rFonts w:ascii="Times New Roman" w:hAnsi="Times New Roman" w:eastAsia="Times New Roman" w:cs="Times New Roman"/>
                <w:color w:val="auto"/>
                <w:spacing w:val="8"/>
                <w:sz w:val="20"/>
                <w:szCs w:val="20"/>
              </w:rPr>
              <w:t xml:space="preserve">4 </w:t>
            </w:r>
            <w:r>
              <w:rPr>
                <w:color w:val="auto"/>
                <w:spacing w:val="8"/>
                <w:sz w:val="20"/>
                <w:szCs w:val="20"/>
              </w:rPr>
              <w:t>类地区，或建设项目建设前后评价范围内声</w:t>
            </w:r>
            <w:r>
              <w:rPr>
                <w:color w:val="auto"/>
                <w:spacing w:val="7"/>
                <w:sz w:val="20"/>
                <w:szCs w:val="20"/>
              </w:rPr>
              <w:t>环境保护</w:t>
            </w:r>
            <w:r>
              <w:rPr>
                <w:color w:val="auto"/>
                <w:spacing w:val="5"/>
                <w:sz w:val="20"/>
                <w:szCs w:val="20"/>
              </w:rPr>
              <w:t>目标噪声级增量在</w:t>
            </w:r>
            <w:r>
              <w:rPr>
                <w:rFonts w:ascii="Times New Roman" w:hAnsi="Times New Roman" w:eastAsia="Times New Roman" w:cs="Times New Roman"/>
                <w:color w:val="auto"/>
                <w:spacing w:val="5"/>
                <w:sz w:val="20"/>
                <w:szCs w:val="20"/>
              </w:rPr>
              <w:t>3</w:t>
            </w:r>
            <w:r>
              <w:rPr>
                <w:rFonts w:ascii="Times New Roman" w:hAnsi="Times New Roman" w:eastAsia="Times New Roman" w:cs="Times New Roman"/>
                <w:color w:val="auto"/>
                <w:sz w:val="20"/>
                <w:szCs w:val="20"/>
              </w:rPr>
              <w:t>dB</w:t>
            </w:r>
            <w:r>
              <w:rPr>
                <w:color w:val="auto"/>
                <w:spacing w:val="5"/>
                <w:sz w:val="20"/>
                <w:szCs w:val="20"/>
              </w:rPr>
              <w:t>（</w:t>
            </w:r>
            <w:r>
              <w:rPr>
                <w:rFonts w:ascii="Times New Roman" w:hAnsi="Times New Roman" w:eastAsia="Times New Roman" w:cs="Times New Roman"/>
                <w:color w:val="auto"/>
                <w:spacing w:val="5"/>
                <w:sz w:val="20"/>
                <w:szCs w:val="20"/>
              </w:rPr>
              <w:t>A</w:t>
            </w:r>
            <w:r>
              <w:rPr>
                <w:color w:val="auto"/>
                <w:spacing w:val="5"/>
                <w:sz w:val="20"/>
                <w:szCs w:val="20"/>
              </w:rPr>
              <w:t>）以下（不含</w:t>
            </w:r>
            <w:r>
              <w:rPr>
                <w:rFonts w:ascii="Times New Roman" w:hAnsi="Times New Roman" w:eastAsia="Times New Roman" w:cs="Times New Roman"/>
                <w:color w:val="auto"/>
                <w:spacing w:val="5"/>
                <w:sz w:val="20"/>
                <w:szCs w:val="20"/>
              </w:rPr>
              <w:t>3</w:t>
            </w:r>
            <w:r>
              <w:rPr>
                <w:rFonts w:ascii="Times New Roman" w:hAnsi="Times New Roman" w:eastAsia="Times New Roman" w:cs="Times New Roman"/>
                <w:color w:val="auto"/>
                <w:sz w:val="20"/>
                <w:szCs w:val="20"/>
              </w:rPr>
              <w:t>dB</w:t>
            </w:r>
            <w:r>
              <w:rPr>
                <w:color w:val="auto"/>
                <w:spacing w:val="5"/>
                <w:sz w:val="20"/>
                <w:szCs w:val="20"/>
              </w:rPr>
              <w:t>（</w:t>
            </w:r>
            <w:r>
              <w:rPr>
                <w:rFonts w:ascii="Times New Roman" w:hAnsi="Times New Roman" w:eastAsia="Times New Roman" w:cs="Times New Roman"/>
                <w:color w:val="auto"/>
                <w:spacing w:val="5"/>
                <w:sz w:val="20"/>
                <w:szCs w:val="20"/>
              </w:rPr>
              <w:t>A</w:t>
            </w:r>
            <w:r>
              <w:rPr>
                <w:color w:val="auto"/>
                <w:spacing w:val="5"/>
                <w:sz w:val="20"/>
                <w:szCs w:val="20"/>
              </w:rPr>
              <w:t>）），</w:t>
            </w:r>
            <w:r>
              <w:rPr>
                <w:color w:val="auto"/>
                <w:spacing w:val="9"/>
                <w:sz w:val="20"/>
                <w:szCs w:val="20"/>
              </w:rPr>
              <w:t>且受影响人口数量变化不大时，按三级评价。</w:t>
            </w:r>
          </w:p>
        </w:tc>
        <w:tc>
          <w:tcPr>
            <w:tcW w:w="2750" w:type="dxa"/>
            <w:vMerge w:val="continue"/>
            <w:vAlign w:val="center"/>
          </w:tcPr>
          <w:p w14:paraId="514BB876">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rPr>
            </w:pPr>
          </w:p>
        </w:tc>
      </w:tr>
      <w:tr w14:paraId="6B58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4" w:hRule="atLeast"/>
        </w:trPr>
        <w:tc>
          <w:tcPr>
            <w:tcW w:w="778" w:type="dxa"/>
            <w:vAlign w:val="center"/>
          </w:tcPr>
          <w:p w14:paraId="5DA52A1E">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3"/>
                <w:sz w:val="20"/>
                <w:szCs w:val="20"/>
              </w:rPr>
              <w:t>说明</w:t>
            </w:r>
          </w:p>
        </w:tc>
        <w:tc>
          <w:tcPr>
            <w:tcW w:w="7600" w:type="dxa"/>
            <w:gridSpan w:val="2"/>
            <w:vAlign w:val="center"/>
          </w:tcPr>
          <w:p w14:paraId="5646F659">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0"/>
                <w:szCs w:val="20"/>
              </w:rPr>
            </w:pPr>
            <w:r>
              <w:rPr>
                <w:color w:val="auto"/>
                <w:spacing w:val="7"/>
                <w:sz w:val="20"/>
                <w:szCs w:val="20"/>
              </w:rPr>
              <w:t>在确定评价工作等级时，如建设项目符合两个以上级别的划分原则，按较高级别的评价</w:t>
            </w:r>
            <w:r>
              <w:rPr>
                <w:color w:val="auto"/>
                <w:spacing w:val="5"/>
                <w:sz w:val="20"/>
                <w:szCs w:val="20"/>
              </w:rPr>
              <w:t>等级评价。</w:t>
            </w:r>
          </w:p>
        </w:tc>
      </w:tr>
    </w:tbl>
    <w:p w14:paraId="342FCA89">
      <w:pPr>
        <w:pStyle w:val="9"/>
        <w:keepNext w:val="0"/>
        <w:keepLines w:val="0"/>
        <w:pageBreakBefore w:val="0"/>
        <w:widowControl/>
        <w:wordWrap/>
        <w:overflowPunct/>
        <w:topLinePunct w:val="0"/>
        <w:autoSpaceDE w:val="0"/>
        <w:autoSpaceDN w:val="0"/>
        <w:bidi w:val="0"/>
        <w:spacing w:line="360" w:lineRule="auto"/>
        <w:ind w:left="0" w:firstLine="548" w:firstLineChars="200"/>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1.5.5 </w:t>
      </w:r>
      <w:r>
        <w:rPr>
          <w:b/>
          <w:bCs/>
          <w:color w:val="auto"/>
          <w:spacing w:val="-3"/>
          <w:sz w:val="28"/>
          <w:szCs w:val="28"/>
        </w:rPr>
        <w:t>生态评价等级</w:t>
      </w:r>
    </w:p>
    <w:p w14:paraId="235D19A6">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根据《环境影响评价技术导则 生态影响》（HJ19-2022），生态影响评价工作等级根据建设项目影响区域的生态敏感性和影响程度划分，生态环境影响评价工作等级划分原则见下表。</w:t>
      </w:r>
    </w:p>
    <w:p w14:paraId="5AFB8D17">
      <w:pPr>
        <w:pStyle w:val="36"/>
        <w:keepNext w:val="0"/>
        <w:keepLines w:val="0"/>
        <w:pageBreakBefore w:val="0"/>
        <w:widowControl w:val="0"/>
        <w:numPr>
          <w:ilvl w:val="1"/>
          <w:numId w:val="10"/>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生态影响评价工作等级划分</w:t>
      </w:r>
    </w:p>
    <w:tbl>
      <w:tblPr>
        <w:tblStyle w:val="26"/>
        <w:tblW w:w="8079" w:type="dxa"/>
        <w:tblInd w:w="3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96"/>
        <w:gridCol w:w="1374"/>
        <w:gridCol w:w="1709"/>
      </w:tblGrid>
      <w:tr w14:paraId="6B92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4996" w:type="dxa"/>
            <w:vAlign w:val="center"/>
          </w:tcPr>
          <w:p w14:paraId="0FDEEA97">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7"/>
                <w:sz w:val="20"/>
                <w:szCs w:val="20"/>
              </w:rPr>
              <w:t>生态影响评价工作等级划分原则</w:t>
            </w:r>
          </w:p>
        </w:tc>
        <w:tc>
          <w:tcPr>
            <w:tcW w:w="1374" w:type="dxa"/>
            <w:vAlign w:val="center"/>
          </w:tcPr>
          <w:p w14:paraId="4979BFCF">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6"/>
                <w:sz w:val="20"/>
                <w:szCs w:val="20"/>
              </w:rPr>
              <w:t>评价等级</w:t>
            </w:r>
          </w:p>
        </w:tc>
        <w:tc>
          <w:tcPr>
            <w:tcW w:w="1709" w:type="dxa"/>
            <w:vAlign w:val="center"/>
          </w:tcPr>
          <w:p w14:paraId="592DAAF5">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b/>
                <w:bCs/>
                <w:color w:val="auto"/>
                <w:spacing w:val="6"/>
                <w:sz w:val="20"/>
                <w:szCs w:val="20"/>
              </w:rPr>
              <w:t>本项目情况</w:t>
            </w:r>
          </w:p>
        </w:tc>
      </w:tr>
      <w:tr w14:paraId="522D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2" w:hRule="atLeast"/>
        </w:trPr>
        <w:tc>
          <w:tcPr>
            <w:tcW w:w="4996" w:type="dxa"/>
            <w:vAlign w:val="center"/>
          </w:tcPr>
          <w:p w14:paraId="732ACD95">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rFonts w:ascii="Times New Roman" w:hAnsi="Times New Roman" w:eastAsia="Times New Roman" w:cs="Times New Roman"/>
                <w:color w:val="auto"/>
                <w:spacing w:val="4"/>
                <w:sz w:val="20"/>
                <w:szCs w:val="20"/>
              </w:rPr>
              <w:t>1.</w:t>
            </w:r>
            <w:r>
              <w:rPr>
                <w:color w:val="auto"/>
                <w:spacing w:val="4"/>
                <w:sz w:val="20"/>
                <w:szCs w:val="20"/>
              </w:rPr>
              <w:t>涉及国家公园、自然保护区、世界自然遗产、重要生</w:t>
            </w:r>
          </w:p>
          <w:p w14:paraId="223F97C6">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2"/>
                <w:sz w:val="20"/>
                <w:szCs w:val="20"/>
              </w:rPr>
              <w:t>境时。</w:t>
            </w:r>
          </w:p>
        </w:tc>
        <w:tc>
          <w:tcPr>
            <w:tcW w:w="1374" w:type="dxa"/>
            <w:vAlign w:val="center"/>
          </w:tcPr>
          <w:p w14:paraId="5D03FAD4">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3"/>
                <w:sz w:val="20"/>
                <w:szCs w:val="20"/>
              </w:rPr>
              <w:t>一级</w:t>
            </w:r>
          </w:p>
        </w:tc>
        <w:tc>
          <w:tcPr>
            <w:tcW w:w="1709" w:type="dxa"/>
            <w:vAlign w:val="center"/>
          </w:tcPr>
          <w:p w14:paraId="3B399FF6">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5"/>
                <w:sz w:val="20"/>
                <w:szCs w:val="20"/>
              </w:rPr>
              <w:t>不属于</w:t>
            </w:r>
          </w:p>
        </w:tc>
      </w:tr>
      <w:tr w14:paraId="317C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4996" w:type="dxa"/>
            <w:vAlign w:val="center"/>
          </w:tcPr>
          <w:p w14:paraId="6845DD2E">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rFonts w:ascii="Times New Roman" w:hAnsi="Times New Roman" w:eastAsia="Times New Roman" w:cs="Times New Roman"/>
                <w:color w:val="auto"/>
                <w:spacing w:val="7"/>
                <w:sz w:val="20"/>
                <w:szCs w:val="20"/>
              </w:rPr>
              <w:t>2.</w:t>
            </w:r>
            <w:r>
              <w:rPr>
                <w:color w:val="auto"/>
                <w:spacing w:val="7"/>
                <w:sz w:val="20"/>
                <w:szCs w:val="20"/>
              </w:rPr>
              <w:t>涉及自然公园时。</w:t>
            </w:r>
          </w:p>
        </w:tc>
        <w:tc>
          <w:tcPr>
            <w:tcW w:w="1374" w:type="dxa"/>
            <w:vAlign w:val="center"/>
          </w:tcPr>
          <w:p w14:paraId="46957A7E">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3"/>
                <w:sz w:val="20"/>
                <w:szCs w:val="20"/>
              </w:rPr>
              <w:t>二级</w:t>
            </w:r>
          </w:p>
        </w:tc>
        <w:tc>
          <w:tcPr>
            <w:tcW w:w="1709" w:type="dxa"/>
            <w:vAlign w:val="center"/>
          </w:tcPr>
          <w:p w14:paraId="6891DF9D">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5"/>
                <w:sz w:val="20"/>
                <w:szCs w:val="20"/>
              </w:rPr>
              <w:t>不属于</w:t>
            </w:r>
          </w:p>
        </w:tc>
      </w:tr>
      <w:tr w14:paraId="7D98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4996" w:type="dxa"/>
            <w:vAlign w:val="center"/>
          </w:tcPr>
          <w:p w14:paraId="739E8C33">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rFonts w:ascii="Times New Roman" w:hAnsi="Times New Roman" w:eastAsia="Times New Roman" w:cs="Times New Roman"/>
                <w:color w:val="auto"/>
                <w:spacing w:val="7"/>
                <w:sz w:val="20"/>
                <w:szCs w:val="20"/>
              </w:rPr>
              <w:t>3.</w:t>
            </w:r>
            <w:r>
              <w:rPr>
                <w:color w:val="auto"/>
                <w:spacing w:val="7"/>
                <w:sz w:val="20"/>
                <w:szCs w:val="20"/>
              </w:rPr>
              <w:t>涉及生态保护红线时。</w:t>
            </w:r>
          </w:p>
        </w:tc>
        <w:tc>
          <w:tcPr>
            <w:tcW w:w="1374" w:type="dxa"/>
            <w:vAlign w:val="center"/>
          </w:tcPr>
          <w:p w14:paraId="427B6F12">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7"/>
                <w:sz w:val="20"/>
                <w:szCs w:val="20"/>
              </w:rPr>
              <w:t>不低于二级</w:t>
            </w:r>
          </w:p>
        </w:tc>
        <w:tc>
          <w:tcPr>
            <w:tcW w:w="1709" w:type="dxa"/>
            <w:vAlign w:val="center"/>
          </w:tcPr>
          <w:p w14:paraId="5646CA9A">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5"/>
                <w:sz w:val="20"/>
                <w:szCs w:val="20"/>
              </w:rPr>
              <w:t>不属于</w:t>
            </w:r>
          </w:p>
        </w:tc>
      </w:tr>
      <w:tr w14:paraId="12F4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2" w:hRule="atLeast"/>
        </w:trPr>
        <w:tc>
          <w:tcPr>
            <w:tcW w:w="4996" w:type="dxa"/>
            <w:vAlign w:val="center"/>
          </w:tcPr>
          <w:p w14:paraId="12937C6B">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rFonts w:ascii="Times New Roman" w:hAnsi="Times New Roman" w:eastAsia="Times New Roman" w:cs="Times New Roman"/>
                <w:color w:val="auto"/>
                <w:spacing w:val="8"/>
                <w:sz w:val="20"/>
                <w:szCs w:val="20"/>
              </w:rPr>
              <w:t>4.</w:t>
            </w:r>
            <w:r>
              <w:rPr>
                <w:color w:val="auto"/>
                <w:spacing w:val="8"/>
                <w:sz w:val="20"/>
                <w:szCs w:val="20"/>
              </w:rPr>
              <w:t>根据</w:t>
            </w:r>
            <w:r>
              <w:rPr>
                <w:color w:val="auto"/>
                <w:spacing w:val="-35"/>
                <w:sz w:val="20"/>
                <w:szCs w:val="20"/>
              </w:rPr>
              <w:t xml:space="preserve"> </w:t>
            </w:r>
            <w:r>
              <w:rPr>
                <w:rFonts w:ascii="Times New Roman" w:hAnsi="Times New Roman" w:eastAsia="Times New Roman" w:cs="Times New Roman"/>
                <w:color w:val="auto"/>
                <w:sz w:val="20"/>
                <w:szCs w:val="20"/>
              </w:rPr>
              <w:t>HJ</w:t>
            </w:r>
            <w:r>
              <w:rPr>
                <w:rFonts w:ascii="Times New Roman" w:hAnsi="Times New Roman" w:eastAsia="Times New Roman" w:cs="Times New Roman"/>
                <w:color w:val="auto"/>
                <w:spacing w:val="8"/>
                <w:sz w:val="20"/>
                <w:szCs w:val="20"/>
              </w:rPr>
              <w:t xml:space="preserve"> 2.3 </w:t>
            </w:r>
            <w:r>
              <w:rPr>
                <w:color w:val="auto"/>
                <w:spacing w:val="8"/>
                <w:sz w:val="20"/>
                <w:szCs w:val="20"/>
              </w:rPr>
              <w:t>判断属于水文要素影响型且地表水评价</w:t>
            </w:r>
          </w:p>
          <w:p w14:paraId="2411E247">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8"/>
                <w:sz w:val="20"/>
                <w:szCs w:val="20"/>
              </w:rPr>
              <w:t>等级不低于二级的建设项目。</w:t>
            </w:r>
          </w:p>
        </w:tc>
        <w:tc>
          <w:tcPr>
            <w:tcW w:w="1374" w:type="dxa"/>
            <w:vAlign w:val="center"/>
          </w:tcPr>
          <w:p w14:paraId="5D206D20">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7"/>
                <w:sz w:val="20"/>
                <w:szCs w:val="20"/>
              </w:rPr>
              <w:t>不低于二级</w:t>
            </w:r>
          </w:p>
        </w:tc>
        <w:tc>
          <w:tcPr>
            <w:tcW w:w="1709" w:type="dxa"/>
            <w:vAlign w:val="center"/>
          </w:tcPr>
          <w:p w14:paraId="597E8AAE">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5"/>
                <w:sz w:val="20"/>
                <w:szCs w:val="20"/>
              </w:rPr>
              <w:t>不属于</w:t>
            </w:r>
          </w:p>
        </w:tc>
      </w:tr>
      <w:tr w14:paraId="240D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2" w:hRule="atLeast"/>
        </w:trPr>
        <w:tc>
          <w:tcPr>
            <w:tcW w:w="4996" w:type="dxa"/>
            <w:vAlign w:val="center"/>
          </w:tcPr>
          <w:p w14:paraId="6A5BFEA7">
            <w:pPr>
              <w:pStyle w:val="27"/>
              <w:keepNext w:val="0"/>
              <w:keepLines w:val="0"/>
              <w:pageBreakBefore w:val="0"/>
              <w:widowControl/>
              <w:kinsoku/>
              <w:wordWrap/>
              <w:overflowPunct/>
              <w:topLinePunct w:val="0"/>
              <w:autoSpaceDE w:val="0"/>
              <w:autoSpaceDN w:val="0"/>
              <w:bidi w:val="0"/>
              <w:adjustRightInd/>
              <w:snapToGrid/>
              <w:spacing w:line="240" w:lineRule="auto"/>
              <w:ind w:left="0" w:right="0" w:hanging="12"/>
              <w:jc w:val="center"/>
              <w:textAlignment w:val="baseline"/>
              <w:rPr>
                <w:color w:val="auto"/>
                <w:sz w:val="20"/>
                <w:szCs w:val="20"/>
              </w:rPr>
            </w:pPr>
            <w:r>
              <w:rPr>
                <w:rFonts w:ascii="Times New Roman" w:hAnsi="Times New Roman" w:eastAsia="Times New Roman" w:cs="Times New Roman"/>
                <w:color w:val="auto"/>
                <w:spacing w:val="7"/>
                <w:sz w:val="20"/>
                <w:szCs w:val="20"/>
              </w:rPr>
              <w:t>5.</w:t>
            </w:r>
            <w:r>
              <w:rPr>
                <w:color w:val="auto"/>
                <w:spacing w:val="7"/>
                <w:sz w:val="20"/>
                <w:szCs w:val="20"/>
              </w:rPr>
              <w:t>根据</w:t>
            </w:r>
            <w:r>
              <w:rPr>
                <w:color w:val="auto"/>
                <w:spacing w:val="-42"/>
                <w:sz w:val="20"/>
                <w:szCs w:val="20"/>
              </w:rPr>
              <w:t xml:space="preserve"> </w:t>
            </w:r>
            <w:r>
              <w:rPr>
                <w:rFonts w:ascii="Times New Roman" w:hAnsi="Times New Roman" w:eastAsia="Times New Roman" w:cs="Times New Roman"/>
                <w:color w:val="auto"/>
                <w:sz w:val="20"/>
                <w:szCs w:val="20"/>
              </w:rPr>
              <w:t>HJ</w:t>
            </w:r>
            <w:r>
              <w:rPr>
                <w:rFonts w:ascii="Times New Roman" w:hAnsi="Times New Roman" w:eastAsia="Times New Roman" w:cs="Times New Roman"/>
                <w:color w:val="auto"/>
                <w:spacing w:val="7"/>
                <w:sz w:val="20"/>
                <w:szCs w:val="20"/>
              </w:rPr>
              <w:t xml:space="preserve"> 610</w:t>
            </w:r>
            <w:r>
              <w:rPr>
                <w:rFonts w:ascii="Times New Roman" w:hAnsi="Times New Roman" w:eastAsia="Times New Roman" w:cs="Times New Roman"/>
                <w:color w:val="auto"/>
                <w:spacing w:val="-28"/>
                <w:sz w:val="20"/>
                <w:szCs w:val="20"/>
              </w:rPr>
              <w:t xml:space="preserve"> </w:t>
            </w:r>
            <w:r>
              <w:rPr>
                <w:color w:val="auto"/>
                <w:spacing w:val="7"/>
                <w:sz w:val="20"/>
                <w:szCs w:val="20"/>
              </w:rPr>
              <w:t>、</w:t>
            </w:r>
            <w:r>
              <w:rPr>
                <w:rFonts w:ascii="Times New Roman" w:hAnsi="Times New Roman" w:eastAsia="Times New Roman" w:cs="Times New Roman"/>
                <w:color w:val="auto"/>
                <w:sz w:val="20"/>
                <w:szCs w:val="20"/>
              </w:rPr>
              <w:t>HJ</w:t>
            </w:r>
            <w:r>
              <w:rPr>
                <w:rFonts w:ascii="Times New Roman" w:hAnsi="Times New Roman" w:eastAsia="Times New Roman" w:cs="Times New Roman"/>
                <w:color w:val="auto"/>
                <w:spacing w:val="7"/>
                <w:sz w:val="20"/>
                <w:szCs w:val="20"/>
              </w:rPr>
              <w:t xml:space="preserve"> 964 </w:t>
            </w:r>
            <w:r>
              <w:rPr>
                <w:color w:val="auto"/>
                <w:spacing w:val="7"/>
                <w:sz w:val="20"/>
                <w:szCs w:val="20"/>
              </w:rPr>
              <w:t>判断地下水水位或土壤</w:t>
            </w:r>
            <w:r>
              <w:rPr>
                <w:color w:val="auto"/>
                <w:spacing w:val="6"/>
                <w:sz w:val="20"/>
                <w:szCs w:val="20"/>
              </w:rPr>
              <w:t>影响范</w:t>
            </w:r>
            <w:r>
              <w:rPr>
                <w:color w:val="auto"/>
                <w:spacing w:val="8"/>
                <w:sz w:val="20"/>
                <w:szCs w:val="20"/>
              </w:rPr>
              <w:t>围内分布有天然林、公益林、湿地等生态保护目标。</w:t>
            </w:r>
          </w:p>
        </w:tc>
        <w:tc>
          <w:tcPr>
            <w:tcW w:w="1374" w:type="dxa"/>
            <w:vAlign w:val="center"/>
          </w:tcPr>
          <w:p w14:paraId="3DAC93AC">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7"/>
                <w:sz w:val="20"/>
                <w:szCs w:val="20"/>
              </w:rPr>
              <w:t>不低于二级</w:t>
            </w:r>
          </w:p>
        </w:tc>
        <w:tc>
          <w:tcPr>
            <w:tcW w:w="1709" w:type="dxa"/>
            <w:vAlign w:val="center"/>
          </w:tcPr>
          <w:p w14:paraId="37144987">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5"/>
                <w:sz w:val="20"/>
                <w:szCs w:val="20"/>
              </w:rPr>
              <w:t>不属于</w:t>
            </w:r>
          </w:p>
        </w:tc>
      </w:tr>
      <w:tr w14:paraId="231C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trPr>
        <w:tc>
          <w:tcPr>
            <w:tcW w:w="4996" w:type="dxa"/>
            <w:vAlign w:val="center"/>
          </w:tcPr>
          <w:p w14:paraId="48150417">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rFonts w:ascii="Times New Roman" w:hAnsi="Times New Roman" w:eastAsia="Times New Roman" w:cs="Times New Roman"/>
                <w:color w:val="auto"/>
                <w:spacing w:val="7"/>
                <w:sz w:val="20"/>
                <w:szCs w:val="20"/>
              </w:rPr>
              <w:t>6.</w:t>
            </w:r>
            <w:r>
              <w:rPr>
                <w:color w:val="auto"/>
                <w:spacing w:val="7"/>
                <w:sz w:val="20"/>
                <w:szCs w:val="20"/>
              </w:rPr>
              <w:t>当工程占地规模大于</w:t>
            </w:r>
            <w:r>
              <w:rPr>
                <w:color w:val="auto"/>
                <w:spacing w:val="-30"/>
                <w:sz w:val="20"/>
                <w:szCs w:val="20"/>
              </w:rPr>
              <w:t xml:space="preserve"> </w:t>
            </w:r>
            <w:r>
              <w:rPr>
                <w:rFonts w:ascii="Times New Roman" w:hAnsi="Times New Roman" w:eastAsia="Times New Roman" w:cs="Times New Roman"/>
                <w:color w:val="auto"/>
                <w:spacing w:val="7"/>
                <w:sz w:val="20"/>
                <w:szCs w:val="20"/>
              </w:rPr>
              <w:t xml:space="preserve">20 </w:t>
            </w:r>
            <w:r>
              <w:rPr>
                <w:rFonts w:ascii="Times New Roman" w:hAnsi="Times New Roman" w:eastAsia="Times New Roman" w:cs="Times New Roman"/>
                <w:color w:val="auto"/>
                <w:sz w:val="20"/>
                <w:szCs w:val="20"/>
              </w:rPr>
              <w:t>km</w:t>
            </w:r>
            <w:r>
              <w:rPr>
                <w:rFonts w:ascii="Times New Roman" w:hAnsi="Times New Roman" w:eastAsia="Times New Roman" w:cs="Times New Roman"/>
                <w:color w:val="auto"/>
                <w:spacing w:val="7"/>
                <w:position w:val="6"/>
                <w:sz w:val="13"/>
                <w:szCs w:val="13"/>
              </w:rPr>
              <w:t>2</w:t>
            </w:r>
            <w:r>
              <w:rPr>
                <w:rFonts w:ascii="Times New Roman" w:hAnsi="Times New Roman" w:eastAsia="Times New Roman" w:cs="Times New Roman"/>
                <w:color w:val="auto"/>
                <w:spacing w:val="20"/>
                <w:w w:val="102"/>
                <w:position w:val="6"/>
                <w:sz w:val="13"/>
                <w:szCs w:val="13"/>
              </w:rPr>
              <w:t xml:space="preserve"> </w:t>
            </w:r>
            <w:r>
              <w:rPr>
                <w:color w:val="auto"/>
                <w:spacing w:val="7"/>
                <w:sz w:val="20"/>
                <w:szCs w:val="20"/>
              </w:rPr>
              <w:t>时（包括永久和临时占</w:t>
            </w:r>
          </w:p>
          <w:p w14:paraId="36D3DFDB">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8"/>
                <w:sz w:val="20"/>
                <w:szCs w:val="20"/>
              </w:rPr>
              <w:t>用陆域和水域</w:t>
            </w:r>
            <w:r>
              <w:rPr>
                <w:color w:val="auto"/>
                <w:spacing w:val="25"/>
                <w:sz w:val="20"/>
                <w:szCs w:val="20"/>
              </w:rPr>
              <w:t>）；</w:t>
            </w:r>
            <w:r>
              <w:rPr>
                <w:color w:val="auto"/>
                <w:spacing w:val="8"/>
                <w:sz w:val="20"/>
                <w:szCs w:val="20"/>
              </w:rPr>
              <w:t>改扩建项目的占地范围以新增占地</w:t>
            </w:r>
          </w:p>
          <w:p w14:paraId="4F6AD2B1">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7"/>
                <w:sz w:val="20"/>
                <w:szCs w:val="20"/>
              </w:rPr>
              <w:t>（包括陆域和水域）确定。</w:t>
            </w:r>
          </w:p>
        </w:tc>
        <w:tc>
          <w:tcPr>
            <w:tcW w:w="1374" w:type="dxa"/>
            <w:vAlign w:val="center"/>
          </w:tcPr>
          <w:p w14:paraId="7FBFE90C">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7"/>
                <w:sz w:val="20"/>
                <w:szCs w:val="20"/>
              </w:rPr>
              <w:t>不低于二级</w:t>
            </w:r>
          </w:p>
        </w:tc>
        <w:tc>
          <w:tcPr>
            <w:tcW w:w="1709" w:type="dxa"/>
            <w:vAlign w:val="center"/>
          </w:tcPr>
          <w:p w14:paraId="4BC89AF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13"/>
                <w:szCs w:val="13"/>
              </w:rPr>
            </w:pPr>
            <w:r>
              <w:rPr>
                <w:color w:val="auto"/>
                <w:spacing w:val="2"/>
                <w:sz w:val="20"/>
                <w:szCs w:val="20"/>
              </w:rPr>
              <w:t>占地规模小于</w:t>
            </w:r>
            <w:r>
              <w:rPr>
                <w:rFonts w:ascii="Times New Roman" w:hAnsi="Times New Roman" w:eastAsia="Times New Roman" w:cs="Times New Roman"/>
                <w:color w:val="auto"/>
                <w:spacing w:val="2"/>
                <w:sz w:val="20"/>
                <w:szCs w:val="20"/>
              </w:rPr>
              <w:t>20</w:t>
            </w:r>
            <w:r>
              <w:rPr>
                <w:rFonts w:ascii="Times New Roman" w:hAnsi="Times New Roman" w:eastAsia="Times New Roman" w:cs="Times New Roman"/>
                <w:color w:val="auto"/>
                <w:position w:val="-1"/>
                <w:sz w:val="20"/>
                <w:szCs w:val="20"/>
              </w:rPr>
              <w:t>km</w:t>
            </w:r>
            <w:r>
              <w:rPr>
                <w:rFonts w:ascii="Times New Roman" w:hAnsi="Times New Roman" w:eastAsia="Times New Roman" w:cs="Times New Roman"/>
                <w:color w:val="auto"/>
                <w:spacing w:val="15"/>
                <w:position w:val="5"/>
                <w:sz w:val="13"/>
                <w:szCs w:val="13"/>
              </w:rPr>
              <w:t>2</w:t>
            </w:r>
          </w:p>
        </w:tc>
      </w:tr>
      <w:tr w14:paraId="480A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996" w:type="dxa"/>
            <w:vAlign w:val="center"/>
          </w:tcPr>
          <w:p w14:paraId="22667777">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4"/>
                <w:sz w:val="20"/>
                <w:szCs w:val="20"/>
              </w:rPr>
              <w:t>除</w:t>
            </w:r>
            <w:r>
              <w:rPr>
                <w:color w:val="auto"/>
                <w:spacing w:val="-11"/>
                <w:sz w:val="20"/>
                <w:szCs w:val="20"/>
              </w:rPr>
              <w:t xml:space="preserve"> </w:t>
            </w:r>
            <w:r>
              <w:rPr>
                <w:rFonts w:ascii="Times New Roman" w:hAnsi="Times New Roman" w:eastAsia="Times New Roman" w:cs="Times New Roman"/>
                <w:color w:val="auto"/>
                <w:spacing w:val="-4"/>
                <w:sz w:val="20"/>
                <w:szCs w:val="20"/>
              </w:rPr>
              <w:t>1</w:t>
            </w:r>
            <w:r>
              <w:rPr>
                <w:rFonts w:ascii="Times New Roman" w:hAnsi="Times New Roman" w:eastAsia="Times New Roman" w:cs="Times New Roman"/>
                <w:color w:val="auto"/>
                <w:spacing w:val="-26"/>
                <w:sz w:val="20"/>
                <w:szCs w:val="20"/>
              </w:rPr>
              <w:t xml:space="preserve"> </w:t>
            </w:r>
            <w:r>
              <w:rPr>
                <w:color w:val="auto"/>
                <w:spacing w:val="-4"/>
                <w:sz w:val="20"/>
                <w:szCs w:val="20"/>
              </w:rPr>
              <w:t>、</w:t>
            </w:r>
            <w:r>
              <w:rPr>
                <w:rFonts w:ascii="Times New Roman" w:hAnsi="Times New Roman" w:eastAsia="Times New Roman" w:cs="Times New Roman"/>
                <w:color w:val="auto"/>
                <w:spacing w:val="-4"/>
                <w:sz w:val="20"/>
                <w:szCs w:val="20"/>
              </w:rPr>
              <w:t>2</w:t>
            </w:r>
            <w:r>
              <w:rPr>
                <w:rFonts w:ascii="Times New Roman" w:hAnsi="Times New Roman" w:eastAsia="Times New Roman" w:cs="Times New Roman"/>
                <w:color w:val="auto"/>
                <w:spacing w:val="-29"/>
                <w:sz w:val="20"/>
                <w:szCs w:val="20"/>
              </w:rPr>
              <w:t xml:space="preserve"> </w:t>
            </w:r>
            <w:r>
              <w:rPr>
                <w:color w:val="auto"/>
                <w:spacing w:val="-4"/>
                <w:sz w:val="20"/>
                <w:szCs w:val="20"/>
              </w:rPr>
              <w:t>、</w:t>
            </w:r>
            <w:r>
              <w:rPr>
                <w:rFonts w:ascii="Times New Roman" w:hAnsi="Times New Roman" w:eastAsia="Times New Roman" w:cs="Times New Roman"/>
                <w:color w:val="auto"/>
                <w:spacing w:val="-4"/>
                <w:sz w:val="20"/>
                <w:szCs w:val="20"/>
              </w:rPr>
              <w:t>3</w:t>
            </w:r>
            <w:r>
              <w:rPr>
                <w:rFonts w:ascii="Times New Roman" w:hAnsi="Times New Roman" w:eastAsia="Times New Roman" w:cs="Times New Roman"/>
                <w:color w:val="auto"/>
                <w:spacing w:val="-26"/>
                <w:sz w:val="20"/>
                <w:szCs w:val="20"/>
              </w:rPr>
              <w:t xml:space="preserve"> </w:t>
            </w:r>
            <w:r>
              <w:rPr>
                <w:color w:val="auto"/>
                <w:spacing w:val="-4"/>
                <w:sz w:val="20"/>
                <w:szCs w:val="20"/>
              </w:rPr>
              <w:t>、</w:t>
            </w:r>
            <w:r>
              <w:rPr>
                <w:rFonts w:ascii="Times New Roman" w:hAnsi="Times New Roman" w:eastAsia="Times New Roman" w:cs="Times New Roman"/>
                <w:color w:val="auto"/>
                <w:spacing w:val="-4"/>
                <w:sz w:val="20"/>
                <w:szCs w:val="20"/>
              </w:rPr>
              <w:t>4</w:t>
            </w:r>
            <w:r>
              <w:rPr>
                <w:rFonts w:ascii="Times New Roman" w:hAnsi="Times New Roman" w:eastAsia="Times New Roman" w:cs="Times New Roman"/>
                <w:color w:val="auto"/>
                <w:spacing w:val="-26"/>
                <w:sz w:val="20"/>
                <w:szCs w:val="20"/>
              </w:rPr>
              <w:t xml:space="preserve"> </w:t>
            </w:r>
            <w:r>
              <w:rPr>
                <w:color w:val="auto"/>
                <w:spacing w:val="-4"/>
                <w:sz w:val="20"/>
                <w:szCs w:val="20"/>
              </w:rPr>
              <w:t>、</w:t>
            </w:r>
            <w:r>
              <w:rPr>
                <w:rFonts w:ascii="Times New Roman" w:hAnsi="Times New Roman" w:eastAsia="Times New Roman" w:cs="Times New Roman"/>
                <w:color w:val="auto"/>
                <w:spacing w:val="-4"/>
                <w:sz w:val="20"/>
                <w:szCs w:val="20"/>
              </w:rPr>
              <w:t>5</w:t>
            </w:r>
            <w:r>
              <w:rPr>
                <w:rFonts w:ascii="Times New Roman" w:hAnsi="Times New Roman" w:eastAsia="Times New Roman" w:cs="Times New Roman"/>
                <w:color w:val="auto"/>
                <w:spacing w:val="-26"/>
                <w:sz w:val="20"/>
                <w:szCs w:val="20"/>
              </w:rPr>
              <w:t xml:space="preserve"> </w:t>
            </w:r>
            <w:r>
              <w:rPr>
                <w:color w:val="auto"/>
                <w:spacing w:val="-4"/>
                <w:sz w:val="20"/>
                <w:szCs w:val="20"/>
              </w:rPr>
              <w:t>、</w:t>
            </w:r>
            <w:r>
              <w:rPr>
                <w:rFonts w:ascii="Times New Roman" w:hAnsi="Times New Roman" w:eastAsia="Times New Roman" w:cs="Times New Roman"/>
                <w:color w:val="auto"/>
                <w:spacing w:val="-4"/>
                <w:sz w:val="20"/>
                <w:szCs w:val="20"/>
              </w:rPr>
              <w:t>6</w:t>
            </w:r>
            <w:r>
              <w:rPr>
                <w:rFonts w:ascii="Times New Roman" w:hAnsi="Times New Roman" w:eastAsia="Times New Roman" w:cs="Times New Roman"/>
                <w:color w:val="auto"/>
                <w:spacing w:val="33"/>
                <w:w w:val="101"/>
                <w:sz w:val="20"/>
                <w:szCs w:val="20"/>
              </w:rPr>
              <w:t xml:space="preserve"> </w:t>
            </w:r>
            <w:r>
              <w:rPr>
                <w:color w:val="auto"/>
                <w:spacing w:val="-4"/>
                <w:sz w:val="20"/>
                <w:szCs w:val="20"/>
              </w:rPr>
              <w:t>以外的情况</w:t>
            </w:r>
          </w:p>
        </w:tc>
        <w:tc>
          <w:tcPr>
            <w:tcW w:w="1374" w:type="dxa"/>
            <w:vAlign w:val="center"/>
          </w:tcPr>
          <w:p w14:paraId="15653435">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4"/>
                <w:sz w:val="20"/>
                <w:szCs w:val="20"/>
              </w:rPr>
              <w:t>三级</w:t>
            </w:r>
          </w:p>
        </w:tc>
        <w:tc>
          <w:tcPr>
            <w:tcW w:w="1709" w:type="dxa"/>
            <w:vAlign w:val="center"/>
          </w:tcPr>
          <w:p w14:paraId="456AA771">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3"/>
                <w:sz w:val="20"/>
                <w:szCs w:val="20"/>
              </w:rPr>
              <w:t>属于</w:t>
            </w:r>
          </w:p>
        </w:tc>
      </w:tr>
      <w:tr w14:paraId="1059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trPr>
        <w:tc>
          <w:tcPr>
            <w:tcW w:w="8079" w:type="dxa"/>
            <w:gridSpan w:val="3"/>
            <w:vAlign w:val="center"/>
          </w:tcPr>
          <w:p w14:paraId="66EC50D1">
            <w:pPr>
              <w:pStyle w:val="27"/>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color w:val="auto"/>
                <w:sz w:val="20"/>
                <w:szCs w:val="20"/>
              </w:rPr>
            </w:pPr>
            <w:r>
              <w:rPr>
                <w:color w:val="auto"/>
                <w:spacing w:val="9"/>
                <w:sz w:val="20"/>
                <w:szCs w:val="20"/>
              </w:rPr>
              <w:t>当评价等级判定同时符合上述多种情况时，应采用其中最高的评价等</w:t>
            </w:r>
            <w:r>
              <w:rPr>
                <w:color w:val="auto"/>
                <w:spacing w:val="8"/>
                <w:sz w:val="20"/>
                <w:szCs w:val="20"/>
              </w:rPr>
              <w:t>级。</w:t>
            </w:r>
          </w:p>
        </w:tc>
      </w:tr>
    </w:tbl>
    <w:p w14:paraId="2BCB802E">
      <w:pPr>
        <w:pStyle w:val="9"/>
        <w:spacing w:before="115" w:line="361" w:lineRule="auto"/>
        <w:ind w:left="128" w:right="112" w:firstLine="477"/>
        <w:rPr>
          <w:color w:val="auto"/>
          <w:sz w:val="24"/>
          <w:szCs w:val="24"/>
        </w:rPr>
      </w:pPr>
      <w:r>
        <w:rPr>
          <w:color w:val="auto"/>
          <w:spacing w:val="-4"/>
          <w:sz w:val="24"/>
          <w:szCs w:val="24"/>
        </w:rPr>
        <w:t>项目不涉及上表</w:t>
      </w:r>
      <w:r>
        <w:rPr>
          <w:rFonts w:ascii="Times New Roman" w:hAnsi="Times New Roman" w:eastAsia="Times New Roman" w:cs="Times New Roman"/>
          <w:color w:val="auto"/>
          <w:spacing w:val="-4"/>
          <w:sz w:val="24"/>
          <w:szCs w:val="24"/>
        </w:rPr>
        <w:t>1~6</w:t>
      </w:r>
      <w:r>
        <w:rPr>
          <w:color w:val="auto"/>
          <w:spacing w:val="-4"/>
          <w:sz w:val="24"/>
          <w:szCs w:val="24"/>
        </w:rPr>
        <w:t>的情况。本</w:t>
      </w:r>
      <w:r>
        <w:rPr>
          <w:color w:val="auto"/>
          <w:spacing w:val="-1"/>
          <w:sz w:val="24"/>
          <w:szCs w:val="24"/>
        </w:rPr>
        <w:t>次生态影响评价按三级评价开展工作。</w:t>
      </w:r>
    </w:p>
    <w:p w14:paraId="7DDCFCE0">
      <w:pPr>
        <w:pStyle w:val="9"/>
        <w:keepNext w:val="0"/>
        <w:keepLines w:val="0"/>
        <w:pageBreakBefore w:val="0"/>
        <w:widowControl/>
        <w:wordWrap/>
        <w:overflowPunct/>
        <w:topLinePunct w:val="0"/>
        <w:autoSpaceDE w:val="0"/>
        <w:autoSpaceDN w:val="0"/>
        <w:bidi w:val="0"/>
        <w:adjustRightInd/>
        <w:snapToGrid/>
        <w:spacing w:line="360" w:lineRule="auto"/>
        <w:ind w:left="0"/>
        <w:textAlignment w:val="baseline"/>
        <w:outlineLvl w:val="3"/>
        <w:rPr>
          <w:color w:val="auto"/>
          <w:sz w:val="28"/>
          <w:szCs w:val="28"/>
        </w:rPr>
      </w:pPr>
      <w:r>
        <w:rPr>
          <w:rFonts w:ascii="Times New Roman" w:hAnsi="Times New Roman" w:eastAsia="Times New Roman" w:cs="Times New Roman"/>
          <w:b/>
          <w:bCs/>
          <w:color w:val="auto"/>
          <w:spacing w:val="-3"/>
          <w:sz w:val="28"/>
          <w:szCs w:val="28"/>
        </w:rPr>
        <w:t xml:space="preserve">1.5.6 </w:t>
      </w:r>
      <w:r>
        <w:rPr>
          <w:b/>
          <w:bCs/>
          <w:color w:val="auto"/>
          <w:spacing w:val="-3"/>
          <w:sz w:val="28"/>
          <w:szCs w:val="28"/>
        </w:rPr>
        <w:t>土壤评价等级</w:t>
      </w:r>
    </w:p>
    <w:p w14:paraId="56652AE5">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依据《环境影响评价技术导则 土壤环境》（HJ964－2018）附录 A 土壤环境影响评价项目类别，项目装卸搬运仓储业和</w:t>
      </w:r>
      <w:r>
        <w:rPr>
          <w:rFonts w:hint="eastAsia" w:ascii="Times New Roman" w:hAnsi="Times New Roman" w:eastAsia="宋体" w:cs="Times New Roman"/>
          <w:color w:val="auto"/>
          <w:spacing w:val="-1"/>
          <w:sz w:val="24"/>
          <w:szCs w:val="24"/>
          <w:lang w:val="en-US" w:eastAsia="zh-CN"/>
        </w:rPr>
        <w:t>新改建</w:t>
      </w:r>
      <w:r>
        <w:rPr>
          <w:rFonts w:hint="default" w:ascii="Times New Roman" w:hAnsi="Times New Roman" w:cs="Times New Roman"/>
          <w:color w:val="auto"/>
          <w:spacing w:val="-1"/>
          <w:sz w:val="24"/>
          <w:szCs w:val="24"/>
        </w:rPr>
        <w:t>铁路属于交通运输仓储邮政业，铁路项目中除维修场所为Ⅲ类外，其余均为Ⅳ类。</w:t>
      </w:r>
    </w:p>
    <w:p w14:paraId="59507D6B">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项目不涉及机车检修等工作，运营期仅负责线路、道岔保养，更换轨道伤损部件、线路和道岔钢轨打磨、翻修道口等，本工程属于Ⅳ类建设项目，无需开展土壤环境影响评价，只进行简单分析。</w:t>
      </w:r>
    </w:p>
    <w:p w14:paraId="38F80B42">
      <w:pPr>
        <w:pStyle w:val="9"/>
        <w:keepNext w:val="0"/>
        <w:keepLines w:val="0"/>
        <w:pageBreakBefore w:val="0"/>
        <w:widowControl/>
        <w:wordWrap/>
        <w:overflowPunct/>
        <w:topLinePunct w:val="0"/>
        <w:autoSpaceDE w:val="0"/>
        <w:autoSpaceDN w:val="0"/>
        <w:bidi w:val="0"/>
        <w:adjustRightInd/>
        <w:snapToGrid/>
        <w:spacing w:line="360" w:lineRule="auto"/>
        <w:ind w:left="0"/>
        <w:textAlignment w:val="baseline"/>
        <w:outlineLvl w:val="3"/>
        <w:rPr>
          <w:color w:val="auto"/>
          <w:sz w:val="28"/>
          <w:szCs w:val="28"/>
        </w:rPr>
      </w:pPr>
      <w:r>
        <w:rPr>
          <w:rFonts w:ascii="Times New Roman" w:hAnsi="Times New Roman" w:eastAsia="Times New Roman" w:cs="Times New Roman"/>
          <w:b/>
          <w:bCs/>
          <w:color w:val="auto"/>
          <w:spacing w:val="-3"/>
          <w:sz w:val="28"/>
          <w:szCs w:val="28"/>
        </w:rPr>
        <w:t>1.5.</w:t>
      </w:r>
      <w:r>
        <w:rPr>
          <w:rFonts w:hint="eastAsia" w:ascii="Times New Roman" w:hAnsi="Times New Roman" w:eastAsia="宋体" w:cs="Times New Roman"/>
          <w:b/>
          <w:bCs/>
          <w:color w:val="auto"/>
          <w:spacing w:val="-3"/>
          <w:sz w:val="28"/>
          <w:szCs w:val="28"/>
          <w:lang w:val="en-US" w:eastAsia="zh-CN"/>
        </w:rPr>
        <w:t>7</w:t>
      </w:r>
      <w:r>
        <w:rPr>
          <w:rFonts w:ascii="Times New Roman" w:hAnsi="Times New Roman" w:eastAsia="Times New Roman" w:cs="Times New Roman"/>
          <w:b/>
          <w:bCs/>
          <w:color w:val="auto"/>
          <w:spacing w:val="-3"/>
          <w:sz w:val="28"/>
          <w:szCs w:val="28"/>
        </w:rPr>
        <w:t xml:space="preserve"> </w:t>
      </w:r>
      <w:r>
        <w:rPr>
          <w:b/>
          <w:bCs/>
          <w:color w:val="auto"/>
          <w:spacing w:val="-3"/>
          <w:sz w:val="28"/>
          <w:szCs w:val="28"/>
        </w:rPr>
        <w:t>风险评价等级</w:t>
      </w:r>
    </w:p>
    <w:p w14:paraId="442854D4">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根据《建设项目环境风险评价技术导则》（HJ169-2018）从环境敏感程度（E）和危险物质及工艺系统危险性（P）两方面确定环境风险潜势，从而确定风险评价等级，划分依据见下表：</w:t>
      </w:r>
    </w:p>
    <w:p w14:paraId="72F858B5">
      <w:pPr>
        <w:pStyle w:val="36"/>
        <w:keepNext w:val="0"/>
        <w:keepLines w:val="0"/>
        <w:pageBreakBefore w:val="0"/>
        <w:widowControl w:val="0"/>
        <w:numPr>
          <w:ilvl w:val="1"/>
          <w:numId w:val="10"/>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建设项目环境风险评价工作等级划分表</w:t>
      </w:r>
    </w:p>
    <w:tbl>
      <w:tblPr>
        <w:tblStyle w:val="26"/>
        <w:tblW w:w="85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5"/>
        <w:gridCol w:w="1615"/>
        <w:gridCol w:w="1475"/>
        <w:gridCol w:w="1799"/>
        <w:gridCol w:w="1874"/>
      </w:tblGrid>
      <w:tr w14:paraId="76DCF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835" w:type="dxa"/>
            <w:vAlign w:val="top"/>
          </w:tcPr>
          <w:p w14:paraId="56A8E36A">
            <w:pPr>
              <w:pStyle w:val="27"/>
              <w:spacing w:before="97" w:line="222" w:lineRule="auto"/>
              <w:ind w:left="283"/>
              <w:rPr>
                <w:color w:val="auto"/>
                <w:sz w:val="20"/>
                <w:szCs w:val="20"/>
              </w:rPr>
            </w:pPr>
            <w:r>
              <w:rPr>
                <w:b/>
                <w:bCs/>
                <w:color w:val="auto"/>
                <w:spacing w:val="6"/>
                <w:sz w:val="20"/>
                <w:szCs w:val="20"/>
              </w:rPr>
              <w:t>环境风险潜势</w:t>
            </w:r>
          </w:p>
        </w:tc>
        <w:tc>
          <w:tcPr>
            <w:tcW w:w="1615" w:type="dxa"/>
            <w:vAlign w:val="top"/>
          </w:tcPr>
          <w:p w14:paraId="33C22FEF">
            <w:pPr>
              <w:pStyle w:val="27"/>
              <w:spacing w:before="124" w:line="195" w:lineRule="auto"/>
              <w:ind w:left="424"/>
              <w:rPr>
                <w:rFonts w:ascii="Times New Roman" w:hAnsi="Times New Roman" w:eastAsia="Times New Roman" w:cs="Times New Roman"/>
                <w:color w:val="auto"/>
                <w:sz w:val="13"/>
                <w:szCs w:val="13"/>
              </w:rPr>
            </w:pPr>
            <w:r>
              <w:rPr>
                <w:rFonts w:ascii="Times New Roman" w:hAnsi="Times New Roman" w:eastAsia="Times New Roman" w:cs="Times New Roman"/>
                <w:b/>
                <w:bCs/>
                <w:color w:val="auto"/>
                <w:spacing w:val="1"/>
                <w:sz w:val="20"/>
                <w:szCs w:val="20"/>
              </w:rPr>
              <w:t>Ⅳ</w:t>
            </w:r>
            <w:r>
              <w:rPr>
                <w:rFonts w:ascii="Times New Roman" w:hAnsi="Times New Roman" w:eastAsia="Times New Roman" w:cs="Times New Roman"/>
                <w:b/>
                <w:bCs/>
                <w:color w:val="auto"/>
                <w:spacing w:val="-26"/>
                <w:sz w:val="20"/>
                <w:szCs w:val="20"/>
              </w:rPr>
              <w:t xml:space="preserve"> </w:t>
            </w:r>
            <w:r>
              <w:rPr>
                <w:b/>
                <w:bCs/>
                <w:color w:val="auto"/>
                <w:spacing w:val="1"/>
                <w:sz w:val="20"/>
                <w:szCs w:val="20"/>
              </w:rPr>
              <w:t>、</w:t>
            </w:r>
            <w:r>
              <w:rPr>
                <w:rFonts w:ascii="Times New Roman" w:hAnsi="Times New Roman" w:eastAsia="Times New Roman" w:cs="Times New Roman"/>
                <w:b/>
                <w:bCs/>
                <w:color w:val="auto"/>
                <w:spacing w:val="1"/>
                <w:sz w:val="20"/>
                <w:szCs w:val="20"/>
              </w:rPr>
              <w:t>Ⅳ</w:t>
            </w:r>
            <w:r>
              <w:rPr>
                <w:rFonts w:ascii="Times New Roman" w:hAnsi="Times New Roman" w:eastAsia="Times New Roman" w:cs="Times New Roman"/>
                <w:b/>
                <w:bCs/>
                <w:color w:val="auto"/>
                <w:spacing w:val="1"/>
                <w:position w:val="6"/>
                <w:sz w:val="13"/>
                <w:szCs w:val="13"/>
              </w:rPr>
              <w:t>+</w:t>
            </w:r>
          </w:p>
        </w:tc>
        <w:tc>
          <w:tcPr>
            <w:tcW w:w="1475" w:type="dxa"/>
            <w:vAlign w:val="top"/>
          </w:tcPr>
          <w:p w14:paraId="7B197945">
            <w:pPr>
              <w:spacing w:before="136" w:line="192" w:lineRule="auto"/>
              <w:ind w:left="612"/>
              <w:rPr>
                <w:rFonts w:ascii="Times New Roman" w:hAnsi="Times New Roman" w:eastAsia="Times New Roman" w:cs="Times New Roman"/>
                <w:color w:val="auto"/>
                <w:sz w:val="20"/>
                <w:szCs w:val="20"/>
              </w:rPr>
            </w:pPr>
            <w:r>
              <w:rPr>
                <w:rFonts w:ascii="Times New Roman" w:hAnsi="Times New Roman" w:eastAsia="Times New Roman" w:cs="Times New Roman"/>
                <w:b/>
                <w:bCs/>
                <w:color w:val="auto"/>
                <w:spacing w:val="5"/>
                <w:sz w:val="20"/>
                <w:szCs w:val="20"/>
              </w:rPr>
              <w:t>Ⅲ</w:t>
            </w:r>
          </w:p>
        </w:tc>
        <w:tc>
          <w:tcPr>
            <w:tcW w:w="1799" w:type="dxa"/>
            <w:vAlign w:val="top"/>
          </w:tcPr>
          <w:p w14:paraId="2B63AB01">
            <w:pPr>
              <w:spacing w:before="136" w:line="192" w:lineRule="auto"/>
              <w:ind w:left="812"/>
              <w:rPr>
                <w:rFonts w:ascii="Times New Roman" w:hAnsi="Times New Roman" w:eastAsia="Times New Roman" w:cs="Times New Roman"/>
                <w:color w:val="auto"/>
                <w:sz w:val="20"/>
                <w:szCs w:val="20"/>
              </w:rPr>
            </w:pPr>
            <w:r>
              <w:rPr>
                <w:rFonts w:ascii="Times New Roman" w:hAnsi="Times New Roman" w:eastAsia="Times New Roman" w:cs="Times New Roman"/>
                <w:b/>
                <w:bCs/>
                <w:color w:val="auto"/>
                <w:spacing w:val="2"/>
                <w:sz w:val="20"/>
                <w:szCs w:val="20"/>
              </w:rPr>
              <w:t>Ⅱ</w:t>
            </w:r>
          </w:p>
        </w:tc>
        <w:tc>
          <w:tcPr>
            <w:tcW w:w="1874" w:type="dxa"/>
            <w:vAlign w:val="top"/>
          </w:tcPr>
          <w:p w14:paraId="4361AEF8">
            <w:pPr>
              <w:spacing w:before="136" w:line="192" w:lineRule="auto"/>
              <w:ind w:left="888"/>
              <w:rPr>
                <w:rFonts w:ascii="Times New Roman" w:hAnsi="Times New Roman" w:eastAsia="Times New Roman" w:cs="Times New Roman"/>
                <w:color w:val="auto"/>
                <w:sz w:val="20"/>
                <w:szCs w:val="20"/>
              </w:rPr>
            </w:pPr>
            <w:r>
              <w:rPr>
                <w:rFonts w:ascii="Times New Roman" w:hAnsi="Times New Roman" w:eastAsia="Times New Roman" w:cs="Times New Roman"/>
                <w:b/>
                <w:bCs/>
                <w:color w:val="auto"/>
                <w:sz w:val="20"/>
                <w:szCs w:val="20"/>
              </w:rPr>
              <w:t>Ⅰ</w:t>
            </w:r>
          </w:p>
        </w:tc>
      </w:tr>
      <w:tr w14:paraId="57C9A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835" w:type="dxa"/>
            <w:vAlign w:val="top"/>
          </w:tcPr>
          <w:p w14:paraId="56FD65CE">
            <w:pPr>
              <w:pStyle w:val="27"/>
              <w:spacing w:before="95" w:line="220" w:lineRule="auto"/>
              <w:ind w:left="283"/>
              <w:rPr>
                <w:color w:val="auto"/>
                <w:sz w:val="20"/>
                <w:szCs w:val="20"/>
              </w:rPr>
            </w:pPr>
            <w:r>
              <w:rPr>
                <w:color w:val="auto"/>
                <w:spacing w:val="8"/>
                <w:sz w:val="20"/>
                <w:szCs w:val="20"/>
              </w:rPr>
              <w:t>评价工作等级</w:t>
            </w:r>
          </w:p>
        </w:tc>
        <w:tc>
          <w:tcPr>
            <w:tcW w:w="1615" w:type="dxa"/>
            <w:vAlign w:val="top"/>
          </w:tcPr>
          <w:p w14:paraId="51634083">
            <w:pPr>
              <w:pStyle w:val="27"/>
              <w:spacing w:before="173" w:line="156" w:lineRule="exact"/>
              <w:ind w:left="702"/>
              <w:rPr>
                <w:color w:val="auto"/>
                <w:sz w:val="20"/>
                <w:szCs w:val="20"/>
              </w:rPr>
            </w:pPr>
            <w:r>
              <w:rPr>
                <w:color w:val="auto"/>
                <w:position w:val="-4"/>
                <w:sz w:val="20"/>
                <w:szCs w:val="20"/>
              </w:rPr>
              <w:t>一</w:t>
            </w:r>
          </w:p>
        </w:tc>
        <w:tc>
          <w:tcPr>
            <w:tcW w:w="1475" w:type="dxa"/>
            <w:vAlign w:val="top"/>
          </w:tcPr>
          <w:p w14:paraId="5F0E26A6">
            <w:pPr>
              <w:pStyle w:val="27"/>
              <w:spacing w:before="134" w:line="183" w:lineRule="auto"/>
              <w:ind w:left="634"/>
              <w:rPr>
                <w:color w:val="auto"/>
                <w:sz w:val="20"/>
                <w:szCs w:val="20"/>
              </w:rPr>
            </w:pPr>
            <w:r>
              <w:rPr>
                <w:color w:val="auto"/>
                <w:sz w:val="20"/>
                <w:szCs w:val="20"/>
              </w:rPr>
              <w:t>二</w:t>
            </w:r>
          </w:p>
        </w:tc>
        <w:tc>
          <w:tcPr>
            <w:tcW w:w="1799" w:type="dxa"/>
            <w:vAlign w:val="top"/>
          </w:tcPr>
          <w:p w14:paraId="37D7596B">
            <w:pPr>
              <w:pStyle w:val="27"/>
              <w:spacing w:before="95" w:line="220" w:lineRule="auto"/>
              <w:ind w:left="792"/>
              <w:rPr>
                <w:color w:val="auto"/>
                <w:sz w:val="20"/>
                <w:szCs w:val="20"/>
              </w:rPr>
            </w:pPr>
            <w:r>
              <w:rPr>
                <w:color w:val="auto"/>
                <w:sz w:val="20"/>
                <w:szCs w:val="20"/>
              </w:rPr>
              <w:t>三</w:t>
            </w:r>
          </w:p>
        </w:tc>
        <w:tc>
          <w:tcPr>
            <w:tcW w:w="1874" w:type="dxa"/>
            <w:vAlign w:val="top"/>
          </w:tcPr>
          <w:p w14:paraId="24EFA052">
            <w:pPr>
              <w:pStyle w:val="27"/>
              <w:spacing w:before="95" w:line="220" w:lineRule="auto"/>
              <w:ind w:left="462"/>
              <w:rPr>
                <w:rFonts w:ascii="Times New Roman" w:hAnsi="Times New Roman" w:eastAsia="Times New Roman" w:cs="Times New Roman"/>
                <w:color w:val="auto"/>
                <w:sz w:val="13"/>
                <w:szCs w:val="13"/>
              </w:rPr>
            </w:pPr>
            <w:r>
              <w:rPr>
                <w:color w:val="auto"/>
                <w:spacing w:val="5"/>
                <w:sz w:val="20"/>
                <w:szCs w:val="20"/>
              </w:rPr>
              <w:t>简单分析</w:t>
            </w:r>
            <w:r>
              <w:rPr>
                <w:color w:val="auto"/>
                <w:spacing w:val="-43"/>
                <w:sz w:val="20"/>
                <w:szCs w:val="20"/>
              </w:rPr>
              <w:t xml:space="preserve"> </w:t>
            </w:r>
            <w:r>
              <w:rPr>
                <w:rFonts w:ascii="Times New Roman" w:hAnsi="Times New Roman" w:eastAsia="Times New Roman" w:cs="Times New Roman"/>
                <w:color w:val="auto"/>
                <w:spacing w:val="5"/>
                <w:position w:val="6"/>
                <w:sz w:val="13"/>
                <w:szCs w:val="13"/>
              </w:rPr>
              <w:t>a</w:t>
            </w:r>
          </w:p>
        </w:tc>
      </w:tr>
      <w:tr w14:paraId="7F29E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8598" w:type="dxa"/>
            <w:gridSpan w:val="5"/>
            <w:vAlign w:val="top"/>
          </w:tcPr>
          <w:p w14:paraId="4898A494">
            <w:pPr>
              <w:pStyle w:val="27"/>
              <w:spacing w:before="94" w:line="269" w:lineRule="auto"/>
              <w:ind w:left="120" w:right="130" w:hanging="8"/>
              <w:rPr>
                <w:color w:val="auto"/>
                <w:sz w:val="20"/>
                <w:szCs w:val="20"/>
              </w:rPr>
            </w:pPr>
            <w:r>
              <w:rPr>
                <w:rFonts w:ascii="Times New Roman" w:hAnsi="Times New Roman" w:eastAsia="Times New Roman" w:cs="Times New Roman"/>
                <w:color w:val="auto"/>
                <w:spacing w:val="9"/>
                <w:sz w:val="13"/>
                <w:szCs w:val="13"/>
              </w:rPr>
              <w:t>a</w:t>
            </w:r>
            <w:r>
              <w:rPr>
                <w:rFonts w:ascii="Times New Roman" w:hAnsi="Times New Roman" w:eastAsia="Times New Roman" w:cs="Times New Roman"/>
                <w:color w:val="auto"/>
                <w:spacing w:val="26"/>
                <w:w w:val="101"/>
                <w:sz w:val="13"/>
                <w:szCs w:val="13"/>
              </w:rPr>
              <w:t xml:space="preserve"> </w:t>
            </w:r>
            <w:r>
              <w:rPr>
                <w:color w:val="auto"/>
                <w:spacing w:val="9"/>
                <w:sz w:val="20"/>
                <w:szCs w:val="20"/>
              </w:rPr>
              <w:t>是对于详细评价工作内容而言，在描述危险物质、环境影响途径、环境危害后果、风险防</w:t>
            </w:r>
            <w:r>
              <w:rPr>
                <w:color w:val="auto"/>
                <w:spacing w:val="8"/>
                <w:sz w:val="20"/>
                <w:szCs w:val="20"/>
              </w:rPr>
              <w:t>范措施等方面给出定性的说明。见附录</w:t>
            </w:r>
            <w:r>
              <w:rPr>
                <w:color w:val="auto"/>
                <w:spacing w:val="-39"/>
                <w:sz w:val="20"/>
                <w:szCs w:val="20"/>
              </w:rPr>
              <w:t xml:space="preserve"> </w:t>
            </w:r>
            <w:r>
              <w:rPr>
                <w:rFonts w:ascii="Times New Roman" w:hAnsi="Times New Roman" w:eastAsia="Times New Roman" w:cs="Times New Roman"/>
                <w:color w:val="auto"/>
                <w:spacing w:val="8"/>
                <w:sz w:val="20"/>
                <w:szCs w:val="20"/>
              </w:rPr>
              <w:t>A</w:t>
            </w:r>
            <w:r>
              <w:rPr>
                <w:color w:val="auto"/>
                <w:spacing w:val="8"/>
                <w:sz w:val="20"/>
                <w:szCs w:val="20"/>
              </w:rPr>
              <w:t>。</w:t>
            </w:r>
          </w:p>
        </w:tc>
      </w:tr>
    </w:tbl>
    <w:p w14:paraId="7832B5C6">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color w:val="auto"/>
        </w:rPr>
      </w:pPr>
      <w:r>
        <w:rPr>
          <w:rFonts w:hint="eastAsia" w:ascii="Times New Roman" w:hAnsi="Times New Roman" w:cs="Times New Roman"/>
          <w:color w:val="auto"/>
          <w:spacing w:val="-1"/>
          <w:sz w:val="24"/>
          <w:szCs w:val="24"/>
          <w:lang w:val="en-US" w:eastAsia="zh-CN"/>
        </w:rPr>
        <w:t>项目</w:t>
      </w:r>
      <w:r>
        <w:rPr>
          <w:rFonts w:hint="default" w:ascii="Times New Roman" w:hAnsi="Times New Roman" w:cs="Times New Roman"/>
          <w:color w:val="auto"/>
          <w:spacing w:val="-1"/>
          <w:sz w:val="24"/>
          <w:szCs w:val="24"/>
        </w:rPr>
        <w:t>涉及的柴油、废矿物油属于《建设项 目环境风险评价技术导则》 （HJ169-2018）附录 中突发环境事件风险物质。</w:t>
      </w:r>
    </w:p>
    <w:p w14:paraId="5321C207">
      <w:pPr>
        <w:pStyle w:val="36"/>
        <w:keepNext w:val="0"/>
        <w:keepLines w:val="0"/>
        <w:pageBreakBefore w:val="0"/>
        <w:widowControl w:val="0"/>
        <w:numPr>
          <w:ilvl w:val="1"/>
          <w:numId w:val="10"/>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环境风险物质数量与其临界量比值（Q）</w:t>
      </w:r>
    </w:p>
    <w:p w14:paraId="7FE7B44E">
      <w:pPr>
        <w:spacing w:line="21" w:lineRule="auto"/>
        <w:rPr>
          <w:rFonts w:ascii="Arial"/>
          <w:color w:val="auto"/>
          <w:sz w:val="2"/>
        </w:rPr>
      </w:pPr>
    </w:p>
    <w:tbl>
      <w:tblPr>
        <w:tblStyle w:val="26"/>
        <w:tblW w:w="84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7"/>
        <w:gridCol w:w="1290"/>
        <w:gridCol w:w="2475"/>
        <w:gridCol w:w="1695"/>
        <w:gridCol w:w="1193"/>
        <w:gridCol w:w="1186"/>
      </w:tblGrid>
      <w:tr w14:paraId="6F6BC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57" w:type="dxa"/>
            <w:vAlign w:val="top"/>
          </w:tcPr>
          <w:p w14:paraId="03741BCE">
            <w:pPr>
              <w:pStyle w:val="27"/>
              <w:spacing w:before="97" w:line="221" w:lineRule="auto"/>
              <w:ind w:left="124"/>
              <w:rPr>
                <w:color w:val="auto"/>
                <w:sz w:val="20"/>
                <w:szCs w:val="20"/>
              </w:rPr>
            </w:pPr>
            <w:r>
              <w:rPr>
                <w:b/>
                <w:bCs/>
                <w:color w:val="auto"/>
                <w:spacing w:val="4"/>
                <w:sz w:val="20"/>
                <w:szCs w:val="20"/>
              </w:rPr>
              <w:t>序号</w:t>
            </w:r>
          </w:p>
        </w:tc>
        <w:tc>
          <w:tcPr>
            <w:tcW w:w="1290" w:type="dxa"/>
            <w:vAlign w:val="top"/>
          </w:tcPr>
          <w:p w14:paraId="1BF58B25">
            <w:pPr>
              <w:pStyle w:val="27"/>
              <w:spacing w:before="97" w:line="221" w:lineRule="auto"/>
              <w:ind w:left="228"/>
              <w:rPr>
                <w:color w:val="auto"/>
                <w:sz w:val="20"/>
                <w:szCs w:val="20"/>
              </w:rPr>
            </w:pPr>
            <w:r>
              <w:rPr>
                <w:b/>
                <w:bCs/>
                <w:color w:val="auto"/>
                <w:spacing w:val="6"/>
                <w:sz w:val="20"/>
                <w:szCs w:val="20"/>
              </w:rPr>
              <w:t>物质名称</w:t>
            </w:r>
          </w:p>
        </w:tc>
        <w:tc>
          <w:tcPr>
            <w:tcW w:w="2475" w:type="dxa"/>
            <w:vAlign w:val="top"/>
          </w:tcPr>
          <w:p w14:paraId="396E1261">
            <w:pPr>
              <w:pStyle w:val="27"/>
              <w:spacing w:before="97" w:line="221" w:lineRule="auto"/>
              <w:ind w:left="178"/>
              <w:rPr>
                <w:color w:val="auto"/>
                <w:sz w:val="20"/>
                <w:szCs w:val="20"/>
              </w:rPr>
            </w:pPr>
            <w:r>
              <w:rPr>
                <w:b/>
                <w:bCs/>
                <w:color w:val="auto"/>
                <w:spacing w:val="6"/>
                <w:sz w:val="20"/>
                <w:szCs w:val="20"/>
              </w:rPr>
              <w:t>是否为附录</w:t>
            </w:r>
            <w:r>
              <w:rPr>
                <w:color w:val="auto"/>
                <w:spacing w:val="-40"/>
                <w:sz w:val="20"/>
                <w:szCs w:val="20"/>
              </w:rPr>
              <w:t xml:space="preserve"> </w:t>
            </w:r>
            <w:r>
              <w:rPr>
                <w:rFonts w:ascii="Times New Roman" w:hAnsi="Times New Roman" w:eastAsia="Times New Roman" w:cs="Times New Roman"/>
                <w:b/>
                <w:bCs/>
                <w:color w:val="auto"/>
                <w:spacing w:val="6"/>
                <w:sz w:val="20"/>
                <w:szCs w:val="20"/>
              </w:rPr>
              <w:t xml:space="preserve">B </w:t>
            </w:r>
            <w:r>
              <w:rPr>
                <w:b/>
                <w:bCs/>
                <w:color w:val="auto"/>
                <w:spacing w:val="6"/>
                <w:sz w:val="20"/>
                <w:szCs w:val="20"/>
              </w:rPr>
              <w:t>风险物质</w:t>
            </w:r>
          </w:p>
        </w:tc>
        <w:tc>
          <w:tcPr>
            <w:tcW w:w="1695" w:type="dxa"/>
            <w:vAlign w:val="top"/>
          </w:tcPr>
          <w:p w14:paraId="52F7ECC9">
            <w:pPr>
              <w:pStyle w:val="27"/>
              <w:spacing w:before="97" w:line="221" w:lineRule="auto"/>
              <w:ind w:left="115"/>
              <w:rPr>
                <w:color w:val="auto"/>
                <w:sz w:val="20"/>
                <w:szCs w:val="20"/>
              </w:rPr>
            </w:pPr>
            <w:r>
              <w:rPr>
                <w:b/>
                <w:bCs/>
                <w:color w:val="auto"/>
                <w:spacing w:val="5"/>
                <w:sz w:val="20"/>
                <w:szCs w:val="20"/>
              </w:rPr>
              <w:t>最大贮存量（</w:t>
            </w:r>
            <w:r>
              <w:rPr>
                <w:rFonts w:ascii="Times New Roman" w:hAnsi="Times New Roman" w:eastAsia="Times New Roman" w:cs="Times New Roman"/>
                <w:b/>
                <w:bCs/>
                <w:color w:val="auto"/>
                <w:spacing w:val="5"/>
                <w:sz w:val="20"/>
                <w:szCs w:val="20"/>
              </w:rPr>
              <w:t>t</w:t>
            </w:r>
            <w:r>
              <w:rPr>
                <w:b/>
                <w:bCs/>
                <w:color w:val="auto"/>
                <w:spacing w:val="5"/>
                <w:sz w:val="20"/>
                <w:szCs w:val="20"/>
              </w:rPr>
              <w:t>）</w:t>
            </w:r>
          </w:p>
        </w:tc>
        <w:tc>
          <w:tcPr>
            <w:tcW w:w="1193" w:type="dxa"/>
            <w:vAlign w:val="top"/>
          </w:tcPr>
          <w:p w14:paraId="24FAA4B0">
            <w:pPr>
              <w:pStyle w:val="27"/>
              <w:spacing w:before="97" w:line="221" w:lineRule="auto"/>
              <w:ind w:right="9"/>
              <w:jc w:val="right"/>
              <w:rPr>
                <w:color w:val="auto"/>
                <w:sz w:val="20"/>
                <w:szCs w:val="20"/>
              </w:rPr>
            </w:pPr>
            <w:r>
              <w:rPr>
                <w:b/>
                <w:bCs/>
                <w:color w:val="auto"/>
                <w:spacing w:val="-4"/>
                <w:sz w:val="20"/>
                <w:szCs w:val="20"/>
              </w:rPr>
              <w:t>临界量（</w:t>
            </w:r>
            <w:r>
              <w:rPr>
                <w:rFonts w:ascii="Times New Roman" w:hAnsi="Times New Roman" w:eastAsia="Times New Roman" w:cs="Times New Roman"/>
                <w:b/>
                <w:bCs/>
                <w:color w:val="auto"/>
                <w:spacing w:val="-4"/>
                <w:sz w:val="20"/>
                <w:szCs w:val="20"/>
              </w:rPr>
              <w:t>t</w:t>
            </w:r>
            <w:r>
              <w:rPr>
                <w:b/>
                <w:bCs/>
                <w:color w:val="auto"/>
                <w:spacing w:val="-4"/>
                <w:sz w:val="20"/>
                <w:szCs w:val="20"/>
              </w:rPr>
              <w:t>）</w:t>
            </w:r>
          </w:p>
        </w:tc>
        <w:tc>
          <w:tcPr>
            <w:tcW w:w="1186" w:type="dxa"/>
            <w:vAlign w:val="top"/>
          </w:tcPr>
          <w:p w14:paraId="3840EDC5">
            <w:pPr>
              <w:spacing w:before="132" w:line="197" w:lineRule="auto"/>
              <w:ind w:left="335"/>
              <w:rPr>
                <w:rFonts w:ascii="Times New Roman" w:hAnsi="Times New Roman" w:eastAsia="Times New Roman" w:cs="Times New Roman"/>
                <w:color w:val="auto"/>
                <w:sz w:val="20"/>
                <w:szCs w:val="20"/>
              </w:rPr>
            </w:pPr>
            <w:r>
              <w:rPr>
                <w:rFonts w:ascii="Times New Roman" w:hAnsi="Times New Roman" w:eastAsia="Times New Roman" w:cs="Times New Roman"/>
                <w:b/>
                <w:bCs/>
                <w:color w:val="auto"/>
                <w:sz w:val="20"/>
                <w:szCs w:val="20"/>
              </w:rPr>
              <w:t>q</w:t>
            </w:r>
            <w:r>
              <w:rPr>
                <w:rFonts w:ascii="Times New Roman" w:hAnsi="Times New Roman" w:eastAsia="Times New Roman" w:cs="Times New Roman"/>
                <w:b/>
                <w:bCs/>
                <w:color w:val="auto"/>
                <w:position w:val="-1"/>
                <w:sz w:val="13"/>
                <w:szCs w:val="13"/>
              </w:rPr>
              <w:t>n</w:t>
            </w:r>
            <w:r>
              <w:rPr>
                <w:rFonts w:ascii="Times New Roman" w:hAnsi="Times New Roman" w:eastAsia="Times New Roman" w:cs="Times New Roman"/>
                <w:b/>
                <w:bCs/>
                <w:color w:val="auto"/>
                <w:spacing w:val="15"/>
                <w:sz w:val="20"/>
                <w:szCs w:val="20"/>
              </w:rPr>
              <w:t>/</w:t>
            </w:r>
            <w:r>
              <w:rPr>
                <w:rFonts w:ascii="Times New Roman" w:hAnsi="Times New Roman" w:eastAsia="Times New Roman" w:cs="Times New Roman"/>
                <w:b/>
                <w:bCs/>
                <w:color w:val="auto"/>
                <w:sz w:val="20"/>
                <w:szCs w:val="20"/>
              </w:rPr>
              <w:t>Qn</w:t>
            </w:r>
          </w:p>
        </w:tc>
      </w:tr>
      <w:tr w14:paraId="317F0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657" w:type="dxa"/>
            <w:vAlign w:val="center"/>
          </w:tcPr>
          <w:p w14:paraId="2B7BE6A8">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Times New Roman" w:hAnsi="Times New Roman" w:eastAsia="Times New Roman" w:cs="Times New Roman"/>
                <w:color w:val="auto"/>
                <w:sz w:val="20"/>
                <w:szCs w:val="20"/>
              </w:rPr>
            </w:pPr>
            <w:r>
              <w:rPr>
                <w:rFonts w:hint="eastAsia" w:ascii="Times New Roman" w:hAnsi="Times New Roman" w:eastAsia="宋体" w:cs="Times New Roman"/>
                <w:color w:val="auto"/>
                <w:spacing w:val="2"/>
                <w:sz w:val="20"/>
                <w:szCs w:val="20"/>
                <w:lang w:val="en-US" w:eastAsia="zh-CN"/>
              </w:rPr>
              <w:t>1</w:t>
            </w:r>
          </w:p>
        </w:tc>
        <w:tc>
          <w:tcPr>
            <w:tcW w:w="1290" w:type="dxa"/>
            <w:vAlign w:val="center"/>
          </w:tcPr>
          <w:p w14:paraId="6D76140A">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color w:val="auto"/>
                <w:sz w:val="20"/>
                <w:szCs w:val="20"/>
              </w:rPr>
            </w:pPr>
            <w:r>
              <w:rPr>
                <w:rFonts w:ascii="Times New Roman" w:hAnsi="Times New Roman" w:eastAsia="Times New Roman" w:cs="Times New Roman"/>
                <w:color w:val="auto"/>
                <w:spacing w:val="4"/>
                <w:sz w:val="20"/>
                <w:szCs w:val="20"/>
              </w:rPr>
              <w:t>2500</w:t>
            </w:r>
          </w:p>
        </w:tc>
        <w:tc>
          <w:tcPr>
            <w:tcW w:w="2475" w:type="dxa"/>
            <w:vAlign w:val="center"/>
          </w:tcPr>
          <w:p w14:paraId="5F78EF60">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color w:val="auto"/>
                <w:sz w:val="20"/>
                <w:szCs w:val="20"/>
              </w:rPr>
            </w:pPr>
            <w:r>
              <w:rPr>
                <w:rFonts w:hint="eastAsia" w:ascii="Times New Roman" w:hAnsi="Times New Roman" w:cs="Times New Roman"/>
                <w:color w:val="auto"/>
                <w:spacing w:val="4"/>
                <w:sz w:val="20"/>
                <w:szCs w:val="20"/>
                <w:lang w:val="en-US" w:eastAsia="zh-CN"/>
              </w:rPr>
              <w:t>是</w:t>
            </w:r>
          </w:p>
        </w:tc>
        <w:tc>
          <w:tcPr>
            <w:tcW w:w="1695" w:type="dxa"/>
            <w:vAlign w:val="center"/>
          </w:tcPr>
          <w:p w14:paraId="72938DE9">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Times New Roman" w:cs="Times New Roman"/>
                <w:color w:val="auto"/>
                <w:sz w:val="20"/>
                <w:szCs w:val="20"/>
                <w:lang w:val="en-US"/>
              </w:rPr>
            </w:pPr>
            <w:r>
              <w:rPr>
                <w:rFonts w:hint="eastAsia" w:ascii="Times New Roman" w:hAnsi="Times New Roman" w:eastAsia="宋体" w:cs="Times New Roman"/>
                <w:color w:val="auto"/>
                <w:spacing w:val="2"/>
                <w:sz w:val="20"/>
                <w:szCs w:val="20"/>
                <w:lang w:val="en-US" w:eastAsia="zh-CN"/>
              </w:rPr>
              <w:t>8.82</w:t>
            </w:r>
          </w:p>
        </w:tc>
        <w:tc>
          <w:tcPr>
            <w:tcW w:w="1193" w:type="dxa"/>
            <w:vAlign w:val="center"/>
          </w:tcPr>
          <w:p w14:paraId="1C0AE1C2">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4"/>
                <w:sz w:val="20"/>
                <w:szCs w:val="20"/>
              </w:rPr>
              <w:t>2500</w:t>
            </w:r>
          </w:p>
        </w:tc>
        <w:tc>
          <w:tcPr>
            <w:tcW w:w="1186" w:type="dxa"/>
            <w:vAlign w:val="center"/>
          </w:tcPr>
          <w:p w14:paraId="3747AD6E">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Times New Roman" w:cs="Times New Roman"/>
                <w:color w:val="auto"/>
                <w:sz w:val="13"/>
                <w:szCs w:val="13"/>
                <w:lang w:val="en-US"/>
              </w:rPr>
            </w:pPr>
            <w:r>
              <w:rPr>
                <w:rFonts w:hint="eastAsia" w:ascii="Times New Roman" w:hAnsi="Times New Roman" w:cs="Times New Roman"/>
                <w:color w:val="auto"/>
                <w:spacing w:val="4"/>
                <w:sz w:val="20"/>
                <w:szCs w:val="20"/>
                <w:lang w:val="en-US" w:eastAsia="zh-CN"/>
              </w:rPr>
              <w:t>0.003528</w:t>
            </w:r>
          </w:p>
        </w:tc>
      </w:tr>
      <w:tr w14:paraId="11BA8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57" w:type="dxa"/>
            <w:vAlign w:val="center"/>
          </w:tcPr>
          <w:p w14:paraId="58B7B905">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eastAsia" w:ascii="Times New Roman" w:hAnsi="Times New Roman" w:eastAsia="宋体" w:cs="Times New Roman"/>
                <w:color w:val="auto"/>
                <w:sz w:val="20"/>
                <w:szCs w:val="20"/>
                <w:lang w:eastAsia="zh-CN"/>
              </w:rPr>
            </w:pPr>
            <w:r>
              <w:rPr>
                <w:rFonts w:hint="eastAsia" w:ascii="Times New Roman" w:hAnsi="Times New Roman" w:eastAsia="宋体" w:cs="Times New Roman"/>
                <w:color w:val="auto"/>
                <w:spacing w:val="1"/>
                <w:sz w:val="20"/>
                <w:szCs w:val="20"/>
                <w:lang w:val="en-US" w:eastAsia="zh-CN"/>
              </w:rPr>
              <w:t>2</w:t>
            </w:r>
          </w:p>
        </w:tc>
        <w:tc>
          <w:tcPr>
            <w:tcW w:w="1290" w:type="dxa"/>
            <w:vAlign w:val="center"/>
          </w:tcPr>
          <w:p w14:paraId="70AE5E95">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color w:val="auto"/>
                <w:sz w:val="20"/>
                <w:szCs w:val="20"/>
              </w:rPr>
            </w:pPr>
            <w:r>
              <w:rPr>
                <w:rFonts w:ascii="Times New Roman" w:hAnsi="Times New Roman" w:eastAsia="Times New Roman" w:cs="Times New Roman"/>
                <w:color w:val="auto"/>
                <w:spacing w:val="4"/>
                <w:sz w:val="20"/>
                <w:szCs w:val="20"/>
              </w:rPr>
              <w:t>2500</w:t>
            </w:r>
          </w:p>
        </w:tc>
        <w:tc>
          <w:tcPr>
            <w:tcW w:w="2475" w:type="dxa"/>
            <w:vAlign w:val="center"/>
          </w:tcPr>
          <w:p w14:paraId="383D467C">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color w:val="auto"/>
                <w:sz w:val="20"/>
                <w:szCs w:val="20"/>
              </w:rPr>
            </w:pPr>
            <w:r>
              <w:rPr>
                <w:rFonts w:hint="eastAsia" w:ascii="Times New Roman" w:hAnsi="Times New Roman" w:cs="Times New Roman"/>
                <w:color w:val="auto"/>
                <w:spacing w:val="4"/>
                <w:sz w:val="20"/>
                <w:szCs w:val="20"/>
                <w:lang w:val="en-US" w:eastAsia="zh-CN"/>
              </w:rPr>
              <w:t>是</w:t>
            </w:r>
          </w:p>
        </w:tc>
        <w:tc>
          <w:tcPr>
            <w:tcW w:w="1695" w:type="dxa"/>
            <w:vAlign w:val="center"/>
          </w:tcPr>
          <w:p w14:paraId="59932305">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pacing w:val="1"/>
                <w:sz w:val="20"/>
                <w:szCs w:val="20"/>
                <w:lang w:val="en-US" w:eastAsia="zh-CN"/>
              </w:rPr>
              <w:t>0.01</w:t>
            </w:r>
          </w:p>
        </w:tc>
        <w:tc>
          <w:tcPr>
            <w:tcW w:w="1193" w:type="dxa"/>
            <w:vAlign w:val="center"/>
          </w:tcPr>
          <w:p w14:paraId="11D29A42">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4"/>
                <w:sz w:val="20"/>
                <w:szCs w:val="20"/>
              </w:rPr>
              <w:t>2500</w:t>
            </w:r>
          </w:p>
        </w:tc>
        <w:tc>
          <w:tcPr>
            <w:tcW w:w="1186" w:type="dxa"/>
            <w:vAlign w:val="center"/>
          </w:tcPr>
          <w:p w14:paraId="52C8459C">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Times New Roman" w:hAnsi="Times New Roman" w:eastAsia="Times New Roman" w:cs="Times New Roman"/>
                <w:color w:val="auto"/>
                <w:sz w:val="13"/>
                <w:szCs w:val="13"/>
              </w:rPr>
            </w:pPr>
            <w:r>
              <w:rPr>
                <w:rFonts w:hint="eastAsia" w:ascii="Times New Roman" w:hAnsi="Times New Roman" w:eastAsia="宋体" w:cs="Times New Roman"/>
                <w:color w:val="auto"/>
                <w:spacing w:val="2"/>
                <w:sz w:val="20"/>
                <w:szCs w:val="20"/>
                <w:lang w:val="en-US" w:eastAsia="zh-CN"/>
              </w:rPr>
              <w:t>0.000004</w:t>
            </w:r>
          </w:p>
        </w:tc>
      </w:tr>
      <w:tr w14:paraId="32DD7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7310" w:type="dxa"/>
            <w:gridSpan w:val="5"/>
            <w:vAlign w:val="top"/>
          </w:tcPr>
          <w:p w14:paraId="2AADBD94">
            <w:pPr>
              <w:pStyle w:val="27"/>
              <w:spacing w:before="95" w:line="223" w:lineRule="auto"/>
              <w:ind w:left="3464"/>
              <w:rPr>
                <w:color w:val="auto"/>
                <w:sz w:val="20"/>
                <w:szCs w:val="20"/>
              </w:rPr>
            </w:pPr>
            <w:r>
              <w:rPr>
                <w:color w:val="auto"/>
                <w:spacing w:val="4"/>
                <w:sz w:val="20"/>
                <w:szCs w:val="20"/>
              </w:rPr>
              <w:t>合计</w:t>
            </w:r>
          </w:p>
        </w:tc>
        <w:tc>
          <w:tcPr>
            <w:tcW w:w="1186" w:type="dxa"/>
            <w:vAlign w:val="center"/>
          </w:tcPr>
          <w:p w14:paraId="7C3AA087">
            <w:pPr>
              <w:pStyle w:val="27"/>
              <w:spacing w:before="69" w:line="206" w:lineRule="auto"/>
              <w:ind w:left="152"/>
              <w:jc w:val="center"/>
              <w:rPr>
                <w:rFonts w:hint="default" w:ascii="Times New Roman" w:hAnsi="Times New Roman" w:eastAsia="宋体" w:cs="Times New Roman"/>
                <w:color w:val="auto"/>
                <w:sz w:val="15"/>
                <w:szCs w:val="15"/>
                <w:lang w:val="en-US" w:eastAsia="zh-CN"/>
              </w:rPr>
            </w:pPr>
            <w:r>
              <w:rPr>
                <w:rFonts w:hint="eastAsia" w:ascii="Times New Roman" w:hAnsi="Times New Roman" w:eastAsia="宋体" w:cs="Times New Roman"/>
                <w:color w:val="auto"/>
                <w:spacing w:val="-2"/>
                <w:lang w:eastAsia="zh-CN"/>
              </w:rPr>
              <w:t>0.00</w:t>
            </w:r>
            <w:r>
              <w:rPr>
                <w:rFonts w:hint="eastAsia" w:ascii="Times New Roman" w:hAnsi="Times New Roman" w:cs="Times New Roman"/>
                <w:color w:val="auto"/>
                <w:spacing w:val="-2"/>
                <w:lang w:val="en-US" w:eastAsia="zh-CN"/>
              </w:rPr>
              <w:t>03532</w:t>
            </w:r>
          </w:p>
        </w:tc>
      </w:tr>
    </w:tbl>
    <w:p w14:paraId="6374F476">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eastAsia" w:ascii="Times New Roman" w:hAnsi="Times New Roman" w:cs="Times New Roman"/>
          <w:color w:val="auto"/>
          <w:spacing w:val="-1"/>
          <w:sz w:val="24"/>
          <w:szCs w:val="24"/>
          <w:lang w:val="en-US" w:eastAsia="zh-CN"/>
        </w:rPr>
      </w:pPr>
      <w:r>
        <w:rPr>
          <w:rFonts w:hint="eastAsia" w:ascii="Times New Roman" w:hAnsi="Times New Roman" w:cs="Times New Roman"/>
          <w:color w:val="auto"/>
          <w:spacing w:val="-1"/>
          <w:sz w:val="24"/>
          <w:szCs w:val="24"/>
          <w:lang w:val="en-US" w:eastAsia="zh-CN"/>
        </w:rPr>
        <w:t>根据上表可知，本项目涉及的风险物质最大储量与临界量比值的和为0.0003532，Q&lt;1，可直接判定项目环境风险潜势为Ⅰ，地下水环境风险不设评价等级，只进行简单分析。</w:t>
      </w:r>
    </w:p>
    <w:p w14:paraId="431860F4">
      <w:pPr>
        <w:pStyle w:val="9"/>
        <w:keepNext w:val="0"/>
        <w:keepLines w:val="0"/>
        <w:pageBreakBefore w:val="0"/>
        <w:widowControl/>
        <w:kinsoku w:val="0"/>
        <w:wordWrap/>
        <w:overflowPunct/>
        <w:topLinePunct w:val="0"/>
        <w:autoSpaceDE w:val="0"/>
        <w:autoSpaceDN w:val="0"/>
        <w:bidi w:val="0"/>
        <w:adjustRightInd w:val="0"/>
        <w:snapToGrid w:val="0"/>
        <w:spacing w:before="1" w:line="216" w:lineRule="auto"/>
        <w:ind w:left="130"/>
        <w:textAlignment w:val="baseline"/>
        <w:outlineLvl w:val="1"/>
        <w:rPr>
          <w:color w:val="auto"/>
          <w:sz w:val="30"/>
          <w:szCs w:val="30"/>
        </w:rPr>
      </w:pPr>
      <w:bookmarkStart w:id="58" w:name="bookmark13"/>
      <w:bookmarkEnd w:id="58"/>
      <w:bookmarkStart w:id="59" w:name="_Toc23273"/>
      <w:r>
        <w:rPr>
          <w:rFonts w:ascii="Times New Roman" w:hAnsi="Times New Roman" w:eastAsia="Times New Roman" w:cs="Times New Roman"/>
          <w:b/>
          <w:bCs/>
          <w:color w:val="auto"/>
          <w:spacing w:val="-4"/>
          <w:sz w:val="30"/>
          <w:szCs w:val="30"/>
        </w:rPr>
        <w:t xml:space="preserve">1.6 </w:t>
      </w:r>
      <w:r>
        <w:rPr>
          <w:b/>
          <w:bCs/>
          <w:color w:val="auto"/>
          <w:spacing w:val="-4"/>
          <w:sz w:val="30"/>
          <w:szCs w:val="30"/>
        </w:rPr>
        <w:t>评价范围</w:t>
      </w:r>
      <w:bookmarkEnd w:id="59"/>
    </w:p>
    <w:p w14:paraId="50B6B811">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eastAsia" w:ascii="Times New Roman" w:hAnsi="Times New Roman" w:cs="Times New Roman"/>
          <w:color w:val="auto"/>
          <w:spacing w:val="-1"/>
          <w:sz w:val="24"/>
          <w:szCs w:val="24"/>
          <w:lang w:val="en-US" w:eastAsia="zh-CN"/>
        </w:rPr>
      </w:pPr>
      <w:r>
        <w:rPr>
          <w:rFonts w:hint="eastAsia" w:ascii="Times New Roman" w:hAnsi="Times New Roman" w:cs="Times New Roman"/>
          <w:color w:val="auto"/>
          <w:spacing w:val="-1"/>
          <w:sz w:val="24"/>
          <w:szCs w:val="24"/>
          <w:lang w:val="en-US" w:eastAsia="zh-CN"/>
        </w:rPr>
        <w:t>本次各环境要素的评价范围见表1.6-1。</w:t>
      </w:r>
    </w:p>
    <w:p w14:paraId="64D06357">
      <w:pPr>
        <w:pStyle w:val="9"/>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color w:val="auto"/>
        </w:rPr>
      </w:pPr>
      <w:r>
        <w:rPr>
          <w:b/>
          <w:bCs/>
          <w:color w:val="auto"/>
          <w:spacing w:val="-3"/>
        </w:rPr>
        <w:t>表</w:t>
      </w:r>
      <w:r>
        <w:rPr>
          <w:color w:val="auto"/>
          <w:spacing w:val="-32"/>
        </w:rPr>
        <w:t xml:space="preserve"> </w:t>
      </w:r>
      <w:r>
        <w:rPr>
          <w:rFonts w:ascii="Times New Roman" w:hAnsi="Times New Roman" w:eastAsia="Times New Roman" w:cs="Times New Roman"/>
          <w:b/>
          <w:bCs/>
          <w:color w:val="auto"/>
          <w:spacing w:val="-3"/>
        </w:rPr>
        <w:t xml:space="preserve">1.6-1    </w:t>
      </w:r>
      <w:r>
        <w:rPr>
          <w:b/>
          <w:bCs/>
          <w:color w:val="auto"/>
          <w:spacing w:val="-3"/>
        </w:rPr>
        <w:t>各环境要素评价范围</w:t>
      </w:r>
    </w:p>
    <w:tbl>
      <w:tblPr>
        <w:tblStyle w:val="26"/>
        <w:tblW w:w="8417"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293"/>
        <w:gridCol w:w="1020"/>
        <w:gridCol w:w="5328"/>
      </w:tblGrid>
      <w:tr w14:paraId="5A4EF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776" w:type="dxa"/>
            <w:vAlign w:val="center"/>
          </w:tcPr>
          <w:p w14:paraId="354E6197">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b/>
                <w:bCs/>
                <w:color w:val="auto"/>
                <w:spacing w:val="0"/>
                <w:w w:val="100"/>
                <w:sz w:val="21"/>
                <w:szCs w:val="21"/>
              </w:rPr>
              <w:t>编号</w:t>
            </w:r>
          </w:p>
        </w:tc>
        <w:tc>
          <w:tcPr>
            <w:tcW w:w="1293" w:type="dxa"/>
            <w:vAlign w:val="center"/>
          </w:tcPr>
          <w:p w14:paraId="6E1A45E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b/>
                <w:bCs/>
                <w:color w:val="auto"/>
                <w:spacing w:val="0"/>
                <w:w w:val="100"/>
                <w:sz w:val="21"/>
                <w:szCs w:val="21"/>
              </w:rPr>
              <w:t>项目</w:t>
            </w:r>
          </w:p>
        </w:tc>
        <w:tc>
          <w:tcPr>
            <w:tcW w:w="1020" w:type="dxa"/>
            <w:vAlign w:val="center"/>
          </w:tcPr>
          <w:p w14:paraId="4DA9D7D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b/>
                <w:bCs/>
                <w:color w:val="auto"/>
                <w:spacing w:val="0"/>
                <w:w w:val="100"/>
                <w:sz w:val="21"/>
                <w:szCs w:val="21"/>
              </w:rPr>
              <w:t>评价等级</w:t>
            </w:r>
          </w:p>
        </w:tc>
        <w:tc>
          <w:tcPr>
            <w:tcW w:w="5328" w:type="dxa"/>
            <w:vAlign w:val="center"/>
          </w:tcPr>
          <w:p w14:paraId="15C2BE13">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b/>
                <w:bCs/>
                <w:color w:val="auto"/>
                <w:spacing w:val="0"/>
                <w:w w:val="100"/>
                <w:sz w:val="21"/>
                <w:szCs w:val="21"/>
              </w:rPr>
              <w:t>评价范围</w:t>
            </w:r>
          </w:p>
        </w:tc>
      </w:tr>
      <w:tr w14:paraId="315C2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776" w:type="dxa"/>
            <w:vAlign w:val="center"/>
          </w:tcPr>
          <w:p w14:paraId="772EC9A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rFonts w:ascii="Times New Roman" w:hAnsi="Times New Roman" w:eastAsia="Times New Roman" w:cs="Times New Roman"/>
                <w:color w:val="auto"/>
                <w:spacing w:val="0"/>
                <w:w w:val="100"/>
                <w:sz w:val="21"/>
                <w:szCs w:val="21"/>
              </w:rPr>
              <w:t>1</w:t>
            </w:r>
          </w:p>
        </w:tc>
        <w:tc>
          <w:tcPr>
            <w:tcW w:w="1293" w:type="dxa"/>
            <w:vAlign w:val="center"/>
          </w:tcPr>
          <w:p w14:paraId="006785A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color w:val="auto"/>
                <w:spacing w:val="0"/>
                <w:w w:val="100"/>
                <w:sz w:val="21"/>
                <w:szCs w:val="21"/>
              </w:rPr>
              <w:t>大气环境</w:t>
            </w:r>
          </w:p>
        </w:tc>
        <w:tc>
          <w:tcPr>
            <w:tcW w:w="1020" w:type="dxa"/>
            <w:vAlign w:val="center"/>
          </w:tcPr>
          <w:p w14:paraId="3D6710E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color w:val="auto"/>
                <w:spacing w:val="0"/>
                <w:w w:val="100"/>
                <w:sz w:val="21"/>
                <w:szCs w:val="21"/>
              </w:rPr>
              <w:t>三级</w:t>
            </w:r>
          </w:p>
        </w:tc>
        <w:tc>
          <w:tcPr>
            <w:tcW w:w="5328" w:type="dxa"/>
            <w:vAlign w:val="center"/>
          </w:tcPr>
          <w:p w14:paraId="2DDDDDE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color w:val="auto"/>
                <w:spacing w:val="0"/>
                <w:w w:val="100"/>
                <w:sz w:val="21"/>
                <w:szCs w:val="21"/>
              </w:rPr>
              <w:t>根据《环境影响评价技术导则 大气环境》（</w:t>
            </w:r>
            <w:r>
              <w:rPr>
                <w:rFonts w:ascii="Times New Roman" w:hAnsi="Times New Roman" w:eastAsia="Times New Roman" w:cs="Times New Roman"/>
                <w:color w:val="auto"/>
                <w:spacing w:val="0"/>
                <w:w w:val="100"/>
                <w:sz w:val="21"/>
                <w:szCs w:val="21"/>
              </w:rPr>
              <w:t>HJ2.2-2018</w:t>
            </w:r>
            <w:r>
              <w:rPr>
                <w:color w:val="auto"/>
                <w:spacing w:val="0"/>
                <w:w w:val="100"/>
                <w:sz w:val="21"/>
                <w:szCs w:val="21"/>
              </w:rPr>
              <w:t>），三级评价项目不需要设置大气环境影响评价范围。</w:t>
            </w:r>
          </w:p>
        </w:tc>
      </w:tr>
      <w:tr w14:paraId="0BC15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776" w:type="dxa"/>
            <w:vAlign w:val="center"/>
          </w:tcPr>
          <w:p w14:paraId="30FFE83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rFonts w:ascii="Times New Roman" w:hAnsi="Times New Roman" w:eastAsia="Times New Roman" w:cs="Times New Roman"/>
                <w:color w:val="auto"/>
                <w:spacing w:val="0"/>
                <w:w w:val="100"/>
                <w:sz w:val="21"/>
                <w:szCs w:val="21"/>
              </w:rPr>
              <w:t>2</w:t>
            </w:r>
          </w:p>
        </w:tc>
        <w:tc>
          <w:tcPr>
            <w:tcW w:w="1293" w:type="dxa"/>
            <w:vAlign w:val="center"/>
          </w:tcPr>
          <w:p w14:paraId="5C2D922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color w:val="auto"/>
                <w:spacing w:val="0"/>
                <w:w w:val="100"/>
                <w:sz w:val="21"/>
                <w:szCs w:val="21"/>
              </w:rPr>
              <w:t>地表水环境</w:t>
            </w:r>
          </w:p>
        </w:tc>
        <w:tc>
          <w:tcPr>
            <w:tcW w:w="1020" w:type="dxa"/>
            <w:vAlign w:val="center"/>
          </w:tcPr>
          <w:p w14:paraId="10289E92">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color w:val="auto"/>
                <w:spacing w:val="0"/>
                <w:w w:val="100"/>
                <w:sz w:val="21"/>
                <w:szCs w:val="21"/>
              </w:rPr>
              <w:t xml:space="preserve">三级 </w:t>
            </w:r>
            <w:r>
              <w:rPr>
                <w:rFonts w:ascii="Times New Roman" w:hAnsi="Times New Roman" w:eastAsia="Times New Roman" w:cs="Times New Roman"/>
                <w:color w:val="auto"/>
                <w:spacing w:val="0"/>
                <w:w w:val="100"/>
                <w:sz w:val="21"/>
                <w:szCs w:val="21"/>
              </w:rPr>
              <w:t>B</w:t>
            </w:r>
          </w:p>
        </w:tc>
        <w:tc>
          <w:tcPr>
            <w:tcW w:w="5328" w:type="dxa"/>
            <w:vAlign w:val="center"/>
          </w:tcPr>
          <w:p w14:paraId="0ED6EE52">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color w:val="auto"/>
                <w:spacing w:val="0"/>
                <w:w w:val="100"/>
                <w:sz w:val="21"/>
                <w:szCs w:val="21"/>
              </w:rPr>
              <w:t>项目地表水评价等级为三级</w:t>
            </w:r>
            <w:r>
              <w:rPr>
                <w:rFonts w:ascii="Times New Roman" w:hAnsi="Times New Roman" w:eastAsia="Times New Roman" w:cs="Times New Roman"/>
                <w:color w:val="auto"/>
                <w:spacing w:val="0"/>
                <w:w w:val="100"/>
                <w:sz w:val="21"/>
                <w:szCs w:val="21"/>
              </w:rPr>
              <w:t>B</w:t>
            </w:r>
            <w:r>
              <w:rPr>
                <w:color w:val="auto"/>
                <w:spacing w:val="0"/>
                <w:w w:val="100"/>
                <w:sz w:val="21"/>
                <w:szCs w:val="21"/>
              </w:rPr>
              <w:t>，根据《环境影响评价技术导则 地表水环境》（</w:t>
            </w:r>
            <w:r>
              <w:rPr>
                <w:rFonts w:ascii="Times New Roman" w:hAnsi="Times New Roman" w:eastAsia="Times New Roman" w:cs="Times New Roman"/>
                <w:color w:val="auto"/>
                <w:spacing w:val="0"/>
                <w:w w:val="100"/>
                <w:sz w:val="21"/>
                <w:szCs w:val="21"/>
              </w:rPr>
              <w:t>HJ2.3-2018</w:t>
            </w:r>
            <w:r>
              <w:rPr>
                <w:color w:val="auto"/>
                <w:spacing w:val="0"/>
                <w:w w:val="100"/>
                <w:sz w:val="21"/>
                <w:szCs w:val="21"/>
              </w:rPr>
              <w:t>），可不设地表水评价范围。</w:t>
            </w:r>
          </w:p>
        </w:tc>
      </w:tr>
      <w:tr w14:paraId="00384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776" w:type="dxa"/>
            <w:vAlign w:val="center"/>
          </w:tcPr>
          <w:p w14:paraId="7AF65D8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rFonts w:ascii="Times New Roman" w:hAnsi="Times New Roman" w:eastAsia="Times New Roman" w:cs="Times New Roman"/>
                <w:color w:val="auto"/>
                <w:spacing w:val="0"/>
                <w:w w:val="100"/>
                <w:sz w:val="21"/>
                <w:szCs w:val="21"/>
              </w:rPr>
              <w:t>3</w:t>
            </w:r>
          </w:p>
        </w:tc>
        <w:tc>
          <w:tcPr>
            <w:tcW w:w="1293" w:type="dxa"/>
            <w:vAlign w:val="center"/>
          </w:tcPr>
          <w:p w14:paraId="223370D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color w:val="auto"/>
                <w:spacing w:val="0"/>
                <w:w w:val="100"/>
                <w:sz w:val="21"/>
                <w:szCs w:val="21"/>
              </w:rPr>
              <w:t>地下水环境</w:t>
            </w:r>
          </w:p>
        </w:tc>
        <w:tc>
          <w:tcPr>
            <w:tcW w:w="1020" w:type="dxa"/>
            <w:vAlign w:val="center"/>
          </w:tcPr>
          <w:p w14:paraId="1D754AD2">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eastAsia" w:eastAsia="宋体"/>
                <w:color w:val="auto"/>
                <w:spacing w:val="0"/>
                <w:w w:val="100"/>
                <w:sz w:val="21"/>
                <w:szCs w:val="21"/>
                <w:lang w:eastAsia="zh-CN"/>
              </w:rPr>
            </w:pPr>
            <w:r>
              <w:rPr>
                <w:rFonts w:hint="eastAsia"/>
                <w:color w:val="auto"/>
                <w:spacing w:val="0"/>
                <w:w w:val="100"/>
                <w:sz w:val="21"/>
                <w:szCs w:val="21"/>
                <w:lang w:val="en-US" w:eastAsia="zh-CN"/>
              </w:rPr>
              <w:t>三级</w:t>
            </w:r>
          </w:p>
        </w:tc>
        <w:tc>
          <w:tcPr>
            <w:tcW w:w="5328" w:type="dxa"/>
            <w:vAlign w:val="center"/>
          </w:tcPr>
          <w:p w14:paraId="45558FC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z w:val="21"/>
                <w:szCs w:val="21"/>
              </w:rPr>
              <w:t>以项目所在花山片区北部花山富水块段次级水文地质单元为基础，采用自定义法圈定本项目水文地质调查</w:t>
            </w:r>
            <w:r>
              <w:rPr>
                <w:rFonts w:hint="eastAsia" w:ascii="Times New Roman" w:hAnsi="Times New Roman" w:eastAsia="宋体" w:cs="Times New Roman"/>
                <w:color w:val="auto"/>
                <w:sz w:val="21"/>
                <w:szCs w:val="21"/>
                <w:lang w:val="en-US" w:eastAsia="zh-CN"/>
              </w:rPr>
              <w:t>评价</w:t>
            </w:r>
            <w:r>
              <w:rPr>
                <w:rFonts w:hint="default" w:ascii="Times New Roman" w:hAnsi="Times New Roman" w:eastAsia="宋体" w:cs="Times New Roman"/>
                <w:color w:val="auto"/>
                <w:sz w:val="21"/>
                <w:szCs w:val="21"/>
              </w:rPr>
              <w:t>范围。评价区总面积约</w:t>
            </w:r>
            <w:r>
              <w:rPr>
                <w:rFonts w:hint="eastAsia" w:ascii="Times New Roman" w:hAnsi="Times New Roman" w:eastAsia="宋体" w:cs="Times New Roman"/>
                <w:color w:val="auto"/>
                <w:sz w:val="21"/>
                <w:szCs w:val="21"/>
                <w:lang w:val="en-US" w:eastAsia="zh-CN"/>
              </w:rPr>
              <w:t>4.564</w:t>
            </w:r>
            <w:r>
              <w:rPr>
                <w:rFonts w:hint="default" w:ascii="Times New Roman" w:hAnsi="Times New Roman" w:eastAsia="宋体" w:cs="Times New Roman"/>
                <w:color w:val="auto"/>
                <w:sz w:val="21"/>
                <w:szCs w:val="21"/>
              </w:rPr>
              <w:t>km²，</w:t>
            </w:r>
            <w:r>
              <w:rPr>
                <w:rFonts w:hint="eastAsia" w:ascii="Times New Roman" w:hAnsi="Times New Roman" w:eastAsia="宋体" w:cs="Times New Roman"/>
                <w:color w:val="auto"/>
                <w:sz w:val="21"/>
                <w:szCs w:val="21"/>
                <w:lang w:val="en-US" w:eastAsia="zh-CN"/>
              </w:rPr>
              <w:t>北侧以</w:t>
            </w:r>
            <w:r>
              <w:rPr>
                <w:rFonts w:hint="default" w:ascii="Times New Roman" w:hAnsi="Times New Roman" w:eastAsia="宋体" w:cs="Times New Roman"/>
                <w:color w:val="auto"/>
                <w:sz w:val="21"/>
                <w:szCs w:val="21"/>
              </w:rPr>
              <w:t>豹子山—胡叶山地表—地下分水岭</w:t>
            </w:r>
            <w:r>
              <w:rPr>
                <w:rFonts w:hint="eastAsia" w:ascii="Times New Roman" w:hAnsi="Times New Roman" w:eastAsia="宋体" w:cs="Times New Roman"/>
                <w:color w:val="auto"/>
                <w:sz w:val="21"/>
                <w:szCs w:val="21"/>
                <w:lang w:val="en-US" w:eastAsia="zh-CN"/>
              </w:rPr>
              <w:t>为界</w:t>
            </w:r>
            <w:r>
              <w:rPr>
                <w:rFonts w:hint="default" w:ascii="Times New Roman" w:hAnsi="Times New Roman" w:eastAsia="宋体" w:cs="Times New Roman"/>
                <w:color w:val="auto"/>
                <w:sz w:val="21"/>
                <w:szCs w:val="21"/>
              </w:rPr>
              <w:t>，南</w:t>
            </w:r>
            <w:r>
              <w:rPr>
                <w:rFonts w:hint="eastAsia" w:ascii="Times New Roman" w:hAnsi="Times New Roman" w:eastAsia="宋体" w:cs="Times New Roman"/>
                <w:color w:val="auto"/>
                <w:sz w:val="21"/>
                <w:szCs w:val="21"/>
                <w:lang w:val="en-US" w:eastAsia="zh-CN"/>
              </w:rPr>
              <w:t>侧以东干渠边界为界</w:t>
            </w:r>
            <w:r>
              <w:rPr>
                <w:rFonts w:hint="default" w:ascii="Times New Roman" w:hAnsi="Times New Roman" w:eastAsia="宋体" w:cs="Times New Roman"/>
                <w:color w:val="auto"/>
                <w:sz w:val="21"/>
                <w:szCs w:val="21"/>
              </w:rPr>
              <w:t>，西</w:t>
            </w:r>
            <w:r>
              <w:rPr>
                <w:rFonts w:hint="eastAsia" w:ascii="Times New Roman" w:hAnsi="Times New Roman" w:eastAsia="宋体" w:cs="Times New Roman"/>
                <w:color w:val="auto"/>
                <w:sz w:val="21"/>
                <w:szCs w:val="21"/>
                <w:lang w:val="en-US" w:eastAsia="zh-CN"/>
              </w:rPr>
              <w:t>侧以二叠系下统梁山组（</w:t>
            </w:r>
            <w:r>
              <w:rPr>
                <w:rFonts w:hint="default" w:ascii="Times New Roman" w:hAnsi="Times New Roman" w:eastAsia="宋体" w:cs="Times New Roman"/>
                <w:color w:val="auto"/>
                <w:sz w:val="21"/>
                <w:szCs w:val="21"/>
              </w:rPr>
              <w:t>P₁</w:t>
            </w:r>
            <w:r>
              <w:rPr>
                <w:rFonts w:hint="eastAsia" w:ascii="Times New Roman" w:hAnsi="Times New Roman" w:eastAsia="宋体" w:cs="Times New Roman"/>
                <w:color w:val="auto"/>
                <w:sz w:val="21"/>
                <w:szCs w:val="21"/>
                <w:lang w:val="en-US" w:eastAsia="zh-CN"/>
              </w:rPr>
              <w:t>l）为界</w:t>
            </w:r>
            <w:r>
              <w:rPr>
                <w:rFonts w:hint="default" w:ascii="Times New Roman" w:hAnsi="Times New Roman" w:eastAsia="宋体" w:cs="Times New Roman"/>
                <w:color w:val="auto"/>
                <w:sz w:val="21"/>
                <w:szCs w:val="21"/>
              </w:rPr>
              <w:t>，东</w:t>
            </w:r>
            <w:r>
              <w:rPr>
                <w:rFonts w:hint="eastAsia" w:ascii="Times New Roman" w:hAnsi="Times New Roman" w:eastAsia="宋体" w:cs="Times New Roman"/>
                <w:color w:val="auto"/>
                <w:sz w:val="21"/>
                <w:szCs w:val="21"/>
                <w:lang w:val="en-US" w:eastAsia="zh-CN"/>
              </w:rPr>
              <w:t>侧以</w:t>
            </w:r>
            <w:r>
              <w:rPr>
                <w:rFonts w:hint="default" w:ascii="Times New Roman" w:hAnsi="Times New Roman" w:eastAsia="宋体" w:cs="Times New Roman"/>
                <w:color w:val="auto"/>
                <w:sz w:val="21"/>
                <w:szCs w:val="21"/>
              </w:rPr>
              <w:t>栖霞茅口组（P₁q+m）</w:t>
            </w:r>
            <w:r>
              <w:rPr>
                <w:rFonts w:hint="eastAsia" w:ascii="Times New Roman" w:hAnsi="Times New Roman" w:eastAsia="宋体" w:cs="Times New Roman"/>
                <w:color w:val="auto"/>
                <w:sz w:val="21"/>
                <w:szCs w:val="21"/>
                <w:lang w:val="en-US" w:eastAsia="zh-CN"/>
              </w:rPr>
              <w:t>、第三系小屯组（E</w:t>
            </w:r>
            <w:r>
              <w:rPr>
                <w:rFonts w:hint="eastAsia" w:ascii="Times New Roman" w:hAnsi="Times New Roman" w:eastAsia="宋体" w:cs="Times New Roman"/>
                <w:color w:val="auto"/>
                <w:sz w:val="21"/>
                <w:szCs w:val="21"/>
                <w:vertAlign w:val="subscript"/>
                <w:lang w:val="en-US" w:eastAsia="zh-CN"/>
              </w:rPr>
              <w:t>3</w:t>
            </w:r>
            <w:r>
              <w:rPr>
                <w:rFonts w:hint="eastAsia" w:ascii="Times New Roman" w:hAnsi="Times New Roman" w:eastAsia="宋体" w:cs="Times New Roman"/>
                <w:color w:val="auto"/>
                <w:sz w:val="21"/>
                <w:szCs w:val="21"/>
                <w:lang w:val="en-US" w:eastAsia="zh-CN"/>
              </w:rPr>
              <w:t>x）与第四系（Q）</w:t>
            </w:r>
            <w:r>
              <w:rPr>
                <w:rFonts w:hint="default" w:ascii="Times New Roman" w:hAnsi="Times New Roman" w:eastAsia="宋体" w:cs="Times New Roman"/>
                <w:color w:val="auto"/>
                <w:sz w:val="21"/>
                <w:szCs w:val="21"/>
              </w:rPr>
              <w:t>岩性分界线</w:t>
            </w:r>
            <w:r>
              <w:rPr>
                <w:rFonts w:hint="eastAsia" w:ascii="Times New Roman" w:hAnsi="Times New Roman" w:eastAsia="宋体" w:cs="Times New Roman"/>
                <w:color w:val="auto"/>
                <w:sz w:val="21"/>
                <w:szCs w:val="21"/>
                <w:lang w:val="en-US" w:eastAsia="zh-CN"/>
              </w:rPr>
              <w:t>为界</w:t>
            </w:r>
            <w:r>
              <w:rPr>
                <w:rFonts w:hint="default" w:ascii="Times New Roman" w:hAnsi="Times New Roman" w:eastAsia="宋体" w:cs="Times New Roman"/>
                <w:color w:val="auto"/>
                <w:sz w:val="21"/>
                <w:szCs w:val="21"/>
              </w:rPr>
              <w:t>，形成一个水文地质关系相对独立的评价单元。</w:t>
            </w:r>
          </w:p>
        </w:tc>
      </w:tr>
      <w:tr w14:paraId="31DF8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776" w:type="dxa"/>
            <w:vAlign w:val="center"/>
          </w:tcPr>
          <w:p w14:paraId="1185240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rFonts w:ascii="Times New Roman" w:hAnsi="Times New Roman" w:eastAsia="Times New Roman" w:cs="Times New Roman"/>
                <w:color w:val="auto"/>
                <w:spacing w:val="0"/>
                <w:w w:val="100"/>
                <w:sz w:val="21"/>
                <w:szCs w:val="21"/>
              </w:rPr>
              <w:t>4</w:t>
            </w:r>
          </w:p>
        </w:tc>
        <w:tc>
          <w:tcPr>
            <w:tcW w:w="1293" w:type="dxa"/>
            <w:vAlign w:val="center"/>
          </w:tcPr>
          <w:p w14:paraId="2246377C">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color w:val="auto"/>
                <w:spacing w:val="0"/>
                <w:w w:val="100"/>
                <w:sz w:val="21"/>
                <w:szCs w:val="21"/>
              </w:rPr>
              <w:t>声环境</w:t>
            </w:r>
          </w:p>
        </w:tc>
        <w:tc>
          <w:tcPr>
            <w:tcW w:w="1020" w:type="dxa"/>
            <w:vAlign w:val="center"/>
          </w:tcPr>
          <w:p w14:paraId="60F3695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rFonts w:hint="eastAsia"/>
                <w:color w:val="auto"/>
                <w:spacing w:val="0"/>
                <w:w w:val="100"/>
                <w:sz w:val="21"/>
                <w:szCs w:val="21"/>
                <w:lang w:val="en-US" w:eastAsia="zh-CN"/>
              </w:rPr>
              <w:t>三</w:t>
            </w:r>
            <w:r>
              <w:rPr>
                <w:color w:val="auto"/>
                <w:spacing w:val="0"/>
                <w:w w:val="100"/>
                <w:sz w:val="21"/>
                <w:szCs w:val="21"/>
              </w:rPr>
              <w:t>级</w:t>
            </w:r>
          </w:p>
        </w:tc>
        <w:tc>
          <w:tcPr>
            <w:tcW w:w="5328" w:type="dxa"/>
            <w:vAlign w:val="center"/>
          </w:tcPr>
          <w:p w14:paraId="7D2F6F2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w w:val="100"/>
                <w:sz w:val="21"/>
                <w:szCs w:val="21"/>
              </w:rPr>
            </w:pPr>
            <w:r>
              <w:rPr>
                <w:rFonts w:hint="eastAsia"/>
                <w:color w:val="auto"/>
                <w:spacing w:val="0"/>
                <w:w w:val="100"/>
                <w:sz w:val="21"/>
                <w:szCs w:val="21"/>
                <w:lang w:val="en-US" w:eastAsia="zh-CN"/>
              </w:rPr>
              <w:t>项目厂界</w:t>
            </w:r>
            <w:r>
              <w:rPr>
                <w:color w:val="auto"/>
                <w:spacing w:val="0"/>
                <w:w w:val="100"/>
                <w:sz w:val="21"/>
                <w:szCs w:val="21"/>
              </w:rPr>
              <w:t>外两侧边界外</w:t>
            </w:r>
            <w:r>
              <w:rPr>
                <w:rFonts w:ascii="Times New Roman" w:hAnsi="Times New Roman" w:eastAsia="Times New Roman" w:cs="Times New Roman"/>
                <w:color w:val="auto"/>
                <w:spacing w:val="0"/>
                <w:w w:val="100"/>
                <w:sz w:val="21"/>
                <w:szCs w:val="21"/>
              </w:rPr>
              <w:t>200m</w:t>
            </w:r>
            <w:r>
              <w:rPr>
                <w:color w:val="auto"/>
                <w:spacing w:val="0"/>
                <w:w w:val="100"/>
                <w:sz w:val="21"/>
                <w:szCs w:val="21"/>
              </w:rPr>
              <w:t>以内区域。</w:t>
            </w:r>
          </w:p>
        </w:tc>
      </w:tr>
      <w:tr w14:paraId="17F51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776" w:type="dxa"/>
            <w:vAlign w:val="center"/>
          </w:tcPr>
          <w:p w14:paraId="6A76D92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rFonts w:ascii="Times New Roman" w:hAnsi="Times New Roman" w:eastAsia="Times New Roman" w:cs="Times New Roman"/>
                <w:color w:val="auto"/>
                <w:spacing w:val="0"/>
                <w:w w:val="100"/>
                <w:sz w:val="21"/>
                <w:szCs w:val="21"/>
              </w:rPr>
              <w:t>5</w:t>
            </w:r>
          </w:p>
        </w:tc>
        <w:tc>
          <w:tcPr>
            <w:tcW w:w="1293" w:type="dxa"/>
            <w:shd w:val="clear" w:color="auto" w:fill="auto"/>
            <w:vAlign w:val="center"/>
          </w:tcPr>
          <w:p w14:paraId="061BC531">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宋体" w:hAnsi="宋体" w:eastAsia="宋体" w:cs="宋体"/>
                <w:snapToGrid w:val="0"/>
                <w:color w:val="auto"/>
                <w:spacing w:val="0"/>
                <w:w w:val="100"/>
                <w:kern w:val="0"/>
                <w:sz w:val="21"/>
                <w:szCs w:val="21"/>
                <w:lang w:val="en-US" w:eastAsia="en-US" w:bidi="ar-SA"/>
              </w:rPr>
            </w:pPr>
            <w:r>
              <w:rPr>
                <w:color w:val="auto"/>
                <w:spacing w:val="0"/>
                <w:w w:val="100"/>
                <w:sz w:val="21"/>
                <w:szCs w:val="21"/>
              </w:rPr>
              <w:t>生态环境</w:t>
            </w:r>
          </w:p>
        </w:tc>
        <w:tc>
          <w:tcPr>
            <w:tcW w:w="1020" w:type="dxa"/>
            <w:shd w:val="clear" w:color="auto" w:fill="auto"/>
            <w:vAlign w:val="center"/>
          </w:tcPr>
          <w:p w14:paraId="2D22F279">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snapToGrid w:val="0"/>
                <w:color w:val="auto"/>
                <w:spacing w:val="0"/>
                <w:w w:val="100"/>
                <w:kern w:val="0"/>
                <w:sz w:val="21"/>
                <w:szCs w:val="21"/>
                <w:lang w:val="en-US" w:eastAsia="en-US" w:bidi="ar-SA"/>
              </w:rPr>
            </w:pPr>
            <w:r>
              <w:rPr>
                <w:rFonts w:hint="default" w:ascii="Times New Roman" w:hAnsi="Times New Roman" w:cs="Times New Roman"/>
                <w:color w:val="auto"/>
                <w:spacing w:val="0"/>
                <w:w w:val="100"/>
                <w:sz w:val="21"/>
                <w:szCs w:val="21"/>
              </w:rPr>
              <w:t>三级</w:t>
            </w:r>
          </w:p>
        </w:tc>
        <w:tc>
          <w:tcPr>
            <w:tcW w:w="5328" w:type="dxa"/>
            <w:shd w:val="clear" w:color="auto" w:fill="auto"/>
            <w:vAlign w:val="center"/>
          </w:tcPr>
          <w:p w14:paraId="79414727">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snapToGrid w:val="0"/>
                <w:color w:val="auto"/>
                <w:spacing w:val="0"/>
                <w:w w:val="100"/>
                <w:kern w:val="0"/>
                <w:sz w:val="21"/>
                <w:szCs w:val="21"/>
                <w:lang w:val="en-US" w:eastAsia="zh-CN" w:bidi="ar-SA"/>
              </w:rPr>
            </w:pPr>
            <w:r>
              <w:rPr>
                <w:rFonts w:hint="default" w:ascii="Times New Roman" w:hAnsi="Times New Roman" w:cs="Times New Roman"/>
                <w:color w:val="auto"/>
                <w:spacing w:val="0"/>
                <w:w w:val="100"/>
                <w:sz w:val="21"/>
                <w:szCs w:val="21"/>
                <w:lang w:val="en-US" w:eastAsia="zh-CN"/>
              </w:rPr>
              <w:t>项目厂界外延300m+铁路线性工程</w:t>
            </w:r>
            <w:r>
              <w:rPr>
                <w:rFonts w:hint="default" w:ascii="Times New Roman" w:hAnsi="Times New Roman" w:cs="Times New Roman"/>
                <w:color w:val="auto"/>
                <w:spacing w:val="0"/>
                <w:w w:val="100"/>
                <w:sz w:val="21"/>
                <w:szCs w:val="21"/>
                <w:lang w:eastAsia="zh-CN"/>
              </w:rPr>
              <w:t>（</w:t>
            </w:r>
            <w:r>
              <w:rPr>
                <w:rFonts w:hint="default" w:ascii="Times New Roman" w:hAnsi="Times New Roman" w:cs="Times New Roman"/>
                <w:color w:val="auto"/>
                <w:spacing w:val="0"/>
                <w:w w:val="100"/>
                <w:sz w:val="21"/>
                <w:szCs w:val="21"/>
                <w:lang w:val="en-US" w:eastAsia="zh-CN"/>
              </w:rPr>
              <w:t>改建4条+本项目2条整体</w:t>
            </w:r>
            <w:r>
              <w:rPr>
                <w:rFonts w:hint="default" w:ascii="Times New Roman" w:hAnsi="Times New Roman" w:cs="Times New Roman"/>
                <w:color w:val="auto"/>
                <w:spacing w:val="0"/>
                <w:w w:val="100"/>
                <w:sz w:val="21"/>
                <w:szCs w:val="21"/>
                <w:lang w:eastAsia="zh-CN"/>
              </w:rPr>
              <w:t>）</w:t>
            </w:r>
            <w:r>
              <w:rPr>
                <w:rFonts w:hint="default" w:ascii="Times New Roman" w:hAnsi="Times New Roman" w:cs="Times New Roman"/>
                <w:color w:val="auto"/>
                <w:spacing w:val="0"/>
                <w:w w:val="100"/>
                <w:sz w:val="21"/>
                <w:szCs w:val="21"/>
                <w:lang w:val="en-US" w:eastAsia="zh-CN"/>
              </w:rPr>
              <w:t>外延300m为评价范围</w:t>
            </w:r>
            <w:r>
              <w:rPr>
                <w:rFonts w:hint="default" w:ascii="Times New Roman" w:hAnsi="Times New Roman" w:cs="Times New Roman"/>
                <w:color w:val="auto"/>
                <w:spacing w:val="0"/>
                <w:w w:val="100"/>
                <w:sz w:val="21"/>
                <w:szCs w:val="21"/>
              </w:rPr>
              <w:t>。</w:t>
            </w:r>
            <w:r>
              <w:rPr>
                <w:rFonts w:hint="default" w:ascii="Times New Roman" w:hAnsi="Times New Roman" w:cs="Times New Roman"/>
                <w:color w:val="auto"/>
                <w:lang w:val="en-US" w:eastAsia="zh-CN"/>
              </w:rPr>
              <w:t>评价范围面积总计</w:t>
            </w:r>
            <w:r>
              <w:rPr>
                <w:rFonts w:hint="eastAsia" w:ascii="Times New Roman" w:hAnsi="Times New Roman" w:cs="Times New Roman"/>
                <w:color w:val="auto"/>
                <w:lang w:val="en-US" w:eastAsia="zh-CN"/>
              </w:rPr>
              <w:t>88.359h</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2</w:t>
            </w:r>
          </w:p>
        </w:tc>
      </w:tr>
      <w:tr w14:paraId="4F7BD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776" w:type="dxa"/>
            <w:vAlign w:val="center"/>
          </w:tcPr>
          <w:p w14:paraId="4685972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rFonts w:ascii="Times New Roman" w:hAnsi="Times New Roman" w:eastAsia="Times New Roman" w:cs="Times New Roman"/>
                <w:color w:val="auto"/>
                <w:spacing w:val="0"/>
                <w:w w:val="100"/>
                <w:sz w:val="21"/>
                <w:szCs w:val="21"/>
              </w:rPr>
              <w:t>6</w:t>
            </w:r>
          </w:p>
        </w:tc>
        <w:tc>
          <w:tcPr>
            <w:tcW w:w="1293" w:type="dxa"/>
            <w:shd w:val="clear" w:color="auto" w:fill="auto"/>
            <w:vAlign w:val="center"/>
          </w:tcPr>
          <w:p w14:paraId="1BE64DEC">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宋体" w:hAnsi="宋体" w:eastAsia="宋体" w:cs="宋体"/>
                <w:snapToGrid w:val="0"/>
                <w:color w:val="auto"/>
                <w:spacing w:val="0"/>
                <w:w w:val="100"/>
                <w:kern w:val="0"/>
                <w:sz w:val="21"/>
                <w:szCs w:val="21"/>
                <w:lang w:val="en-US" w:eastAsia="en-US" w:bidi="ar-SA"/>
              </w:rPr>
            </w:pPr>
            <w:r>
              <w:rPr>
                <w:color w:val="auto"/>
                <w:spacing w:val="0"/>
                <w:w w:val="100"/>
                <w:sz w:val="21"/>
                <w:szCs w:val="21"/>
              </w:rPr>
              <w:t>土壤环境</w:t>
            </w:r>
          </w:p>
        </w:tc>
        <w:tc>
          <w:tcPr>
            <w:tcW w:w="1020" w:type="dxa"/>
            <w:shd w:val="clear" w:color="auto" w:fill="auto"/>
            <w:vAlign w:val="center"/>
          </w:tcPr>
          <w:p w14:paraId="5A65097F">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宋体" w:hAnsi="宋体" w:eastAsia="宋体" w:cs="宋体"/>
                <w:snapToGrid w:val="0"/>
                <w:color w:val="auto"/>
                <w:spacing w:val="0"/>
                <w:w w:val="100"/>
                <w:kern w:val="0"/>
                <w:sz w:val="21"/>
                <w:szCs w:val="21"/>
                <w:lang w:val="en-US" w:eastAsia="en-US" w:bidi="ar-SA"/>
              </w:rPr>
            </w:pPr>
            <w:r>
              <w:rPr>
                <w:color w:val="auto"/>
                <w:spacing w:val="0"/>
                <w:w w:val="100"/>
                <w:sz w:val="21"/>
                <w:szCs w:val="21"/>
              </w:rPr>
              <w:t>简单分析</w:t>
            </w:r>
          </w:p>
        </w:tc>
        <w:tc>
          <w:tcPr>
            <w:tcW w:w="5328" w:type="dxa"/>
            <w:shd w:val="clear" w:color="auto" w:fill="auto"/>
            <w:vAlign w:val="center"/>
          </w:tcPr>
          <w:p w14:paraId="5834E275">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Times New Roman" w:cs="Times New Roman"/>
                <w:snapToGrid w:val="0"/>
                <w:color w:val="auto"/>
                <w:spacing w:val="0"/>
                <w:w w:val="100"/>
                <w:kern w:val="0"/>
                <w:sz w:val="21"/>
                <w:szCs w:val="21"/>
                <w:lang w:val="en-US" w:eastAsia="en-US" w:bidi="ar-SA"/>
              </w:rPr>
            </w:pPr>
            <w:r>
              <w:rPr>
                <w:rFonts w:ascii="Times New Roman" w:hAnsi="Times New Roman" w:eastAsia="Times New Roman" w:cs="Times New Roman"/>
                <w:color w:val="auto"/>
                <w:spacing w:val="0"/>
                <w:w w:val="100"/>
                <w:sz w:val="21"/>
                <w:szCs w:val="21"/>
              </w:rPr>
              <w:t>/</w:t>
            </w:r>
          </w:p>
        </w:tc>
      </w:tr>
      <w:tr w14:paraId="02AF9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776" w:type="dxa"/>
            <w:vAlign w:val="center"/>
          </w:tcPr>
          <w:p w14:paraId="59C732C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w w:val="100"/>
                <w:sz w:val="21"/>
                <w:szCs w:val="21"/>
              </w:rPr>
            </w:pPr>
            <w:r>
              <w:rPr>
                <w:rFonts w:ascii="Times New Roman" w:hAnsi="Times New Roman" w:eastAsia="Times New Roman" w:cs="Times New Roman"/>
                <w:color w:val="auto"/>
                <w:spacing w:val="0"/>
                <w:w w:val="100"/>
                <w:sz w:val="21"/>
                <w:szCs w:val="21"/>
              </w:rPr>
              <w:t>7</w:t>
            </w:r>
          </w:p>
        </w:tc>
        <w:tc>
          <w:tcPr>
            <w:tcW w:w="1293" w:type="dxa"/>
            <w:shd w:val="clear" w:color="auto" w:fill="auto"/>
            <w:vAlign w:val="center"/>
          </w:tcPr>
          <w:p w14:paraId="13ACFC34">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宋体" w:hAnsi="宋体" w:eastAsia="宋体" w:cs="宋体"/>
                <w:snapToGrid w:val="0"/>
                <w:color w:val="auto"/>
                <w:spacing w:val="0"/>
                <w:w w:val="100"/>
                <w:kern w:val="0"/>
                <w:sz w:val="21"/>
                <w:szCs w:val="21"/>
                <w:lang w:val="en-US" w:eastAsia="en-US" w:bidi="ar-SA"/>
              </w:rPr>
            </w:pPr>
            <w:r>
              <w:rPr>
                <w:color w:val="auto"/>
                <w:spacing w:val="0"/>
                <w:w w:val="100"/>
                <w:sz w:val="21"/>
                <w:szCs w:val="21"/>
              </w:rPr>
              <w:t>风险</w:t>
            </w:r>
          </w:p>
        </w:tc>
        <w:tc>
          <w:tcPr>
            <w:tcW w:w="1020" w:type="dxa"/>
            <w:shd w:val="clear" w:color="auto" w:fill="auto"/>
            <w:vAlign w:val="center"/>
          </w:tcPr>
          <w:p w14:paraId="6EA38168">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宋体" w:hAnsi="宋体" w:eastAsia="宋体" w:cs="宋体"/>
                <w:snapToGrid w:val="0"/>
                <w:color w:val="auto"/>
                <w:spacing w:val="0"/>
                <w:w w:val="100"/>
                <w:kern w:val="0"/>
                <w:sz w:val="21"/>
                <w:szCs w:val="21"/>
                <w:lang w:val="en-US" w:eastAsia="en-US" w:bidi="ar-SA"/>
              </w:rPr>
            </w:pPr>
            <w:r>
              <w:rPr>
                <w:color w:val="auto"/>
                <w:spacing w:val="0"/>
                <w:w w:val="100"/>
                <w:sz w:val="21"/>
                <w:szCs w:val="21"/>
              </w:rPr>
              <w:t>简单分析</w:t>
            </w:r>
          </w:p>
        </w:tc>
        <w:tc>
          <w:tcPr>
            <w:tcW w:w="5328" w:type="dxa"/>
            <w:shd w:val="clear" w:color="auto" w:fill="auto"/>
            <w:vAlign w:val="center"/>
          </w:tcPr>
          <w:p w14:paraId="763D2C1C">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宋体" w:hAnsi="宋体" w:eastAsia="宋体" w:cs="宋体"/>
                <w:snapToGrid w:val="0"/>
                <w:color w:val="auto"/>
                <w:spacing w:val="0"/>
                <w:w w:val="100"/>
                <w:kern w:val="0"/>
                <w:sz w:val="21"/>
                <w:szCs w:val="21"/>
                <w:lang w:val="en-US" w:eastAsia="en-US" w:bidi="ar-SA"/>
              </w:rPr>
            </w:pPr>
            <w:r>
              <w:rPr>
                <w:color w:val="auto"/>
                <w:spacing w:val="0"/>
                <w:w w:val="100"/>
                <w:sz w:val="21"/>
                <w:szCs w:val="21"/>
              </w:rPr>
              <w:t>场地直接影响区域。</w:t>
            </w:r>
          </w:p>
        </w:tc>
      </w:tr>
    </w:tbl>
    <w:p w14:paraId="7DAA38A7">
      <w:pPr>
        <w:pStyle w:val="9"/>
        <w:keepNext w:val="0"/>
        <w:keepLines w:val="0"/>
        <w:pageBreakBefore w:val="0"/>
        <w:widowControl/>
        <w:kinsoku w:val="0"/>
        <w:wordWrap/>
        <w:overflowPunct/>
        <w:topLinePunct w:val="0"/>
        <w:autoSpaceDE w:val="0"/>
        <w:autoSpaceDN w:val="0"/>
        <w:bidi w:val="0"/>
        <w:adjustRightInd w:val="0"/>
        <w:snapToGrid w:val="0"/>
        <w:spacing w:before="45" w:line="360" w:lineRule="auto"/>
        <w:ind w:left="130"/>
        <w:textAlignment w:val="baseline"/>
        <w:outlineLvl w:val="1"/>
        <w:rPr>
          <w:color w:val="auto"/>
          <w:sz w:val="30"/>
          <w:szCs w:val="30"/>
        </w:rPr>
      </w:pPr>
      <w:bookmarkStart w:id="60" w:name="bookmark14"/>
      <w:bookmarkEnd w:id="60"/>
      <w:bookmarkStart w:id="61" w:name="_Toc6945"/>
      <w:r>
        <w:rPr>
          <w:rFonts w:ascii="Times New Roman" w:hAnsi="Times New Roman" w:eastAsia="Times New Roman" w:cs="Times New Roman"/>
          <w:b/>
          <w:bCs/>
          <w:color w:val="auto"/>
          <w:spacing w:val="-4"/>
          <w:sz w:val="30"/>
          <w:szCs w:val="30"/>
        </w:rPr>
        <w:t>1.7.</w:t>
      </w:r>
      <w:r>
        <w:rPr>
          <w:b/>
          <w:bCs/>
          <w:color w:val="auto"/>
          <w:spacing w:val="-4"/>
          <w:sz w:val="30"/>
          <w:szCs w:val="30"/>
        </w:rPr>
        <w:t>评价标准</w:t>
      </w:r>
      <w:bookmarkEnd w:id="61"/>
    </w:p>
    <w:p w14:paraId="636ED55C">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548" w:firstLineChars="200"/>
        <w:textAlignment w:val="baseline"/>
        <w:outlineLvl w:val="2"/>
        <w:rPr>
          <w:color w:val="auto"/>
          <w:sz w:val="28"/>
          <w:szCs w:val="28"/>
        </w:rPr>
      </w:pPr>
      <w:bookmarkStart w:id="62" w:name="_Toc11410"/>
      <w:r>
        <w:rPr>
          <w:rFonts w:ascii="Times New Roman" w:hAnsi="Times New Roman" w:eastAsia="Times New Roman" w:cs="Times New Roman"/>
          <w:b/>
          <w:bCs/>
          <w:color w:val="auto"/>
          <w:spacing w:val="-3"/>
          <w:sz w:val="28"/>
          <w:szCs w:val="28"/>
        </w:rPr>
        <w:t xml:space="preserve">1.7.1 </w:t>
      </w:r>
      <w:r>
        <w:rPr>
          <w:b/>
          <w:bCs/>
          <w:color w:val="auto"/>
          <w:spacing w:val="-3"/>
          <w:sz w:val="28"/>
          <w:szCs w:val="28"/>
        </w:rPr>
        <w:t>环境质量标准</w:t>
      </w:r>
      <w:bookmarkEnd w:id="62"/>
    </w:p>
    <w:p w14:paraId="7A3E2C86">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64" w:firstLineChars="200"/>
        <w:textAlignment w:val="baseline"/>
        <w:rPr>
          <w:color w:val="auto"/>
          <w:sz w:val="24"/>
          <w:szCs w:val="24"/>
        </w:rPr>
      </w:pPr>
      <w:r>
        <w:rPr>
          <w:b/>
          <w:bCs/>
          <w:color w:val="auto"/>
          <w:spacing w:val="-4"/>
          <w:sz w:val="24"/>
          <w:szCs w:val="24"/>
        </w:rPr>
        <w:t>（</w:t>
      </w:r>
      <w:r>
        <w:rPr>
          <w:rFonts w:ascii="Times New Roman" w:hAnsi="Times New Roman" w:eastAsia="Times New Roman" w:cs="Times New Roman"/>
          <w:b/>
          <w:bCs/>
          <w:color w:val="auto"/>
          <w:spacing w:val="-4"/>
          <w:sz w:val="24"/>
          <w:szCs w:val="24"/>
        </w:rPr>
        <w:t>1</w:t>
      </w:r>
      <w:r>
        <w:rPr>
          <w:b/>
          <w:bCs/>
          <w:color w:val="auto"/>
          <w:spacing w:val="-4"/>
          <w:sz w:val="24"/>
          <w:szCs w:val="24"/>
        </w:rPr>
        <w:t>）环境空气质量标准</w:t>
      </w:r>
    </w:p>
    <w:p w14:paraId="0D2037B5">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eastAsia" w:ascii="Times New Roman" w:hAnsi="Times New Roman" w:cs="Times New Roman"/>
          <w:color w:val="auto"/>
          <w:spacing w:val="-1"/>
          <w:sz w:val="24"/>
          <w:szCs w:val="24"/>
          <w:lang w:val="en-US" w:eastAsia="zh-CN"/>
        </w:rPr>
      </w:pPr>
      <w:r>
        <w:rPr>
          <w:rFonts w:hint="eastAsia" w:ascii="Times New Roman" w:hAnsi="Times New Roman" w:cs="Times New Roman"/>
          <w:color w:val="auto"/>
          <w:spacing w:val="-1"/>
          <w:sz w:val="24"/>
          <w:szCs w:val="24"/>
          <w:lang w:val="en-US" w:eastAsia="zh-CN"/>
        </w:rPr>
        <w:t>项目位于曲靖高新技术产业开发区花山片区，</w:t>
      </w:r>
      <w:r>
        <w:rPr>
          <w:rFonts w:hint="default" w:ascii="Times New Roman" w:hAnsi="Times New Roman" w:eastAsia="宋体" w:cs="Times New Roman"/>
          <w:caps w:val="0"/>
          <w:color w:val="auto"/>
          <w:spacing w:val="0"/>
          <w:sz w:val="24"/>
          <w:highlight w:val="none"/>
        </w:rPr>
        <w:t>项目所在区域</w:t>
      </w:r>
      <w:r>
        <w:rPr>
          <w:rFonts w:hint="default" w:ascii="Times New Roman" w:hAnsi="Times New Roman" w:eastAsia="宋体" w:cs="Times New Roman"/>
          <w:caps w:val="0"/>
          <w:color w:val="auto"/>
          <w:spacing w:val="0"/>
          <w:sz w:val="24"/>
          <w:highlight w:val="none"/>
          <w:lang w:val="en-US" w:eastAsia="zh-CN"/>
        </w:rPr>
        <w:t>环境空气SO</w:t>
      </w:r>
      <w:r>
        <w:rPr>
          <w:rFonts w:hint="default" w:ascii="Times New Roman" w:hAnsi="Times New Roman" w:eastAsia="宋体" w:cs="Times New Roman"/>
          <w:caps w:val="0"/>
          <w:color w:val="auto"/>
          <w:spacing w:val="0"/>
          <w:sz w:val="24"/>
          <w:highlight w:val="none"/>
          <w:vertAlign w:val="subscript"/>
          <w:lang w:val="en-US" w:eastAsia="zh-CN"/>
        </w:rPr>
        <w:t>2</w:t>
      </w:r>
      <w:r>
        <w:rPr>
          <w:rFonts w:hint="default" w:ascii="Times New Roman" w:hAnsi="Times New Roman" w:eastAsia="宋体" w:cs="Times New Roman"/>
          <w:caps w:val="0"/>
          <w:color w:val="auto"/>
          <w:spacing w:val="0"/>
          <w:sz w:val="24"/>
          <w:highlight w:val="none"/>
          <w:lang w:val="en-US" w:eastAsia="zh-CN"/>
        </w:rPr>
        <w:t>、NO</w:t>
      </w:r>
      <w:r>
        <w:rPr>
          <w:rFonts w:hint="default" w:ascii="Times New Roman" w:hAnsi="Times New Roman" w:eastAsia="宋体" w:cs="Times New Roman"/>
          <w:caps w:val="0"/>
          <w:color w:val="auto"/>
          <w:spacing w:val="0"/>
          <w:sz w:val="24"/>
          <w:highlight w:val="none"/>
          <w:vertAlign w:val="subscript"/>
          <w:lang w:val="en-US" w:eastAsia="zh-CN"/>
        </w:rPr>
        <w:t>2</w:t>
      </w:r>
      <w:r>
        <w:rPr>
          <w:rFonts w:hint="default" w:ascii="Times New Roman" w:hAnsi="Times New Roman" w:eastAsia="宋体" w:cs="Times New Roman"/>
          <w:caps w:val="0"/>
          <w:color w:val="auto"/>
          <w:spacing w:val="0"/>
          <w:sz w:val="24"/>
          <w:highlight w:val="none"/>
          <w:lang w:val="en-US" w:eastAsia="zh-CN"/>
        </w:rPr>
        <w:t>、PM</w:t>
      </w:r>
      <w:r>
        <w:rPr>
          <w:rFonts w:hint="default" w:ascii="Times New Roman" w:hAnsi="Times New Roman" w:eastAsia="宋体" w:cs="Times New Roman"/>
          <w:caps w:val="0"/>
          <w:color w:val="auto"/>
          <w:spacing w:val="0"/>
          <w:sz w:val="24"/>
          <w:highlight w:val="none"/>
          <w:vertAlign w:val="subscript"/>
          <w:lang w:val="en-US" w:eastAsia="zh-CN"/>
        </w:rPr>
        <w:t>10</w:t>
      </w:r>
      <w:r>
        <w:rPr>
          <w:rFonts w:hint="default" w:ascii="Times New Roman" w:hAnsi="Times New Roman" w:eastAsia="宋体" w:cs="Times New Roman"/>
          <w:caps w:val="0"/>
          <w:color w:val="auto"/>
          <w:spacing w:val="0"/>
          <w:sz w:val="24"/>
          <w:highlight w:val="none"/>
          <w:lang w:val="en-US" w:eastAsia="zh-CN"/>
        </w:rPr>
        <w:t>、PM</w:t>
      </w:r>
      <w:r>
        <w:rPr>
          <w:rFonts w:hint="default" w:ascii="Times New Roman" w:hAnsi="Times New Roman" w:eastAsia="宋体" w:cs="Times New Roman"/>
          <w:caps w:val="0"/>
          <w:color w:val="auto"/>
          <w:spacing w:val="0"/>
          <w:sz w:val="24"/>
          <w:highlight w:val="none"/>
          <w:vertAlign w:val="subscript"/>
          <w:lang w:val="en-US" w:eastAsia="zh-CN"/>
        </w:rPr>
        <w:t>2.5</w:t>
      </w:r>
      <w:r>
        <w:rPr>
          <w:rFonts w:hint="default" w:ascii="Times New Roman" w:hAnsi="Times New Roman" w:eastAsia="宋体" w:cs="Times New Roman"/>
          <w:caps w:val="0"/>
          <w:color w:val="auto"/>
          <w:spacing w:val="0"/>
          <w:sz w:val="24"/>
          <w:highlight w:val="none"/>
          <w:lang w:val="en-US" w:eastAsia="zh-CN"/>
        </w:rPr>
        <w:t>、CO、O</w:t>
      </w:r>
      <w:r>
        <w:rPr>
          <w:rFonts w:hint="default" w:ascii="Times New Roman" w:hAnsi="Times New Roman" w:eastAsia="宋体" w:cs="Times New Roman"/>
          <w:caps w:val="0"/>
          <w:color w:val="auto"/>
          <w:spacing w:val="0"/>
          <w:sz w:val="24"/>
          <w:highlight w:val="none"/>
          <w:vertAlign w:val="subscript"/>
          <w:lang w:val="en-US" w:eastAsia="zh-CN"/>
        </w:rPr>
        <w:t>3</w:t>
      </w:r>
      <w:r>
        <w:rPr>
          <w:rFonts w:hint="default" w:ascii="Times New Roman" w:hAnsi="Times New Roman" w:eastAsia="宋体" w:cs="Times New Roman"/>
          <w:caps w:val="0"/>
          <w:color w:val="auto"/>
          <w:spacing w:val="0"/>
          <w:sz w:val="24"/>
          <w:highlight w:val="none"/>
          <w:vertAlign w:val="baseline"/>
          <w:lang w:val="en-US" w:eastAsia="zh-CN"/>
        </w:rPr>
        <w:t>、TSP</w:t>
      </w:r>
      <w:r>
        <w:rPr>
          <w:rFonts w:hint="default" w:ascii="Times New Roman" w:hAnsi="Times New Roman" w:eastAsia="宋体" w:cs="Times New Roman"/>
          <w:caps w:val="0"/>
          <w:color w:val="auto"/>
          <w:spacing w:val="0"/>
          <w:sz w:val="24"/>
          <w:highlight w:val="none"/>
          <w:lang w:val="en-US" w:eastAsia="zh-CN"/>
        </w:rPr>
        <w:t>、NO</w:t>
      </w:r>
      <w:r>
        <w:rPr>
          <w:rFonts w:hint="default" w:ascii="Times New Roman" w:hAnsi="Times New Roman" w:eastAsia="宋体" w:cs="Times New Roman"/>
          <w:caps w:val="0"/>
          <w:color w:val="auto"/>
          <w:spacing w:val="0"/>
          <w:sz w:val="24"/>
          <w:highlight w:val="none"/>
          <w:vertAlign w:val="subscript"/>
          <w:lang w:val="en-US" w:eastAsia="zh-CN"/>
        </w:rPr>
        <w:t>x</w:t>
      </w:r>
      <w:r>
        <w:rPr>
          <w:rFonts w:hint="default" w:ascii="Times New Roman" w:hAnsi="Times New Roman" w:eastAsia="宋体" w:cs="Times New Roman"/>
          <w:caps w:val="0"/>
          <w:color w:val="auto"/>
          <w:spacing w:val="0"/>
          <w:sz w:val="24"/>
          <w:highlight w:val="none"/>
          <w:lang w:val="en-US" w:eastAsia="zh-CN"/>
        </w:rPr>
        <w:t>执行《环境空气质量标准》（GB3095-20</w:t>
      </w:r>
      <w:r>
        <w:rPr>
          <w:rFonts w:hint="eastAsia" w:ascii="Times New Roman" w:hAnsi="Times New Roman" w:eastAsia="宋体" w:cs="Times New Roman"/>
          <w:caps w:val="0"/>
          <w:color w:val="auto"/>
          <w:spacing w:val="0"/>
          <w:sz w:val="24"/>
          <w:highlight w:val="none"/>
          <w:lang w:val="en-US" w:eastAsia="zh-CN"/>
        </w:rPr>
        <w:t>26</w:t>
      </w:r>
      <w:r>
        <w:rPr>
          <w:rFonts w:hint="default" w:ascii="Times New Roman" w:hAnsi="Times New Roman" w:eastAsia="宋体" w:cs="Times New Roman"/>
          <w:caps w:val="0"/>
          <w:color w:val="auto"/>
          <w:spacing w:val="0"/>
          <w:sz w:val="24"/>
          <w:highlight w:val="none"/>
          <w:lang w:val="en-US" w:eastAsia="zh-CN"/>
        </w:rPr>
        <w:t>）中二级标准</w:t>
      </w:r>
      <w:r>
        <w:rPr>
          <w:rFonts w:hint="eastAsia" w:ascii="Times New Roman" w:hAnsi="Times New Roman" w:eastAsia="宋体" w:cs="Times New Roman"/>
          <w:caps w:val="0"/>
          <w:color w:val="auto"/>
          <w:spacing w:val="0"/>
          <w:sz w:val="24"/>
          <w:highlight w:val="none"/>
          <w:lang w:val="en-US" w:eastAsia="zh-CN"/>
        </w:rPr>
        <w:t>：自今日起至2030年12月31日止，环境空气污染物基本项目实施过渡阶段浓度限值；自2031年1月1日起，在全国范围内实施基本项目浓度限值。</w:t>
      </w:r>
    </w:p>
    <w:p w14:paraId="69D7E2E2">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textAlignment w:val="baseline"/>
        <w:rPr>
          <w:rFonts w:hint="eastAsia" w:ascii="Times New Roman" w:hAnsi="Times New Roman" w:cs="Times New Roman"/>
          <w:color w:val="auto"/>
          <w:spacing w:val="-1"/>
          <w:sz w:val="24"/>
          <w:szCs w:val="24"/>
          <w:lang w:val="en-US" w:eastAsia="zh-CN"/>
        </w:rPr>
      </w:pPr>
      <w:r>
        <w:rPr>
          <w:rFonts w:hint="eastAsia" w:ascii="Times New Roman" w:hAnsi="Times New Roman" w:cs="Times New Roman"/>
          <w:color w:val="auto"/>
          <w:spacing w:val="-1"/>
          <w:sz w:val="24"/>
          <w:szCs w:val="24"/>
          <w:lang w:val="en-US" w:eastAsia="zh-CN"/>
        </w:rPr>
        <w:t>具体标准值详见表1.7-1。</w:t>
      </w:r>
    </w:p>
    <w:p w14:paraId="3F1D8DD8">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环境空气质量标准（GB3095-2026）</w:t>
      </w:r>
    </w:p>
    <w:tbl>
      <w:tblPr>
        <w:tblStyle w:val="21"/>
        <w:tblW w:w="50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090"/>
        <w:gridCol w:w="1927"/>
        <w:gridCol w:w="1882"/>
        <w:gridCol w:w="1186"/>
        <w:gridCol w:w="2116"/>
      </w:tblGrid>
      <w:tr w14:paraId="1309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tcBorders>
              <w:tl2br w:val="nil"/>
              <w:tr2bl w:val="nil"/>
            </w:tcBorders>
            <w:noWrap w:val="0"/>
            <w:vAlign w:val="center"/>
          </w:tcPr>
          <w:p w14:paraId="630CB6D2">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b/>
                <w:caps w:val="0"/>
                <w:color w:val="auto"/>
                <w:spacing w:val="0"/>
                <w:sz w:val="21"/>
                <w:szCs w:val="21"/>
                <w:highlight w:val="none"/>
              </w:rPr>
            </w:pPr>
            <w:r>
              <w:rPr>
                <w:rFonts w:hint="default" w:ascii="Times New Roman" w:hAnsi="Times New Roman" w:eastAsia="宋体" w:cs="Times New Roman"/>
                <w:b/>
                <w:caps w:val="0"/>
                <w:color w:val="auto"/>
                <w:spacing w:val="0"/>
                <w:sz w:val="21"/>
                <w:szCs w:val="21"/>
                <w:highlight w:val="none"/>
              </w:rPr>
              <w:t>序号</w:t>
            </w:r>
          </w:p>
        </w:tc>
        <w:tc>
          <w:tcPr>
            <w:tcW w:w="1090" w:type="dxa"/>
            <w:tcBorders>
              <w:tl2br w:val="nil"/>
              <w:tr2bl w:val="nil"/>
            </w:tcBorders>
            <w:noWrap w:val="0"/>
            <w:vAlign w:val="center"/>
          </w:tcPr>
          <w:p w14:paraId="5D7E2ADB">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b/>
                <w:caps w:val="0"/>
                <w:color w:val="auto"/>
                <w:spacing w:val="0"/>
                <w:sz w:val="21"/>
                <w:szCs w:val="21"/>
                <w:highlight w:val="none"/>
              </w:rPr>
            </w:pPr>
            <w:r>
              <w:rPr>
                <w:rFonts w:hint="default" w:ascii="Times New Roman" w:hAnsi="Times New Roman" w:eastAsia="宋体" w:cs="Times New Roman"/>
                <w:b/>
                <w:caps w:val="0"/>
                <w:color w:val="auto"/>
                <w:spacing w:val="0"/>
                <w:sz w:val="21"/>
                <w:szCs w:val="21"/>
                <w:highlight w:val="none"/>
              </w:rPr>
              <w:t>污染物</w:t>
            </w:r>
          </w:p>
        </w:tc>
        <w:tc>
          <w:tcPr>
            <w:tcW w:w="1927" w:type="dxa"/>
            <w:tcBorders>
              <w:tl2br w:val="nil"/>
              <w:tr2bl w:val="nil"/>
            </w:tcBorders>
            <w:noWrap w:val="0"/>
            <w:vAlign w:val="center"/>
          </w:tcPr>
          <w:p w14:paraId="56E4277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b/>
                <w:caps w:val="0"/>
                <w:color w:val="auto"/>
                <w:spacing w:val="0"/>
                <w:sz w:val="21"/>
                <w:szCs w:val="21"/>
                <w:highlight w:val="none"/>
              </w:rPr>
            </w:pPr>
            <w:r>
              <w:rPr>
                <w:rFonts w:hint="default" w:ascii="Times New Roman" w:hAnsi="Times New Roman" w:eastAsia="宋体" w:cs="Times New Roman"/>
                <w:b/>
                <w:caps w:val="0"/>
                <w:color w:val="auto"/>
                <w:spacing w:val="0"/>
                <w:sz w:val="21"/>
                <w:szCs w:val="21"/>
                <w:highlight w:val="none"/>
              </w:rPr>
              <w:t>平均时间</w:t>
            </w:r>
          </w:p>
        </w:tc>
        <w:tc>
          <w:tcPr>
            <w:tcW w:w="1882" w:type="dxa"/>
            <w:tcBorders>
              <w:tl2br w:val="nil"/>
              <w:tr2bl w:val="nil"/>
            </w:tcBorders>
            <w:noWrap w:val="0"/>
            <w:vAlign w:val="center"/>
          </w:tcPr>
          <w:p w14:paraId="56820ECB">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b/>
                <w:caps w:val="0"/>
                <w:color w:val="auto"/>
                <w:spacing w:val="0"/>
                <w:sz w:val="21"/>
                <w:szCs w:val="21"/>
                <w:highlight w:val="none"/>
                <w:lang w:val="en-US" w:eastAsia="zh-CN"/>
              </w:rPr>
            </w:pPr>
            <w:r>
              <w:rPr>
                <w:rFonts w:hint="eastAsia" w:ascii="Times New Roman" w:hAnsi="Times New Roman" w:eastAsia="宋体" w:cs="Times New Roman"/>
                <w:b/>
                <w:caps w:val="0"/>
                <w:color w:val="auto"/>
                <w:spacing w:val="0"/>
                <w:sz w:val="21"/>
                <w:szCs w:val="21"/>
                <w:highlight w:val="none"/>
                <w:lang w:val="en-US" w:eastAsia="zh-CN"/>
              </w:rPr>
              <w:t>过渡阶段浓度限值</w:t>
            </w:r>
          </w:p>
        </w:tc>
        <w:tc>
          <w:tcPr>
            <w:tcW w:w="1186" w:type="dxa"/>
            <w:tcBorders>
              <w:tl2br w:val="nil"/>
              <w:tr2bl w:val="nil"/>
            </w:tcBorders>
            <w:noWrap w:val="0"/>
            <w:vAlign w:val="center"/>
          </w:tcPr>
          <w:p w14:paraId="4D3F06D5">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b/>
                <w:caps w:val="0"/>
                <w:color w:val="auto"/>
                <w:spacing w:val="0"/>
                <w:sz w:val="21"/>
                <w:szCs w:val="21"/>
                <w:highlight w:val="none"/>
                <w:lang w:val="en-US" w:eastAsia="zh-CN"/>
              </w:rPr>
            </w:pPr>
            <w:r>
              <w:rPr>
                <w:rFonts w:hint="default" w:ascii="Times New Roman" w:hAnsi="Times New Roman" w:eastAsia="宋体" w:cs="Times New Roman"/>
                <w:b/>
                <w:caps w:val="0"/>
                <w:color w:val="auto"/>
                <w:spacing w:val="0"/>
                <w:sz w:val="21"/>
                <w:szCs w:val="21"/>
                <w:highlight w:val="none"/>
                <w:lang w:val="en-US" w:eastAsia="zh-CN"/>
              </w:rPr>
              <w:t>浓度限值</w:t>
            </w:r>
          </w:p>
        </w:tc>
        <w:tc>
          <w:tcPr>
            <w:tcW w:w="2116" w:type="dxa"/>
            <w:tcBorders>
              <w:tl2br w:val="nil"/>
              <w:tr2bl w:val="nil"/>
            </w:tcBorders>
            <w:noWrap w:val="0"/>
            <w:vAlign w:val="center"/>
          </w:tcPr>
          <w:p w14:paraId="074F239C">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b/>
                <w:caps w:val="0"/>
                <w:color w:val="auto"/>
                <w:spacing w:val="0"/>
                <w:sz w:val="21"/>
                <w:szCs w:val="21"/>
                <w:highlight w:val="none"/>
              </w:rPr>
            </w:pPr>
            <w:r>
              <w:rPr>
                <w:rFonts w:hint="default" w:ascii="Times New Roman" w:hAnsi="Times New Roman" w:eastAsia="宋体" w:cs="Times New Roman"/>
                <w:b/>
                <w:caps w:val="0"/>
                <w:color w:val="auto"/>
                <w:spacing w:val="0"/>
                <w:sz w:val="21"/>
                <w:szCs w:val="21"/>
                <w:highlight w:val="none"/>
              </w:rPr>
              <w:t>执行标准名称</w:t>
            </w:r>
          </w:p>
        </w:tc>
      </w:tr>
      <w:tr w14:paraId="5F64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6EEF6B12">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1</w:t>
            </w:r>
          </w:p>
        </w:tc>
        <w:tc>
          <w:tcPr>
            <w:tcW w:w="1090" w:type="dxa"/>
            <w:vMerge w:val="restart"/>
            <w:tcBorders>
              <w:tl2br w:val="nil"/>
              <w:tr2bl w:val="nil"/>
            </w:tcBorders>
            <w:noWrap w:val="0"/>
            <w:vAlign w:val="center"/>
          </w:tcPr>
          <w:p w14:paraId="3D11A805">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SO</w:t>
            </w:r>
            <w:r>
              <w:rPr>
                <w:rFonts w:hint="default" w:ascii="Times New Roman" w:hAnsi="Times New Roman" w:eastAsia="宋体" w:cs="Times New Roman"/>
                <w:caps w:val="0"/>
                <w:color w:val="auto"/>
                <w:spacing w:val="0"/>
                <w:sz w:val="21"/>
                <w:szCs w:val="21"/>
                <w:highlight w:val="none"/>
                <w:vertAlign w:val="subscript"/>
              </w:rPr>
              <w:t>2</w:t>
            </w:r>
          </w:p>
        </w:tc>
        <w:tc>
          <w:tcPr>
            <w:tcW w:w="1927" w:type="dxa"/>
            <w:tcBorders>
              <w:tl2br w:val="nil"/>
              <w:tr2bl w:val="nil"/>
            </w:tcBorders>
            <w:noWrap w:val="0"/>
            <w:vAlign w:val="center"/>
          </w:tcPr>
          <w:p w14:paraId="07AB6D4A">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年平均</w:t>
            </w:r>
          </w:p>
        </w:tc>
        <w:tc>
          <w:tcPr>
            <w:tcW w:w="1882" w:type="dxa"/>
            <w:tcBorders>
              <w:tl2br w:val="nil"/>
              <w:tr2bl w:val="nil"/>
            </w:tcBorders>
            <w:noWrap w:val="0"/>
            <w:vAlign w:val="center"/>
          </w:tcPr>
          <w:p w14:paraId="07D3E43C">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60</w:t>
            </w:r>
          </w:p>
        </w:tc>
        <w:tc>
          <w:tcPr>
            <w:tcW w:w="1186" w:type="dxa"/>
            <w:tcBorders>
              <w:tl2br w:val="nil"/>
              <w:tr2bl w:val="nil"/>
            </w:tcBorders>
            <w:noWrap w:val="0"/>
            <w:vAlign w:val="center"/>
          </w:tcPr>
          <w:p w14:paraId="3F298E57">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20</w:t>
            </w:r>
          </w:p>
        </w:tc>
        <w:tc>
          <w:tcPr>
            <w:tcW w:w="2116" w:type="dxa"/>
            <w:vMerge w:val="restart"/>
            <w:tcBorders>
              <w:tl2br w:val="nil"/>
              <w:tr2bl w:val="nil"/>
            </w:tcBorders>
            <w:noWrap w:val="0"/>
            <w:vAlign w:val="center"/>
          </w:tcPr>
          <w:p w14:paraId="251A3FF1">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eastAsia" w:ascii="Times New Roman" w:hAnsi="Times New Roman" w:eastAsia="宋体" w:cs="Times New Roman"/>
                <w:caps w:val="0"/>
                <w:color w:val="auto"/>
                <w:spacing w:val="0"/>
                <w:sz w:val="21"/>
                <w:szCs w:val="21"/>
                <w:highlight w:val="none"/>
                <w:lang w:eastAsia="zh-CN"/>
              </w:rPr>
              <w:t>GB3095-2026</w:t>
            </w:r>
            <w:r>
              <w:rPr>
                <w:rFonts w:hint="default" w:ascii="Times New Roman" w:hAnsi="Times New Roman" w:eastAsia="宋体" w:cs="Times New Roman"/>
                <w:caps w:val="0"/>
                <w:color w:val="auto"/>
                <w:spacing w:val="0"/>
                <w:sz w:val="21"/>
                <w:szCs w:val="21"/>
                <w:highlight w:val="none"/>
              </w:rPr>
              <w:t>《环境空气质量标准》</w:t>
            </w:r>
          </w:p>
        </w:tc>
      </w:tr>
      <w:tr w14:paraId="3C76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1F30A28E">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090" w:type="dxa"/>
            <w:vMerge w:val="continue"/>
            <w:tcBorders>
              <w:tl2br w:val="nil"/>
              <w:tr2bl w:val="nil"/>
            </w:tcBorders>
            <w:noWrap w:val="0"/>
            <w:vAlign w:val="center"/>
          </w:tcPr>
          <w:p w14:paraId="666FC579">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20031A2A">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eastAsia" w:ascii="Times New Roman" w:hAnsi="Times New Roman" w:eastAsia="宋体" w:cs="Times New Roman"/>
                <w:caps w:val="0"/>
                <w:color w:val="auto"/>
                <w:spacing w:val="0"/>
                <w:kern w:val="0"/>
                <w:sz w:val="21"/>
                <w:highlight w:val="none"/>
                <w:lang w:val="en-US" w:eastAsia="zh-CN"/>
              </w:rPr>
              <w:t>日</w:t>
            </w:r>
            <w:r>
              <w:rPr>
                <w:rFonts w:hint="default" w:ascii="Times New Roman" w:hAnsi="Times New Roman" w:eastAsia="宋体" w:cs="Times New Roman"/>
                <w:caps w:val="0"/>
                <w:color w:val="auto"/>
                <w:spacing w:val="0"/>
                <w:kern w:val="0"/>
                <w:sz w:val="21"/>
                <w:highlight w:val="none"/>
              </w:rPr>
              <w:t>平均</w:t>
            </w:r>
          </w:p>
        </w:tc>
        <w:tc>
          <w:tcPr>
            <w:tcW w:w="1882" w:type="dxa"/>
            <w:tcBorders>
              <w:tl2br w:val="nil"/>
              <w:tr2bl w:val="nil"/>
            </w:tcBorders>
            <w:noWrap w:val="0"/>
            <w:vAlign w:val="center"/>
          </w:tcPr>
          <w:p w14:paraId="7295E8F8">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eastAsia"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150</w:t>
            </w:r>
          </w:p>
        </w:tc>
        <w:tc>
          <w:tcPr>
            <w:tcW w:w="1186" w:type="dxa"/>
            <w:tcBorders>
              <w:tl2br w:val="nil"/>
              <w:tr2bl w:val="nil"/>
            </w:tcBorders>
            <w:noWrap w:val="0"/>
            <w:vAlign w:val="center"/>
          </w:tcPr>
          <w:p w14:paraId="6F851024">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50</w:t>
            </w:r>
          </w:p>
        </w:tc>
        <w:tc>
          <w:tcPr>
            <w:tcW w:w="2116" w:type="dxa"/>
            <w:vMerge w:val="continue"/>
            <w:tcBorders>
              <w:tl2br w:val="nil"/>
              <w:tr2bl w:val="nil"/>
            </w:tcBorders>
            <w:noWrap w:val="0"/>
            <w:vAlign w:val="center"/>
          </w:tcPr>
          <w:p w14:paraId="335BEF75">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3B78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390D58C5">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090" w:type="dxa"/>
            <w:vMerge w:val="continue"/>
            <w:tcBorders>
              <w:tl2br w:val="nil"/>
              <w:tr2bl w:val="nil"/>
            </w:tcBorders>
            <w:noWrap w:val="0"/>
            <w:vAlign w:val="center"/>
          </w:tcPr>
          <w:p w14:paraId="2BF9F71C">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52F33F3E">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1小时平均</w:t>
            </w:r>
          </w:p>
        </w:tc>
        <w:tc>
          <w:tcPr>
            <w:tcW w:w="1882" w:type="dxa"/>
            <w:tcBorders>
              <w:tl2br w:val="nil"/>
              <w:tr2bl w:val="nil"/>
            </w:tcBorders>
            <w:noWrap w:val="0"/>
            <w:vAlign w:val="center"/>
          </w:tcPr>
          <w:p w14:paraId="138DB694">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500</w:t>
            </w:r>
          </w:p>
        </w:tc>
        <w:tc>
          <w:tcPr>
            <w:tcW w:w="1186" w:type="dxa"/>
            <w:tcBorders>
              <w:tl2br w:val="nil"/>
              <w:tr2bl w:val="nil"/>
            </w:tcBorders>
            <w:noWrap w:val="0"/>
            <w:vAlign w:val="center"/>
          </w:tcPr>
          <w:p w14:paraId="6721404E">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150</w:t>
            </w:r>
          </w:p>
        </w:tc>
        <w:tc>
          <w:tcPr>
            <w:tcW w:w="2116" w:type="dxa"/>
            <w:vMerge w:val="continue"/>
            <w:tcBorders>
              <w:tl2br w:val="nil"/>
              <w:tr2bl w:val="nil"/>
            </w:tcBorders>
            <w:noWrap w:val="0"/>
            <w:vAlign w:val="center"/>
          </w:tcPr>
          <w:p w14:paraId="323F5AD0">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54CA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3D59DCED">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2</w:t>
            </w:r>
          </w:p>
        </w:tc>
        <w:tc>
          <w:tcPr>
            <w:tcW w:w="1090" w:type="dxa"/>
            <w:vMerge w:val="restart"/>
            <w:tcBorders>
              <w:tl2br w:val="nil"/>
              <w:tr2bl w:val="nil"/>
            </w:tcBorders>
            <w:noWrap w:val="0"/>
            <w:vAlign w:val="center"/>
          </w:tcPr>
          <w:p w14:paraId="6C361F3F">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NO</w:t>
            </w:r>
            <w:r>
              <w:rPr>
                <w:rFonts w:hint="default" w:ascii="Times New Roman" w:hAnsi="Times New Roman" w:eastAsia="宋体" w:cs="Times New Roman"/>
                <w:caps w:val="0"/>
                <w:color w:val="auto"/>
                <w:spacing w:val="0"/>
                <w:sz w:val="21"/>
                <w:szCs w:val="21"/>
                <w:highlight w:val="none"/>
                <w:vertAlign w:val="subscript"/>
              </w:rPr>
              <w:t>2</w:t>
            </w:r>
          </w:p>
        </w:tc>
        <w:tc>
          <w:tcPr>
            <w:tcW w:w="1927" w:type="dxa"/>
            <w:tcBorders>
              <w:tl2br w:val="nil"/>
              <w:tr2bl w:val="nil"/>
            </w:tcBorders>
            <w:noWrap w:val="0"/>
            <w:vAlign w:val="center"/>
          </w:tcPr>
          <w:p w14:paraId="055D96DE">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年平均</w:t>
            </w:r>
          </w:p>
        </w:tc>
        <w:tc>
          <w:tcPr>
            <w:tcW w:w="1882" w:type="dxa"/>
            <w:tcBorders>
              <w:tl2br w:val="nil"/>
              <w:tr2bl w:val="nil"/>
            </w:tcBorders>
            <w:noWrap w:val="0"/>
            <w:vAlign w:val="center"/>
          </w:tcPr>
          <w:p w14:paraId="55F21323">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40</w:t>
            </w:r>
          </w:p>
        </w:tc>
        <w:tc>
          <w:tcPr>
            <w:tcW w:w="1186" w:type="dxa"/>
            <w:tcBorders>
              <w:tl2br w:val="nil"/>
              <w:tr2bl w:val="nil"/>
            </w:tcBorders>
            <w:noWrap w:val="0"/>
            <w:vAlign w:val="center"/>
          </w:tcPr>
          <w:p w14:paraId="3FCAA848">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30</w:t>
            </w:r>
          </w:p>
        </w:tc>
        <w:tc>
          <w:tcPr>
            <w:tcW w:w="2116" w:type="dxa"/>
            <w:vMerge w:val="continue"/>
            <w:tcBorders>
              <w:tl2br w:val="nil"/>
              <w:tr2bl w:val="nil"/>
            </w:tcBorders>
            <w:noWrap w:val="0"/>
            <w:vAlign w:val="center"/>
          </w:tcPr>
          <w:p w14:paraId="55ADF44B">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3D55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15E9FCD5">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090" w:type="dxa"/>
            <w:vMerge w:val="continue"/>
            <w:tcBorders>
              <w:tl2br w:val="nil"/>
              <w:tr2bl w:val="nil"/>
            </w:tcBorders>
            <w:noWrap w:val="0"/>
            <w:vAlign w:val="center"/>
          </w:tcPr>
          <w:p w14:paraId="6BB6C371">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17F6AF6F">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eastAsia" w:ascii="Times New Roman" w:hAnsi="Times New Roman" w:eastAsia="宋体" w:cs="Times New Roman"/>
                <w:caps w:val="0"/>
                <w:color w:val="auto"/>
                <w:spacing w:val="0"/>
                <w:kern w:val="0"/>
                <w:sz w:val="21"/>
                <w:highlight w:val="none"/>
                <w:lang w:val="en-US" w:eastAsia="zh-CN"/>
              </w:rPr>
              <w:t>日</w:t>
            </w:r>
            <w:r>
              <w:rPr>
                <w:rFonts w:hint="default" w:ascii="Times New Roman" w:hAnsi="Times New Roman" w:eastAsia="宋体" w:cs="Times New Roman"/>
                <w:caps w:val="0"/>
                <w:color w:val="auto"/>
                <w:spacing w:val="0"/>
                <w:kern w:val="0"/>
                <w:sz w:val="21"/>
                <w:highlight w:val="none"/>
              </w:rPr>
              <w:t>平均</w:t>
            </w:r>
          </w:p>
        </w:tc>
        <w:tc>
          <w:tcPr>
            <w:tcW w:w="1882" w:type="dxa"/>
            <w:tcBorders>
              <w:tl2br w:val="nil"/>
              <w:tr2bl w:val="nil"/>
            </w:tcBorders>
            <w:noWrap w:val="0"/>
            <w:vAlign w:val="center"/>
          </w:tcPr>
          <w:p w14:paraId="6566A4BF">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eastAsia"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80</w:t>
            </w:r>
          </w:p>
        </w:tc>
        <w:tc>
          <w:tcPr>
            <w:tcW w:w="1186" w:type="dxa"/>
            <w:tcBorders>
              <w:tl2br w:val="nil"/>
              <w:tr2bl w:val="nil"/>
            </w:tcBorders>
            <w:noWrap w:val="0"/>
            <w:vAlign w:val="center"/>
          </w:tcPr>
          <w:p w14:paraId="4B29AF36">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50</w:t>
            </w:r>
          </w:p>
        </w:tc>
        <w:tc>
          <w:tcPr>
            <w:tcW w:w="2116" w:type="dxa"/>
            <w:vMerge w:val="continue"/>
            <w:tcBorders>
              <w:tl2br w:val="nil"/>
              <w:tr2bl w:val="nil"/>
            </w:tcBorders>
            <w:noWrap w:val="0"/>
            <w:vAlign w:val="center"/>
          </w:tcPr>
          <w:p w14:paraId="7BD5CAE7">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15AD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707C00E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090" w:type="dxa"/>
            <w:vMerge w:val="continue"/>
            <w:tcBorders>
              <w:tl2br w:val="nil"/>
              <w:tr2bl w:val="nil"/>
            </w:tcBorders>
            <w:noWrap w:val="0"/>
            <w:vAlign w:val="center"/>
          </w:tcPr>
          <w:p w14:paraId="6AAF937C">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1194DF73">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1小时平均</w:t>
            </w:r>
          </w:p>
        </w:tc>
        <w:tc>
          <w:tcPr>
            <w:tcW w:w="1882" w:type="dxa"/>
            <w:tcBorders>
              <w:tl2br w:val="nil"/>
              <w:tr2bl w:val="nil"/>
            </w:tcBorders>
            <w:noWrap w:val="0"/>
            <w:vAlign w:val="center"/>
          </w:tcPr>
          <w:p w14:paraId="4B17BB40">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200</w:t>
            </w:r>
          </w:p>
        </w:tc>
        <w:tc>
          <w:tcPr>
            <w:tcW w:w="1186" w:type="dxa"/>
            <w:tcBorders>
              <w:tl2br w:val="nil"/>
              <w:tr2bl w:val="nil"/>
            </w:tcBorders>
            <w:noWrap w:val="0"/>
            <w:vAlign w:val="center"/>
          </w:tcPr>
          <w:p w14:paraId="3384658E">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200</w:t>
            </w:r>
          </w:p>
        </w:tc>
        <w:tc>
          <w:tcPr>
            <w:tcW w:w="2116" w:type="dxa"/>
            <w:vMerge w:val="continue"/>
            <w:tcBorders>
              <w:tl2br w:val="nil"/>
              <w:tr2bl w:val="nil"/>
            </w:tcBorders>
            <w:noWrap w:val="0"/>
            <w:vAlign w:val="center"/>
          </w:tcPr>
          <w:p w14:paraId="677670AF">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0DD6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4EDDAED9">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3</w:t>
            </w:r>
          </w:p>
        </w:tc>
        <w:tc>
          <w:tcPr>
            <w:tcW w:w="1090" w:type="dxa"/>
            <w:vMerge w:val="restart"/>
            <w:tcBorders>
              <w:tl2br w:val="nil"/>
              <w:tr2bl w:val="nil"/>
            </w:tcBorders>
            <w:noWrap w:val="0"/>
            <w:vAlign w:val="center"/>
          </w:tcPr>
          <w:p w14:paraId="16CAA9E2">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CO</w:t>
            </w:r>
          </w:p>
        </w:tc>
        <w:tc>
          <w:tcPr>
            <w:tcW w:w="1927" w:type="dxa"/>
            <w:tcBorders>
              <w:tl2br w:val="nil"/>
              <w:tr2bl w:val="nil"/>
            </w:tcBorders>
            <w:noWrap w:val="0"/>
            <w:vAlign w:val="center"/>
          </w:tcPr>
          <w:p w14:paraId="0D8E61ED">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eastAsia" w:ascii="Times New Roman" w:hAnsi="Times New Roman" w:eastAsia="宋体" w:cs="Times New Roman"/>
                <w:caps w:val="0"/>
                <w:color w:val="auto"/>
                <w:spacing w:val="0"/>
                <w:kern w:val="0"/>
                <w:sz w:val="21"/>
                <w:highlight w:val="none"/>
                <w:lang w:val="en-US" w:eastAsia="zh-CN"/>
              </w:rPr>
              <w:t>日</w:t>
            </w:r>
            <w:r>
              <w:rPr>
                <w:rFonts w:hint="default" w:ascii="Times New Roman" w:hAnsi="Times New Roman" w:eastAsia="宋体" w:cs="Times New Roman"/>
                <w:caps w:val="0"/>
                <w:color w:val="auto"/>
                <w:spacing w:val="0"/>
                <w:kern w:val="0"/>
                <w:sz w:val="21"/>
                <w:highlight w:val="none"/>
              </w:rPr>
              <w:t>平均</w:t>
            </w:r>
          </w:p>
        </w:tc>
        <w:tc>
          <w:tcPr>
            <w:tcW w:w="1882" w:type="dxa"/>
            <w:tcBorders>
              <w:tl2br w:val="nil"/>
              <w:tr2bl w:val="nil"/>
            </w:tcBorders>
            <w:noWrap w:val="0"/>
            <w:vAlign w:val="center"/>
          </w:tcPr>
          <w:p w14:paraId="3707F54F">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eastAsia"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4000</w:t>
            </w:r>
          </w:p>
        </w:tc>
        <w:tc>
          <w:tcPr>
            <w:tcW w:w="1186" w:type="dxa"/>
            <w:tcBorders>
              <w:tl2br w:val="nil"/>
              <w:tr2bl w:val="nil"/>
            </w:tcBorders>
            <w:noWrap w:val="0"/>
            <w:vAlign w:val="center"/>
          </w:tcPr>
          <w:p w14:paraId="0160703F">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4000</w:t>
            </w:r>
          </w:p>
        </w:tc>
        <w:tc>
          <w:tcPr>
            <w:tcW w:w="2116" w:type="dxa"/>
            <w:vMerge w:val="continue"/>
            <w:tcBorders>
              <w:tl2br w:val="nil"/>
              <w:tr2bl w:val="nil"/>
            </w:tcBorders>
            <w:noWrap w:val="0"/>
            <w:vAlign w:val="center"/>
          </w:tcPr>
          <w:p w14:paraId="241BDAFE">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269E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1801BBF1">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p>
        </w:tc>
        <w:tc>
          <w:tcPr>
            <w:tcW w:w="1090" w:type="dxa"/>
            <w:vMerge w:val="continue"/>
            <w:tcBorders>
              <w:tl2br w:val="nil"/>
              <w:tr2bl w:val="nil"/>
            </w:tcBorders>
            <w:noWrap w:val="0"/>
            <w:vAlign w:val="center"/>
          </w:tcPr>
          <w:p w14:paraId="6AD7A0C7">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p>
        </w:tc>
        <w:tc>
          <w:tcPr>
            <w:tcW w:w="1927" w:type="dxa"/>
            <w:tcBorders>
              <w:tl2br w:val="nil"/>
              <w:tr2bl w:val="nil"/>
            </w:tcBorders>
            <w:noWrap w:val="0"/>
            <w:vAlign w:val="center"/>
          </w:tcPr>
          <w:p w14:paraId="63A1193F">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1小时平均</w:t>
            </w:r>
          </w:p>
        </w:tc>
        <w:tc>
          <w:tcPr>
            <w:tcW w:w="1882" w:type="dxa"/>
            <w:tcBorders>
              <w:tl2br w:val="nil"/>
              <w:tr2bl w:val="nil"/>
            </w:tcBorders>
            <w:noWrap w:val="0"/>
            <w:vAlign w:val="center"/>
          </w:tcPr>
          <w:p w14:paraId="57F59E15">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10000</w:t>
            </w:r>
          </w:p>
        </w:tc>
        <w:tc>
          <w:tcPr>
            <w:tcW w:w="1186" w:type="dxa"/>
            <w:tcBorders>
              <w:tl2br w:val="nil"/>
              <w:tr2bl w:val="nil"/>
            </w:tcBorders>
            <w:noWrap w:val="0"/>
            <w:vAlign w:val="center"/>
          </w:tcPr>
          <w:p w14:paraId="2ED92CC4">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10000</w:t>
            </w:r>
          </w:p>
        </w:tc>
        <w:tc>
          <w:tcPr>
            <w:tcW w:w="2116" w:type="dxa"/>
            <w:vMerge w:val="continue"/>
            <w:tcBorders>
              <w:tl2br w:val="nil"/>
              <w:tr2bl w:val="nil"/>
            </w:tcBorders>
            <w:noWrap w:val="0"/>
            <w:vAlign w:val="center"/>
          </w:tcPr>
          <w:p w14:paraId="161EEFB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4933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55FDA2D1">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sz w:val="21"/>
                <w:szCs w:val="21"/>
                <w:highlight w:val="none"/>
              </w:rPr>
              <w:t>4</w:t>
            </w:r>
          </w:p>
        </w:tc>
        <w:tc>
          <w:tcPr>
            <w:tcW w:w="1090" w:type="dxa"/>
            <w:vMerge w:val="restart"/>
            <w:tcBorders>
              <w:tl2br w:val="nil"/>
              <w:tr2bl w:val="nil"/>
            </w:tcBorders>
            <w:noWrap w:val="0"/>
            <w:vAlign w:val="center"/>
          </w:tcPr>
          <w:p w14:paraId="44679556">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default" w:ascii="Times New Roman" w:hAnsi="Times New Roman" w:eastAsia="宋体" w:cs="Times New Roman"/>
                <w:caps w:val="0"/>
                <w:color w:val="auto"/>
                <w:spacing w:val="0"/>
                <w:kern w:val="0"/>
                <w:sz w:val="21"/>
                <w:highlight w:val="none"/>
                <w:lang w:val="en-US" w:eastAsia="zh-CN"/>
              </w:rPr>
              <w:t>O</w:t>
            </w:r>
            <w:r>
              <w:rPr>
                <w:rFonts w:hint="default" w:ascii="Times New Roman" w:hAnsi="Times New Roman" w:eastAsia="宋体" w:cs="Times New Roman"/>
                <w:caps w:val="0"/>
                <w:color w:val="auto"/>
                <w:spacing w:val="0"/>
                <w:kern w:val="0"/>
                <w:sz w:val="21"/>
                <w:highlight w:val="none"/>
                <w:vertAlign w:val="subscript"/>
                <w:lang w:val="en-US" w:eastAsia="zh-CN"/>
              </w:rPr>
              <w:t>3</w:t>
            </w:r>
          </w:p>
        </w:tc>
        <w:tc>
          <w:tcPr>
            <w:tcW w:w="1927" w:type="dxa"/>
            <w:tcBorders>
              <w:tl2br w:val="nil"/>
              <w:tr2bl w:val="nil"/>
            </w:tcBorders>
            <w:noWrap w:val="0"/>
            <w:vAlign w:val="center"/>
          </w:tcPr>
          <w:p w14:paraId="402769D3">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default" w:ascii="Times New Roman" w:hAnsi="Times New Roman" w:eastAsia="宋体" w:cs="Times New Roman"/>
                <w:caps w:val="0"/>
                <w:color w:val="auto"/>
                <w:spacing w:val="0"/>
                <w:kern w:val="0"/>
                <w:sz w:val="21"/>
                <w:highlight w:val="none"/>
                <w:lang w:val="en-US" w:eastAsia="zh-CN"/>
              </w:rPr>
              <w:t>日最大8小时平均</w:t>
            </w:r>
          </w:p>
        </w:tc>
        <w:tc>
          <w:tcPr>
            <w:tcW w:w="1882" w:type="dxa"/>
            <w:tcBorders>
              <w:tl2br w:val="nil"/>
              <w:tr2bl w:val="nil"/>
            </w:tcBorders>
            <w:noWrap w:val="0"/>
            <w:vAlign w:val="center"/>
          </w:tcPr>
          <w:p w14:paraId="7B635B75">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lang w:val="en-US" w:eastAsia="zh-CN"/>
              </w:rPr>
              <w:t>160</w:t>
            </w:r>
          </w:p>
        </w:tc>
        <w:tc>
          <w:tcPr>
            <w:tcW w:w="1186" w:type="dxa"/>
            <w:tcBorders>
              <w:tl2br w:val="nil"/>
              <w:tr2bl w:val="nil"/>
            </w:tcBorders>
            <w:noWrap w:val="0"/>
            <w:vAlign w:val="center"/>
          </w:tcPr>
          <w:p w14:paraId="6D07293B">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lang w:val="en-US" w:eastAsia="zh-CN"/>
              </w:rPr>
              <w:t>160</w:t>
            </w:r>
          </w:p>
        </w:tc>
        <w:tc>
          <w:tcPr>
            <w:tcW w:w="2116" w:type="dxa"/>
            <w:vMerge w:val="continue"/>
            <w:tcBorders>
              <w:tl2br w:val="nil"/>
              <w:tr2bl w:val="nil"/>
            </w:tcBorders>
            <w:noWrap w:val="0"/>
            <w:vAlign w:val="center"/>
          </w:tcPr>
          <w:p w14:paraId="2CEA6FBD">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4D17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70C37388">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p>
        </w:tc>
        <w:tc>
          <w:tcPr>
            <w:tcW w:w="1090" w:type="dxa"/>
            <w:vMerge w:val="continue"/>
            <w:tcBorders>
              <w:tl2br w:val="nil"/>
              <w:tr2bl w:val="nil"/>
            </w:tcBorders>
            <w:noWrap w:val="0"/>
            <w:vAlign w:val="center"/>
          </w:tcPr>
          <w:p w14:paraId="461043F5">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p>
        </w:tc>
        <w:tc>
          <w:tcPr>
            <w:tcW w:w="1927" w:type="dxa"/>
            <w:tcBorders>
              <w:tl2br w:val="nil"/>
              <w:tr2bl w:val="nil"/>
            </w:tcBorders>
            <w:noWrap w:val="0"/>
            <w:vAlign w:val="center"/>
          </w:tcPr>
          <w:p w14:paraId="07ACAED9">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default" w:ascii="Times New Roman" w:hAnsi="Times New Roman" w:eastAsia="宋体" w:cs="Times New Roman"/>
                <w:caps w:val="0"/>
                <w:color w:val="auto"/>
                <w:spacing w:val="0"/>
                <w:kern w:val="0"/>
                <w:sz w:val="21"/>
                <w:highlight w:val="none"/>
                <w:lang w:val="en-US" w:eastAsia="zh-CN"/>
              </w:rPr>
              <w:t>1小时平均</w:t>
            </w:r>
          </w:p>
        </w:tc>
        <w:tc>
          <w:tcPr>
            <w:tcW w:w="1882" w:type="dxa"/>
            <w:tcBorders>
              <w:tl2br w:val="nil"/>
              <w:tr2bl w:val="nil"/>
            </w:tcBorders>
            <w:noWrap w:val="0"/>
            <w:vAlign w:val="center"/>
          </w:tcPr>
          <w:p w14:paraId="14112ED2">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lang w:val="en-US" w:eastAsia="zh-CN"/>
              </w:rPr>
              <w:t>200</w:t>
            </w:r>
          </w:p>
        </w:tc>
        <w:tc>
          <w:tcPr>
            <w:tcW w:w="1186" w:type="dxa"/>
            <w:tcBorders>
              <w:tl2br w:val="nil"/>
              <w:tr2bl w:val="nil"/>
            </w:tcBorders>
            <w:noWrap w:val="0"/>
            <w:vAlign w:val="center"/>
          </w:tcPr>
          <w:p w14:paraId="3BD33086">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lang w:val="en-US" w:eastAsia="zh-CN"/>
              </w:rPr>
              <w:t>200</w:t>
            </w:r>
          </w:p>
        </w:tc>
        <w:tc>
          <w:tcPr>
            <w:tcW w:w="2116" w:type="dxa"/>
            <w:vMerge w:val="continue"/>
            <w:tcBorders>
              <w:tl2br w:val="nil"/>
              <w:tr2bl w:val="nil"/>
            </w:tcBorders>
            <w:noWrap w:val="0"/>
            <w:vAlign w:val="center"/>
          </w:tcPr>
          <w:p w14:paraId="7BDF1181">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7AEA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04320E27">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lang w:val="en-US" w:eastAsia="zh-CN"/>
              </w:rPr>
              <w:t>5</w:t>
            </w:r>
          </w:p>
        </w:tc>
        <w:tc>
          <w:tcPr>
            <w:tcW w:w="1090" w:type="dxa"/>
            <w:vMerge w:val="restart"/>
            <w:tcBorders>
              <w:tl2br w:val="nil"/>
              <w:tr2bl w:val="nil"/>
            </w:tcBorders>
            <w:noWrap w:val="0"/>
            <w:vAlign w:val="center"/>
          </w:tcPr>
          <w:p w14:paraId="0988E3D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PM</w:t>
            </w:r>
            <w:r>
              <w:rPr>
                <w:rFonts w:hint="default" w:ascii="Times New Roman" w:hAnsi="Times New Roman" w:eastAsia="宋体" w:cs="Times New Roman"/>
                <w:caps w:val="0"/>
                <w:color w:val="auto"/>
                <w:spacing w:val="0"/>
                <w:sz w:val="21"/>
                <w:szCs w:val="21"/>
                <w:highlight w:val="none"/>
                <w:vertAlign w:val="subscript"/>
              </w:rPr>
              <w:t>10</w:t>
            </w:r>
          </w:p>
        </w:tc>
        <w:tc>
          <w:tcPr>
            <w:tcW w:w="1927" w:type="dxa"/>
            <w:tcBorders>
              <w:tl2br w:val="nil"/>
              <w:tr2bl w:val="nil"/>
            </w:tcBorders>
            <w:noWrap w:val="0"/>
            <w:vAlign w:val="center"/>
          </w:tcPr>
          <w:p w14:paraId="455E4CDB">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年平均</w:t>
            </w:r>
          </w:p>
        </w:tc>
        <w:tc>
          <w:tcPr>
            <w:tcW w:w="1882" w:type="dxa"/>
            <w:tcBorders>
              <w:tl2br w:val="nil"/>
              <w:tr2bl w:val="nil"/>
            </w:tcBorders>
            <w:noWrap w:val="0"/>
            <w:vAlign w:val="center"/>
          </w:tcPr>
          <w:p w14:paraId="35321371">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60</w:t>
            </w:r>
          </w:p>
        </w:tc>
        <w:tc>
          <w:tcPr>
            <w:tcW w:w="1186" w:type="dxa"/>
            <w:tcBorders>
              <w:tl2br w:val="nil"/>
              <w:tr2bl w:val="nil"/>
            </w:tcBorders>
            <w:noWrap w:val="0"/>
            <w:vAlign w:val="center"/>
          </w:tcPr>
          <w:p w14:paraId="1B413A13">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50</w:t>
            </w:r>
          </w:p>
        </w:tc>
        <w:tc>
          <w:tcPr>
            <w:tcW w:w="2116" w:type="dxa"/>
            <w:vMerge w:val="continue"/>
            <w:tcBorders>
              <w:tl2br w:val="nil"/>
              <w:tr2bl w:val="nil"/>
            </w:tcBorders>
            <w:noWrap w:val="0"/>
            <w:vAlign w:val="center"/>
          </w:tcPr>
          <w:p w14:paraId="4B24C073">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0D39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1A693B22">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090" w:type="dxa"/>
            <w:vMerge w:val="continue"/>
            <w:tcBorders>
              <w:tl2br w:val="nil"/>
              <w:tr2bl w:val="nil"/>
            </w:tcBorders>
            <w:noWrap w:val="0"/>
            <w:vAlign w:val="center"/>
          </w:tcPr>
          <w:p w14:paraId="23542D7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7CBC6CA5">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eastAsia" w:ascii="Times New Roman" w:hAnsi="Times New Roman" w:eastAsia="宋体" w:cs="Times New Roman"/>
                <w:caps w:val="0"/>
                <w:color w:val="auto"/>
                <w:spacing w:val="0"/>
                <w:kern w:val="0"/>
                <w:sz w:val="21"/>
                <w:highlight w:val="none"/>
                <w:lang w:val="en-US" w:eastAsia="zh-CN"/>
              </w:rPr>
              <w:t>日</w:t>
            </w:r>
            <w:r>
              <w:rPr>
                <w:rFonts w:hint="default" w:ascii="Times New Roman" w:hAnsi="Times New Roman" w:eastAsia="宋体" w:cs="Times New Roman"/>
                <w:caps w:val="0"/>
                <w:color w:val="auto"/>
                <w:spacing w:val="0"/>
                <w:kern w:val="0"/>
                <w:sz w:val="21"/>
                <w:highlight w:val="none"/>
              </w:rPr>
              <w:t>平均</w:t>
            </w:r>
          </w:p>
        </w:tc>
        <w:tc>
          <w:tcPr>
            <w:tcW w:w="1882" w:type="dxa"/>
            <w:tcBorders>
              <w:tl2br w:val="nil"/>
              <w:tr2bl w:val="nil"/>
            </w:tcBorders>
            <w:noWrap w:val="0"/>
            <w:vAlign w:val="center"/>
          </w:tcPr>
          <w:p w14:paraId="6C4B27BE">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highlight w:val="none"/>
                <w:lang w:val="en-US" w:eastAsia="zh-CN"/>
              </w:rPr>
              <w:t>120</w:t>
            </w:r>
          </w:p>
        </w:tc>
        <w:tc>
          <w:tcPr>
            <w:tcW w:w="1186" w:type="dxa"/>
            <w:tcBorders>
              <w:tl2br w:val="nil"/>
              <w:tr2bl w:val="nil"/>
            </w:tcBorders>
            <w:noWrap w:val="0"/>
            <w:vAlign w:val="center"/>
          </w:tcPr>
          <w:p w14:paraId="47304DB7">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100</w:t>
            </w:r>
          </w:p>
        </w:tc>
        <w:tc>
          <w:tcPr>
            <w:tcW w:w="2116" w:type="dxa"/>
            <w:vMerge w:val="continue"/>
            <w:tcBorders>
              <w:tl2br w:val="nil"/>
              <w:tr2bl w:val="nil"/>
            </w:tcBorders>
            <w:noWrap w:val="0"/>
            <w:vAlign w:val="center"/>
          </w:tcPr>
          <w:p w14:paraId="086AC65B">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506E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4950103C">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6</w:t>
            </w:r>
          </w:p>
        </w:tc>
        <w:tc>
          <w:tcPr>
            <w:tcW w:w="1090" w:type="dxa"/>
            <w:vMerge w:val="restart"/>
            <w:tcBorders>
              <w:tl2br w:val="nil"/>
              <w:tr2bl w:val="nil"/>
            </w:tcBorders>
            <w:noWrap w:val="0"/>
            <w:vAlign w:val="center"/>
          </w:tcPr>
          <w:p w14:paraId="35C47727">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PM</w:t>
            </w:r>
            <w:r>
              <w:rPr>
                <w:rFonts w:hint="default" w:ascii="Times New Roman" w:hAnsi="Times New Roman" w:eastAsia="宋体" w:cs="Times New Roman"/>
                <w:caps w:val="0"/>
                <w:color w:val="auto"/>
                <w:spacing w:val="0"/>
                <w:sz w:val="21"/>
                <w:szCs w:val="21"/>
                <w:highlight w:val="none"/>
                <w:vertAlign w:val="subscript"/>
              </w:rPr>
              <w:t>2.5</w:t>
            </w:r>
          </w:p>
        </w:tc>
        <w:tc>
          <w:tcPr>
            <w:tcW w:w="1927" w:type="dxa"/>
            <w:tcBorders>
              <w:tl2br w:val="nil"/>
              <w:tr2bl w:val="nil"/>
            </w:tcBorders>
            <w:noWrap w:val="0"/>
            <w:vAlign w:val="center"/>
          </w:tcPr>
          <w:p w14:paraId="44074BF4">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年平均</w:t>
            </w:r>
          </w:p>
        </w:tc>
        <w:tc>
          <w:tcPr>
            <w:tcW w:w="1882" w:type="dxa"/>
            <w:tcBorders>
              <w:tl2br w:val="nil"/>
              <w:tr2bl w:val="nil"/>
            </w:tcBorders>
            <w:noWrap w:val="0"/>
            <w:vAlign w:val="center"/>
          </w:tcPr>
          <w:p w14:paraId="7DAC200B">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highlight w:val="none"/>
                <w:lang w:val="en-US" w:eastAsia="zh-CN"/>
              </w:rPr>
              <w:t>30</w:t>
            </w:r>
          </w:p>
        </w:tc>
        <w:tc>
          <w:tcPr>
            <w:tcW w:w="1186" w:type="dxa"/>
            <w:tcBorders>
              <w:tl2br w:val="nil"/>
              <w:tr2bl w:val="nil"/>
            </w:tcBorders>
            <w:noWrap w:val="0"/>
            <w:vAlign w:val="center"/>
          </w:tcPr>
          <w:p w14:paraId="1128C3E9">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25</w:t>
            </w:r>
          </w:p>
        </w:tc>
        <w:tc>
          <w:tcPr>
            <w:tcW w:w="2116" w:type="dxa"/>
            <w:vMerge w:val="continue"/>
            <w:tcBorders>
              <w:tl2br w:val="nil"/>
              <w:tr2bl w:val="nil"/>
            </w:tcBorders>
            <w:noWrap w:val="0"/>
            <w:vAlign w:val="center"/>
          </w:tcPr>
          <w:p w14:paraId="6330B3E1">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575F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7D0E752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p>
        </w:tc>
        <w:tc>
          <w:tcPr>
            <w:tcW w:w="1090" w:type="dxa"/>
            <w:vMerge w:val="continue"/>
            <w:tcBorders>
              <w:tl2br w:val="nil"/>
              <w:tr2bl w:val="nil"/>
            </w:tcBorders>
            <w:noWrap w:val="0"/>
            <w:vAlign w:val="center"/>
          </w:tcPr>
          <w:p w14:paraId="6CDDFBD2">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614F7424">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eastAsia" w:ascii="Times New Roman" w:hAnsi="Times New Roman" w:eastAsia="宋体" w:cs="Times New Roman"/>
                <w:caps w:val="0"/>
                <w:color w:val="auto"/>
                <w:spacing w:val="0"/>
                <w:kern w:val="0"/>
                <w:sz w:val="21"/>
                <w:highlight w:val="none"/>
                <w:lang w:val="en-US" w:eastAsia="zh-CN"/>
              </w:rPr>
              <w:t>日</w:t>
            </w:r>
            <w:r>
              <w:rPr>
                <w:rFonts w:hint="default" w:ascii="Times New Roman" w:hAnsi="Times New Roman" w:eastAsia="宋体" w:cs="Times New Roman"/>
                <w:caps w:val="0"/>
                <w:color w:val="auto"/>
                <w:spacing w:val="0"/>
                <w:kern w:val="0"/>
                <w:sz w:val="21"/>
                <w:highlight w:val="none"/>
              </w:rPr>
              <w:t>平均</w:t>
            </w:r>
          </w:p>
        </w:tc>
        <w:tc>
          <w:tcPr>
            <w:tcW w:w="1882" w:type="dxa"/>
            <w:tcBorders>
              <w:tl2br w:val="nil"/>
              <w:tr2bl w:val="nil"/>
            </w:tcBorders>
            <w:noWrap w:val="0"/>
            <w:vAlign w:val="center"/>
          </w:tcPr>
          <w:p w14:paraId="3B391A38">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highlight w:val="none"/>
                <w:lang w:val="en-US" w:eastAsia="zh-CN"/>
              </w:rPr>
              <w:t>60</w:t>
            </w:r>
          </w:p>
        </w:tc>
        <w:tc>
          <w:tcPr>
            <w:tcW w:w="1186" w:type="dxa"/>
            <w:tcBorders>
              <w:tl2br w:val="nil"/>
              <w:tr2bl w:val="nil"/>
            </w:tcBorders>
            <w:noWrap w:val="0"/>
            <w:vAlign w:val="center"/>
          </w:tcPr>
          <w:p w14:paraId="1E0EF479">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50</w:t>
            </w:r>
          </w:p>
        </w:tc>
        <w:tc>
          <w:tcPr>
            <w:tcW w:w="2116" w:type="dxa"/>
            <w:vMerge w:val="continue"/>
            <w:tcBorders>
              <w:tl2br w:val="nil"/>
              <w:tr2bl w:val="nil"/>
            </w:tcBorders>
            <w:noWrap w:val="0"/>
            <w:vAlign w:val="center"/>
          </w:tcPr>
          <w:p w14:paraId="3D58C51B">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1773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452C3DFE">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7</w:t>
            </w:r>
          </w:p>
        </w:tc>
        <w:tc>
          <w:tcPr>
            <w:tcW w:w="1090" w:type="dxa"/>
            <w:vMerge w:val="restart"/>
            <w:tcBorders>
              <w:tl2br w:val="nil"/>
              <w:tr2bl w:val="nil"/>
            </w:tcBorders>
            <w:noWrap w:val="0"/>
            <w:vAlign w:val="center"/>
          </w:tcPr>
          <w:p w14:paraId="013C74F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TSP</w:t>
            </w:r>
          </w:p>
        </w:tc>
        <w:tc>
          <w:tcPr>
            <w:tcW w:w="1927" w:type="dxa"/>
            <w:tcBorders>
              <w:tl2br w:val="nil"/>
              <w:tr2bl w:val="nil"/>
            </w:tcBorders>
            <w:noWrap w:val="0"/>
            <w:vAlign w:val="center"/>
          </w:tcPr>
          <w:p w14:paraId="279FB9D3">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default" w:ascii="Times New Roman" w:hAnsi="Times New Roman" w:eastAsia="宋体" w:cs="Times New Roman"/>
                <w:caps w:val="0"/>
                <w:color w:val="auto"/>
                <w:spacing w:val="0"/>
                <w:kern w:val="0"/>
                <w:sz w:val="21"/>
                <w:highlight w:val="none"/>
              </w:rPr>
              <w:t>年平均</w:t>
            </w:r>
          </w:p>
        </w:tc>
        <w:tc>
          <w:tcPr>
            <w:tcW w:w="1882" w:type="dxa"/>
            <w:tcBorders>
              <w:tl2br w:val="nil"/>
              <w:tr2bl w:val="nil"/>
            </w:tcBorders>
            <w:noWrap w:val="0"/>
            <w:vAlign w:val="center"/>
          </w:tcPr>
          <w:p w14:paraId="2EF7A414">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w:t>
            </w:r>
          </w:p>
        </w:tc>
        <w:tc>
          <w:tcPr>
            <w:tcW w:w="1186" w:type="dxa"/>
            <w:tcBorders>
              <w:tl2br w:val="nil"/>
              <w:tr2bl w:val="nil"/>
            </w:tcBorders>
            <w:noWrap w:val="0"/>
            <w:vAlign w:val="center"/>
          </w:tcPr>
          <w:p w14:paraId="718937F2">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200</w:t>
            </w:r>
          </w:p>
        </w:tc>
        <w:tc>
          <w:tcPr>
            <w:tcW w:w="2116" w:type="dxa"/>
            <w:vMerge w:val="continue"/>
            <w:tcBorders>
              <w:tl2br w:val="nil"/>
              <w:tr2bl w:val="nil"/>
            </w:tcBorders>
            <w:noWrap w:val="0"/>
            <w:vAlign w:val="center"/>
          </w:tcPr>
          <w:p w14:paraId="15E6FD79">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2C7D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769E7F51">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p>
        </w:tc>
        <w:tc>
          <w:tcPr>
            <w:tcW w:w="1090" w:type="dxa"/>
            <w:vMerge w:val="continue"/>
            <w:tcBorders>
              <w:tl2br w:val="nil"/>
              <w:tr2bl w:val="nil"/>
            </w:tcBorders>
            <w:noWrap w:val="0"/>
            <w:vAlign w:val="center"/>
          </w:tcPr>
          <w:p w14:paraId="66FBEB33">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1F5C2816">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rPr>
            </w:pPr>
            <w:r>
              <w:rPr>
                <w:rFonts w:hint="eastAsia" w:ascii="Times New Roman" w:hAnsi="Times New Roman" w:eastAsia="宋体" w:cs="Times New Roman"/>
                <w:caps w:val="0"/>
                <w:color w:val="auto"/>
                <w:spacing w:val="0"/>
                <w:kern w:val="0"/>
                <w:sz w:val="21"/>
                <w:highlight w:val="none"/>
                <w:lang w:val="en-US" w:eastAsia="zh-CN"/>
              </w:rPr>
              <w:t>日</w:t>
            </w:r>
            <w:r>
              <w:rPr>
                <w:rFonts w:hint="default" w:ascii="Times New Roman" w:hAnsi="Times New Roman" w:eastAsia="宋体" w:cs="Times New Roman"/>
                <w:caps w:val="0"/>
                <w:color w:val="auto"/>
                <w:spacing w:val="0"/>
                <w:kern w:val="0"/>
                <w:sz w:val="21"/>
                <w:highlight w:val="none"/>
              </w:rPr>
              <w:t>平均</w:t>
            </w:r>
          </w:p>
        </w:tc>
        <w:tc>
          <w:tcPr>
            <w:tcW w:w="1882" w:type="dxa"/>
            <w:tcBorders>
              <w:tl2br w:val="nil"/>
              <w:tr2bl w:val="nil"/>
            </w:tcBorders>
            <w:noWrap w:val="0"/>
            <w:vAlign w:val="center"/>
          </w:tcPr>
          <w:p w14:paraId="6EDDE55B">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w:t>
            </w:r>
          </w:p>
        </w:tc>
        <w:tc>
          <w:tcPr>
            <w:tcW w:w="1186" w:type="dxa"/>
            <w:tcBorders>
              <w:tl2br w:val="nil"/>
              <w:tr2bl w:val="nil"/>
            </w:tcBorders>
            <w:noWrap w:val="0"/>
            <w:vAlign w:val="center"/>
          </w:tcPr>
          <w:p w14:paraId="0F2E0BE8">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highlight w:val="none"/>
                <w:lang w:val="en-US" w:eastAsia="zh-CN"/>
              </w:rPr>
            </w:pPr>
            <w:r>
              <w:rPr>
                <w:rFonts w:hint="eastAsia" w:ascii="Times New Roman" w:hAnsi="Times New Roman" w:eastAsia="宋体" w:cs="Times New Roman"/>
                <w:caps w:val="0"/>
                <w:color w:val="auto"/>
                <w:spacing w:val="0"/>
                <w:kern w:val="0"/>
                <w:sz w:val="21"/>
                <w:highlight w:val="none"/>
                <w:lang w:val="en-US" w:eastAsia="zh-CN"/>
              </w:rPr>
              <w:t>300</w:t>
            </w:r>
          </w:p>
        </w:tc>
        <w:tc>
          <w:tcPr>
            <w:tcW w:w="2116" w:type="dxa"/>
            <w:vMerge w:val="continue"/>
            <w:tcBorders>
              <w:tl2br w:val="nil"/>
              <w:tr2bl w:val="nil"/>
            </w:tcBorders>
            <w:noWrap w:val="0"/>
            <w:vAlign w:val="center"/>
          </w:tcPr>
          <w:p w14:paraId="54198CBB">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70F2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restart"/>
            <w:tcBorders>
              <w:tl2br w:val="nil"/>
              <w:tr2bl w:val="nil"/>
            </w:tcBorders>
            <w:noWrap w:val="0"/>
            <w:vAlign w:val="center"/>
          </w:tcPr>
          <w:p w14:paraId="22101819">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8</w:t>
            </w:r>
          </w:p>
        </w:tc>
        <w:tc>
          <w:tcPr>
            <w:tcW w:w="1090" w:type="dxa"/>
            <w:vMerge w:val="restart"/>
            <w:tcBorders>
              <w:tl2br w:val="nil"/>
              <w:tr2bl w:val="nil"/>
            </w:tcBorders>
            <w:noWrap w:val="0"/>
            <w:vAlign w:val="center"/>
          </w:tcPr>
          <w:p w14:paraId="1D516389">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rPr>
              <w:t>NO</w:t>
            </w:r>
            <w:r>
              <w:rPr>
                <w:rFonts w:hint="default" w:ascii="Times New Roman" w:hAnsi="Times New Roman" w:eastAsia="宋体" w:cs="Times New Roman"/>
                <w:caps w:val="0"/>
                <w:color w:val="auto"/>
                <w:spacing w:val="0"/>
                <w:sz w:val="21"/>
                <w:szCs w:val="21"/>
                <w:highlight w:val="none"/>
                <w:vertAlign w:val="subscript"/>
              </w:rPr>
              <w:t>X</w:t>
            </w:r>
          </w:p>
        </w:tc>
        <w:tc>
          <w:tcPr>
            <w:tcW w:w="1927" w:type="dxa"/>
            <w:tcBorders>
              <w:tl2br w:val="nil"/>
              <w:tr2bl w:val="nil"/>
            </w:tcBorders>
            <w:noWrap w:val="0"/>
            <w:vAlign w:val="center"/>
          </w:tcPr>
          <w:p w14:paraId="00403FCE">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年平均</w:t>
            </w:r>
          </w:p>
        </w:tc>
        <w:tc>
          <w:tcPr>
            <w:tcW w:w="1882" w:type="dxa"/>
            <w:tcBorders>
              <w:tl2br w:val="nil"/>
              <w:tr2bl w:val="nil"/>
            </w:tcBorders>
            <w:noWrap w:val="0"/>
            <w:vAlign w:val="center"/>
          </w:tcPr>
          <w:p w14:paraId="36C14561">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50</w:t>
            </w:r>
          </w:p>
        </w:tc>
        <w:tc>
          <w:tcPr>
            <w:tcW w:w="1186" w:type="dxa"/>
            <w:tcBorders>
              <w:tl2br w:val="nil"/>
              <w:tr2bl w:val="nil"/>
            </w:tcBorders>
            <w:noWrap w:val="0"/>
            <w:vAlign w:val="center"/>
          </w:tcPr>
          <w:p w14:paraId="52048C19">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40</w:t>
            </w:r>
          </w:p>
        </w:tc>
        <w:tc>
          <w:tcPr>
            <w:tcW w:w="2116" w:type="dxa"/>
            <w:vMerge w:val="continue"/>
            <w:tcBorders>
              <w:tl2br w:val="nil"/>
              <w:tr2bl w:val="nil"/>
            </w:tcBorders>
            <w:noWrap w:val="0"/>
            <w:vAlign w:val="center"/>
          </w:tcPr>
          <w:p w14:paraId="60AF097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0BB0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1" w:type="dxa"/>
            <w:vMerge w:val="continue"/>
            <w:tcBorders>
              <w:tl2br w:val="nil"/>
              <w:tr2bl w:val="nil"/>
            </w:tcBorders>
            <w:noWrap w:val="0"/>
            <w:vAlign w:val="center"/>
          </w:tcPr>
          <w:p w14:paraId="20B63B11">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p>
        </w:tc>
        <w:tc>
          <w:tcPr>
            <w:tcW w:w="1090" w:type="dxa"/>
            <w:vMerge w:val="continue"/>
            <w:tcBorders>
              <w:tl2br w:val="nil"/>
              <w:tr2bl w:val="nil"/>
            </w:tcBorders>
            <w:noWrap w:val="0"/>
            <w:vAlign w:val="center"/>
          </w:tcPr>
          <w:p w14:paraId="34FBC7F8">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46E0A420">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highlight w:val="none"/>
                <w:lang w:val="en-US" w:eastAsia="zh-CN"/>
              </w:rPr>
              <w:t>日</w:t>
            </w:r>
            <w:r>
              <w:rPr>
                <w:rFonts w:hint="default" w:ascii="Times New Roman" w:hAnsi="Times New Roman" w:eastAsia="宋体" w:cs="Times New Roman"/>
                <w:caps w:val="0"/>
                <w:color w:val="auto"/>
                <w:spacing w:val="0"/>
                <w:kern w:val="0"/>
                <w:sz w:val="21"/>
                <w:highlight w:val="none"/>
              </w:rPr>
              <w:t>平均</w:t>
            </w:r>
          </w:p>
        </w:tc>
        <w:tc>
          <w:tcPr>
            <w:tcW w:w="1882" w:type="dxa"/>
            <w:tcBorders>
              <w:tl2br w:val="nil"/>
              <w:tr2bl w:val="nil"/>
            </w:tcBorders>
            <w:noWrap w:val="0"/>
            <w:vAlign w:val="center"/>
          </w:tcPr>
          <w:p w14:paraId="4D1DDE27">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100</w:t>
            </w:r>
          </w:p>
        </w:tc>
        <w:tc>
          <w:tcPr>
            <w:tcW w:w="1186" w:type="dxa"/>
            <w:tcBorders>
              <w:tl2br w:val="nil"/>
              <w:tr2bl w:val="nil"/>
            </w:tcBorders>
            <w:noWrap w:val="0"/>
            <w:vAlign w:val="center"/>
          </w:tcPr>
          <w:p w14:paraId="331AF92C">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70</w:t>
            </w:r>
          </w:p>
        </w:tc>
        <w:tc>
          <w:tcPr>
            <w:tcW w:w="2116" w:type="dxa"/>
            <w:vMerge w:val="continue"/>
            <w:tcBorders>
              <w:tl2br w:val="nil"/>
              <w:tr2bl w:val="nil"/>
            </w:tcBorders>
            <w:noWrap w:val="0"/>
            <w:vAlign w:val="center"/>
          </w:tcPr>
          <w:p w14:paraId="33D02833">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r w14:paraId="38C8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21" w:type="dxa"/>
            <w:vMerge w:val="continue"/>
            <w:tcBorders>
              <w:tl2br w:val="nil"/>
              <w:tr2bl w:val="nil"/>
            </w:tcBorders>
            <w:noWrap w:val="0"/>
            <w:vAlign w:val="center"/>
          </w:tcPr>
          <w:p w14:paraId="6F902275">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090" w:type="dxa"/>
            <w:vMerge w:val="continue"/>
            <w:tcBorders>
              <w:tl2br w:val="nil"/>
              <w:tr2bl w:val="nil"/>
            </w:tcBorders>
            <w:noWrap w:val="0"/>
            <w:vAlign w:val="center"/>
          </w:tcPr>
          <w:p w14:paraId="067CDED4">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c>
          <w:tcPr>
            <w:tcW w:w="1927" w:type="dxa"/>
            <w:tcBorders>
              <w:tl2br w:val="nil"/>
              <w:tr2bl w:val="nil"/>
            </w:tcBorders>
            <w:noWrap w:val="0"/>
            <w:vAlign w:val="center"/>
          </w:tcPr>
          <w:p w14:paraId="4A9D1DA3">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default" w:ascii="Times New Roman" w:hAnsi="Times New Roman" w:eastAsia="宋体" w:cs="Times New Roman"/>
                <w:caps w:val="0"/>
                <w:color w:val="auto"/>
                <w:spacing w:val="0"/>
                <w:kern w:val="0"/>
                <w:sz w:val="21"/>
                <w:highlight w:val="none"/>
              </w:rPr>
              <w:t>1小时平均</w:t>
            </w:r>
          </w:p>
        </w:tc>
        <w:tc>
          <w:tcPr>
            <w:tcW w:w="1882" w:type="dxa"/>
            <w:tcBorders>
              <w:tl2br w:val="nil"/>
              <w:tr2bl w:val="nil"/>
            </w:tcBorders>
            <w:noWrap w:val="0"/>
            <w:vAlign w:val="center"/>
          </w:tcPr>
          <w:p w14:paraId="02B40E4D">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250</w:t>
            </w:r>
          </w:p>
        </w:tc>
        <w:tc>
          <w:tcPr>
            <w:tcW w:w="1186" w:type="dxa"/>
            <w:tcBorders>
              <w:tl2br w:val="nil"/>
              <w:tr2bl w:val="nil"/>
            </w:tcBorders>
            <w:noWrap w:val="0"/>
            <w:vAlign w:val="center"/>
          </w:tcPr>
          <w:p w14:paraId="154CFCEA">
            <w:pPr>
              <w:keepNext w:val="0"/>
              <w:keepLines w:val="0"/>
              <w:pageBreakBefore w:val="0"/>
              <w:widowControl w:val="0"/>
              <w:kinsoku/>
              <w:wordWrap/>
              <w:overflowPunct/>
              <w:topLinePunct w:val="0"/>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kern w:val="0"/>
                <w:sz w:val="21"/>
                <w:szCs w:val="24"/>
                <w:highlight w:val="none"/>
                <w:lang w:val="en-US" w:eastAsia="zh-CN" w:bidi="ar-SA"/>
              </w:rPr>
            </w:pPr>
            <w:r>
              <w:rPr>
                <w:rFonts w:hint="eastAsia" w:ascii="Times New Roman" w:hAnsi="Times New Roman" w:eastAsia="宋体" w:cs="Times New Roman"/>
                <w:caps w:val="0"/>
                <w:color w:val="auto"/>
                <w:spacing w:val="0"/>
                <w:kern w:val="0"/>
                <w:sz w:val="21"/>
                <w:szCs w:val="24"/>
                <w:highlight w:val="none"/>
                <w:lang w:val="en-US" w:eastAsia="zh-CN" w:bidi="ar-SA"/>
              </w:rPr>
              <w:t>250</w:t>
            </w:r>
          </w:p>
        </w:tc>
        <w:tc>
          <w:tcPr>
            <w:tcW w:w="2116" w:type="dxa"/>
            <w:vMerge w:val="continue"/>
            <w:tcBorders>
              <w:tl2br w:val="nil"/>
              <w:tr2bl w:val="nil"/>
            </w:tcBorders>
            <w:noWrap w:val="0"/>
            <w:vAlign w:val="center"/>
          </w:tcPr>
          <w:p w14:paraId="6E2E5606">
            <w:pPr>
              <w:keepNext w:val="0"/>
              <w:keepLines w:val="0"/>
              <w:pageBreakBefore w:val="0"/>
              <w:widowControl w:val="0"/>
              <w:kinsoku/>
              <w:wordWrap/>
              <w:overflowPunct/>
              <w:topLinePunct w:val="0"/>
              <w:autoSpaceDN/>
              <w:bidi w:val="0"/>
              <w:adjustRightInd/>
              <w:snapToGrid/>
              <w:spacing w:line="240" w:lineRule="auto"/>
              <w:ind w:firstLine="0" w:firstLineChars="0"/>
              <w:jc w:val="center"/>
              <w:textAlignment w:val="auto"/>
              <w:rPr>
                <w:rFonts w:hint="default" w:ascii="Times New Roman" w:hAnsi="Times New Roman" w:eastAsia="宋体" w:cs="Times New Roman"/>
                <w:caps w:val="0"/>
                <w:color w:val="auto"/>
                <w:spacing w:val="0"/>
                <w:sz w:val="21"/>
                <w:szCs w:val="21"/>
                <w:highlight w:val="none"/>
              </w:rPr>
            </w:pPr>
          </w:p>
        </w:tc>
      </w:tr>
    </w:tbl>
    <w:p w14:paraId="2449A0C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4" w:firstLineChars="200"/>
        <w:textAlignment w:val="baseline"/>
        <w:rPr>
          <w:color w:val="auto"/>
          <w:sz w:val="24"/>
          <w:szCs w:val="24"/>
        </w:rPr>
      </w:pPr>
      <w:r>
        <w:rPr>
          <w:b/>
          <w:bCs/>
          <w:color w:val="auto"/>
          <w:spacing w:val="-4"/>
          <w:sz w:val="24"/>
          <w:szCs w:val="24"/>
        </w:rPr>
        <w:t>（</w:t>
      </w:r>
      <w:r>
        <w:rPr>
          <w:rFonts w:ascii="Times New Roman" w:hAnsi="Times New Roman" w:eastAsia="Times New Roman" w:cs="Times New Roman"/>
          <w:b/>
          <w:bCs/>
          <w:color w:val="auto"/>
          <w:spacing w:val="-4"/>
          <w:sz w:val="24"/>
          <w:szCs w:val="24"/>
        </w:rPr>
        <w:t>2</w:t>
      </w:r>
      <w:r>
        <w:rPr>
          <w:b/>
          <w:bCs/>
          <w:color w:val="auto"/>
          <w:spacing w:val="-4"/>
          <w:sz w:val="24"/>
          <w:szCs w:val="24"/>
        </w:rPr>
        <w:t>）地表水环境质量标准</w:t>
      </w:r>
    </w:p>
    <w:p w14:paraId="777C9DF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color w:val="auto"/>
          <w:sz w:val="24"/>
          <w:szCs w:val="24"/>
        </w:rPr>
      </w:pPr>
      <w:r>
        <w:rPr>
          <w:rFonts w:hint="default" w:ascii="Times New Roman" w:hAnsi="Times New Roman" w:cs="Times New Roman"/>
          <w:color w:val="auto"/>
          <w:sz w:val="24"/>
          <w:szCs w:val="24"/>
          <w:lang w:eastAsia="zh-CN"/>
        </w:rPr>
        <w:t>根据项目区周边地表水系分布情况，距离本</w:t>
      </w:r>
      <w:r>
        <w:rPr>
          <w:rFonts w:hint="default" w:ascii="Times New Roman" w:hAnsi="Times New Roman" w:cs="Times New Roman"/>
          <w:color w:val="auto"/>
          <w:sz w:val="24"/>
          <w:szCs w:val="24"/>
          <w:lang w:val="en-US" w:eastAsia="zh-CN"/>
        </w:rPr>
        <w:t>项目</w:t>
      </w:r>
      <w:r>
        <w:rPr>
          <w:rFonts w:hint="default" w:ascii="Times New Roman" w:hAnsi="Times New Roman" w:cs="Times New Roman"/>
          <w:color w:val="auto"/>
          <w:sz w:val="24"/>
          <w:szCs w:val="24"/>
          <w:lang w:eastAsia="zh-CN"/>
        </w:rPr>
        <w:t>最近的地表水为西北面约90m处的东干渠，</w:t>
      </w:r>
      <w:r>
        <w:rPr>
          <w:rFonts w:hint="eastAsia" w:ascii="Times New Roman" w:hAnsi="Times New Roman" w:cs="Times New Roman"/>
          <w:color w:val="auto"/>
          <w:sz w:val="24"/>
          <w:szCs w:val="24"/>
          <w:lang w:val="en-US" w:eastAsia="zh-CN"/>
        </w:rPr>
        <w:t>最终</w:t>
      </w:r>
      <w:r>
        <w:rPr>
          <w:rFonts w:hint="default" w:ascii="Times New Roman" w:hAnsi="Times New Roman" w:cs="Times New Roman"/>
          <w:color w:val="auto"/>
          <w:sz w:val="24"/>
          <w:szCs w:val="24"/>
          <w:lang w:eastAsia="zh-CN"/>
        </w:rPr>
        <w:t>汇入南盘江。</w:t>
      </w:r>
      <w:r>
        <w:rPr>
          <w:rFonts w:hint="eastAsia" w:ascii="Times New Roman" w:hAnsi="Times New Roman" w:cs="Times New Roman"/>
          <w:color w:val="auto"/>
          <w:sz w:val="24"/>
          <w:szCs w:val="24"/>
          <w:lang w:val="en-US" w:eastAsia="zh-CN"/>
        </w:rPr>
        <w:t>汇入点属于</w:t>
      </w:r>
      <w:r>
        <w:rPr>
          <w:rFonts w:hint="default" w:ascii="Times New Roman" w:hAnsi="Times New Roman" w:cs="Times New Roman"/>
          <w:color w:val="auto"/>
          <w:sz w:val="24"/>
          <w:szCs w:val="24"/>
          <w:lang w:eastAsia="zh-CN"/>
        </w:rPr>
        <w:t>南盘江沾益</w:t>
      </w:r>
      <w:r>
        <w:rPr>
          <w:rFonts w:hint="eastAsia" w:cs="Times New Roman"/>
          <w:color w:val="auto"/>
          <w:sz w:val="24"/>
          <w:szCs w:val="24"/>
          <w:lang w:eastAsia="zh-CN"/>
        </w:rPr>
        <w:t>－</w:t>
      </w:r>
      <w:r>
        <w:rPr>
          <w:rFonts w:hint="default" w:ascii="Times New Roman" w:hAnsi="Times New Roman" w:cs="Times New Roman"/>
          <w:color w:val="auto"/>
          <w:sz w:val="24"/>
          <w:szCs w:val="24"/>
          <w:lang w:eastAsia="zh-CN"/>
        </w:rPr>
        <w:t>宜良开发利用区中</w:t>
      </w:r>
      <w:r>
        <w:rPr>
          <w:rFonts w:hint="eastAsia" w:ascii="Times New Roman" w:hAnsi="Times New Roman" w:cs="Times New Roman"/>
          <w:color w:val="auto"/>
          <w:sz w:val="24"/>
          <w:szCs w:val="24"/>
          <w:lang w:eastAsia="zh-CN"/>
        </w:rPr>
        <w:t>南盘江沾益农业、工业、渔业用水区（南盘江陈方桥至沾益天生坝电站）</w:t>
      </w:r>
      <w:r>
        <w:rPr>
          <w:rFonts w:hint="default" w:ascii="Times New Roman" w:hAnsi="Times New Roman" w:cs="Times New Roman"/>
          <w:color w:val="auto"/>
          <w:sz w:val="24"/>
          <w:szCs w:val="24"/>
          <w:lang w:eastAsia="zh-CN"/>
        </w:rPr>
        <w:t>，规划水平年水质目标为Ⅲ类，执行《地表水环境质量标准》（GB3838-2002）Ⅲ类标准。</w:t>
      </w:r>
      <w:r>
        <w:rPr>
          <w:color w:val="auto"/>
          <w:spacing w:val="-1"/>
          <w:sz w:val="24"/>
          <w:szCs w:val="24"/>
        </w:rPr>
        <w:t>标准值详见表</w:t>
      </w:r>
      <w:r>
        <w:rPr>
          <w:rFonts w:ascii="Times New Roman" w:hAnsi="Times New Roman" w:eastAsia="Times New Roman" w:cs="Times New Roman"/>
          <w:color w:val="auto"/>
          <w:spacing w:val="-1"/>
          <w:sz w:val="24"/>
          <w:szCs w:val="24"/>
        </w:rPr>
        <w:t>1.7-2</w:t>
      </w:r>
      <w:r>
        <w:rPr>
          <w:color w:val="auto"/>
          <w:spacing w:val="-1"/>
          <w:sz w:val="24"/>
          <w:szCs w:val="24"/>
        </w:rPr>
        <w:t>。</w:t>
      </w:r>
    </w:p>
    <w:p w14:paraId="4B22C99E">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《地表水环境质量标准》Ⅲ类标准  单位：mg/L</w:t>
      </w:r>
    </w:p>
    <w:tbl>
      <w:tblPr>
        <w:tblStyle w:val="26"/>
        <w:tblW w:w="8359" w:type="dxa"/>
        <w:tblInd w:w="1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8"/>
        <w:gridCol w:w="3395"/>
        <w:gridCol w:w="3456"/>
      </w:tblGrid>
      <w:tr w14:paraId="75502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508" w:type="dxa"/>
            <w:vAlign w:val="top"/>
          </w:tcPr>
          <w:p w14:paraId="2AC31192">
            <w:pPr>
              <w:pStyle w:val="27"/>
              <w:spacing w:before="143" w:line="229" w:lineRule="auto"/>
              <w:ind w:left="569"/>
              <w:rPr>
                <w:color w:val="auto"/>
                <w:sz w:val="21"/>
                <w:szCs w:val="21"/>
              </w:rPr>
            </w:pPr>
            <w:r>
              <w:rPr>
                <w:b/>
                <w:bCs/>
                <w:color w:val="auto"/>
                <w:spacing w:val="4"/>
                <w:sz w:val="21"/>
                <w:szCs w:val="21"/>
              </w:rPr>
              <w:t>序号</w:t>
            </w:r>
          </w:p>
        </w:tc>
        <w:tc>
          <w:tcPr>
            <w:tcW w:w="3395" w:type="dxa"/>
            <w:vAlign w:val="top"/>
          </w:tcPr>
          <w:p w14:paraId="3D5D7395">
            <w:pPr>
              <w:pStyle w:val="27"/>
              <w:spacing w:before="142" w:line="228" w:lineRule="auto"/>
              <w:ind w:left="1416"/>
              <w:rPr>
                <w:color w:val="auto"/>
                <w:sz w:val="21"/>
                <w:szCs w:val="21"/>
              </w:rPr>
            </w:pPr>
            <w:r>
              <w:rPr>
                <w:b/>
                <w:bCs/>
                <w:color w:val="auto"/>
                <w:spacing w:val="3"/>
                <w:sz w:val="21"/>
                <w:szCs w:val="21"/>
              </w:rPr>
              <w:t>参数</w:t>
            </w:r>
          </w:p>
        </w:tc>
        <w:tc>
          <w:tcPr>
            <w:tcW w:w="3456" w:type="dxa"/>
            <w:vAlign w:val="top"/>
          </w:tcPr>
          <w:p w14:paraId="696D16AF">
            <w:pPr>
              <w:pStyle w:val="27"/>
              <w:spacing w:before="142" w:line="228" w:lineRule="auto"/>
              <w:ind w:left="1293"/>
              <w:rPr>
                <w:color w:val="auto"/>
                <w:sz w:val="21"/>
                <w:szCs w:val="21"/>
              </w:rPr>
            </w:pPr>
            <w:r>
              <w:rPr>
                <w:rFonts w:ascii="Times New Roman" w:hAnsi="Times New Roman" w:eastAsia="Times New Roman" w:cs="Times New Roman"/>
                <w:b/>
                <w:bCs/>
                <w:color w:val="auto"/>
                <w:spacing w:val="8"/>
                <w:sz w:val="21"/>
                <w:szCs w:val="21"/>
              </w:rPr>
              <w:t>Ⅲ</w:t>
            </w:r>
            <w:r>
              <w:rPr>
                <w:b/>
                <w:bCs/>
                <w:color w:val="auto"/>
                <w:spacing w:val="8"/>
                <w:sz w:val="21"/>
                <w:szCs w:val="21"/>
              </w:rPr>
              <w:t>类标准</w:t>
            </w:r>
          </w:p>
        </w:tc>
      </w:tr>
      <w:tr w14:paraId="748EC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57B4BAC5">
            <w:pPr>
              <w:spacing w:before="129" w:line="195" w:lineRule="auto"/>
              <w:ind w:left="745"/>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1</w:t>
            </w:r>
          </w:p>
        </w:tc>
        <w:tc>
          <w:tcPr>
            <w:tcW w:w="3395" w:type="dxa"/>
            <w:vAlign w:val="top"/>
          </w:tcPr>
          <w:p w14:paraId="5E59EDBF">
            <w:pPr>
              <w:pStyle w:val="27"/>
              <w:spacing w:before="93" w:line="221" w:lineRule="auto"/>
              <w:ind w:left="962"/>
              <w:rPr>
                <w:color w:val="auto"/>
                <w:sz w:val="21"/>
                <w:szCs w:val="21"/>
              </w:rPr>
            </w:pPr>
            <w:r>
              <w:rPr>
                <w:rFonts w:ascii="Times New Roman" w:hAnsi="Times New Roman" w:eastAsia="Times New Roman" w:cs="Times New Roman"/>
                <w:color w:val="auto"/>
                <w:sz w:val="21"/>
                <w:szCs w:val="21"/>
              </w:rPr>
              <w:t>pH</w:t>
            </w:r>
            <w:r>
              <w:rPr>
                <w:color w:val="auto"/>
                <w:spacing w:val="10"/>
                <w:sz w:val="21"/>
                <w:szCs w:val="21"/>
              </w:rPr>
              <w:t>（无量纲）</w:t>
            </w:r>
          </w:p>
        </w:tc>
        <w:tc>
          <w:tcPr>
            <w:tcW w:w="3456" w:type="dxa"/>
            <w:vAlign w:val="top"/>
          </w:tcPr>
          <w:p w14:paraId="0E7D986E">
            <w:pPr>
              <w:pStyle w:val="27"/>
              <w:spacing w:before="93" w:line="222" w:lineRule="auto"/>
              <w:ind w:left="1524"/>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6</w:t>
            </w:r>
            <w:r>
              <w:rPr>
                <w:color w:val="auto"/>
                <w:spacing w:val="3"/>
                <w:sz w:val="21"/>
                <w:szCs w:val="21"/>
              </w:rPr>
              <w:t>～</w:t>
            </w:r>
            <w:r>
              <w:rPr>
                <w:rFonts w:ascii="Times New Roman" w:hAnsi="Times New Roman" w:eastAsia="Times New Roman" w:cs="Times New Roman"/>
                <w:color w:val="auto"/>
                <w:spacing w:val="3"/>
                <w:sz w:val="21"/>
                <w:szCs w:val="21"/>
              </w:rPr>
              <w:t>9</w:t>
            </w:r>
          </w:p>
        </w:tc>
      </w:tr>
      <w:tr w14:paraId="3E7D4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16410BD4">
            <w:pPr>
              <w:spacing w:before="130" w:line="195" w:lineRule="auto"/>
              <w:ind w:left="724"/>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2</w:t>
            </w:r>
          </w:p>
        </w:tc>
        <w:tc>
          <w:tcPr>
            <w:tcW w:w="3395" w:type="dxa"/>
            <w:vAlign w:val="top"/>
          </w:tcPr>
          <w:p w14:paraId="7BD30E28">
            <w:pPr>
              <w:spacing w:before="130" w:line="195" w:lineRule="auto"/>
              <w:ind w:left="1470"/>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DO</w:t>
            </w:r>
          </w:p>
        </w:tc>
        <w:tc>
          <w:tcPr>
            <w:tcW w:w="3456" w:type="dxa"/>
            <w:vAlign w:val="top"/>
          </w:tcPr>
          <w:p w14:paraId="5A9B8BDC">
            <w:pPr>
              <w:spacing w:before="133" w:line="192" w:lineRule="auto"/>
              <w:ind w:left="1618"/>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≥5</w:t>
            </w:r>
          </w:p>
        </w:tc>
      </w:tr>
      <w:tr w14:paraId="5096B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1DF3CDB9">
            <w:pPr>
              <w:spacing w:before="131" w:line="195" w:lineRule="auto"/>
              <w:ind w:left="729"/>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3</w:t>
            </w:r>
          </w:p>
        </w:tc>
        <w:tc>
          <w:tcPr>
            <w:tcW w:w="3395" w:type="dxa"/>
            <w:vAlign w:val="top"/>
          </w:tcPr>
          <w:p w14:paraId="1A79C44A">
            <w:pPr>
              <w:pStyle w:val="27"/>
              <w:spacing w:before="95" w:line="220" w:lineRule="auto"/>
              <w:ind w:left="669"/>
              <w:rPr>
                <w:color w:val="auto"/>
                <w:sz w:val="21"/>
                <w:szCs w:val="21"/>
              </w:rPr>
            </w:pPr>
            <w:r>
              <w:rPr>
                <w:color w:val="auto"/>
                <w:spacing w:val="10"/>
                <w:sz w:val="21"/>
                <w:szCs w:val="21"/>
              </w:rPr>
              <w:t>化学需氧量（</w:t>
            </w:r>
            <w:r>
              <w:rPr>
                <w:rFonts w:ascii="Times New Roman" w:hAnsi="Times New Roman" w:eastAsia="Times New Roman" w:cs="Times New Roman"/>
                <w:color w:val="auto"/>
                <w:sz w:val="21"/>
                <w:szCs w:val="21"/>
              </w:rPr>
              <w:t>COD</w:t>
            </w:r>
            <w:r>
              <w:rPr>
                <w:color w:val="auto"/>
                <w:spacing w:val="10"/>
                <w:sz w:val="21"/>
                <w:szCs w:val="21"/>
              </w:rPr>
              <w:t>）</w:t>
            </w:r>
          </w:p>
        </w:tc>
        <w:tc>
          <w:tcPr>
            <w:tcW w:w="3456" w:type="dxa"/>
            <w:vAlign w:val="top"/>
          </w:tcPr>
          <w:p w14:paraId="64B614AE">
            <w:pPr>
              <w:spacing w:before="132" w:line="195" w:lineRule="auto"/>
              <w:ind w:left="1565"/>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≤20</w:t>
            </w:r>
          </w:p>
        </w:tc>
      </w:tr>
      <w:tr w14:paraId="698BB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09B803B6">
            <w:pPr>
              <w:spacing w:before="133" w:line="195" w:lineRule="auto"/>
              <w:ind w:left="723"/>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4</w:t>
            </w:r>
          </w:p>
        </w:tc>
        <w:tc>
          <w:tcPr>
            <w:tcW w:w="3395" w:type="dxa"/>
            <w:vAlign w:val="top"/>
          </w:tcPr>
          <w:p w14:paraId="0370BD5E">
            <w:pPr>
              <w:pStyle w:val="27"/>
              <w:spacing w:before="96" w:line="219" w:lineRule="auto"/>
              <w:ind w:left="427"/>
              <w:rPr>
                <w:color w:val="auto"/>
                <w:sz w:val="21"/>
                <w:szCs w:val="21"/>
              </w:rPr>
            </w:pPr>
            <w:r>
              <w:rPr>
                <w:color w:val="auto"/>
                <w:spacing w:val="9"/>
                <w:sz w:val="21"/>
                <w:szCs w:val="21"/>
              </w:rPr>
              <w:t>五日生化需氧量（</w:t>
            </w:r>
            <w:r>
              <w:rPr>
                <w:rFonts w:ascii="Times New Roman" w:hAnsi="Times New Roman" w:eastAsia="Times New Roman" w:cs="Times New Roman"/>
                <w:color w:val="auto"/>
                <w:sz w:val="21"/>
                <w:szCs w:val="21"/>
              </w:rPr>
              <w:t>BOD</w:t>
            </w:r>
            <w:r>
              <w:rPr>
                <w:rFonts w:ascii="Times New Roman" w:hAnsi="Times New Roman" w:eastAsia="Times New Roman" w:cs="Times New Roman"/>
                <w:color w:val="auto"/>
                <w:spacing w:val="9"/>
                <w:sz w:val="21"/>
                <w:szCs w:val="21"/>
              </w:rPr>
              <w:t>5</w:t>
            </w:r>
            <w:r>
              <w:rPr>
                <w:color w:val="auto"/>
                <w:spacing w:val="9"/>
                <w:sz w:val="21"/>
                <w:szCs w:val="21"/>
              </w:rPr>
              <w:t>）</w:t>
            </w:r>
          </w:p>
        </w:tc>
        <w:tc>
          <w:tcPr>
            <w:tcW w:w="3456" w:type="dxa"/>
            <w:vAlign w:val="top"/>
          </w:tcPr>
          <w:p w14:paraId="749F11F3">
            <w:pPr>
              <w:spacing w:before="133" w:line="195" w:lineRule="auto"/>
              <w:ind w:left="1618"/>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≤4</w:t>
            </w:r>
          </w:p>
        </w:tc>
      </w:tr>
      <w:tr w14:paraId="5C9B5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7A678BFB">
            <w:pPr>
              <w:spacing w:before="135" w:line="192" w:lineRule="auto"/>
              <w:ind w:left="730"/>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5</w:t>
            </w:r>
          </w:p>
        </w:tc>
        <w:tc>
          <w:tcPr>
            <w:tcW w:w="3395" w:type="dxa"/>
            <w:vAlign w:val="top"/>
          </w:tcPr>
          <w:p w14:paraId="42D7F2C7">
            <w:pPr>
              <w:pStyle w:val="27"/>
              <w:spacing w:before="96" w:line="220" w:lineRule="auto"/>
              <w:ind w:left="890"/>
              <w:rPr>
                <w:color w:val="auto"/>
                <w:sz w:val="21"/>
                <w:szCs w:val="21"/>
              </w:rPr>
            </w:pPr>
            <w:r>
              <w:rPr>
                <w:color w:val="auto"/>
                <w:spacing w:val="11"/>
                <w:sz w:val="21"/>
                <w:szCs w:val="21"/>
              </w:rPr>
              <w:t>总磷（以</w:t>
            </w:r>
            <w:r>
              <w:rPr>
                <w:rFonts w:ascii="Times New Roman" w:hAnsi="Times New Roman" w:eastAsia="Times New Roman" w:cs="Times New Roman"/>
                <w:color w:val="auto"/>
                <w:spacing w:val="11"/>
                <w:sz w:val="21"/>
                <w:szCs w:val="21"/>
              </w:rPr>
              <w:t xml:space="preserve">P </w:t>
            </w:r>
            <w:r>
              <w:rPr>
                <w:color w:val="auto"/>
                <w:spacing w:val="11"/>
                <w:sz w:val="21"/>
                <w:szCs w:val="21"/>
              </w:rPr>
              <w:t>计）</w:t>
            </w:r>
          </w:p>
        </w:tc>
        <w:tc>
          <w:tcPr>
            <w:tcW w:w="3456" w:type="dxa"/>
            <w:vAlign w:val="top"/>
          </w:tcPr>
          <w:p w14:paraId="57018CAB">
            <w:pPr>
              <w:spacing w:before="132"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≤0.2</w:t>
            </w:r>
          </w:p>
        </w:tc>
      </w:tr>
      <w:tr w14:paraId="78C8B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7AB2AAC7">
            <w:pPr>
              <w:spacing w:before="132" w:line="195" w:lineRule="auto"/>
              <w:ind w:left="729"/>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6</w:t>
            </w:r>
          </w:p>
        </w:tc>
        <w:tc>
          <w:tcPr>
            <w:tcW w:w="3395" w:type="dxa"/>
            <w:vAlign w:val="top"/>
          </w:tcPr>
          <w:p w14:paraId="22EBAC82">
            <w:pPr>
              <w:pStyle w:val="27"/>
              <w:spacing w:before="96" w:line="220" w:lineRule="auto"/>
              <w:ind w:left="908"/>
              <w:rPr>
                <w:color w:val="auto"/>
                <w:sz w:val="21"/>
                <w:szCs w:val="21"/>
              </w:rPr>
            </w:pPr>
            <w:r>
              <w:rPr>
                <w:color w:val="auto"/>
                <w:spacing w:val="6"/>
                <w:sz w:val="21"/>
                <w:szCs w:val="21"/>
              </w:rPr>
              <w:t>氨氮（</w:t>
            </w:r>
            <w:r>
              <w:rPr>
                <w:rFonts w:ascii="Times New Roman" w:hAnsi="Times New Roman" w:eastAsia="Times New Roman" w:cs="Times New Roman"/>
                <w:color w:val="auto"/>
                <w:sz w:val="21"/>
                <w:szCs w:val="21"/>
              </w:rPr>
              <w:t>NH</w:t>
            </w:r>
            <w:r>
              <w:rPr>
                <w:rFonts w:ascii="Times New Roman" w:hAnsi="Times New Roman" w:eastAsia="Times New Roman" w:cs="Times New Roman"/>
                <w:color w:val="auto"/>
                <w:spacing w:val="6"/>
                <w:position w:val="-1"/>
                <w:sz w:val="21"/>
                <w:szCs w:val="21"/>
              </w:rPr>
              <w:t>3</w:t>
            </w:r>
            <w:r>
              <w:rPr>
                <w:rFonts w:ascii="Times New Roman" w:hAnsi="Times New Roman" w:eastAsia="Times New Roman" w:cs="Times New Roman"/>
                <w:color w:val="auto"/>
                <w:spacing w:val="6"/>
                <w:sz w:val="21"/>
                <w:szCs w:val="21"/>
              </w:rPr>
              <w:t>-N</w:t>
            </w:r>
            <w:r>
              <w:rPr>
                <w:color w:val="auto"/>
                <w:spacing w:val="6"/>
                <w:sz w:val="21"/>
                <w:szCs w:val="21"/>
              </w:rPr>
              <w:t>）</w:t>
            </w:r>
          </w:p>
        </w:tc>
        <w:tc>
          <w:tcPr>
            <w:tcW w:w="3456" w:type="dxa"/>
            <w:vAlign w:val="top"/>
          </w:tcPr>
          <w:p w14:paraId="57128BB5">
            <w:pPr>
              <w:spacing w:before="133"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≤1.0</w:t>
            </w:r>
          </w:p>
        </w:tc>
      </w:tr>
      <w:tr w14:paraId="4DDB7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1AA5873A">
            <w:pPr>
              <w:spacing w:before="135" w:line="192" w:lineRule="auto"/>
              <w:ind w:left="728"/>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7</w:t>
            </w:r>
          </w:p>
        </w:tc>
        <w:tc>
          <w:tcPr>
            <w:tcW w:w="3395" w:type="dxa"/>
            <w:vAlign w:val="top"/>
          </w:tcPr>
          <w:p w14:paraId="5E8769AE">
            <w:pPr>
              <w:pStyle w:val="27"/>
              <w:spacing w:before="96" w:line="220" w:lineRule="auto"/>
              <w:ind w:left="1000"/>
              <w:rPr>
                <w:color w:val="auto"/>
                <w:sz w:val="21"/>
                <w:szCs w:val="21"/>
              </w:rPr>
            </w:pPr>
            <w:r>
              <w:rPr>
                <w:color w:val="auto"/>
                <w:spacing w:val="7"/>
                <w:sz w:val="21"/>
                <w:szCs w:val="21"/>
              </w:rPr>
              <w:t>高锰酸盐指数</w:t>
            </w:r>
          </w:p>
        </w:tc>
        <w:tc>
          <w:tcPr>
            <w:tcW w:w="3456" w:type="dxa"/>
            <w:vAlign w:val="top"/>
          </w:tcPr>
          <w:p w14:paraId="551B770E">
            <w:pPr>
              <w:spacing w:before="133" w:line="195" w:lineRule="auto"/>
              <w:ind w:left="1618"/>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≤6</w:t>
            </w:r>
          </w:p>
        </w:tc>
      </w:tr>
      <w:tr w14:paraId="2DE81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508" w:type="dxa"/>
            <w:vAlign w:val="top"/>
          </w:tcPr>
          <w:p w14:paraId="7E7D9527">
            <w:pPr>
              <w:spacing w:before="133" w:line="195" w:lineRule="auto"/>
              <w:ind w:left="733"/>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8</w:t>
            </w:r>
          </w:p>
        </w:tc>
        <w:tc>
          <w:tcPr>
            <w:tcW w:w="3395" w:type="dxa"/>
            <w:vAlign w:val="top"/>
          </w:tcPr>
          <w:p w14:paraId="72019E1C">
            <w:pPr>
              <w:pStyle w:val="27"/>
              <w:spacing w:before="97" w:line="221" w:lineRule="auto"/>
              <w:ind w:left="1312"/>
              <w:rPr>
                <w:color w:val="auto"/>
                <w:sz w:val="21"/>
                <w:szCs w:val="21"/>
              </w:rPr>
            </w:pPr>
            <w:r>
              <w:rPr>
                <w:color w:val="auto"/>
                <w:spacing w:val="6"/>
                <w:sz w:val="21"/>
                <w:szCs w:val="21"/>
              </w:rPr>
              <w:t>石油类</w:t>
            </w:r>
          </w:p>
        </w:tc>
        <w:tc>
          <w:tcPr>
            <w:tcW w:w="3456" w:type="dxa"/>
            <w:vAlign w:val="top"/>
          </w:tcPr>
          <w:p w14:paraId="11AC0FD3">
            <w:pPr>
              <w:spacing w:before="133" w:line="195" w:lineRule="auto"/>
              <w:ind w:left="1486"/>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≤0.05</w:t>
            </w:r>
          </w:p>
        </w:tc>
      </w:tr>
      <w:tr w14:paraId="0A559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36F2EF44">
            <w:pPr>
              <w:spacing w:before="128" w:line="195" w:lineRule="auto"/>
              <w:ind w:left="728"/>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9</w:t>
            </w:r>
          </w:p>
        </w:tc>
        <w:tc>
          <w:tcPr>
            <w:tcW w:w="3395" w:type="dxa"/>
            <w:vAlign w:val="top"/>
          </w:tcPr>
          <w:p w14:paraId="6F14DA7A">
            <w:pPr>
              <w:pStyle w:val="27"/>
              <w:spacing w:before="92" w:line="223" w:lineRule="auto"/>
              <w:ind w:left="694"/>
              <w:rPr>
                <w:color w:val="auto"/>
                <w:sz w:val="21"/>
                <w:szCs w:val="21"/>
              </w:rPr>
            </w:pPr>
            <w:r>
              <w:rPr>
                <w:color w:val="auto"/>
                <w:spacing w:val="6"/>
                <w:sz w:val="21"/>
                <w:szCs w:val="21"/>
              </w:rPr>
              <w:t>粪大肠菌群（个</w:t>
            </w:r>
            <w:r>
              <w:rPr>
                <w:rFonts w:ascii="Times New Roman" w:hAnsi="Times New Roman" w:eastAsia="Times New Roman" w:cs="Times New Roman"/>
                <w:color w:val="auto"/>
                <w:spacing w:val="6"/>
                <w:sz w:val="21"/>
                <w:szCs w:val="21"/>
              </w:rPr>
              <w:t>/L</w:t>
            </w:r>
            <w:r>
              <w:rPr>
                <w:color w:val="auto"/>
                <w:spacing w:val="6"/>
                <w:sz w:val="21"/>
                <w:szCs w:val="21"/>
              </w:rPr>
              <w:t>）</w:t>
            </w:r>
          </w:p>
        </w:tc>
        <w:tc>
          <w:tcPr>
            <w:tcW w:w="3456" w:type="dxa"/>
            <w:vAlign w:val="top"/>
          </w:tcPr>
          <w:p w14:paraId="745DBFEB">
            <w:pPr>
              <w:spacing w:before="129" w:line="195" w:lineRule="auto"/>
              <w:ind w:left="1407"/>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≤10000</w:t>
            </w:r>
          </w:p>
        </w:tc>
      </w:tr>
      <w:tr w14:paraId="6208B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05367097">
            <w:pPr>
              <w:spacing w:before="130"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10</w:t>
            </w:r>
          </w:p>
        </w:tc>
        <w:tc>
          <w:tcPr>
            <w:tcW w:w="3395" w:type="dxa"/>
            <w:vAlign w:val="top"/>
          </w:tcPr>
          <w:p w14:paraId="75D1CFBE">
            <w:pPr>
              <w:pStyle w:val="27"/>
              <w:spacing w:before="94" w:line="221" w:lineRule="auto"/>
              <w:ind w:left="810"/>
              <w:rPr>
                <w:color w:val="auto"/>
                <w:sz w:val="21"/>
                <w:szCs w:val="21"/>
              </w:rPr>
            </w:pPr>
            <w:r>
              <w:rPr>
                <w:color w:val="auto"/>
                <w:spacing w:val="6"/>
                <w:sz w:val="21"/>
                <w:szCs w:val="21"/>
              </w:rPr>
              <w:t>氟化物（以</w:t>
            </w:r>
            <w:r>
              <w:rPr>
                <w:rFonts w:ascii="Times New Roman" w:hAnsi="Times New Roman" w:eastAsia="Times New Roman" w:cs="Times New Roman"/>
                <w:color w:val="auto"/>
                <w:spacing w:val="6"/>
                <w:sz w:val="21"/>
                <w:szCs w:val="21"/>
              </w:rPr>
              <w:t>F-</w:t>
            </w:r>
            <w:r>
              <w:rPr>
                <w:color w:val="auto"/>
                <w:spacing w:val="6"/>
                <w:sz w:val="21"/>
                <w:szCs w:val="21"/>
              </w:rPr>
              <w:t>计）</w:t>
            </w:r>
          </w:p>
        </w:tc>
        <w:tc>
          <w:tcPr>
            <w:tcW w:w="3456" w:type="dxa"/>
            <w:vAlign w:val="top"/>
          </w:tcPr>
          <w:p w14:paraId="3ED2F188">
            <w:pPr>
              <w:spacing w:before="130"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≤1.0</w:t>
            </w:r>
          </w:p>
        </w:tc>
      </w:tr>
      <w:tr w14:paraId="0AD04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7B3600DE">
            <w:pPr>
              <w:spacing w:before="131" w:line="195" w:lineRule="auto"/>
              <w:ind w:left="697"/>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0"/>
                <w:sz w:val="21"/>
                <w:szCs w:val="21"/>
              </w:rPr>
              <w:t>11</w:t>
            </w:r>
          </w:p>
        </w:tc>
        <w:tc>
          <w:tcPr>
            <w:tcW w:w="3395" w:type="dxa"/>
            <w:vAlign w:val="top"/>
          </w:tcPr>
          <w:p w14:paraId="7CAE2EA8">
            <w:pPr>
              <w:pStyle w:val="27"/>
              <w:spacing w:before="95" w:line="220" w:lineRule="auto"/>
              <w:ind w:left="1313"/>
              <w:rPr>
                <w:color w:val="auto"/>
                <w:sz w:val="21"/>
                <w:szCs w:val="21"/>
              </w:rPr>
            </w:pPr>
            <w:r>
              <w:rPr>
                <w:color w:val="auto"/>
                <w:spacing w:val="6"/>
                <w:sz w:val="21"/>
                <w:szCs w:val="21"/>
              </w:rPr>
              <w:t>六价铬</w:t>
            </w:r>
          </w:p>
        </w:tc>
        <w:tc>
          <w:tcPr>
            <w:tcW w:w="3456" w:type="dxa"/>
            <w:vAlign w:val="top"/>
          </w:tcPr>
          <w:p w14:paraId="35E52679">
            <w:pPr>
              <w:spacing w:before="132" w:line="195" w:lineRule="auto"/>
              <w:ind w:left="1486"/>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≤0.05</w:t>
            </w:r>
          </w:p>
        </w:tc>
      </w:tr>
      <w:tr w14:paraId="3FA0A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08" w:type="dxa"/>
            <w:vAlign w:val="top"/>
          </w:tcPr>
          <w:p w14:paraId="0762FA30">
            <w:pPr>
              <w:spacing w:before="133"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12</w:t>
            </w:r>
          </w:p>
        </w:tc>
        <w:tc>
          <w:tcPr>
            <w:tcW w:w="3395" w:type="dxa"/>
            <w:vAlign w:val="top"/>
          </w:tcPr>
          <w:p w14:paraId="1E8A5019">
            <w:pPr>
              <w:pStyle w:val="27"/>
              <w:spacing w:before="96" w:line="219" w:lineRule="auto"/>
              <w:ind w:left="1520"/>
              <w:rPr>
                <w:color w:val="auto"/>
                <w:sz w:val="21"/>
                <w:szCs w:val="21"/>
              </w:rPr>
            </w:pPr>
            <w:r>
              <w:rPr>
                <w:color w:val="auto"/>
                <w:sz w:val="21"/>
                <w:szCs w:val="21"/>
              </w:rPr>
              <w:t>铅</w:t>
            </w:r>
          </w:p>
        </w:tc>
        <w:tc>
          <w:tcPr>
            <w:tcW w:w="3456" w:type="dxa"/>
            <w:vAlign w:val="top"/>
          </w:tcPr>
          <w:p w14:paraId="48D46E69">
            <w:pPr>
              <w:spacing w:before="133" w:line="195" w:lineRule="auto"/>
              <w:ind w:left="1486"/>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≤0.05</w:t>
            </w:r>
          </w:p>
        </w:tc>
      </w:tr>
      <w:tr w14:paraId="652B3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5494DC21">
            <w:pPr>
              <w:spacing w:before="134"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13</w:t>
            </w:r>
          </w:p>
        </w:tc>
        <w:tc>
          <w:tcPr>
            <w:tcW w:w="3395" w:type="dxa"/>
            <w:vAlign w:val="top"/>
          </w:tcPr>
          <w:p w14:paraId="60D754E1">
            <w:pPr>
              <w:pStyle w:val="27"/>
              <w:spacing w:before="98" w:line="218" w:lineRule="auto"/>
              <w:ind w:left="1519"/>
              <w:rPr>
                <w:color w:val="auto"/>
                <w:sz w:val="21"/>
                <w:szCs w:val="21"/>
              </w:rPr>
            </w:pPr>
            <w:r>
              <w:rPr>
                <w:color w:val="auto"/>
                <w:spacing w:val="1"/>
                <w:sz w:val="21"/>
                <w:szCs w:val="21"/>
              </w:rPr>
              <w:t>锌</w:t>
            </w:r>
          </w:p>
        </w:tc>
        <w:tc>
          <w:tcPr>
            <w:tcW w:w="3456" w:type="dxa"/>
            <w:vAlign w:val="top"/>
          </w:tcPr>
          <w:p w14:paraId="7152A27A">
            <w:pPr>
              <w:spacing w:before="134"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≤1.0</w:t>
            </w:r>
          </w:p>
        </w:tc>
      </w:tr>
      <w:tr w14:paraId="47BB4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301B2EFF">
            <w:pPr>
              <w:spacing w:before="132"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14</w:t>
            </w:r>
          </w:p>
        </w:tc>
        <w:tc>
          <w:tcPr>
            <w:tcW w:w="3395" w:type="dxa"/>
            <w:vAlign w:val="top"/>
          </w:tcPr>
          <w:p w14:paraId="2C4BA117">
            <w:pPr>
              <w:pStyle w:val="27"/>
              <w:spacing w:before="96" w:line="220" w:lineRule="auto"/>
              <w:ind w:left="1518"/>
              <w:rPr>
                <w:color w:val="auto"/>
                <w:sz w:val="21"/>
                <w:szCs w:val="21"/>
              </w:rPr>
            </w:pPr>
            <w:r>
              <w:rPr>
                <w:color w:val="auto"/>
                <w:spacing w:val="2"/>
                <w:sz w:val="21"/>
                <w:szCs w:val="21"/>
              </w:rPr>
              <w:t>镉</w:t>
            </w:r>
          </w:p>
        </w:tc>
        <w:tc>
          <w:tcPr>
            <w:tcW w:w="3456" w:type="dxa"/>
            <w:vAlign w:val="top"/>
          </w:tcPr>
          <w:p w14:paraId="23D92DBC">
            <w:pPr>
              <w:spacing w:before="132" w:line="195" w:lineRule="auto"/>
              <w:ind w:left="1433"/>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≤0.005</w:t>
            </w:r>
          </w:p>
        </w:tc>
      </w:tr>
      <w:tr w14:paraId="1D6F6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7919A108">
            <w:pPr>
              <w:spacing w:before="132"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15</w:t>
            </w:r>
          </w:p>
        </w:tc>
        <w:tc>
          <w:tcPr>
            <w:tcW w:w="3395" w:type="dxa"/>
            <w:vAlign w:val="top"/>
          </w:tcPr>
          <w:p w14:paraId="14F4DCA9">
            <w:pPr>
              <w:pStyle w:val="27"/>
              <w:spacing w:before="96" w:line="220" w:lineRule="auto"/>
              <w:ind w:left="1521"/>
              <w:rPr>
                <w:color w:val="auto"/>
                <w:sz w:val="21"/>
                <w:szCs w:val="21"/>
              </w:rPr>
            </w:pPr>
            <w:r>
              <w:rPr>
                <w:color w:val="auto"/>
                <w:sz w:val="21"/>
                <w:szCs w:val="21"/>
              </w:rPr>
              <w:t>汞</w:t>
            </w:r>
          </w:p>
        </w:tc>
        <w:tc>
          <w:tcPr>
            <w:tcW w:w="3456" w:type="dxa"/>
            <w:vAlign w:val="top"/>
          </w:tcPr>
          <w:p w14:paraId="5F30969A">
            <w:pPr>
              <w:spacing w:before="133" w:line="195" w:lineRule="auto"/>
              <w:ind w:left="1380"/>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≤0.0001</w:t>
            </w:r>
          </w:p>
        </w:tc>
      </w:tr>
      <w:tr w14:paraId="321D9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2EE0B4C4">
            <w:pPr>
              <w:spacing w:before="133"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16</w:t>
            </w:r>
          </w:p>
        </w:tc>
        <w:tc>
          <w:tcPr>
            <w:tcW w:w="3395" w:type="dxa"/>
            <w:vAlign w:val="top"/>
          </w:tcPr>
          <w:p w14:paraId="68EE1764">
            <w:pPr>
              <w:pStyle w:val="27"/>
              <w:spacing w:before="97" w:line="219" w:lineRule="auto"/>
              <w:ind w:left="1519"/>
              <w:rPr>
                <w:color w:val="auto"/>
                <w:sz w:val="21"/>
                <w:szCs w:val="21"/>
              </w:rPr>
            </w:pPr>
            <w:r>
              <w:rPr>
                <w:color w:val="auto"/>
                <w:spacing w:val="1"/>
                <w:sz w:val="21"/>
                <w:szCs w:val="21"/>
              </w:rPr>
              <w:t>砷</w:t>
            </w:r>
          </w:p>
        </w:tc>
        <w:tc>
          <w:tcPr>
            <w:tcW w:w="3456" w:type="dxa"/>
            <w:vAlign w:val="top"/>
          </w:tcPr>
          <w:p w14:paraId="6CDC2F82">
            <w:pPr>
              <w:spacing w:before="133" w:line="195" w:lineRule="auto"/>
              <w:ind w:left="1486"/>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≤0.05</w:t>
            </w:r>
          </w:p>
        </w:tc>
      </w:tr>
      <w:tr w14:paraId="39920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3E1D1CFB">
            <w:pPr>
              <w:spacing w:before="133"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17</w:t>
            </w:r>
          </w:p>
        </w:tc>
        <w:tc>
          <w:tcPr>
            <w:tcW w:w="3395" w:type="dxa"/>
            <w:vAlign w:val="top"/>
          </w:tcPr>
          <w:p w14:paraId="0E39789F">
            <w:pPr>
              <w:pStyle w:val="27"/>
              <w:spacing w:before="97" w:line="219" w:lineRule="auto"/>
              <w:ind w:left="1520"/>
              <w:rPr>
                <w:color w:val="auto"/>
                <w:sz w:val="21"/>
                <w:szCs w:val="21"/>
              </w:rPr>
            </w:pPr>
            <w:r>
              <w:rPr>
                <w:color w:val="auto"/>
                <w:sz w:val="21"/>
                <w:szCs w:val="21"/>
              </w:rPr>
              <w:t>铜</w:t>
            </w:r>
          </w:p>
        </w:tc>
        <w:tc>
          <w:tcPr>
            <w:tcW w:w="3456" w:type="dxa"/>
            <w:vAlign w:val="top"/>
          </w:tcPr>
          <w:p w14:paraId="64EE569C">
            <w:pPr>
              <w:spacing w:before="134"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≤1.0</w:t>
            </w:r>
          </w:p>
        </w:tc>
      </w:tr>
      <w:tr w14:paraId="649CC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5DF6284E">
            <w:pPr>
              <w:spacing w:before="133"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18</w:t>
            </w:r>
          </w:p>
        </w:tc>
        <w:tc>
          <w:tcPr>
            <w:tcW w:w="3395" w:type="dxa"/>
            <w:vAlign w:val="top"/>
          </w:tcPr>
          <w:p w14:paraId="581382D6">
            <w:pPr>
              <w:pStyle w:val="27"/>
              <w:spacing w:before="97" w:line="219" w:lineRule="auto"/>
              <w:ind w:left="1310"/>
              <w:rPr>
                <w:color w:val="auto"/>
                <w:sz w:val="21"/>
                <w:szCs w:val="21"/>
              </w:rPr>
            </w:pPr>
            <w:r>
              <w:rPr>
                <w:color w:val="auto"/>
                <w:spacing w:val="7"/>
                <w:sz w:val="21"/>
                <w:szCs w:val="21"/>
              </w:rPr>
              <w:t>氰化物</w:t>
            </w:r>
          </w:p>
        </w:tc>
        <w:tc>
          <w:tcPr>
            <w:tcW w:w="3456" w:type="dxa"/>
            <w:vAlign w:val="top"/>
          </w:tcPr>
          <w:p w14:paraId="0353368C">
            <w:pPr>
              <w:spacing w:before="134"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≤0.2</w:t>
            </w:r>
          </w:p>
        </w:tc>
      </w:tr>
      <w:tr w14:paraId="02BE7E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42B4D004">
            <w:pPr>
              <w:spacing w:before="134" w:line="195" w:lineRule="auto"/>
              <w:ind w:left="69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19</w:t>
            </w:r>
          </w:p>
        </w:tc>
        <w:tc>
          <w:tcPr>
            <w:tcW w:w="3395" w:type="dxa"/>
            <w:vAlign w:val="top"/>
          </w:tcPr>
          <w:p w14:paraId="10B7D02B">
            <w:pPr>
              <w:pStyle w:val="27"/>
              <w:spacing w:before="98" w:line="218" w:lineRule="auto"/>
              <w:ind w:left="1310"/>
              <w:rPr>
                <w:color w:val="auto"/>
                <w:sz w:val="21"/>
                <w:szCs w:val="21"/>
              </w:rPr>
            </w:pPr>
            <w:r>
              <w:rPr>
                <w:color w:val="auto"/>
                <w:spacing w:val="7"/>
                <w:sz w:val="21"/>
                <w:szCs w:val="21"/>
              </w:rPr>
              <w:t>硫化物</w:t>
            </w:r>
          </w:p>
        </w:tc>
        <w:tc>
          <w:tcPr>
            <w:tcW w:w="3456" w:type="dxa"/>
            <w:vAlign w:val="top"/>
          </w:tcPr>
          <w:p w14:paraId="3A4AD071">
            <w:pPr>
              <w:spacing w:before="134"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≤0.2</w:t>
            </w:r>
          </w:p>
        </w:tc>
      </w:tr>
      <w:tr w14:paraId="072C4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43DDAE50">
            <w:pPr>
              <w:spacing w:before="132" w:line="195" w:lineRule="auto"/>
              <w:ind w:left="67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20</w:t>
            </w:r>
          </w:p>
        </w:tc>
        <w:tc>
          <w:tcPr>
            <w:tcW w:w="3395" w:type="dxa"/>
            <w:vAlign w:val="top"/>
          </w:tcPr>
          <w:p w14:paraId="6F7670BF">
            <w:pPr>
              <w:pStyle w:val="27"/>
              <w:spacing w:before="96" w:line="220" w:lineRule="auto"/>
              <w:ind w:left="1336"/>
              <w:rPr>
                <w:color w:val="auto"/>
                <w:sz w:val="21"/>
                <w:szCs w:val="21"/>
              </w:rPr>
            </w:pPr>
            <w:r>
              <w:rPr>
                <w:color w:val="auto"/>
                <w:spacing w:val="-2"/>
                <w:sz w:val="21"/>
                <w:szCs w:val="21"/>
              </w:rPr>
              <w:t>电导率</w:t>
            </w:r>
          </w:p>
        </w:tc>
        <w:tc>
          <w:tcPr>
            <w:tcW w:w="3456" w:type="dxa"/>
            <w:vAlign w:val="top"/>
          </w:tcPr>
          <w:p w14:paraId="4E933C92">
            <w:pPr>
              <w:spacing w:before="128" w:line="199" w:lineRule="auto"/>
              <w:ind w:left="1697"/>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w:t>
            </w:r>
          </w:p>
        </w:tc>
      </w:tr>
      <w:tr w14:paraId="1CAE3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3E661242">
            <w:pPr>
              <w:spacing w:before="132" w:line="195" w:lineRule="auto"/>
              <w:ind w:left="67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21</w:t>
            </w:r>
          </w:p>
        </w:tc>
        <w:tc>
          <w:tcPr>
            <w:tcW w:w="3395" w:type="dxa"/>
            <w:vAlign w:val="top"/>
          </w:tcPr>
          <w:p w14:paraId="781B4344">
            <w:pPr>
              <w:pStyle w:val="27"/>
              <w:spacing w:before="96" w:line="220" w:lineRule="auto"/>
              <w:ind w:left="1310"/>
              <w:rPr>
                <w:color w:val="auto"/>
                <w:sz w:val="21"/>
                <w:szCs w:val="21"/>
              </w:rPr>
            </w:pPr>
            <w:r>
              <w:rPr>
                <w:color w:val="auto"/>
                <w:spacing w:val="7"/>
                <w:sz w:val="21"/>
                <w:szCs w:val="21"/>
              </w:rPr>
              <w:t>挥发酚</w:t>
            </w:r>
          </w:p>
        </w:tc>
        <w:tc>
          <w:tcPr>
            <w:tcW w:w="3456" w:type="dxa"/>
            <w:vAlign w:val="top"/>
          </w:tcPr>
          <w:p w14:paraId="0EF0E540">
            <w:pPr>
              <w:spacing w:before="133" w:line="195" w:lineRule="auto"/>
              <w:ind w:left="1433"/>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≤0.005</w:t>
            </w:r>
          </w:p>
        </w:tc>
      </w:tr>
      <w:tr w14:paraId="3C34D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295E5741">
            <w:pPr>
              <w:spacing w:before="133" w:line="195" w:lineRule="auto"/>
              <w:ind w:left="67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22</w:t>
            </w:r>
          </w:p>
        </w:tc>
        <w:tc>
          <w:tcPr>
            <w:tcW w:w="3395" w:type="dxa"/>
            <w:vAlign w:val="top"/>
          </w:tcPr>
          <w:p w14:paraId="02460EDC">
            <w:pPr>
              <w:pStyle w:val="27"/>
              <w:spacing w:before="97" w:line="219" w:lineRule="auto"/>
              <w:ind w:left="453"/>
              <w:rPr>
                <w:color w:val="auto"/>
                <w:sz w:val="21"/>
                <w:szCs w:val="21"/>
              </w:rPr>
            </w:pPr>
            <w:r>
              <w:rPr>
                <w:color w:val="auto"/>
                <w:spacing w:val="7"/>
                <w:sz w:val="21"/>
                <w:szCs w:val="21"/>
              </w:rPr>
              <w:t>总氮（湖、库，以</w:t>
            </w:r>
            <w:r>
              <w:rPr>
                <w:color w:val="auto"/>
                <w:spacing w:val="-50"/>
                <w:sz w:val="21"/>
                <w:szCs w:val="21"/>
              </w:rPr>
              <w:t xml:space="preserve"> </w:t>
            </w:r>
            <w:r>
              <w:rPr>
                <w:rFonts w:ascii="Times New Roman" w:hAnsi="Times New Roman" w:eastAsia="Times New Roman" w:cs="Times New Roman"/>
                <w:color w:val="auto"/>
                <w:spacing w:val="7"/>
                <w:sz w:val="21"/>
                <w:szCs w:val="21"/>
              </w:rPr>
              <w:t xml:space="preserve">N </w:t>
            </w:r>
            <w:r>
              <w:rPr>
                <w:color w:val="auto"/>
                <w:spacing w:val="7"/>
                <w:sz w:val="21"/>
                <w:szCs w:val="21"/>
              </w:rPr>
              <w:t>计）</w:t>
            </w:r>
          </w:p>
        </w:tc>
        <w:tc>
          <w:tcPr>
            <w:tcW w:w="3456" w:type="dxa"/>
            <w:vAlign w:val="top"/>
          </w:tcPr>
          <w:p w14:paraId="43588526">
            <w:pPr>
              <w:spacing w:before="133"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≤1.0</w:t>
            </w:r>
          </w:p>
        </w:tc>
      </w:tr>
      <w:tr w14:paraId="4CD7A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5978979E">
            <w:pPr>
              <w:spacing w:before="133" w:line="195" w:lineRule="auto"/>
              <w:ind w:left="67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23</w:t>
            </w:r>
          </w:p>
        </w:tc>
        <w:tc>
          <w:tcPr>
            <w:tcW w:w="3395" w:type="dxa"/>
            <w:vAlign w:val="top"/>
          </w:tcPr>
          <w:p w14:paraId="2CEFFD34">
            <w:pPr>
              <w:pStyle w:val="27"/>
              <w:spacing w:before="97" w:line="219" w:lineRule="auto"/>
              <w:ind w:left="1518"/>
              <w:rPr>
                <w:color w:val="auto"/>
                <w:sz w:val="21"/>
                <w:szCs w:val="21"/>
              </w:rPr>
            </w:pPr>
            <w:r>
              <w:rPr>
                <w:color w:val="auto"/>
                <w:spacing w:val="2"/>
                <w:sz w:val="21"/>
                <w:szCs w:val="21"/>
              </w:rPr>
              <w:t>硒</w:t>
            </w:r>
          </w:p>
        </w:tc>
        <w:tc>
          <w:tcPr>
            <w:tcW w:w="3456" w:type="dxa"/>
            <w:vAlign w:val="top"/>
          </w:tcPr>
          <w:p w14:paraId="06268E15">
            <w:pPr>
              <w:spacing w:before="134" w:line="195" w:lineRule="auto"/>
              <w:ind w:left="1486"/>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≤0.01</w:t>
            </w:r>
          </w:p>
        </w:tc>
      </w:tr>
      <w:tr w14:paraId="24460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08" w:type="dxa"/>
            <w:vAlign w:val="top"/>
          </w:tcPr>
          <w:p w14:paraId="01FB3F9F">
            <w:pPr>
              <w:spacing w:before="134" w:line="195" w:lineRule="auto"/>
              <w:ind w:left="67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24</w:t>
            </w:r>
          </w:p>
        </w:tc>
        <w:tc>
          <w:tcPr>
            <w:tcW w:w="3395" w:type="dxa"/>
            <w:vAlign w:val="top"/>
          </w:tcPr>
          <w:p w14:paraId="7A73A45F">
            <w:pPr>
              <w:pStyle w:val="27"/>
              <w:spacing w:before="97" w:line="219" w:lineRule="auto"/>
              <w:ind w:left="802"/>
              <w:rPr>
                <w:color w:val="auto"/>
                <w:sz w:val="21"/>
                <w:szCs w:val="21"/>
              </w:rPr>
            </w:pPr>
            <w:r>
              <w:rPr>
                <w:color w:val="auto"/>
                <w:spacing w:val="6"/>
                <w:sz w:val="21"/>
                <w:szCs w:val="21"/>
              </w:rPr>
              <w:t>阴离子表面活性剂</w:t>
            </w:r>
          </w:p>
        </w:tc>
        <w:tc>
          <w:tcPr>
            <w:tcW w:w="3456" w:type="dxa"/>
            <w:vAlign w:val="top"/>
          </w:tcPr>
          <w:p w14:paraId="6F7711E8">
            <w:pPr>
              <w:spacing w:before="134" w:line="195" w:lineRule="auto"/>
              <w:ind w:left="1539"/>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≤0.2</w:t>
            </w:r>
          </w:p>
        </w:tc>
      </w:tr>
      <w:tr w14:paraId="7FF6A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508" w:type="dxa"/>
            <w:vAlign w:val="top"/>
          </w:tcPr>
          <w:p w14:paraId="63728358">
            <w:pPr>
              <w:spacing w:before="134" w:line="195" w:lineRule="auto"/>
              <w:ind w:left="672"/>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25</w:t>
            </w:r>
          </w:p>
        </w:tc>
        <w:tc>
          <w:tcPr>
            <w:tcW w:w="3395" w:type="dxa"/>
            <w:vAlign w:val="top"/>
          </w:tcPr>
          <w:p w14:paraId="616FEC2B">
            <w:pPr>
              <w:pStyle w:val="27"/>
              <w:spacing w:before="98" w:line="222" w:lineRule="auto"/>
              <w:ind w:left="1417"/>
              <w:rPr>
                <w:color w:val="auto"/>
                <w:sz w:val="21"/>
                <w:szCs w:val="21"/>
              </w:rPr>
            </w:pPr>
            <w:r>
              <w:rPr>
                <w:color w:val="auto"/>
                <w:spacing w:val="3"/>
                <w:sz w:val="21"/>
                <w:szCs w:val="21"/>
              </w:rPr>
              <w:t>浊度</w:t>
            </w:r>
          </w:p>
        </w:tc>
        <w:tc>
          <w:tcPr>
            <w:tcW w:w="3456" w:type="dxa"/>
            <w:vAlign w:val="top"/>
          </w:tcPr>
          <w:p w14:paraId="4DD0392B">
            <w:pPr>
              <w:spacing w:before="130" w:line="199" w:lineRule="auto"/>
              <w:ind w:left="1697"/>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w:t>
            </w:r>
          </w:p>
        </w:tc>
      </w:tr>
    </w:tbl>
    <w:p w14:paraId="793894A5">
      <w:pPr>
        <w:pStyle w:val="9"/>
        <w:keepNext w:val="0"/>
        <w:keepLines w:val="0"/>
        <w:pageBreakBefore w:val="0"/>
        <w:widowControl/>
        <w:kinsoku/>
        <w:wordWrap/>
        <w:overflowPunct/>
        <w:topLinePunct w:val="0"/>
        <w:autoSpaceDE w:val="0"/>
        <w:autoSpaceDN w:val="0"/>
        <w:bidi w:val="0"/>
        <w:adjustRightInd/>
        <w:snapToGrid/>
        <w:spacing w:line="360" w:lineRule="auto"/>
        <w:ind w:left="0" w:firstLine="404" w:firstLineChars="200"/>
        <w:textAlignment w:val="baseline"/>
        <w:rPr>
          <w:color w:val="auto"/>
        </w:rPr>
      </w:pPr>
      <w:r>
        <w:rPr>
          <w:b/>
          <w:bCs/>
          <w:color w:val="auto"/>
          <w:spacing w:val="-4"/>
        </w:rPr>
        <w:t>（</w:t>
      </w:r>
      <w:r>
        <w:rPr>
          <w:rFonts w:ascii="Times New Roman" w:hAnsi="Times New Roman" w:eastAsia="Times New Roman" w:cs="Times New Roman"/>
          <w:b/>
          <w:bCs/>
          <w:color w:val="auto"/>
          <w:spacing w:val="-4"/>
        </w:rPr>
        <w:t>3</w:t>
      </w:r>
      <w:r>
        <w:rPr>
          <w:b/>
          <w:bCs/>
          <w:color w:val="auto"/>
          <w:spacing w:val="-4"/>
        </w:rPr>
        <w:t>）地下水质量标准</w:t>
      </w:r>
    </w:p>
    <w:p w14:paraId="1F22A60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区域地下水质量执行《地下水质量标准》（GB/T14848-2017）Ⅲ类标准，详见表1.7-3。</w:t>
      </w:r>
    </w:p>
    <w:p w14:paraId="1C6F211F">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地下水质量标准限值</w:t>
      </w:r>
    </w:p>
    <w:tbl>
      <w:tblPr>
        <w:tblStyle w:val="26"/>
        <w:tblW w:w="8258"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45"/>
        <w:gridCol w:w="3930"/>
        <w:gridCol w:w="1783"/>
      </w:tblGrid>
      <w:tr w14:paraId="7C2A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trPr>
        <w:tc>
          <w:tcPr>
            <w:tcW w:w="2545" w:type="dxa"/>
            <w:vAlign w:val="center"/>
          </w:tcPr>
          <w:p w14:paraId="1EFA080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6"/>
                <w:sz w:val="21"/>
                <w:szCs w:val="21"/>
              </w:rPr>
              <w:t>执行标准</w:t>
            </w:r>
          </w:p>
        </w:tc>
        <w:tc>
          <w:tcPr>
            <w:tcW w:w="3930" w:type="dxa"/>
            <w:vAlign w:val="center"/>
          </w:tcPr>
          <w:p w14:paraId="6172865C">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2"/>
                <w:sz w:val="21"/>
                <w:szCs w:val="21"/>
              </w:rPr>
              <w:t>项目</w:t>
            </w:r>
          </w:p>
        </w:tc>
        <w:tc>
          <w:tcPr>
            <w:tcW w:w="1783" w:type="dxa"/>
            <w:vAlign w:val="center"/>
          </w:tcPr>
          <w:p w14:paraId="40B2EAE8">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5"/>
                <w:sz w:val="21"/>
                <w:szCs w:val="21"/>
              </w:rPr>
              <w:t>标准值</w:t>
            </w:r>
          </w:p>
        </w:tc>
      </w:tr>
      <w:tr w14:paraId="7A91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545" w:type="dxa"/>
            <w:vMerge w:val="restart"/>
            <w:vAlign w:val="center"/>
          </w:tcPr>
          <w:p w14:paraId="236998AF">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color w:val="auto"/>
                <w:spacing w:val="7"/>
                <w:sz w:val="21"/>
                <w:szCs w:val="21"/>
              </w:rPr>
              <w:t>《地下水质量标准》</w:t>
            </w:r>
            <w:r>
              <w:rPr>
                <w:color w:val="auto"/>
                <w:spacing w:val="1"/>
                <w:sz w:val="21"/>
                <w:szCs w:val="21"/>
              </w:rPr>
              <w:t>（</w:t>
            </w:r>
            <w:r>
              <w:rPr>
                <w:rFonts w:ascii="Times New Roman" w:hAnsi="Times New Roman" w:eastAsia="Times New Roman" w:cs="Times New Roman"/>
                <w:color w:val="auto"/>
                <w:sz w:val="21"/>
                <w:szCs w:val="21"/>
              </w:rPr>
              <w:t>GB</w:t>
            </w:r>
            <w:r>
              <w:rPr>
                <w:rFonts w:ascii="Times New Roman" w:hAnsi="Times New Roman" w:eastAsia="Times New Roman" w:cs="Times New Roman"/>
                <w:color w:val="auto"/>
                <w:spacing w:val="1"/>
                <w:sz w:val="21"/>
                <w:szCs w:val="21"/>
              </w:rPr>
              <w:t>/T14848</w:t>
            </w:r>
            <w:r>
              <w:rPr>
                <w:color w:val="auto"/>
                <w:spacing w:val="1"/>
                <w:sz w:val="21"/>
                <w:szCs w:val="21"/>
              </w:rPr>
              <w:t>－</w:t>
            </w:r>
            <w:r>
              <w:rPr>
                <w:rFonts w:ascii="Times New Roman" w:hAnsi="Times New Roman" w:eastAsia="Times New Roman" w:cs="Times New Roman"/>
                <w:color w:val="auto"/>
                <w:spacing w:val="1"/>
                <w:sz w:val="21"/>
                <w:szCs w:val="21"/>
              </w:rPr>
              <w:t>2017</w:t>
            </w:r>
            <w:r>
              <w:rPr>
                <w:color w:val="auto"/>
                <w:spacing w:val="1"/>
                <w:sz w:val="21"/>
                <w:szCs w:val="21"/>
              </w:rPr>
              <w:t>）</w:t>
            </w:r>
            <w:r>
              <w:rPr>
                <w:rFonts w:ascii="Times New Roman" w:hAnsi="Times New Roman" w:eastAsia="Times New Roman" w:cs="Times New Roman"/>
                <w:color w:val="auto"/>
                <w:spacing w:val="1"/>
                <w:sz w:val="21"/>
                <w:szCs w:val="21"/>
              </w:rPr>
              <w:t>Ⅲ</w:t>
            </w:r>
          </w:p>
          <w:p w14:paraId="7C652DBA">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类标准</w:t>
            </w:r>
          </w:p>
        </w:tc>
        <w:tc>
          <w:tcPr>
            <w:tcW w:w="3930" w:type="dxa"/>
            <w:vAlign w:val="center"/>
          </w:tcPr>
          <w:p w14:paraId="5F3D031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rFonts w:ascii="Times New Roman" w:hAnsi="Times New Roman" w:eastAsia="Times New Roman" w:cs="Times New Roman"/>
                <w:color w:val="auto"/>
                <w:sz w:val="21"/>
                <w:szCs w:val="21"/>
              </w:rPr>
              <w:t>pH</w:t>
            </w:r>
            <w:r>
              <w:rPr>
                <w:color w:val="auto"/>
                <w:spacing w:val="9"/>
                <w:sz w:val="21"/>
                <w:szCs w:val="21"/>
              </w:rPr>
              <w:t>（无量纲）</w:t>
            </w:r>
          </w:p>
        </w:tc>
        <w:tc>
          <w:tcPr>
            <w:tcW w:w="1783" w:type="dxa"/>
            <w:vAlign w:val="center"/>
          </w:tcPr>
          <w:p w14:paraId="294C1A3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6.5~8.5</w:t>
            </w:r>
          </w:p>
        </w:tc>
      </w:tr>
      <w:tr w14:paraId="684C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545" w:type="dxa"/>
            <w:vMerge w:val="continue"/>
            <w:vAlign w:val="center"/>
          </w:tcPr>
          <w:p w14:paraId="25343B3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1D3B4328">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总硬度（</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6"/>
                <w:sz w:val="21"/>
                <w:szCs w:val="21"/>
              </w:rPr>
              <w:t>/L</w:t>
            </w:r>
            <w:r>
              <w:rPr>
                <w:color w:val="auto"/>
                <w:spacing w:val="6"/>
                <w:sz w:val="21"/>
                <w:szCs w:val="21"/>
              </w:rPr>
              <w:t>）</w:t>
            </w:r>
          </w:p>
        </w:tc>
        <w:tc>
          <w:tcPr>
            <w:tcW w:w="1783" w:type="dxa"/>
            <w:vAlign w:val="center"/>
          </w:tcPr>
          <w:p w14:paraId="415B527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≤450</w:t>
            </w:r>
          </w:p>
        </w:tc>
      </w:tr>
      <w:tr w14:paraId="21C3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545" w:type="dxa"/>
            <w:vMerge w:val="continue"/>
            <w:vAlign w:val="center"/>
          </w:tcPr>
          <w:p w14:paraId="3729117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7BCF3BD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硫酸盐（</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209EE05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≤250</w:t>
            </w:r>
          </w:p>
        </w:tc>
      </w:tr>
      <w:tr w14:paraId="575B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545" w:type="dxa"/>
            <w:vMerge w:val="continue"/>
            <w:vAlign w:val="center"/>
          </w:tcPr>
          <w:p w14:paraId="30686C7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411733A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氯化物（</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1029BBC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≤250</w:t>
            </w:r>
          </w:p>
        </w:tc>
      </w:tr>
      <w:tr w14:paraId="065E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6FFF422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1F9CB3DC">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溶解性总固体（</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2EA24C6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≤1000</w:t>
            </w:r>
          </w:p>
        </w:tc>
      </w:tr>
      <w:tr w14:paraId="552D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73CF57E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5764CE1C">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铁（</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6"/>
                <w:sz w:val="21"/>
                <w:szCs w:val="21"/>
              </w:rPr>
              <w:t>/L</w:t>
            </w:r>
            <w:r>
              <w:rPr>
                <w:color w:val="auto"/>
                <w:spacing w:val="6"/>
                <w:sz w:val="21"/>
                <w:szCs w:val="21"/>
              </w:rPr>
              <w:t>）</w:t>
            </w:r>
          </w:p>
        </w:tc>
        <w:tc>
          <w:tcPr>
            <w:tcW w:w="1783" w:type="dxa"/>
            <w:vAlign w:val="center"/>
          </w:tcPr>
          <w:p w14:paraId="1B5C155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≤0.3</w:t>
            </w:r>
          </w:p>
        </w:tc>
      </w:tr>
      <w:tr w14:paraId="63C8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70402BC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0F866B0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锰（</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6"/>
                <w:sz w:val="21"/>
                <w:szCs w:val="21"/>
              </w:rPr>
              <w:t>/L</w:t>
            </w:r>
            <w:r>
              <w:rPr>
                <w:color w:val="auto"/>
                <w:spacing w:val="6"/>
                <w:sz w:val="21"/>
                <w:szCs w:val="21"/>
              </w:rPr>
              <w:t>）</w:t>
            </w:r>
          </w:p>
        </w:tc>
        <w:tc>
          <w:tcPr>
            <w:tcW w:w="1783" w:type="dxa"/>
            <w:vAlign w:val="center"/>
          </w:tcPr>
          <w:p w14:paraId="110C0A3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≤0.</w:t>
            </w:r>
            <w:r>
              <w:rPr>
                <w:rFonts w:ascii="Times New Roman" w:hAnsi="Times New Roman" w:eastAsia="Times New Roman" w:cs="Times New Roman"/>
                <w:color w:val="auto"/>
                <w:spacing w:val="-24"/>
                <w:sz w:val="21"/>
                <w:szCs w:val="21"/>
              </w:rPr>
              <w:t xml:space="preserve"> </w:t>
            </w:r>
            <w:r>
              <w:rPr>
                <w:rFonts w:ascii="Times New Roman" w:hAnsi="Times New Roman" w:eastAsia="Times New Roman" w:cs="Times New Roman"/>
                <w:color w:val="auto"/>
                <w:spacing w:val="2"/>
                <w:sz w:val="21"/>
                <w:szCs w:val="21"/>
              </w:rPr>
              <w:t>1</w:t>
            </w:r>
          </w:p>
        </w:tc>
      </w:tr>
      <w:tr w14:paraId="09B7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1A37DB4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2F9DAD5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耗氧量（</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6E07B06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≤3.0</w:t>
            </w:r>
          </w:p>
        </w:tc>
      </w:tr>
      <w:tr w14:paraId="55B6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77697D3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074725C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11"/>
                <w:sz w:val="21"/>
                <w:szCs w:val="21"/>
              </w:rPr>
              <w:t>挥发性酚类（以苯酚计</w:t>
            </w:r>
            <w:r>
              <w:rPr>
                <w:color w:val="auto"/>
                <w:spacing w:val="-6"/>
                <w:sz w:val="21"/>
                <w:szCs w:val="21"/>
              </w:rPr>
              <w:t>）（</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11"/>
                <w:sz w:val="21"/>
                <w:szCs w:val="21"/>
              </w:rPr>
              <w:t>/L</w:t>
            </w:r>
            <w:r>
              <w:rPr>
                <w:color w:val="auto"/>
                <w:spacing w:val="11"/>
                <w:sz w:val="21"/>
                <w:szCs w:val="21"/>
              </w:rPr>
              <w:t>）</w:t>
            </w:r>
          </w:p>
        </w:tc>
        <w:tc>
          <w:tcPr>
            <w:tcW w:w="1783" w:type="dxa"/>
            <w:vAlign w:val="center"/>
          </w:tcPr>
          <w:p w14:paraId="49F01A8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≤0.002</w:t>
            </w:r>
          </w:p>
        </w:tc>
      </w:tr>
      <w:tr w14:paraId="742F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72D8A758">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6912598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氰化物（</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7490DF0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≤0.05</w:t>
            </w:r>
          </w:p>
        </w:tc>
      </w:tr>
      <w:tr w14:paraId="59CE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0FCC0DC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266F4EC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8"/>
                <w:sz w:val="21"/>
                <w:szCs w:val="21"/>
              </w:rPr>
              <w:t>总大肠菌群（</w:t>
            </w:r>
            <w:r>
              <w:rPr>
                <w:rFonts w:ascii="Times New Roman" w:hAnsi="Times New Roman" w:eastAsia="Times New Roman" w:cs="Times New Roman"/>
                <w:color w:val="auto"/>
                <w:sz w:val="21"/>
                <w:szCs w:val="21"/>
              </w:rPr>
              <w:t>MPN</w:t>
            </w:r>
            <w:r>
              <w:rPr>
                <w:rFonts w:ascii="Times New Roman" w:hAnsi="Times New Roman" w:eastAsia="Times New Roman" w:cs="Times New Roman"/>
                <w:color w:val="auto"/>
                <w:spacing w:val="8"/>
                <w:sz w:val="21"/>
                <w:szCs w:val="21"/>
              </w:rPr>
              <w:t>/100</w:t>
            </w:r>
            <w:r>
              <w:rPr>
                <w:rFonts w:ascii="Times New Roman" w:hAnsi="Times New Roman" w:eastAsia="Times New Roman" w:cs="Times New Roman"/>
                <w:color w:val="auto"/>
                <w:sz w:val="21"/>
                <w:szCs w:val="21"/>
              </w:rPr>
              <w:t>mL</w:t>
            </w:r>
            <w:r>
              <w:rPr>
                <w:color w:val="auto"/>
                <w:spacing w:val="8"/>
                <w:sz w:val="21"/>
                <w:szCs w:val="21"/>
              </w:rPr>
              <w:t>）</w:t>
            </w:r>
          </w:p>
        </w:tc>
        <w:tc>
          <w:tcPr>
            <w:tcW w:w="1783" w:type="dxa"/>
            <w:vAlign w:val="center"/>
          </w:tcPr>
          <w:p w14:paraId="5BCF759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≤3.0</w:t>
            </w:r>
          </w:p>
        </w:tc>
      </w:tr>
      <w:tr w14:paraId="316E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027A177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6A601C1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10"/>
                <w:sz w:val="21"/>
                <w:szCs w:val="21"/>
              </w:rPr>
              <w:t>菌落总数（</w:t>
            </w:r>
            <w:r>
              <w:rPr>
                <w:rFonts w:ascii="Times New Roman" w:hAnsi="Times New Roman" w:eastAsia="Times New Roman" w:cs="Times New Roman"/>
                <w:color w:val="auto"/>
                <w:sz w:val="21"/>
                <w:szCs w:val="21"/>
              </w:rPr>
              <w:t>CFU</w:t>
            </w:r>
            <w:r>
              <w:rPr>
                <w:rFonts w:ascii="Times New Roman" w:hAnsi="Times New Roman" w:eastAsia="Times New Roman" w:cs="Times New Roman"/>
                <w:color w:val="auto"/>
                <w:spacing w:val="10"/>
                <w:sz w:val="21"/>
                <w:szCs w:val="21"/>
              </w:rPr>
              <w:t>/</w:t>
            </w:r>
            <w:r>
              <w:rPr>
                <w:rFonts w:ascii="Times New Roman" w:hAnsi="Times New Roman" w:eastAsia="Times New Roman" w:cs="Times New Roman"/>
                <w:color w:val="auto"/>
                <w:sz w:val="21"/>
                <w:szCs w:val="21"/>
              </w:rPr>
              <w:t>mL</w:t>
            </w:r>
            <w:r>
              <w:rPr>
                <w:color w:val="auto"/>
                <w:spacing w:val="10"/>
                <w:sz w:val="21"/>
                <w:szCs w:val="21"/>
              </w:rPr>
              <w:t>）</w:t>
            </w:r>
          </w:p>
        </w:tc>
        <w:tc>
          <w:tcPr>
            <w:tcW w:w="1783" w:type="dxa"/>
            <w:vAlign w:val="center"/>
          </w:tcPr>
          <w:p w14:paraId="2274338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≤100</w:t>
            </w:r>
          </w:p>
        </w:tc>
      </w:tr>
      <w:tr w14:paraId="18C1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2E3C2DA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2786CAF1">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氨氮（</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6"/>
                <w:sz w:val="21"/>
                <w:szCs w:val="21"/>
              </w:rPr>
              <w:t>/L</w:t>
            </w:r>
            <w:r>
              <w:rPr>
                <w:color w:val="auto"/>
                <w:spacing w:val="6"/>
                <w:sz w:val="21"/>
                <w:szCs w:val="21"/>
              </w:rPr>
              <w:t>）</w:t>
            </w:r>
          </w:p>
        </w:tc>
        <w:tc>
          <w:tcPr>
            <w:tcW w:w="1783" w:type="dxa"/>
            <w:vAlign w:val="center"/>
          </w:tcPr>
          <w:p w14:paraId="0EC4EA5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≤0.5</w:t>
            </w:r>
          </w:p>
        </w:tc>
      </w:tr>
      <w:tr w14:paraId="33A7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36B4D7F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3C7F0B4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亚硝酸盐（</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1C8C559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≤1.0</w:t>
            </w:r>
          </w:p>
        </w:tc>
      </w:tr>
      <w:tr w14:paraId="14AA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545" w:type="dxa"/>
            <w:vMerge w:val="continue"/>
            <w:vAlign w:val="center"/>
          </w:tcPr>
          <w:p w14:paraId="1F15484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7A02F643">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硝酸盐（</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3BFA7C1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≤20.0</w:t>
            </w:r>
          </w:p>
        </w:tc>
      </w:tr>
      <w:tr w14:paraId="3598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trPr>
        <w:tc>
          <w:tcPr>
            <w:tcW w:w="2545" w:type="dxa"/>
            <w:vMerge w:val="continue"/>
            <w:vAlign w:val="center"/>
          </w:tcPr>
          <w:p w14:paraId="7E2969A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16B0AA9E">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氟化物（</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7"/>
                <w:sz w:val="21"/>
                <w:szCs w:val="21"/>
              </w:rPr>
              <w:t>/L</w:t>
            </w:r>
            <w:r>
              <w:rPr>
                <w:color w:val="auto"/>
                <w:spacing w:val="7"/>
                <w:sz w:val="21"/>
                <w:szCs w:val="21"/>
              </w:rPr>
              <w:t>）</w:t>
            </w:r>
          </w:p>
        </w:tc>
        <w:tc>
          <w:tcPr>
            <w:tcW w:w="1783" w:type="dxa"/>
            <w:vAlign w:val="center"/>
          </w:tcPr>
          <w:p w14:paraId="67F81AA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≤1.0</w:t>
            </w:r>
          </w:p>
        </w:tc>
      </w:tr>
      <w:tr w14:paraId="7953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545" w:type="dxa"/>
            <w:vMerge w:val="continue"/>
            <w:vAlign w:val="center"/>
          </w:tcPr>
          <w:p w14:paraId="5880E56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7E65CFBE">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11"/>
                <w:sz w:val="21"/>
                <w:szCs w:val="21"/>
              </w:rPr>
              <w:t>铬（六价</w:t>
            </w:r>
            <w:r>
              <w:rPr>
                <w:color w:val="auto"/>
                <w:spacing w:val="-4"/>
                <w:sz w:val="21"/>
                <w:szCs w:val="21"/>
              </w:rPr>
              <w:t>）（</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11"/>
                <w:sz w:val="21"/>
                <w:szCs w:val="21"/>
              </w:rPr>
              <w:t>/L</w:t>
            </w:r>
            <w:r>
              <w:rPr>
                <w:color w:val="auto"/>
                <w:spacing w:val="11"/>
                <w:sz w:val="21"/>
                <w:szCs w:val="21"/>
              </w:rPr>
              <w:t>）</w:t>
            </w:r>
          </w:p>
        </w:tc>
        <w:tc>
          <w:tcPr>
            <w:tcW w:w="1783" w:type="dxa"/>
            <w:vAlign w:val="center"/>
          </w:tcPr>
          <w:p w14:paraId="7A7492F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≤0.05</w:t>
            </w:r>
          </w:p>
        </w:tc>
      </w:tr>
      <w:tr w14:paraId="39FD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545" w:type="dxa"/>
            <w:vMerge w:val="continue"/>
            <w:vAlign w:val="center"/>
          </w:tcPr>
          <w:p w14:paraId="003ACC0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2FE4D9A8">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铅（</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6"/>
                <w:sz w:val="21"/>
                <w:szCs w:val="21"/>
              </w:rPr>
              <w:t>/L</w:t>
            </w:r>
            <w:r>
              <w:rPr>
                <w:color w:val="auto"/>
                <w:spacing w:val="6"/>
                <w:sz w:val="21"/>
                <w:szCs w:val="21"/>
              </w:rPr>
              <w:t>）</w:t>
            </w:r>
          </w:p>
        </w:tc>
        <w:tc>
          <w:tcPr>
            <w:tcW w:w="1783" w:type="dxa"/>
            <w:vAlign w:val="center"/>
          </w:tcPr>
          <w:p w14:paraId="62C76AD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≤0.01</w:t>
            </w:r>
          </w:p>
        </w:tc>
      </w:tr>
      <w:tr w14:paraId="2134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545" w:type="dxa"/>
            <w:vMerge w:val="continue"/>
            <w:vAlign w:val="center"/>
          </w:tcPr>
          <w:p w14:paraId="6C76B47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718F582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镉（</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6"/>
                <w:sz w:val="21"/>
                <w:szCs w:val="21"/>
              </w:rPr>
              <w:t>/L</w:t>
            </w:r>
            <w:r>
              <w:rPr>
                <w:color w:val="auto"/>
                <w:spacing w:val="6"/>
                <w:sz w:val="21"/>
                <w:szCs w:val="21"/>
              </w:rPr>
              <w:t>）</w:t>
            </w:r>
          </w:p>
        </w:tc>
        <w:tc>
          <w:tcPr>
            <w:tcW w:w="1783" w:type="dxa"/>
            <w:vAlign w:val="center"/>
          </w:tcPr>
          <w:p w14:paraId="6A7DA19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≤0.005</w:t>
            </w:r>
          </w:p>
        </w:tc>
      </w:tr>
      <w:tr w14:paraId="35BB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545" w:type="dxa"/>
            <w:vMerge w:val="continue"/>
            <w:vAlign w:val="center"/>
          </w:tcPr>
          <w:p w14:paraId="0FC69ED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5165E4D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5"/>
                <w:sz w:val="21"/>
                <w:szCs w:val="21"/>
              </w:rPr>
              <w:t>汞（</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5"/>
                <w:sz w:val="21"/>
                <w:szCs w:val="21"/>
              </w:rPr>
              <w:t>/L</w:t>
            </w:r>
            <w:r>
              <w:rPr>
                <w:color w:val="auto"/>
                <w:spacing w:val="5"/>
                <w:sz w:val="21"/>
                <w:szCs w:val="21"/>
              </w:rPr>
              <w:t>）</w:t>
            </w:r>
          </w:p>
        </w:tc>
        <w:tc>
          <w:tcPr>
            <w:tcW w:w="1783" w:type="dxa"/>
            <w:vAlign w:val="center"/>
          </w:tcPr>
          <w:p w14:paraId="17E7FE2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≤0.001</w:t>
            </w:r>
          </w:p>
        </w:tc>
      </w:tr>
      <w:tr w14:paraId="4730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545" w:type="dxa"/>
            <w:vMerge w:val="continue"/>
            <w:vAlign w:val="center"/>
          </w:tcPr>
          <w:p w14:paraId="5CB3CEA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75FB241A">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砷（</w:t>
            </w:r>
            <w:r>
              <w:rPr>
                <w:rFonts w:ascii="Times New Roman" w:hAnsi="Times New Roman" w:eastAsia="Times New Roman" w:cs="Times New Roman"/>
                <w:color w:val="auto"/>
                <w:sz w:val="21"/>
                <w:szCs w:val="21"/>
              </w:rPr>
              <w:t>mg</w:t>
            </w:r>
            <w:r>
              <w:rPr>
                <w:rFonts w:ascii="Times New Roman" w:hAnsi="Times New Roman" w:eastAsia="Times New Roman" w:cs="Times New Roman"/>
                <w:color w:val="auto"/>
                <w:spacing w:val="6"/>
                <w:sz w:val="21"/>
                <w:szCs w:val="21"/>
              </w:rPr>
              <w:t>/L</w:t>
            </w:r>
            <w:r>
              <w:rPr>
                <w:color w:val="auto"/>
                <w:spacing w:val="6"/>
                <w:sz w:val="21"/>
                <w:szCs w:val="21"/>
              </w:rPr>
              <w:t>）</w:t>
            </w:r>
          </w:p>
        </w:tc>
        <w:tc>
          <w:tcPr>
            <w:tcW w:w="1783" w:type="dxa"/>
            <w:vAlign w:val="center"/>
          </w:tcPr>
          <w:p w14:paraId="5CB921F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≤0.01</w:t>
            </w:r>
          </w:p>
        </w:tc>
      </w:tr>
      <w:tr w14:paraId="11E0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 w:hRule="atLeast"/>
        </w:trPr>
        <w:tc>
          <w:tcPr>
            <w:tcW w:w="2545" w:type="dxa"/>
            <w:vMerge w:val="continue"/>
            <w:vAlign w:val="center"/>
          </w:tcPr>
          <w:p w14:paraId="7F81624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szCs w:val="21"/>
              </w:rPr>
            </w:pPr>
          </w:p>
        </w:tc>
        <w:tc>
          <w:tcPr>
            <w:tcW w:w="3930" w:type="dxa"/>
            <w:vAlign w:val="center"/>
          </w:tcPr>
          <w:p w14:paraId="03CE8A0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1"/>
                <w:sz w:val="21"/>
                <w:szCs w:val="21"/>
              </w:rPr>
              <w:t>钠</w:t>
            </w:r>
          </w:p>
        </w:tc>
        <w:tc>
          <w:tcPr>
            <w:tcW w:w="1783" w:type="dxa"/>
            <w:vAlign w:val="center"/>
          </w:tcPr>
          <w:p w14:paraId="7A866E8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≤200</w:t>
            </w:r>
          </w:p>
        </w:tc>
      </w:tr>
    </w:tbl>
    <w:p w14:paraId="5E4A5325">
      <w:pPr>
        <w:pStyle w:val="9"/>
        <w:keepNext w:val="0"/>
        <w:keepLines w:val="0"/>
        <w:pageBreakBefore w:val="0"/>
        <w:widowControl/>
        <w:kinsoku/>
        <w:wordWrap/>
        <w:overflowPunct/>
        <w:topLinePunct w:val="0"/>
        <w:autoSpaceDE w:val="0"/>
        <w:autoSpaceDN w:val="0"/>
        <w:bidi w:val="0"/>
        <w:adjustRightInd w:val="0"/>
        <w:snapToGrid w:val="0"/>
        <w:spacing w:before="115" w:line="360" w:lineRule="auto"/>
        <w:ind w:left="666"/>
        <w:textAlignment w:val="baseline"/>
        <w:rPr>
          <w:color w:val="auto"/>
        </w:rPr>
      </w:pPr>
      <w:r>
        <w:rPr>
          <w:b/>
          <w:bCs/>
          <w:color w:val="auto"/>
          <w:spacing w:val="-4"/>
        </w:rPr>
        <w:t>（</w:t>
      </w:r>
      <w:r>
        <w:rPr>
          <w:rFonts w:ascii="Times New Roman" w:hAnsi="Times New Roman" w:eastAsia="Times New Roman" w:cs="Times New Roman"/>
          <w:b/>
          <w:bCs/>
          <w:color w:val="auto"/>
          <w:spacing w:val="-4"/>
        </w:rPr>
        <w:t>4</w:t>
      </w:r>
      <w:r>
        <w:rPr>
          <w:b/>
          <w:bCs/>
          <w:color w:val="auto"/>
          <w:spacing w:val="-4"/>
        </w:rPr>
        <w:t>）声环境质量标准</w:t>
      </w:r>
    </w:p>
    <w:p w14:paraId="44E5E003">
      <w:pPr>
        <w:pStyle w:val="9"/>
        <w:keepNext w:val="0"/>
        <w:keepLines w:val="0"/>
        <w:pageBreakBefore w:val="0"/>
        <w:widowControl/>
        <w:kinsoku/>
        <w:wordWrap/>
        <w:overflowPunct/>
        <w:topLinePunct w:val="0"/>
        <w:autoSpaceDE w:val="0"/>
        <w:autoSpaceDN w:val="0"/>
        <w:bidi w:val="0"/>
        <w:adjustRightInd w:val="0"/>
        <w:snapToGrid w:val="0"/>
        <w:spacing w:before="4" w:line="360" w:lineRule="auto"/>
        <w:ind w:left="176" w:right="164" w:firstLine="482"/>
        <w:jc w:val="both"/>
        <w:textAlignment w:val="baseline"/>
        <w:rPr>
          <w:color w:val="auto"/>
        </w:rPr>
      </w:pPr>
      <w:r>
        <w:rPr>
          <w:rFonts w:hint="default" w:ascii="Times New Roman" w:hAnsi="Times New Roman" w:cs="Times New Roman"/>
          <w:color w:val="auto"/>
          <w:sz w:val="24"/>
        </w:rPr>
        <w:t>本项</w:t>
      </w:r>
      <w:r>
        <w:rPr>
          <w:rFonts w:hint="default" w:ascii="Times New Roman" w:hAnsi="Times New Roman" w:eastAsia="宋体" w:cs="Times New Roman"/>
          <w:color w:val="auto"/>
          <w:sz w:val="24"/>
        </w:rPr>
        <w:t>目位于</w:t>
      </w:r>
      <w:r>
        <w:rPr>
          <w:rFonts w:hint="default" w:ascii="Times New Roman" w:hAnsi="Times New Roman" w:eastAsia="宋体" w:cs="Times New Roman"/>
          <w:color w:val="auto"/>
          <w:sz w:val="24"/>
          <w:lang w:val="en-US" w:eastAsia="zh-CN"/>
        </w:rPr>
        <w:t>曲靖市高新技术产业开发区花山片区，根据</w:t>
      </w:r>
      <w:r>
        <w:rPr>
          <w:rFonts w:hint="default" w:ascii="Times New Roman" w:hAnsi="Times New Roman" w:eastAsia="宋体" w:cs="Times New Roman"/>
          <w:color w:val="auto"/>
          <w:sz w:val="24"/>
          <w:szCs w:val="24"/>
          <w:lang w:val="en-US" w:eastAsia="zh-CN"/>
        </w:rPr>
        <w:t>《曲靖高新技术产业开发区总体规划（2023</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2035年）环境影响报告书》</w:t>
      </w:r>
      <w:r>
        <w:rPr>
          <w:rFonts w:hint="default" w:ascii="Times New Roman" w:hAnsi="Times New Roman" w:cs="Times New Roman"/>
          <w:color w:val="auto"/>
          <w:sz w:val="24"/>
        </w:rPr>
        <w:t>，</w:t>
      </w:r>
      <w:r>
        <w:rPr>
          <w:rFonts w:hint="default" w:ascii="Times New Roman" w:hAnsi="Times New Roman" w:eastAsia="宋体" w:cs="Times New Roman"/>
          <w:color w:val="auto"/>
          <w:sz w:val="24"/>
          <w:lang w:val="en-US" w:eastAsia="zh-CN"/>
        </w:rPr>
        <w:t>声环境功能区划为3类区</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属于3类区</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项目区</w:t>
      </w:r>
      <w:r>
        <w:rPr>
          <w:rFonts w:hint="default" w:ascii="Times New Roman" w:hAnsi="Times New Roman" w:eastAsia="宋体" w:cs="Times New Roman"/>
          <w:color w:val="auto"/>
          <w:sz w:val="24"/>
          <w:lang w:val="en-US" w:eastAsia="zh-CN"/>
        </w:rPr>
        <w:t>执行《声环境质量标准》（GB3096-2008）3类标准。</w:t>
      </w:r>
    </w:p>
    <w:p w14:paraId="30B3BE8F">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声环境质量标准限值    单位：dB（A）</w:t>
      </w:r>
    </w:p>
    <w:tbl>
      <w:tblPr>
        <w:tblStyle w:val="26"/>
        <w:tblW w:w="84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5"/>
        <w:gridCol w:w="2117"/>
        <w:gridCol w:w="2900"/>
        <w:gridCol w:w="2116"/>
      </w:tblGrid>
      <w:tr w14:paraId="76CEE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345" w:type="dxa"/>
            <w:vAlign w:val="center"/>
          </w:tcPr>
          <w:p w14:paraId="2CB438D7">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sz w:val="21"/>
                <w:szCs w:val="21"/>
              </w:rPr>
            </w:pPr>
            <w:r>
              <w:rPr>
                <w:b/>
                <w:bCs/>
                <w:color w:val="auto"/>
                <w:spacing w:val="0"/>
                <w:sz w:val="21"/>
                <w:szCs w:val="21"/>
              </w:rPr>
              <w:t>标准号</w:t>
            </w:r>
          </w:p>
        </w:tc>
        <w:tc>
          <w:tcPr>
            <w:tcW w:w="2117" w:type="dxa"/>
            <w:vAlign w:val="center"/>
          </w:tcPr>
          <w:p w14:paraId="7699E4BC">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sz w:val="21"/>
                <w:szCs w:val="21"/>
              </w:rPr>
            </w:pPr>
            <w:r>
              <w:rPr>
                <w:b/>
                <w:bCs/>
                <w:color w:val="auto"/>
                <w:spacing w:val="0"/>
                <w:sz w:val="21"/>
                <w:szCs w:val="21"/>
              </w:rPr>
              <w:t>标准名称</w:t>
            </w:r>
          </w:p>
        </w:tc>
        <w:tc>
          <w:tcPr>
            <w:tcW w:w="2900" w:type="dxa"/>
            <w:vAlign w:val="center"/>
          </w:tcPr>
          <w:p w14:paraId="02D83E7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sz w:val="21"/>
                <w:szCs w:val="21"/>
              </w:rPr>
            </w:pPr>
            <w:r>
              <w:rPr>
                <w:b/>
                <w:bCs/>
                <w:color w:val="auto"/>
                <w:spacing w:val="0"/>
                <w:sz w:val="21"/>
                <w:szCs w:val="21"/>
              </w:rPr>
              <w:t>标准值与等级</w:t>
            </w:r>
          </w:p>
        </w:tc>
        <w:tc>
          <w:tcPr>
            <w:tcW w:w="2116" w:type="dxa"/>
            <w:vAlign w:val="center"/>
          </w:tcPr>
          <w:p w14:paraId="0F4B11E2">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sz w:val="21"/>
                <w:szCs w:val="21"/>
              </w:rPr>
            </w:pPr>
            <w:r>
              <w:rPr>
                <w:b/>
                <w:bCs/>
                <w:color w:val="auto"/>
                <w:spacing w:val="0"/>
                <w:sz w:val="21"/>
                <w:szCs w:val="21"/>
              </w:rPr>
              <w:t>适用范围</w:t>
            </w:r>
          </w:p>
        </w:tc>
      </w:tr>
      <w:tr w14:paraId="18DA4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1345" w:type="dxa"/>
            <w:vAlign w:val="center"/>
          </w:tcPr>
          <w:p w14:paraId="4F86C9A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GB3096-2008</w:t>
            </w:r>
          </w:p>
        </w:tc>
        <w:tc>
          <w:tcPr>
            <w:tcW w:w="2117" w:type="dxa"/>
            <w:vAlign w:val="center"/>
          </w:tcPr>
          <w:p w14:paraId="122325FA">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sz w:val="21"/>
                <w:szCs w:val="21"/>
              </w:rPr>
            </w:pPr>
            <w:r>
              <w:rPr>
                <w:color w:val="auto"/>
                <w:spacing w:val="0"/>
                <w:sz w:val="21"/>
                <w:szCs w:val="21"/>
              </w:rPr>
              <w:t>《声环境质量标准》</w:t>
            </w:r>
          </w:p>
        </w:tc>
        <w:tc>
          <w:tcPr>
            <w:tcW w:w="2900" w:type="dxa"/>
            <w:vAlign w:val="center"/>
          </w:tcPr>
          <w:p w14:paraId="13E81657">
            <w:pPr>
              <w:pStyle w:val="27"/>
              <w:keepNext w:val="0"/>
              <w:keepLines w:val="0"/>
              <w:pageBreakBefore w:val="0"/>
              <w:widowControl/>
              <w:kinsoku/>
              <w:wordWrap/>
              <w:overflowPunct/>
              <w:topLinePunct w:val="0"/>
              <w:autoSpaceDE w:val="0"/>
              <w:autoSpaceDN w:val="0"/>
              <w:bidi w:val="0"/>
              <w:adjustRightInd/>
              <w:snapToGrid/>
              <w:spacing w:line="240" w:lineRule="auto"/>
              <w:ind w:left="0" w:right="143" w:hanging="43"/>
              <w:jc w:val="center"/>
              <w:textAlignment w:val="baseline"/>
              <w:rPr>
                <w:color w:val="auto"/>
                <w:spacing w:val="0"/>
                <w:sz w:val="21"/>
                <w:szCs w:val="21"/>
              </w:rPr>
            </w:pPr>
            <w:r>
              <w:rPr>
                <w:rFonts w:ascii="Times New Roman" w:hAnsi="Times New Roman" w:eastAsia="Times New Roman" w:cs="Times New Roman"/>
                <w:color w:val="auto"/>
                <w:spacing w:val="0"/>
                <w:sz w:val="21"/>
                <w:szCs w:val="21"/>
              </w:rPr>
              <w:t>3</w:t>
            </w:r>
            <w:r>
              <w:rPr>
                <w:color w:val="auto"/>
                <w:spacing w:val="0"/>
                <w:sz w:val="21"/>
                <w:szCs w:val="21"/>
              </w:rPr>
              <w:t>类区标准值：昼间</w:t>
            </w:r>
            <w:r>
              <w:rPr>
                <w:rFonts w:ascii="Times New Roman" w:hAnsi="Times New Roman" w:eastAsia="Times New Roman" w:cs="Times New Roman"/>
                <w:color w:val="auto"/>
                <w:spacing w:val="0"/>
                <w:sz w:val="21"/>
                <w:szCs w:val="21"/>
              </w:rPr>
              <w:t>65dB</w:t>
            </w:r>
            <w:r>
              <w:rPr>
                <w:color w:val="auto"/>
                <w:spacing w:val="0"/>
                <w:sz w:val="21"/>
                <w:szCs w:val="21"/>
              </w:rPr>
              <w:t>（</w:t>
            </w:r>
            <w:r>
              <w:rPr>
                <w:rFonts w:ascii="Times New Roman" w:hAnsi="Times New Roman" w:eastAsia="Times New Roman" w:cs="Times New Roman"/>
                <w:color w:val="auto"/>
                <w:spacing w:val="0"/>
                <w:sz w:val="21"/>
                <w:szCs w:val="21"/>
              </w:rPr>
              <w:t>A</w:t>
            </w:r>
            <w:r>
              <w:rPr>
                <w:color w:val="auto"/>
                <w:spacing w:val="0"/>
                <w:sz w:val="21"/>
                <w:szCs w:val="21"/>
              </w:rPr>
              <w:t>）、夜间</w:t>
            </w:r>
            <w:r>
              <w:rPr>
                <w:rFonts w:ascii="Times New Roman" w:hAnsi="Times New Roman" w:eastAsia="Times New Roman" w:cs="Times New Roman"/>
                <w:color w:val="auto"/>
                <w:spacing w:val="0"/>
                <w:sz w:val="21"/>
                <w:szCs w:val="21"/>
              </w:rPr>
              <w:t>55dB</w:t>
            </w:r>
            <w:r>
              <w:rPr>
                <w:color w:val="auto"/>
                <w:spacing w:val="0"/>
                <w:sz w:val="21"/>
                <w:szCs w:val="21"/>
              </w:rPr>
              <w:t>（</w:t>
            </w:r>
            <w:r>
              <w:rPr>
                <w:rFonts w:ascii="Times New Roman" w:hAnsi="Times New Roman" w:eastAsia="Times New Roman" w:cs="Times New Roman"/>
                <w:color w:val="auto"/>
                <w:spacing w:val="0"/>
                <w:sz w:val="21"/>
                <w:szCs w:val="21"/>
              </w:rPr>
              <w:t>A</w:t>
            </w:r>
            <w:r>
              <w:rPr>
                <w:color w:val="auto"/>
                <w:spacing w:val="0"/>
                <w:sz w:val="21"/>
                <w:szCs w:val="21"/>
              </w:rPr>
              <w:t>）</w:t>
            </w:r>
          </w:p>
        </w:tc>
        <w:tc>
          <w:tcPr>
            <w:tcW w:w="2116" w:type="dxa"/>
            <w:vAlign w:val="center"/>
          </w:tcPr>
          <w:p w14:paraId="125590C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0"/>
                <w:sz w:val="21"/>
                <w:szCs w:val="21"/>
              </w:rPr>
            </w:pPr>
            <w:r>
              <w:rPr>
                <w:color w:val="auto"/>
                <w:spacing w:val="0"/>
                <w:sz w:val="21"/>
                <w:szCs w:val="21"/>
              </w:rPr>
              <w:t>工业生产、仓储物流区域；</w:t>
            </w:r>
          </w:p>
        </w:tc>
      </w:tr>
    </w:tbl>
    <w:p w14:paraId="3D5E0E29">
      <w:pPr>
        <w:pStyle w:val="9"/>
        <w:keepNext w:val="0"/>
        <w:keepLines w:val="0"/>
        <w:pageBreakBefore w:val="0"/>
        <w:widowControl/>
        <w:kinsoku/>
        <w:wordWrap/>
        <w:overflowPunct/>
        <w:topLinePunct w:val="0"/>
        <w:autoSpaceDE w:val="0"/>
        <w:autoSpaceDN w:val="0"/>
        <w:bidi w:val="0"/>
        <w:adjustRightInd w:val="0"/>
        <w:snapToGrid w:val="0"/>
        <w:spacing w:before="4" w:line="360" w:lineRule="auto"/>
        <w:ind w:left="176" w:right="164" w:firstLine="482"/>
        <w:jc w:val="both"/>
        <w:textAlignment w:val="baseline"/>
        <w:rPr>
          <w:rFonts w:hint="default" w:ascii="Times New Roman" w:hAnsi="Times New Roman" w:cs="Times New Roman"/>
          <w:color w:val="auto"/>
          <w:sz w:val="24"/>
        </w:rPr>
      </w:pPr>
      <w:r>
        <w:rPr>
          <w:rFonts w:hint="default" w:ascii="Times New Roman" w:hAnsi="Times New Roman" w:cs="Times New Roman"/>
          <w:color w:val="auto"/>
          <w:sz w:val="24"/>
        </w:rPr>
        <w:t>（5）振动环境</w:t>
      </w:r>
    </w:p>
    <w:p w14:paraId="12C44A34">
      <w:pPr>
        <w:pStyle w:val="9"/>
        <w:keepNext w:val="0"/>
        <w:keepLines w:val="0"/>
        <w:pageBreakBefore w:val="0"/>
        <w:widowControl/>
        <w:kinsoku/>
        <w:wordWrap/>
        <w:overflowPunct/>
        <w:topLinePunct w:val="0"/>
        <w:autoSpaceDE w:val="0"/>
        <w:autoSpaceDN w:val="0"/>
        <w:bidi w:val="0"/>
        <w:adjustRightInd w:val="0"/>
        <w:snapToGrid w:val="0"/>
        <w:spacing w:before="4" w:line="360" w:lineRule="auto"/>
        <w:ind w:left="176" w:right="164" w:firstLine="482"/>
        <w:jc w:val="both"/>
        <w:textAlignment w:val="baseline"/>
        <w:rPr>
          <w:rFonts w:hint="default" w:ascii="Times New Roman" w:hAnsi="Times New Roman" w:cs="Times New Roman"/>
          <w:color w:val="auto"/>
          <w:sz w:val="24"/>
        </w:rPr>
      </w:pPr>
      <w:r>
        <w:rPr>
          <w:rFonts w:hint="default" w:ascii="Times New Roman" w:hAnsi="Times New Roman" w:cs="Times New Roman"/>
          <w:color w:val="auto"/>
          <w:sz w:val="24"/>
        </w:rPr>
        <w:t>振动环境现状评价按《城市区域环境振动标准》（GB10070-88）中标准执行，详见下表1.7-5。</w:t>
      </w:r>
    </w:p>
    <w:p w14:paraId="272813AD">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振动环境标准</w:t>
      </w:r>
    </w:p>
    <w:tbl>
      <w:tblPr>
        <w:tblStyle w:val="26"/>
        <w:tblW w:w="83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8"/>
        <w:gridCol w:w="1884"/>
        <w:gridCol w:w="1704"/>
        <w:gridCol w:w="3052"/>
      </w:tblGrid>
      <w:tr w14:paraId="6C087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718" w:type="dxa"/>
            <w:vAlign w:val="center"/>
          </w:tcPr>
          <w:p w14:paraId="7ED5290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0"/>
                <w:szCs w:val="20"/>
              </w:rPr>
            </w:pPr>
            <w:r>
              <w:rPr>
                <w:color w:val="auto"/>
                <w:spacing w:val="0"/>
                <w:sz w:val="20"/>
                <w:szCs w:val="20"/>
              </w:rPr>
              <w:t>适用范围</w:t>
            </w:r>
          </w:p>
        </w:tc>
        <w:tc>
          <w:tcPr>
            <w:tcW w:w="1884" w:type="dxa"/>
            <w:vAlign w:val="center"/>
          </w:tcPr>
          <w:p w14:paraId="690289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0"/>
                <w:szCs w:val="20"/>
              </w:rPr>
            </w:pPr>
            <w:r>
              <w:rPr>
                <w:color w:val="auto"/>
                <w:spacing w:val="0"/>
                <w:sz w:val="20"/>
                <w:szCs w:val="20"/>
              </w:rPr>
              <w:t>昼间</w:t>
            </w:r>
            <w:r>
              <w:rPr>
                <w:rFonts w:ascii="Times New Roman" w:hAnsi="Times New Roman" w:eastAsia="Times New Roman" w:cs="Times New Roman"/>
                <w:color w:val="auto"/>
                <w:spacing w:val="0"/>
                <w:sz w:val="20"/>
                <w:szCs w:val="20"/>
              </w:rPr>
              <w:t>dB</w:t>
            </w:r>
            <w:r>
              <w:rPr>
                <w:color w:val="auto"/>
                <w:spacing w:val="0"/>
                <w:sz w:val="20"/>
                <w:szCs w:val="20"/>
              </w:rPr>
              <w:t>（</w:t>
            </w:r>
            <w:r>
              <w:rPr>
                <w:rFonts w:ascii="Times New Roman" w:hAnsi="Times New Roman" w:eastAsia="Times New Roman" w:cs="Times New Roman"/>
                <w:color w:val="auto"/>
                <w:spacing w:val="0"/>
                <w:sz w:val="20"/>
                <w:szCs w:val="20"/>
              </w:rPr>
              <w:t>A</w:t>
            </w:r>
            <w:r>
              <w:rPr>
                <w:color w:val="auto"/>
                <w:spacing w:val="0"/>
                <w:sz w:val="20"/>
                <w:szCs w:val="20"/>
              </w:rPr>
              <w:t>）</w:t>
            </w:r>
          </w:p>
        </w:tc>
        <w:tc>
          <w:tcPr>
            <w:tcW w:w="1704" w:type="dxa"/>
            <w:vAlign w:val="center"/>
          </w:tcPr>
          <w:p w14:paraId="3E63808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0"/>
                <w:szCs w:val="20"/>
              </w:rPr>
            </w:pPr>
            <w:r>
              <w:rPr>
                <w:color w:val="auto"/>
                <w:spacing w:val="0"/>
                <w:sz w:val="20"/>
                <w:szCs w:val="20"/>
              </w:rPr>
              <w:t>夜间</w:t>
            </w:r>
            <w:r>
              <w:rPr>
                <w:rFonts w:ascii="Times New Roman" w:hAnsi="Times New Roman" w:eastAsia="Times New Roman" w:cs="Times New Roman"/>
                <w:color w:val="auto"/>
                <w:spacing w:val="0"/>
                <w:sz w:val="20"/>
                <w:szCs w:val="20"/>
              </w:rPr>
              <w:t>dB</w:t>
            </w:r>
            <w:r>
              <w:rPr>
                <w:color w:val="auto"/>
                <w:spacing w:val="0"/>
                <w:sz w:val="20"/>
                <w:szCs w:val="20"/>
              </w:rPr>
              <w:t>（</w:t>
            </w:r>
            <w:r>
              <w:rPr>
                <w:rFonts w:ascii="Times New Roman" w:hAnsi="Times New Roman" w:eastAsia="Times New Roman" w:cs="Times New Roman"/>
                <w:color w:val="auto"/>
                <w:spacing w:val="0"/>
                <w:sz w:val="20"/>
                <w:szCs w:val="20"/>
              </w:rPr>
              <w:t>A</w:t>
            </w:r>
            <w:r>
              <w:rPr>
                <w:color w:val="auto"/>
                <w:spacing w:val="0"/>
                <w:sz w:val="20"/>
                <w:szCs w:val="20"/>
              </w:rPr>
              <w:t>）</w:t>
            </w:r>
          </w:p>
        </w:tc>
        <w:tc>
          <w:tcPr>
            <w:tcW w:w="3052" w:type="dxa"/>
            <w:vAlign w:val="center"/>
          </w:tcPr>
          <w:p w14:paraId="5DF9987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0"/>
                <w:szCs w:val="20"/>
              </w:rPr>
            </w:pPr>
            <w:r>
              <w:rPr>
                <w:color w:val="auto"/>
                <w:spacing w:val="0"/>
                <w:sz w:val="20"/>
                <w:szCs w:val="20"/>
              </w:rPr>
              <w:t>标准选取说明</w:t>
            </w:r>
          </w:p>
        </w:tc>
      </w:tr>
      <w:tr w14:paraId="4E4C6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718" w:type="dxa"/>
            <w:vAlign w:val="center"/>
          </w:tcPr>
          <w:p w14:paraId="04490A5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eastAsia="宋体"/>
                <w:color w:val="auto"/>
                <w:spacing w:val="0"/>
                <w:sz w:val="20"/>
                <w:szCs w:val="20"/>
                <w:lang w:val="en-US" w:eastAsia="zh-CN"/>
              </w:rPr>
            </w:pPr>
            <w:r>
              <w:rPr>
                <w:rFonts w:hint="eastAsia"/>
                <w:color w:val="auto"/>
                <w:spacing w:val="0"/>
                <w:sz w:val="20"/>
                <w:szCs w:val="20"/>
                <w:lang w:val="en-US" w:eastAsia="zh-CN"/>
              </w:rPr>
              <w:t>工业集中区</w:t>
            </w:r>
          </w:p>
        </w:tc>
        <w:tc>
          <w:tcPr>
            <w:tcW w:w="1884" w:type="dxa"/>
            <w:vAlign w:val="center"/>
          </w:tcPr>
          <w:p w14:paraId="28F9FBF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75</w:t>
            </w:r>
          </w:p>
        </w:tc>
        <w:tc>
          <w:tcPr>
            <w:tcW w:w="1704" w:type="dxa"/>
            <w:vAlign w:val="center"/>
          </w:tcPr>
          <w:p w14:paraId="1B22497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72</w:t>
            </w:r>
          </w:p>
        </w:tc>
        <w:tc>
          <w:tcPr>
            <w:tcW w:w="3052" w:type="dxa"/>
            <w:vAlign w:val="center"/>
          </w:tcPr>
          <w:p w14:paraId="70B90F1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eastAsia="宋体"/>
                <w:color w:val="auto"/>
                <w:spacing w:val="0"/>
                <w:sz w:val="20"/>
                <w:szCs w:val="20"/>
                <w:lang w:val="en-US" w:eastAsia="zh-CN"/>
              </w:rPr>
            </w:pPr>
            <w:r>
              <w:rPr>
                <w:rFonts w:hint="eastAsia"/>
                <w:color w:val="auto"/>
                <w:spacing w:val="0"/>
                <w:sz w:val="20"/>
                <w:szCs w:val="20"/>
                <w:lang w:val="en-US" w:eastAsia="zh-CN"/>
              </w:rPr>
              <w:t>规划明确确定的工业区</w:t>
            </w:r>
          </w:p>
        </w:tc>
      </w:tr>
    </w:tbl>
    <w:p w14:paraId="546B0A99">
      <w:pPr>
        <w:pStyle w:val="9"/>
        <w:keepNext w:val="0"/>
        <w:keepLines w:val="0"/>
        <w:pageBreakBefore w:val="0"/>
        <w:widowControl/>
        <w:kinsoku w:val="0"/>
        <w:wordWrap/>
        <w:overflowPunct/>
        <w:topLinePunct w:val="0"/>
        <w:autoSpaceDE w:val="0"/>
        <w:autoSpaceDN w:val="0"/>
        <w:bidi w:val="0"/>
        <w:adjustRightInd w:val="0"/>
        <w:snapToGrid w:val="0"/>
        <w:spacing w:before="92" w:line="360" w:lineRule="auto"/>
        <w:ind w:left="130"/>
        <w:textAlignment w:val="baseline"/>
        <w:outlineLvl w:val="2"/>
        <w:rPr>
          <w:rFonts w:ascii="Times New Roman" w:hAnsi="Times New Roman" w:eastAsia="Times New Roman" w:cs="Times New Roman"/>
          <w:b/>
          <w:bCs/>
          <w:color w:val="auto"/>
          <w:spacing w:val="-3"/>
          <w:sz w:val="28"/>
          <w:szCs w:val="28"/>
        </w:rPr>
      </w:pPr>
      <w:bookmarkStart w:id="63" w:name="_Toc25119"/>
      <w:r>
        <w:rPr>
          <w:rFonts w:ascii="Times New Roman" w:hAnsi="Times New Roman" w:eastAsia="Times New Roman" w:cs="Times New Roman"/>
          <w:b/>
          <w:bCs/>
          <w:color w:val="auto"/>
          <w:spacing w:val="-3"/>
          <w:sz w:val="28"/>
          <w:szCs w:val="28"/>
        </w:rPr>
        <w:t>1.7.2 污染物排放标准</w:t>
      </w:r>
      <w:bookmarkEnd w:id="63"/>
    </w:p>
    <w:p w14:paraId="40C3C47D">
      <w:pPr>
        <w:pStyle w:val="9"/>
        <w:keepNext w:val="0"/>
        <w:keepLines w:val="0"/>
        <w:pageBreakBefore w:val="0"/>
        <w:widowControl/>
        <w:kinsoku w:val="0"/>
        <w:wordWrap/>
        <w:overflowPunct/>
        <w:topLinePunct w:val="0"/>
        <w:autoSpaceDE w:val="0"/>
        <w:autoSpaceDN w:val="0"/>
        <w:bidi w:val="0"/>
        <w:adjustRightInd w:val="0"/>
        <w:snapToGrid w:val="0"/>
        <w:spacing w:before="233" w:line="360" w:lineRule="auto"/>
        <w:ind w:left="608"/>
        <w:textAlignment w:val="baseline"/>
        <w:rPr>
          <w:color w:val="auto"/>
          <w:sz w:val="24"/>
          <w:szCs w:val="24"/>
        </w:rPr>
      </w:pPr>
      <w:r>
        <w:rPr>
          <w:rFonts w:ascii="Times New Roman" w:hAnsi="Times New Roman" w:eastAsia="Times New Roman" w:cs="Times New Roman"/>
          <w:b/>
          <w:bCs/>
          <w:color w:val="auto"/>
          <w:spacing w:val="-6"/>
          <w:sz w:val="24"/>
          <w:szCs w:val="24"/>
        </w:rPr>
        <w:t>1</w:t>
      </w:r>
      <w:r>
        <w:rPr>
          <w:b/>
          <w:bCs/>
          <w:color w:val="auto"/>
          <w:spacing w:val="-6"/>
          <w:sz w:val="24"/>
          <w:szCs w:val="24"/>
        </w:rPr>
        <w:t>、大气污染物排放标准</w:t>
      </w:r>
    </w:p>
    <w:p w14:paraId="4B110A77">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1</w:t>
      </w:r>
      <w:r>
        <w:rPr>
          <w:color w:val="auto"/>
          <w:spacing w:val="-3"/>
          <w:sz w:val="24"/>
          <w:szCs w:val="24"/>
        </w:rPr>
        <w:t>）施工期：</w:t>
      </w:r>
    </w:p>
    <w:p w14:paraId="7C38D5F9">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2" w:firstLineChars="200"/>
        <w:jc w:val="both"/>
        <w:textAlignment w:val="baseline"/>
        <w:rPr>
          <w:color w:val="auto"/>
          <w:sz w:val="24"/>
          <w:szCs w:val="24"/>
        </w:rPr>
      </w:pPr>
      <w:r>
        <w:rPr>
          <w:color w:val="auto"/>
          <w:spacing w:val="-2"/>
          <w:sz w:val="24"/>
          <w:szCs w:val="24"/>
        </w:rPr>
        <w:t>项目施工期粉尘排放均执行《大气污染物综合排放标准》</w:t>
      </w:r>
      <w:r>
        <w:rPr>
          <w:color w:val="auto"/>
          <w:spacing w:val="-3"/>
          <w:sz w:val="24"/>
          <w:szCs w:val="24"/>
        </w:rPr>
        <w:t>（</w:t>
      </w:r>
      <w:r>
        <w:rPr>
          <w:rFonts w:ascii="Times New Roman" w:hAnsi="Times New Roman" w:eastAsia="Times New Roman" w:cs="Times New Roman"/>
          <w:color w:val="auto"/>
          <w:spacing w:val="-3"/>
          <w:sz w:val="24"/>
          <w:szCs w:val="24"/>
        </w:rPr>
        <w:t>GB16297-</w:t>
      </w:r>
      <w:r>
        <w:rPr>
          <w:rFonts w:ascii="Times New Roman" w:hAnsi="Times New Roman" w:eastAsia="Times New Roman" w:cs="Times New Roman"/>
          <w:color w:val="auto"/>
          <w:spacing w:val="-30"/>
          <w:sz w:val="24"/>
          <w:szCs w:val="24"/>
        </w:rPr>
        <w:t xml:space="preserve"> </w:t>
      </w:r>
      <w:r>
        <w:rPr>
          <w:rFonts w:ascii="Times New Roman" w:hAnsi="Times New Roman" w:eastAsia="Times New Roman" w:cs="Times New Roman"/>
          <w:color w:val="auto"/>
          <w:spacing w:val="-3"/>
          <w:sz w:val="24"/>
          <w:szCs w:val="24"/>
        </w:rPr>
        <w:t>1996</w:t>
      </w:r>
      <w:r>
        <w:rPr>
          <w:color w:val="auto"/>
          <w:spacing w:val="-3"/>
          <w:sz w:val="24"/>
          <w:szCs w:val="24"/>
        </w:rPr>
        <w:t>）</w:t>
      </w:r>
      <w:r>
        <w:rPr>
          <w:color w:val="auto"/>
          <w:spacing w:val="15"/>
          <w:sz w:val="24"/>
          <w:szCs w:val="24"/>
        </w:rPr>
        <w:t>表</w:t>
      </w:r>
      <w:r>
        <w:rPr>
          <w:rFonts w:ascii="Times New Roman" w:hAnsi="Times New Roman" w:eastAsia="Times New Roman" w:cs="Times New Roman"/>
          <w:color w:val="auto"/>
          <w:spacing w:val="15"/>
          <w:sz w:val="24"/>
          <w:szCs w:val="24"/>
        </w:rPr>
        <w:t>2</w:t>
      </w:r>
      <w:r>
        <w:rPr>
          <w:color w:val="auto"/>
          <w:spacing w:val="15"/>
          <w:sz w:val="24"/>
          <w:szCs w:val="24"/>
        </w:rPr>
        <w:t>中无组织排放监控浓度限值标准</w:t>
      </w:r>
      <w:r>
        <w:rPr>
          <w:rFonts w:hint="eastAsia" w:eastAsia="宋体"/>
          <w:color w:val="auto"/>
          <w:spacing w:val="-70"/>
          <w:sz w:val="24"/>
          <w:szCs w:val="24"/>
          <w:lang w:eastAsia="zh-CN"/>
        </w:rPr>
        <w:t>，</w:t>
      </w:r>
      <w:r>
        <w:rPr>
          <w:color w:val="auto"/>
          <w:spacing w:val="15"/>
          <w:sz w:val="24"/>
          <w:szCs w:val="24"/>
        </w:rPr>
        <w:t>即周界外无组织排放监控浓度限值</w:t>
      </w:r>
      <w:r>
        <w:rPr>
          <w:rFonts w:ascii="Times New Roman" w:hAnsi="Times New Roman" w:eastAsia="Times New Roman" w:cs="Times New Roman"/>
          <w:color w:val="auto"/>
          <w:spacing w:val="-1"/>
          <w:sz w:val="24"/>
          <w:szCs w:val="24"/>
        </w:rPr>
        <w:t>≤1.0mg/m³</w:t>
      </w:r>
      <w:r>
        <w:rPr>
          <w:color w:val="auto"/>
          <w:spacing w:val="-1"/>
          <w:sz w:val="24"/>
          <w:szCs w:val="24"/>
        </w:rPr>
        <w:t>。</w:t>
      </w:r>
    </w:p>
    <w:p w14:paraId="05D277D6">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2</w:t>
      </w:r>
      <w:r>
        <w:rPr>
          <w:color w:val="auto"/>
          <w:spacing w:val="-3"/>
          <w:sz w:val="24"/>
          <w:szCs w:val="24"/>
        </w:rPr>
        <w:t>）运营期：</w:t>
      </w:r>
    </w:p>
    <w:p w14:paraId="23486D05">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4" w:firstLineChars="200"/>
        <w:textAlignment w:val="baseline"/>
        <w:rPr>
          <w:color w:val="auto"/>
          <w:sz w:val="24"/>
          <w:szCs w:val="24"/>
        </w:rPr>
      </w:pPr>
      <w:r>
        <w:rPr>
          <w:color w:val="auto"/>
          <w:spacing w:val="1"/>
          <w:sz w:val="24"/>
          <w:szCs w:val="24"/>
        </w:rPr>
        <w:t>项目运营期废气排放执行《大气污染物综合排放标准》（</w:t>
      </w:r>
      <w:r>
        <w:rPr>
          <w:rFonts w:ascii="Times New Roman" w:hAnsi="Times New Roman" w:eastAsia="Times New Roman" w:cs="Times New Roman"/>
          <w:color w:val="auto"/>
          <w:sz w:val="24"/>
          <w:szCs w:val="24"/>
        </w:rPr>
        <w:t>GB</w:t>
      </w:r>
      <w:r>
        <w:rPr>
          <w:rFonts w:ascii="Times New Roman" w:hAnsi="Times New Roman" w:eastAsia="Times New Roman" w:cs="Times New Roman"/>
          <w:color w:val="auto"/>
          <w:spacing w:val="1"/>
          <w:sz w:val="24"/>
          <w:szCs w:val="24"/>
        </w:rPr>
        <w:t>16297-</w:t>
      </w:r>
      <w:r>
        <w:rPr>
          <w:rFonts w:ascii="Times New Roman" w:hAnsi="Times New Roman" w:eastAsia="Times New Roman" w:cs="Times New Roman"/>
          <w:color w:val="auto"/>
          <w:spacing w:val="-22"/>
          <w:sz w:val="24"/>
          <w:szCs w:val="24"/>
        </w:rPr>
        <w:t xml:space="preserve"> </w:t>
      </w:r>
      <w:r>
        <w:rPr>
          <w:rFonts w:ascii="Times New Roman" w:hAnsi="Times New Roman" w:eastAsia="Times New Roman" w:cs="Times New Roman"/>
          <w:color w:val="auto"/>
          <w:spacing w:val="1"/>
          <w:sz w:val="24"/>
          <w:szCs w:val="24"/>
        </w:rPr>
        <w:t>1996</w:t>
      </w:r>
      <w:r>
        <w:rPr>
          <w:color w:val="auto"/>
          <w:spacing w:val="1"/>
          <w:sz w:val="24"/>
          <w:szCs w:val="24"/>
        </w:rPr>
        <w:t>）</w:t>
      </w:r>
      <w:r>
        <w:rPr>
          <w:color w:val="auto"/>
          <w:spacing w:val="-3"/>
          <w:sz w:val="24"/>
          <w:szCs w:val="24"/>
        </w:rPr>
        <w:t>表</w:t>
      </w:r>
      <w:r>
        <w:rPr>
          <w:rFonts w:ascii="Times New Roman" w:hAnsi="Times New Roman" w:eastAsia="Times New Roman" w:cs="Times New Roman"/>
          <w:color w:val="auto"/>
          <w:spacing w:val="-3"/>
          <w:sz w:val="24"/>
          <w:szCs w:val="24"/>
        </w:rPr>
        <w:t>2</w:t>
      </w:r>
      <w:r>
        <w:rPr>
          <w:rFonts w:ascii="Times New Roman" w:hAnsi="Times New Roman" w:eastAsia="Times New Roman" w:cs="Times New Roman"/>
          <w:color w:val="auto"/>
          <w:spacing w:val="32"/>
          <w:sz w:val="24"/>
          <w:szCs w:val="24"/>
        </w:rPr>
        <w:t xml:space="preserve"> </w:t>
      </w:r>
      <w:r>
        <w:rPr>
          <w:color w:val="auto"/>
          <w:spacing w:val="-3"/>
          <w:sz w:val="24"/>
          <w:szCs w:val="24"/>
        </w:rPr>
        <w:t>中的无组织排放监控浓度限值，大气污染物排放标准值详见表</w:t>
      </w:r>
      <w:r>
        <w:rPr>
          <w:rFonts w:ascii="Times New Roman" w:hAnsi="Times New Roman" w:eastAsia="Times New Roman" w:cs="Times New Roman"/>
          <w:color w:val="auto"/>
          <w:spacing w:val="-3"/>
          <w:sz w:val="24"/>
          <w:szCs w:val="24"/>
        </w:rPr>
        <w:t>1.7</w:t>
      </w:r>
      <w:r>
        <w:rPr>
          <w:rFonts w:hint="eastAsia" w:ascii="Times New Roman" w:hAnsi="Times New Roman" w:eastAsia="宋体" w:cs="Times New Roman"/>
          <w:color w:val="auto"/>
          <w:spacing w:val="-3"/>
          <w:sz w:val="24"/>
          <w:szCs w:val="24"/>
          <w:lang w:val="en-US" w:eastAsia="zh-CN"/>
        </w:rPr>
        <w:t>-6</w:t>
      </w:r>
      <w:r>
        <w:rPr>
          <w:color w:val="auto"/>
          <w:spacing w:val="-3"/>
          <w:sz w:val="24"/>
          <w:szCs w:val="24"/>
        </w:rPr>
        <w:t>。</w:t>
      </w:r>
    </w:p>
    <w:p w14:paraId="433B8D02">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运营期大气污染物排放限值</w:t>
      </w:r>
    </w:p>
    <w:tbl>
      <w:tblPr>
        <w:tblStyle w:val="26"/>
        <w:tblW w:w="7799" w:type="dxa"/>
        <w:tblInd w:w="5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2"/>
        <w:gridCol w:w="3395"/>
        <w:gridCol w:w="2602"/>
      </w:tblGrid>
      <w:tr w14:paraId="796D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 w:hRule="atLeast"/>
        </w:trPr>
        <w:tc>
          <w:tcPr>
            <w:tcW w:w="1802" w:type="dxa"/>
            <w:vMerge w:val="restart"/>
            <w:vAlign w:val="center"/>
          </w:tcPr>
          <w:p w14:paraId="00B3050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7"/>
                <w:sz w:val="20"/>
                <w:szCs w:val="20"/>
              </w:rPr>
              <w:t>污染物名称</w:t>
            </w:r>
          </w:p>
        </w:tc>
        <w:tc>
          <w:tcPr>
            <w:tcW w:w="5997" w:type="dxa"/>
            <w:gridSpan w:val="2"/>
            <w:vAlign w:val="center"/>
          </w:tcPr>
          <w:p w14:paraId="3435EAD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9"/>
                <w:sz w:val="20"/>
                <w:szCs w:val="20"/>
              </w:rPr>
              <w:t>无组织排放监控浓度限值</w:t>
            </w:r>
          </w:p>
        </w:tc>
      </w:tr>
      <w:tr w14:paraId="2EC6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trPr>
        <w:tc>
          <w:tcPr>
            <w:tcW w:w="1802" w:type="dxa"/>
            <w:vMerge w:val="continue"/>
            <w:vAlign w:val="center"/>
          </w:tcPr>
          <w:p w14:paraId="081AA70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Arial"/>
                <w:color w:val="auto"/>
                <w:sz w:val="21"/>
              </w:rPr>
            </w:pPr>
          </w:p>
        </w:tc>
        <w:tc>
          <w:tcPr>
            <w:tcW w:w="3395" w:type="dxa"/>
            <w:vAlign w:val="center"/>
          </w:tcPr>
          <w:p w14:paraId="1F9D4C6E">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6"/>
                <w:sz w:val="20"/>
                <w:szCs w:val="20"/>
              </w:rPr>
              <w:t>监控点</w:t>
            </w:r>
          </w:p>
        </w:tc>
        <w:tc>
          <w:tcPr>
            <w:tcW w:w="2602" w:type="dxa"/>
            <w:vAlign w:val="center"/>
          </w:tcPr>
          <w:p w14:paraId="3E87F54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color w:val="auto"/>
                <w:spacing w:val="6"/>
                <w:sz w:val="20"/>
                <w:szCs w:val="20"/>
              </w:rPr>
              <w:t>浓度</w:t>
            </w:r>
            <w:r>
              <w:rPr>
                <w:rFonts w:ascii="Times New Roman" w:hAnsi="Times New Roman" w:eastAsia="Times New Roman" w:cs="Times New Roman"/>
                <w:color w:val="auto"/>
                <w:sz w:val="20"/>
                <w:szCs w:val="20"/>
              </w:rPr>
              <w:t>mg</w:t>
            </w:r>
            <w:r>
              <w:rPr>
                <w:rFonts w:ascii="Times New Roman" w:hAnsi="Times New Roman" w:eastAsia="Times New Roman" w:cs="Times New Roman"/>
                <w:color w:val="auto"/>
                <w:spacing w:val="6"/>
                <w:sz w:val="20"/>
                <w:szCs w:val="20"/>
              </w:rPr>
              <w:t>/m</w:t>
            </w:r>
            <w:r>
              <w:rPr>
                <w:rFonts w:ascii="Times New Roman" w:hAnsi="Times New Roman" w:eastAsia="Times New Roman" w:cs="Times New Roman"/>
                <w:color w:val="auto"/>
                <w:spacing w:val="6"/>
                <w:sz w:val="20"/>
                <w:szCs w:val="20"/>
                <w:vertAlign w:val="superscript"/>
              </w:rPr>
              <w:t>3</w:t>
            </w:r>
          </w:p>
        </w:tc>
      </w:tr>
      <w:tr w14:paraId="2E94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trPr>
        <w:tc>
          <w:tcPr>
            <w:tcW w:w="1802" w:type="dxa"/>
            <w:vAlign w:val="center"/>
          </w:tcPr>
          <w:p w14:paraId="2DACEE2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7"/>
                <w:sz w:val="20"/>
                <w:szCs w:val="20"/>
              </w:rPr>
              <w:t>颗粒物</w:t>
            </w:r>
          </w:p>
        </w:tc>
        <w:tc>
          <w:tcPr>
            <w:tcW w:w="3395" w:type="dxa"/>
            <w:vAlign w:val="center"/>
          </w:tcPr>
          <w:p w14:paraId="3166C17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8"/>
                <w:sz w:val="20"/>
                <w:szCs w:val="20"/>
              </w:rPr>
              <w:t>周界外浓度最高点</w:t>
            </w:r>
          </w:p>
        </w:tc>
        <w:tc>
          <w:tcPr>
            <w:tcW w:w="2602" w:type="dxa"/>
            <w:vAlign w:val="center"/>
          </w:tcPr>
          <w:p w14:paraId="63F5A6E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4"/>
                <w:sz w:val="20"/>
                <w:szCs w:val="20"/>
              </w:rPr>
              <w:t>1.0</w:t>
            </w:r>
          </w:p>
        </w:tc>
      </w:tr>
    </w:tbl>
    <w:p w14:paraId="476008DC">
      <w:pPr>
        <w:pStyle w:val="9"/>
        <w:spacing w:before="115" w:line="219" w:lineRule="auto"/>
        <w:ind w:left="692"/>
        <w:rPr>
          <w:color w:val="auto"/>
        </w:rPr>
      </w:pPr>
      <w:r>
        <w:rPr>
          <w:rFonts w:ascii="Times New Roman" w:hAnsi="Times New Roman" w:eastAsia="Times New Roman" w:cs="Times New Roman"/>
          <w:b/>
          <w:bCs/>
          <w:color w:val="auto"/>
          <w:spacing w:val="-5"/>
        </w:rPr>
        <w:t>2</w:t>
      </w:r>
      <w:r>
        <w:rPr>
          <w:rFonts w:ascii="Times New Roman" w:hAnsi="Times New Roman" w:eastAsia="Times New Roman" w:cs="Times New Roman"/>
          <w:b/>
          <w:bCs/>
          <w:color w:val="auto"/>
          <w:spacing w:val="-33"/>
        </w:rPr>
        <w:t xml:space="preserve"> </w:t>
      </w:r>
      <w:r>
        <w:rPr>
          <w:b/>
          <w:bCs/>
          <w:color w:val="auto"/>
          <w:spacing w:val="-5"/>
        </w:rPr>
        <w:t>、水污染物排放标准</w:t>
      </w:r>
    </w:p>
    <w:p w14:paraId="660706D5">
      <w:pPr>
        <w:pStyle w:val="9"/>
        <w:spacing w:before="182" w:line="220" w:lineRule="auto"/>
        <w:ind w:left="707"/>
        <w:rPr>
          <w:color w:val="auto"/>
          <w:sz w:val="24"/>
          <w:szCs w:val="24"/>
        </w:rPr>
      </w:pPr>
      <w:r>
        <w:rPr>
          <w:color w:val="auto"/>
          <w:spacing w:val="-4"/>
          <w:sz w:val="24"/>
          <w:szCs w:val="24"/>
        </w:rPr>
        <w:t>（</w:t>
      </w:r>
      <w:r>
        <w:rPr>
          <w:rFonts w:ascii="Times New Roman" w:hAnsi="Times New Roman" w:eastAsia="Times New Roman" w:cs="Times New Roman"/>
          <w:color w:val="auto"/>
          <w:spacing w:val="-4"/>
          <w:sz w:val="24"/>
          <w:szCs w:val="24"/>
        </w:rPr>
        <w:t>1</w:t>
      </w:r>
      <w:r>
        <w:rPr>
          <w:color w:val="auto"/>
          <w:spacing w:val="-4"/>
          <w:sz w:val="24"/>
          <w:szCs w:val="24"/>
        </w:rPr>
        <w:t>）施工期</w:t>
      </w:r>
    </w:p>
    <w:p w14:paraId="0A773910">
      <w:pPr>
        <w:pStyle w:val="9"/>
        <w:keepNext w:val="0"/>
        <w:keepLines w:val="0"/>
        <w:pageBreakBefore w:val="0"/>
        <w:widowControl/>
        <w:kinsoku w:val="0"/>
        <w:wordWrap/>
        <w:overflowPunct/>
        <w:topLinePunct w:val="0"/>
        <w:autoSpaceDE w:val="0"/>
        <w:autoSpaceDN w:val="0"/>
        <w:bidi w:val="0"/>
        <w:adjustRightInd w:val="0"/>
        <w:snapToGrid w:val="0"/>
        <w:spacing w:before="181" w:line="360" w:lineRule="auto"/>
        <w:ind w:left="217" w:right="187" w:firstLine="481"/>
        <w:textAlignment w:val="baseline"/>
        <w:rPr>
          <w:color w:val="auto"/>
          <w:sz w:val="24"/>
          <w:szCs w:val="24"/>
        </w:rPr>
      </w:pPr>
      <w:r>
        <w:rPr>
          <w:rFonts w:hint="default" w:ascii="Times New Roman" w:hAnsi="Times New Roman" w:cs="Times New Roman"/>
          <w:color w:val="auto"/>
          <w:sz w:val="24"/>
          <w:szCs w:val="24"/>
          <w:highlight w:val="none"/>
        </w:rPr>
        <w:t>本项目</w:t>
      </w:r>
      <w:r>
        <w:rPr>
          <w:rFonts w:hint="default" w:ascii="Times New Roman" w:hAnsi="Times New Roman" w:cs="Times New Roman"/>
          <w:color w:val="auto"/>
          <w:sz w:val="24"/>
          <w:szCs w:val="24"/>
        </w:rPr>
        <w:t>施工期</w:t>
      </w:r>
      <w:r>
        <w:rPr>
          <w:rFonts w:hint="default" w:ascii="Times New Roman" w:hAnsi="Times New Roman" w:cs="Times New Roman"/>
          <w:color w:val="auto"/>
          <w:sz w:val="24"/>
          <w:szCs w:val="24"/>
          <w:lang w:eastAsia="zh-CN"/>
        </w:rPr>
        <w:t>施工废水和施工人员生活废水产生量较少，</w:t>
      </w:r>
      <w:r>
        <w:rPr>
          <w:rFonts w:hint="default" w:ascii="Times New Roman" w:hAnsi="Times New Roman" w:cs="Times New Roman"/>
          <w:color w:val="auto"/>
          <w:sz w:val="24"/>
          <w:szCs w:val="24"/>
          <w:highlight w:val="none"/>
          <w:lang w:eastAsia="zh-CN"/>
        </w:rPr>
        <w:t>经临时沉淀池处理后</w:t>
      </w:r>
      <w:r>
        <w:rPr>
          <w:rFonts w:hint="default" w:ascii="Times New Roman" w:hAnsi="Times New Roman" w:cs="Times New Roman"/>
          <w:color w:val="auto"/>
          <w:sz w:val="24"/>
          <w:szCs w:val="24"/>
          <w:highlight w:val="none"/>
        </w:rPr>
        <w:t>全部回用于施工场地洒水降尘，不外排</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施工期地表径流</w:t>
      </w:r>
      <w:r>
        <w:rPr>
          <w:rFonts w:hint="default" w:ascii="Times New Roman" w:hAnsi="Times New Roman" w:cs="Times New Roman"/>
          <w:color w:val="auto"/>
          <w:sz w:val="24"/>
          <w:szCs w:val="24"/>
          <w:highlight w:val="none"/>
          <w:lang w:eastAsia="zh-CN"/>
        </w:rPr>
        <w:t>经临时</w:t>
      </w:r>
      <w:r>
        <w:rPr>
          <w:rFonts w:hint="eastAsia" w:cs="Times New Roman"/>
          <w:color w:val="auto"/>
          <w:sz w:val="24"/>
          <w:szCs w:val="24"/>
          <w:highlight w:val="none"/>
          <w:lang w:val="en-US" w:eastAsia="zh-CN"/>
        </w:rPr>
        <w:t>雨水</w:t>
      </w:r>
      <w:r>
        <w:rPr>
          <w:rFonts w:hint="default" w:ascii="Times New Roman" w:hAnsi="Times New Roman" w:cs="Times New Roman"/>
          <w:color w:val="auto"/>
          <w:sz w:val="24"/>
          <w:szCs w:val="24"/>
          <w:highlight w:val="none"/>
          <w:lang w:eastAsia="zh-CN"/>
        </w:rPr>
        <w:t>沉淀池处理后</w:t>
      </w:r>
      <w:r>
        <w:rPr>
          <w:rFonts w:hint="default" w:ascii="Times New Roman" w:hAnsi="Times New Roman" w:cs="Times New Roman"/>
          <w:color w:val="auto"/>
          <w:sz w:val="24"/>
          <w:szCs w:val="24"/>
          <w:highlight w:val="none"/>
        </w:rPr>
        <w:t>全部回用于施工场地洒水降尘，不外排</w:t>
      </w:r>
      <w:r>
        <w:rPr>
          <w:rFonts w:hint="default" w:ascii="Times New Roman" w:hAnsi="Times New Roman" w:cs="Times New Roman"/>
          <w:color w:val="auto"/>
          <w:sz w:val="24"/>
          <w:szCs w:val="24"/>
        </w:rPr>
        <w:t>。</w:t>
      </w:r>
    </w:p>
    <w:p w14:paraId="65BE15D0">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707"/>
        <w:textAlignment w:val="baseline"/>
        <w:rPr>
          <w:color w:val="auto"/>
          <w:sz w:val="24"/>
          <w:szCs w:val="24"/>
        </w:rPr>
      </w:pPr>
      <w:r>
        <w:rPr>
          <w:color w:val="auto"/>
          <w:spacing w:val="-4"/>
          <w:sz w:val="24"/>
          <w:szCs w:val="24"/>
        </w:rPr>
        <w:t>（</w:t>
      </w:r>
      <w:r>
        <w:rPr>
          <w:rFonts w:ascii="Times New Roman" w:hAnsi="Times New Roman" w:eastAsia="Times New Roman" w:cs="Times New Roman"/>
          <w:color w:val="auto"/>
          <w:spacing w:val="-4"/>
          <w:sz w:val="24"/>
          <w:szCs w:val="24"/>
        </w:rPr>
        <w:t>2</w:t>
      </w:r>
      <w:r>
        <w:rPr>
          <w:color w:val="auto"/>
          <w:spacing w:val="-4"/>
          <w:sz w:val="24"/>
          <w:szCs w:val="24"/>
        </w:rPr>
        <w:t>）运营期</w:t>
      </w:r>
    </w:p>
    <w:p w14:paraId="25E5115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cs="Times New Roman"/>
          <w:b w:val="0"/>
          <w:bCs w:val="0"/>
          <w:color w:val="auto"/>
          <w:sz w:val="24"/>
          <w:szCs w:val="24"/>
          <w:lang w:val="en-US" w:eastAsia="zh-CN"/>
        </w:rPr>
      </w:pPr>
      <w:r>
        <w:rPr>
          <w:rFonts w:hint="eastAsia" w:cs="Times New Roman"/>
          <w:color w:val="auto"/>
          <w:sz w:val="24"/>
          <w:szCs w:val="24"/>
          <w:lang w:val="en-US" w:eastAsia="zh-CN"/>
        </w:rPr>
        <w:t>运营期</w:t>
      </w:r>
      <w:r>
        <w:rPr>
          <w:rFonts w:hint="default" w:ascii="Times New Roman" w:hAnsi="Times New Roman" w:eastAsia="宋体" w:cs="Times New Roman"/>
          <w:color w:val="auto"/>
          <w:sz w:val="24"/>
          <w:szCs w:val="24"/>
          <w:lang w:eastAsia="zh-CN"/>
        </w:rPr>
        <w:t>本</w:t>
      </w:r>
      <w:r>
        <w:rPr>
          <w:rFonts w:hint="default" w:ascii="Times New Roman" w:hAnsi="Times New Roman" w:eastAsia="宋体" w:cs="Times New Roman"/>
          <w:color w:val="auto"/>
          <w:sz w:val="24"/>
          <w:szCs w:val="24"/>
          <w:lang w:val="en-US" w:eastAsia="zh-CN"/>
        </w:rPr>
        <w:t>项目排水系统采用雨污分流制</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 1 \* GB3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①</w:t>
      </w:r>
      <w:r>
        <w:rPr>
          <w:rFonts w:hint="default" w:ascii="Times New Roman" w:hAnsi="Times New Roman" w:eastAsia="宋体" w:cs="Times New Roman"/>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前15分钟</w:t>
      </w:r>
      <w:r>
        <w:rPr>
          <w:rFonts w:hint="default" w:ascii="Times New Roman" w:hAnsi="Times New Roman" w:eastAsia="宋体" w:cs="Times New Roman"/>
          <w:b w:val="0"/>
          <w:bCs w:val="0"/>
          <w:color w:val="auto"/>
          <w:sz w:val="24"/>
          <w:szCs w:val="24"/>
        </w:rPr>
        <w:t>雨水</w:t>
      </w:r>
      <w:r>
        <w:rPr>
          <w:rFonts w:hint="default" w:ascii="Times New Roman" w:hAnsi="Times New Roman" w:eastAsia="宋体" w:cs="Times New Roman"/>
          <w:b w:val="0"/>
          <w:bCs w:val="0"/>
          <w:color w:val="auto"/>
          <w:sz w:val="24"/>
          <w:szCs w:val="24"/>
          <w:lang w:eastAsia="zh-CN"/>
        </w:rPr>
        <w:t>经雨水沟收集，</w:t>
      </w:r>
      <w:r>
        <w:rPr>
          <w:rFonts w:hint="eastAsia" w:ascii="Times New Roman" w:hAnsi="Times New Roman" w:eastAsia="宋体" w:cs="Times New Roman"/>
          <w:color w:val="auto"/>
          <w:kern w:val="0"/>
          <w:sz w:val="24"/>
          <w:szCs w:val="24"/>
          <w:lang w:val="en-US" w:eastAsia="zh-CN" w:bidi="ar"/>
        </w:rPr>
        <w:t>排入</w:t>
      </w:r>
      <w:r>
        <w:rPr>
          <w:rFonts w:hint="default" w:ascii="Times New Roman" w:hAnsi="Times New Roman" w:eastAsia="宋体" w:cs="Times New Roman"/>
          <w:color w:val="auto"/>
          <w:kern w:val="0"/>
          <w:sz w:val="24"/>
          <w:szCs w:val="24"/>
          <w:lang w:val="en-US" w:eastAsia="zh-CN" w:bidi="ar"/>
        </w:rPr>
        <w:t>项目区</w:t>
      </w:r>
      <w:r>
        <w:rPr>
          <w:rFonts w:hint="eastAsia" w:cs="Times New Roman"/>
          <w:color w:val="auto"/>
          <w:kern w:val="0"/>
          <w:sz w:val="24"/>
          <w:szCs w:val="24"/>
          <w:lang w:val="en-US" w:eastAsia="zh-CN" w:bidi="ar"/>
        </w:rPr>
        <w:t>初期雨水收集池沉淀</w:t>
      </w:r>
      <w:r>
        <w:rPr>
          <w:rFonts w:hint="default" w:ascii="Times New Roman" w:hAnsi="Times New Roman" w:eastAsia="宋体" w:cs="Times New Roman"/>
          <w:color w:val="auto"/>
          <w:kern w:val="0"/>
          <w:sz w:val="24"/>
          <w:szCs w:val="24"/>
          <w:lang w:val="en-US" w:eastAsia="zh-CN" w:bidi="ar"/>
        </w:rPr>
        <w:t>处理</w:t>
      </w:r>
      <w:r>
        <w:rPr>
          <w:rFonts w:hint="eastAsia" w:cs="Times New Roman"/>
          <w:color w:val="auto"/>
          <w:kern w:val="0"/>
          <w:sz w:val="24"/>
          <w:szCs w:val="24"/>
          <w:lang w:val="en-US" w:eastAsia="zh-CN" w:bidi="ar"/>
        </w:rPr>
        <w:t>后</w:t>
      </w:r>
      <w:r>
        <w:rPr>
          <w:rFonts w:hint="default" w:ascii="Times New Roman" w:hAnsi="Times New Roman" w:eastAsia="宋体" w:cs="Times New Roman"/>
          <w:b w:val="0"/>
          <w:bCs w:val="0"/>
          <w:color w:val="auto"/>
          <w:sz w:val="24"/>
          <w:szCs w:val="24"/>
          <w:lang w:val="en-US" w:eastAsia="zh-CN"/>
        </w:rPr>
        <w:t>，回用于</w:t>
      </w:r>
      <w:r>
        <w:rPr>
          <w:rFonts w:hint="eastAsia" w:cs="Times New Roman"/>
          <w:b w:val="0"/>
          <w:bCs w:val="0"/>
          <w:color w:val="auto"/>
          <w:sz w:val="24"/>
          <w:szCs w:val="24"/>
          <w:lang w:val="en-US" w:eastAsia="zh-CN"/>
        </w:rPr>
        <w:t>本项目</w:t>
      </w:r>
      <w:r>
        <w:rPr>
          <w:rFonts w:hint="default" w:ascii="Times New Roman" w:hAnsi="Times New Roman" w:eastAsia="宋体" w:cs="Times New Roman"/>
          <w:color w:val="auto"/>
          <w:sz w:val="24"/>
          <w:szCs w:val="24"/>
          <w:highlight w:val="none"/>
          <w:lang w:val="en-US" w:eastAsia="zh-CN"/>
        </w:rPr>
        <w:t>绿化、洒水降尘，回用不完的由曲煤焦化内部</w:t>
      </w:r>
      <w:r>
        <w:rPr>
          <w:rFonts w:hint="eastAsia" w:ascii="Times New Roman" w:hAnsi="Times New Roman" w:eastAsia="宋体" w:cs="Times New Roman"/>
          <w:color w:val="auto"/>
          <w:sz w:val="24"/>
          <w:szCs w:val="24"/>
          <w:highlight w:val="none"/>
          <w:lang w:val="en-US" w:eastAsia="zh-CN"/>
        </w:rPr>
        <w:t>通过抽吸罐车</w:t>
      </w:r>
      <w:r>
        <w:rPr>
          <w:rFonts w:hint="default" w:ascii="Times New Roman" w:hAnsi="Times New Roman" w:eastAsia="宋体" w:cs="Times New Roman"/>
          <w:color w:val="auto"/>
          <w:sz w:val="24"/>
          <w:szCs w:val="24"/>
          <w:highlight w:val="none"/>
          <w:lang w:val="en-US" w:eastAsia="zh-CN"/>
        </w:rPr>
        <w:t>清运至铁路卸煤区洒水降尘</w:t>
      </w:r>
      <w:r>
        <w:rPr>
          <w:rFonts w:hint="eastAsia" w:cs="Times New Roman"/>
          <w:b w:val="0"/>
          <w:bCs w:val="0"/>
          <w:color w:val="auto"/>
          <w:sz w:val="24"/>
          <w:szCs w:val="24"/>
          <w:lang w:eastAsia="zh-CN"/>
        </w:rPr>
        <w:t>，</w:t>
      </w:r>
      <w:r>
        <w:rPr>
          <w:rFonts w:hint="eastAsia" w:cs="Times New Roman"/>
          <w:b w:val="0"/>
          <w:bCs w:val="0"/>
          <w:color w:val="auto"/>
          <w:sz w:val="24"/>
          <w:szCs w:val="24"/>
          <w:lang w:val="en-US" w:eastAsia="zh-CN"/>
        </w:rPr>
        <w:t>执行</w:t>
      </w:r>
      <w:r>
        <w:rPr>
          <w:rFonts w:hint="default" w:ascii="Times New Roman" w:hAnsi="Times New Roman" w:eastAsia="宋体" w:cs="Times New Roman"/>
          <w:b w:val="0"/>
          <w:bCs w:val="0"/>
          <w:color w:val="auto"/>
          <w:sz w:val="24"/>
          <w:szCs w:val="24"/>
          <w:lang w:val="en-US" w:eastAsia="zh-CN"/>
        </w:rPr>
        <w:t>《城市污水再生利用 城市杂用水水质》（GB/T18920-2020）城市绿化、道路清扫、消防、建筑施工标准。</w:t>
      </w: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 2 \* GB3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②</w:t>
      </w:r>
      <w:r>
        <w:rPr>
          <w:rFonts w:hint="default" w:ascii="Times New Roman" w:hAnsi="Times New Roman" w:eastAsia="宋体" w:cs="Times New Roman"/>
          <w:color w:val="auto"/>
          <w:sz w:val="24"/>
          <w:szCs w:val="24"/>
          <w:lang w:val="en-US" w:eastAsia="zh-CN"/>
        </w:rPr>
        <w:fldChar w:fldCharType="end"/>
      </w:r>
      <w:r>
        <w:rPr>
          <w:rFonts w:hint="default" w:ascii="Times New Roman" w:hAnsi="Times New Roman" w:eastAsia="宋体" w:cs="Times New Roman"/>
          <w:color w:val="auto"/>
          <w:sz w:val="24"/>
          <w:szCs w:val="24"/>
          <w:lang w:val="en-US" w:eastAsia="zh-CN"/>
        </w:rPr>
        <w:t>生活废水经化粪池处理后</w:t>
      </w:r>
      <w:r>
        <w:rPr>
          <w:rFonts w:hint="eastAsia" w:cs="Times New Roman"/>
          <w:color w:val="auto"/>
          <w:sz w:val="24"/>
          <w:szCs w:val="24"/>
          <w:lang w:val="en-US" w:eastAsia="zh-CN"/>
        </w:rPr>
        <w:t>委托环卫部门清运处置</w:t>
      </w:r>
      <w:r>
        <w:rPr>
          <w:rFonts w:hint="default" w:ascii="Times New Roman" w:hAnsi="Times New Roman" w:eastAsia="宋体" w:cs="Times New Roman"/>
          <w:color w:val="auto"/>
          <w:sz w:val="24"/>
          <w:szCs w:val="24"/>
          <w:lang w:val="en-US" w:eastAsia="zh-CN"/>
        </w:rPr>
        <w:t>。</w:t>
      </w:r>
    </w:p>
    <w:p w14:paraId="2687DFAB">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城市污水再生利用 城市杂用水水质标准   单位：mg/L</w:t>
      </w:r>
    </w:p>
    <w:tbl>
      <w:tblPr>
        <w:tblStyle w:val="22"/>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3992"/>
        <w:gridCol w:w="3934"/>
      </w:tblGrid>
      <w:tr w14:paraId="2E5C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59B7BDB6">
            <w:pPr>
              <w:tabs>
                <w:tab w:val="left" w:pos="4404"/>
              </w:tabs>
              <w:snapToGrid w:val="0"/>
              <w:jc w:val="center"/>
              <w:rPr>
                <w:rFonts w:ascii="Times New Roman" w:eastAsia="宋体"/>
                <w:color w:val="auto"/>
                <w:kern w:val="2"/>
                <w:sz w:val="21"/>
                <w:szCs w:val="21"/>
              </w:rPr>
            </w:pPr>
            <w:r>
              <w:rPr>
                <w:rFonts w:ascii="Times New Roman" w:eastAsia="宋体"/>
                <w:b/>
                <w:color w:val="auto"/>
                <w:kern w:val="2"/>
                <w:sz w:val="21"/>
                <w:szCs w:val="21"/>
              </w:rPr>
              <w:t>序号</w:t>
            </w:r>
          </w:p>
        </w:tc>
        <w:tc>
          <w:tcPr>
            <w:tcW w:w="3992" w:type="dxa"/>
            <w:vAlign w:val="center"/>
          </w:tcPr>
          <w:p w14:paraId="18BAF0DA">
            <w:pPr>
              <w:tabs>
                <w:tab w:val="left" w:pos="4404"/>
              </w:tabs>
              <w:snapToGrid w:val="0"/>
              <w:jc w:val="center"/>
              <w:rPr>
                <w:rFonts w:ascii="Times New Roman" w:eastAsia="宋体"/>
                <w:color w:val="auto"/>
                <w:kern w:val="2"/>
                <w:sz w:val="21"/>
                <w:szCs w:val="21"/>
              </w:rPr>
            </w:pPr>
            <w:r>
              <w:rPr>
                <w:rFonts w:ascii="Times New Roman" w:eastAsia="宋体"/>
                <w:b/>
                <w:color w:val="auto"/>
                <w:kern w:val="2"/>
                <w:sz w:val="21"/>
                <w:szCs w:val="21"/>
              </w:rPr>
              <w:t>指标</w:t>
            </w:r>
          </w:p>
        </w:tc>
        <w:tc>
          <w:tcPr>
            <w:tcW w:w="3934" w:type="dxa"/>
          </w:tcPr>
          <w:p w14:paraId="2438430A">
            <w:pPr>
              <w:tabs>
                <w:tab w:val="left" w:pos="4404"/>
              </w:tabs>
              <w:snapToGrid w:val="0"/>
              <w:jc w:val="center"/>
              <w:rPr>
                <w:rFonts w:ascii="Times New Roman" w:eastAsia="宋体"/>
                <w:b/>
                <w:bCs/>
                <w:color w:val="auto"/>
                <w:kern w:val="2"/>
                <w:sz w:val="21"/>
                <w:szCs w:val="21"/>
              </w:rPr>
            </w:pPr>
            <w:r>
              <w:rPr>
                <w:rFonts w:hint="eastAsia" w:ascii="Times New Roman" w:eastAsia="宋体"/>
                <w:b/>
                <w:bCs/>
                <w:color w:val="auto"/>
                <w:kern w:val="2"/>
                <w:sz w:val="21"/>
                <w:szCs w:val="21"/>
              </w:rPr>
              <w:t>城市绿化、道路清扫、消防、建筑施工</w:t>
            </w:r>
          </w:p>
        </w:tc>
      </w:tr>
      <w:tr w14:paraId="6D0B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673" w:type="dxa"/>
            <w:vAlign w:val="center"/>
          </w:tcPr>
          <w:p w14:paraId="3A4D77C9">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w:t>
            </w:r>
          </w:p>
        </w:tc>
        <w:tc>
          <w:tcPr>
            <w:tcW w:w="3992" w:type="dxa"/>
            <w:vAlign w:val="center"/>
          </w:tcPr>
          <w:p w14:paraId="5E607798">
            <w:pPr>
              <w:tabs>
                <w:tab w:val="left" w:pos="4404"/>
              </w:tabs>
              <w:snapToGrid w:val="0"/>
              <w:jc w:val="both"/>
              <w:rPr>
                <w:rFonts w:ascii="Times New Roman" w:eastAsia="宋体"/>
                <w:color w:val="auto"/>
                <w:kern w:val="2"/>
                <w:sz w:val="21"/>
                <w:szCs w:val="21"/>
              </w:rPr>
            </w:pPr>
            <w:r>
              <w:rPr>
                <w:rFonts w:ascii="Times New Roman" w:eastAsia="宋体"/>
                <w:color w:val="auto"/>
                <w:kern w:val="2"/>
                <w:sz w:val="21"/>
                <w:szCs w:val="21"/>
              </w:rPr>
              <w:t>pH</w:t>
            </w:r>
          </w:p>
        </w:tc>
        <w:tc>
          <w:tcPr>
            <w:tcW w:w="3934" w:type="dxa"/>
            <w:vAlign w:val="center"/>
          </w:tcPr>
          <w:p w14:paraId="41F881A7">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6.0~9.0</w:t>
            </w:r>
          </w:p>
        </w:tc>
      </w:tr>
      <w:tr w14:paraId="6FFE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3C6953F5">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2</w:t>
            </w:r>
          </w:p>
        </w:tc>
        <w:tc>
          <w:tcPr>
            <w:tcW w:w="3992" w:type="dxa"/>
            <w:vAlign w:val="center"/>
          </w:tcPr>
          <w:p w14:paraId="217B9332">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 xml:space="preserve">色（度）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p>
        </w:tc>
        <w:tc>
          <w:tcPr>
            <w:tcW w:w="3934" w:type="dxa"/>
            <w:vAlign w:val="center"/>
          </w:tcPr>
          <w:p w14:paraId="7B0434B9">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30</w:t>
            </w:r>
          </w:p>
        </w:tc>
      </w:tr>
      <w:tr w14:paraId="12F7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5E98054D">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3</w:t>
            </w:r>
          </w:p>
        </w:tc>
        <w:tc>
          <w:tcPr>
            <w:tcW w:w="3992" w:type="dxa"/>
            <w:vAlign w:val="center"/>
          </w:tcPr>
          <w:p w14:paraId="0F877521">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嗅</w:t>
            </w:r>
          </w:p>
        </w:tc>
        <w:tc>
          <w:tcPr>
            <w:tcW w:w="3934" w:type="dxa"/>
            <w:vAlign w:val="center"/>
          </w:tcPr>
          <w:p w14:paraId="088A4D2B">
            <w:pPr>
              <w:tabs>
                <w:tab w:val="left" w:pos="4404"/>
              </w:tabs>
              <w:snapToGrid w:val="0"/>
              <w:jc w:val="center"/>
              <w:rPr>
                <w:rFonts w:ascii="Times New Roman" w:eastAsia="宋体"/>
                <w:color w:val="auto"/>
                <w:kern w:val="2"/>
                <w:sz w:val="21"/>
                <w:szCs w:val="21"/>
              </w:rPr>
            </w:pPr>
            <w:r>
              <w:rPr>
                <w:rFonts w:ascii="Times New Roman" w:eastAsia="宋体"/>
                <w:color w:val="auto"/>
                <w:spacing w:val="-20"/>
                <w:kern w:val="2"/>
                <w:sz w:val="21"/>
                <w:szCs w:val="21"/>
              </w:rPr>
              <w:t>无不快感</w:t>
            </w:r>
          </w:p>
        </w:tc>
      </w:tr>
      <w:tr w14:paraId="4D7F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7F4791A0">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4</w:t>
            </w:r>
          </w:p>
        </w:tc>
        <w:tc>
          <w:tcPr>
            <w:tcW w:w="3992" w:type="dxa"/>
            <w:vAlign w:val="center"/>
          </w:tcPr>
          <w:p w14:paraId="4C38FB8C">
            <w:pPr>
              <w:tabs>
                <w:tab w:val="left" w:pos="4404"/>
              </w:tabs>
              <w:snapToGrid w:val="0"/>
              <w:jc w:val="center"/>
              <w:rPr>
                <w:rFonts w:ascii="Times New Roman" w:eastAsia="宋体"/>
                <w:color w:val="auto"/>
                <w:kern w:val="2"/>
                <w:sz w:val="21"/>
                <w:szCs w:val="21"/>
              </w:rPr>
            </w:pPr>
            <w:r>
              <w:rPr>
                <w:rFonts w:hint="eastAsia"/>
                <w:color w:val="auto"/>
                <w:kern w:val="2"/>
                <w:sz w:val="21"/>
                <w:szCs w:val="21"/>
                <w:lang w:val="en-US" w:eastAsia="zh-CN"/>
              </w:rPr>
              <w:t>浊度</w:t>
            </w:r>
            <w:r>
              <w:rPr>
                <w:rFonts w:ascii="Times New Roman" w:eastAsia="宋体"/>
                <w:color w:val="auto"/>
                <w:kern w:val="2"/>
                <w:sz w:val="21"/>
                <w:szCs w:val="21"/>
              </w:rPr>
              <w:t xml:space="preserve">（NTU）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r>
              <w:rPr>
                <w:rFonts w:hint="eastAsia"/>
                <w:color w:val="auto"/>
                <w:kern w:val="2"/>
                <w:sz w:val="21"/>
                <w:szCs w:val="21"/>
                <w:lang w:val="en-US" w:eastAsia="zh-CN"/>
              </w:rPr>
              <w:t xml:space="preserve"> </w:t>
            </w:r>
            <w:r>
              <w:rPr>
                <w:rFonts w:ascii="Times New Roman" w:eastAsia="宋体"/>
                <w:color w:val="auto"/>
                <w:kern w:val="2"/>
                <w:sz w:val="21"/>
                <w:szCs w:val="21"/>
              </w:rPr>
              <w:t>≤</w:t>
            </w:r>
          </w:p>
        </w:tc>
        <w:tc>
          <w:tcPr>
            <w:tcW w:w="3934" w:type="dxa"/>
            <w:vAlign w:val="center"/>
          </w:tcPr>
          <w:p w14:paraId="678A5E5D">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10</w:t>
            </w:r>
          </w:p>
        </w:tc>
      </w:tr>
      <w:tr w14:paraId="7B2F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645A1FD2">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5</w:t>
            </w:r>
          </w:p>
        </w:tc>
        <w:tc>
          <w:tcPr>
            <w:tcW w:w="3992" w:type="dxa"/>
            <w:vAlign w:val="center"/>
          </w:tcPr>
          <w:p w14:paraId="7B9D6484">
            <w:pPr>
              <w:tabs>
                <w:tab w:val="left" w:pos="4404"/>
              </w:tabs>
              <w:snapToGrid w:val="0"/>
              <w:jc w:val="center"/>
              <w:rPr>
                <w:rFonts w:hint="eastAsia" w:ascii="Times New Roman" w:eastAsia="宋体"/>
                <w:color w:val="auto"/>
                <w:kern w:val="2"/>
                <w:sz w:val="21"/>
                <w:szCs w:val="21"/>
                <w:lang w:val="en-US" w:eastAsia="zh-CN"/>
              </w:rPr>
            </w:pPr>
            <w:r>
              <w:rPr>
                <w:rFonts w:ascii="Times New Roman" w:eastAsia="宋体"/>
                <w:color w:val="auto"/>
                <w:kern w:val="2"/>
                <w:sz w:val="21"/>
                <w:szCs w:val="21"/>
              </w:rPr>
              <w:t>溶解性总固体</w:t>
            </w:r>
            <w:r>
              <w:rPr>
                <w:rFonts w:hint="eastAsia"/>
                <w:color w:val="auto"/>
                <w:kern w:val="2"/>
                <w:sz w:val="21"/>
                <w:szCs w:val="21"/>
                <w:lang w:eastAsia="zh-CN"/>
              </w:rPr>
              <w:t>（</w:t>
            </w:r>
            <w:r>
              <w:rPr>
                <w:rFonts w:ascii="Times New Roman" w:eastAsia="宋体"/>
                <w:color w:val="auto"/>
                <w:kern w:val="2"/>
                <w:sz w:val="21"/>
                <w:szCs w:val="21"/>
              </w:rPr>
              <w:t>mg/L</w:t>
            </w:r>
            <w:r>
              <w:rPr>
                <w:rFonts w:hint="eastAsia"/>
                <w:color w:val="auto"/>
                <w:kern w:val="2"/>
                <w:sz w:val="21"/>
                <w:szCs w:val="21"/>
                <w:lang w:eastAsia="zh-CN"/>
              </w:rPr>
              <w:t>）</w:t>
            </w:r>
            <w:r>
              <w:rPr>
                <w:rFonts w:hint="eastAsia"/>
                <w:color w:val="auto"/>
                <w:kern w:val="2"/>
                <w:sz w:val="21"/>
                <w:szCs w:val="21"/>
                <w:lang w:val="en-US" w:eastAsia="zh-CN"/>
              </w:rPr>
              <w:t xml:space="preserve">              </w:t>
            </w:r>
            <w:r>
              <w:rPr>
                <w:rFonts w:ascii="Times New Roman" w:eastAsia="宋体"/>
                <w:color w:val="auto"/>
                <w:kern w:val="2"/>
                <w:sz w:val="21"/>
                <w:szCs w:val="21"/>
              </w:rPr>
              <w:t>≤</w:t>
            </w:r>
          </w:p>
        </w:tc>
        <w:tc>
          <w:tcPr>
            <w:tcW w:w="3934" w:type="dxa"/>
            <w:vAlign w:val="center"/>
          </w:tcPr>
          <w:p w14:paraId="6853DA62">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1000</w:t>
            </w:r>
          </w:p>
        </w:tc>
      </w:tr>
      <w:tr w14:paraId="19D6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673" w:type="dxa"/>
            <w:vAlign w:val="center"/>
          </w:tcPr>
          <w:p w14:paraId="1EEECFC5">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6</w:t>
            </w:r>
          </w:p>
        </w:tc>
        <w:tc>
          <w:tcPr>
            <w:tcW w:w="3992" w:type="dxa"/>
            <w:vAlign w:val="center"/>
          </w:tcPr>
          <w:p w14:paraId="57FABA0A">
            <w:pPr>
              <w:tabs>
                <w:tab w:val="left" w:pos="4404"/>
              </w:tabs>
              <w:snapToGrid w:val="0"/>
              <w:jc w:val="both"/>
              <w:rPr>
                <w:rFonts w:ascii="Times New Roman" w:eastAsia="宋体"/>
                <w:color w:val="auto"/>
                <w:kern w:val="2"/>
                <w:sz w:val="21"/>
                <w:szCs w:val="21"/>
              </w:rPr>
            </w:pPr>
            <w:r>
              <w:rPr>
                <w:rFonts w:ascii="Times New Roman" w:eastAsia="宋体"/>
                <w:color w:val="auto"/>
                <w:kern w:val="2"/>
                <w:sz w:val="21"/>
                <w:szCs w:val="21"/>
              </w:rPr>
              <w:t>五日生化需氧量</w:t>
            </w:r>
            <w:r>
              <w:rPr>
                <w:rFonts w:hint="eastAsia"/>
                <w:color w:val="auto"/>
                <w:kern w:val="2"/>
                <w:sz w:val="21"/>
                <w:szCs w:val="21"/>
                <w:lang w:eastAsia="zh-CN"/>
              </w:rPr>
              <w:t>（</w:t>
            </w:r>
            <w:r>
              <w:rPr>
                <w:rFonts w:ascii="Times New Roman" w:eastAsia="宋体"/>
                <w:color w:val="auto"/>
                <w:kern w:val="2"/>
                <w:sz w:val="21"/>
                <w:szCs w:val="21"/>
              </w:rPr>
              <w:t>BOD</w:t>
            </w:r>
            <w:r>
              <w:rPr>
                <w:rFonts w:ascii="Times New Roman" w:eastAsia="宋体"/>
                <w:color w:val="auto"/>
                <w:kern w:val="2"/>
                <w:sz w:val="21"/>
                <w:szCs w:val="21"/>
                <w:vertAlign w:val="subscript"/>
              </w:rPr>
              <w:t>5</w:t>
            </w:r>
            <w:r>
              <w:rPr>
                <w:rFonts w:hint="eastAsia"/>
                <w:color w:val="auto"/>
                <w:kern w:val="2"/>
                <w:sz w:val="21"/>
                <w:szCs w:val="21"/>
                <w:vertAlign w:val="baseline"/>
                <w:lang w:eastAsia="zh-CN"/>
              </w:rPr>
              <w:t>）</w:t>
            </w:r>
            <w:r>
              <w:rPr>
                <w:rFonts w:hint="eastAsia"/>
                <w:color w:val="auto"/>
                <w:kern w:val="2"/>
                <w:sz w:val="21"/>
                <w:szCs w:val="21"/>
                <w:lang w:eastAsia="zh-CN"/>
              </w:rPr>
              <w:t>（</w:t>
            </w:r>
            <w:r>
              <w:rPr>
                <w:rFonts w:ascii="Times New Roman" w:eastAsia="宋体"/>
                <w:color w:val="auto"/>
                <w:kern w:val="2"/>
                <w:sz w:val="21"/>
                <w:szCs w:val="21"/>
              </w:rPr>
              <w:t>mg/L</w:t>
            </w:r>
            <w:r>
              <w:rPr>
                <w:rFonts w:hint="eastAsia"/>
                <w:color w:val="auto"/>
                <w:kern w:val="2"/>
                <w:sz w:val="21"/>
                <w:szCs w:val="21"/>
                <w:lang w:eastAsia="zh-CN"/>
              </w:rPr>
              <w:t>）</w:t>
            </w:r>
            <w:r>
              <w:rPr>
                <w:rFonts w:ascii="Times New Roman" w:eastAsia="宋体"/>
                <w:color w:val="auto"/>
                <w:kern w:val="2"/>
                <w:sz w:val="21"/>
                <w:szCs w:val="21"/>
              </w:rPr>
              <w:t xml:space="preserve">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p>
        </w:tc>
        <w:tc>
          <w:tcPr>
            <w:tcW w:w="3934" w:type="dxa"/>
            <w:vAlign w:val="center"/>
          </w:tcPr>
          <w:p w14:paraId="58427F85">
            <w:pPr>
              <w:tabs>
                <w:tab w:val="left" w:pos="4404"/>
              </w:tabs>
              <w:snapToGrid w:val="0"/>
              <w:jc w:val="center"/>
              <w:rPr>
                <w:rFonts w:ascii="Times New Roman" w:eastAsia="宋体"/>
                <w:color w:val="auto"/>
                <w:kern w:val="2"/>
                <w:sz w:val="21"/>
                <w:szCs w:val="21"/>
              </w:rPr>
            </w:pPr>
            <w:r>
              <w:rPr>
                <w:rFonts w:hint="eastAsia" w:ascii="Times New Roman" w:eastAsia="宋体"/>
                <w:color w:val="auto"/>
                <w:kern w:val="2"/>
                <w:sz w:val="21"/>
                <w:szCs w:val="21"/>
                <w:lang w:val="en-US" w:eastAsia="zh-CN"/>
              </w:rPr>
              <w:t>10</w:t>
            </w:r>
          </w:p>
        </w:tc>
      </w:tr>
      <w:tr w14:paraId="5FFFB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48530FED">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7</w:t>
            </w:r>
          </w:p>
        </w:tc>
        <w:tc>
          <w:tcPr>
            <w:tcW w:w="3992" w:type="dxa"/>
            <w:vAlign w:val="center"/>
          </w:tcPr>
          <w:p w14:paraId="1AABFE3A">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氨氮(mg/L</w:t>
            </w:r>
            <w:r>
              <w:rPr>
                <w:rFonts w:hint="eastAsia"/>
                <w:color w:val="auto"/>
                <w:kern w:val="2"/>
                <w:sz w:val="21"/>
                <w:szCs w:val="21"/>
                <w:lang w:eastAsia="zh-CN"/>
              </w:rPr>
              <w:t>）</w:t>
            </w:r>
            <w:r>
              <w:rPr>
                <w:rFonts w:ascii="Times New Roman" w:eastAsia="宋体"/>
                <w:color w:val="auto"/>
                <w:kern w:val="2"/>
                <w:sz w:val="21"/>
                <w:szCs w:val="21"/>
              </w:rPr>
              <w:t xml:space="preserve">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p>
        </w:tc>
        <w:tc>
          <w:tcPr>
            <w:tcW w:w="3934" w:type="dxa"/>
            <w:vAlign w:val="center"/>
          </w:tcPr>
          <w:p w14:paraId="29D2672B">
            <w:pPr>
              <w:tabs>
                <w:tab w:val="left" w:pos="4404"/>
              </w:tabs>
              <w:snapToGrid w:val="0"/>
              <w:jc w:val="center"/>
              <w:rPr>
                <w:rFonts w:ascii="Times New Roman" w:eastAsia="宋体"/>
                <w:color w:val="auto"/>
                <w:kern w:val="2"/>
                <w:sz w:val="21"/>
                <w:szCs w:val="21"/>
              </w:rPr>
            </w:pPr>
            <w:r>
              <w:rPr>
                <w:rFonts w:hint="eastAsia" w:ascii="Times New Roman" w:eastAsia="宋体"/>
                <w:color w:val="auto"/>
                <w:kern w:val="2"/>
                <w:sz w:val="21"/>
                <w:szCs w:val="21"/>
                <w:lang w:val="en-US" w:eastAsia="zh-CN"/>
              </w:rPr>
              <w:t>8</w:t>
            </w:r>
          </w:p>
        </w:tc>
      </w:tr>
      <w:tr w14:paraId="6769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04676B0A">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8</w:t>
            </w:r>
          </w:p>
        </w:tc>
        <w:tc>
          <w:tcPr>
            <w:tcW w:w="3992" w:type="dxa"/>
            <w:vAlign w:val="center"/>
          </w:tcPr>
          <w:p w14:paraId="1A2A474F">
            <w:pPr>
              <w:jc w:val="center"/>
              <w:rPr>
                <w:rFonts w:ascii="Times New Roman" w:eastAsia="宋体"/>
                <w:color w:val="auto"/>
                <w:kern w:val="2"/>
                <w:sz w:val="21"/>
                <w:szCs w:val="21"/>
              </w:rPr>
            </w:pPr>
            <w:r>
              <w:rPr>
                <w:rFonts w:ascii="Times New Roman" w:eastAsia="宋体"/>
                <w:color w:val="auto"/>
                <w:sz w:val="21"/>
                <w:szCs w:val="21"/>
              </w:rPr>
              <w:t>阴离子表面活性剂（mg/L</w:t>
            </w:r>
            <w:r>
              <w:rPr>
                <w:rFonts w:hint="eastAsia"/>
                <w:color w:val="auto"/>
                <w:sz w:val="21"/>
                <w:szCs w:val="21"/>
                <w:lang w:eastAsia="zh-CN"/>
              </w:rPr>
              <w:t>）</w:t>
            </w:r>
            <w:r>
              <w:rPr>
                <w:rFonts w:ascii="Times New Roman" w:eastAsia="宋体"/>
                <w:color w:val="auto"/>
                <w:sz w:val="21"/>
                <w:szCs w:val="21"/>
              </w:rPr>
              <w:t xml:space="preserve"> </w:t>
            </w:r>
            <w:r>
              <w:rPr>
                <w:rFonts w:hint="eastAsia"/>
                <w:color w:val="auto"/>
                <w:sz w:val="21"/>
                <w:szCs w:val="21"/>
                <w:lang w:val="en-US" w:eastAsia="zh-CN"/>
              </w:rPr>
              <w:t xml:space="preserve">   </w:t>
            </w:r>
            <w:r>
              <w:rPr>
                <w:rFonts w:ascii="Times New Roman" w:eastAsia="宋体"/>
                <w:color w:val="auto"/>
                <w:sz w:val="21"/>
                <w:szCs w:val="21"/>
              </w:rPr>
              <w:t xml:space="preserve">     ≤</w:t>
            </w:r>
          </w:p>
        </w:tc>
        <w:tc>
          <w:tcPr>
            <w:tcW w:w="3934" w:type="dxa"/>
            <w:vAlign w:val="center"/>
          </w:tcPr>
          <w:p w14:paraId="43865EEE">
            <w:pPr>
              <w:tabs>
                <w:tab w:val="left" w:pos="4404"/>
              </w:tabs>
              <w:snapToGrid w:val="0"/>
              <w:jc w:val="center"/>
              <w:rPr>
                <w:rFonts w:ascii="Times New Roman" w:eastAsia="宋体"/>
                <w:color w:val="auto"/>
                <w:kern w:val="2"/>
                <w:sz w:val="21"/>
                <w:szCs w:val="21"/>
              </w:rPr>
            </w:pPr>
            <w:r>
              <w:rPr>
                <w:rFonts w:hint="eastAsia" w:ascii="Times New Roman" w:eastAsia="宋体"/>
                <w:color w:val="auto"/>
                <w:kern w:val="2"/>
                <w:sz w:val="21"/>
                <w:szCs w:val="21"/>
                <w:lang w:val="en-US" w:eastAsia="zh-CN"/>
              </w:rPr>
              <w:t>0.5</w:t>
            </w:r>
          </w:p>
        </w:tc>
      </w:tr>
      <w:tr w14:paraId="5B03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50FC53AD">
            <w:pPr>
              <w:tabs>
                <w:tab w:val="left" w:pos="4404"/>
              </w:tabs>
              <w:snapToGrid w:val="0"/>
              <w:jc w:val="center"/>
              <w:rPr>
                <w:rFonts w:ascii="Times New Roman" w:eastAsia="宋体"/>
                <w:color w:val="auto"/>
                <w:kern w:val="2"/>
                <w:sz w:val="21"/>
                <w:szCs w:val="21"/>
              </w:rPr>
            </w:pPr>
            <w:r>
              <w:rPr>
                <w:rFonts w:hint="eastAsia" w:ascii="Times New Roman" w:eastAsia="宋体"/>
                <w:color w:val="auto"/>
                <w:kern w:val="2"/>
                <w:sz w:val="21"/>
                <w:szCs w:val="21"/>
              </w:rPr>
              <w:t>9</w:t>
            </w:r>
          </w:p>
        </w:tc>
        <w:tc>
          <w:tcPr>
            <w:tcW w:w="3992" w:type="dxa"/>
            <w:vAlign w:val="center"/>
          </w:tcPr>
          <w:p w14:paraId="3E534B67">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铁（mg/L</w:t>
            </w:r>
            <w:r>
              <w:rPr>
                <w:rFonts w:hint="eastAsia"/>
                <w:color w:val="auto"/>
                <w:kern w:val="2"/>
                <w:sz w:val="21"/>
                <w:szCs w:val="21"/>
                <w:lang w:eastAsia="zh-CN"/>
              </w:rPr>
              <w:t>）</w:t>
            </w:r>
            <w:r>
              <w:rPr>
                <w:rFonts w:ascii="Times New Roman" w:eastAsia="宋体"/>
                <w:color w:val="auto"/>
                <w:kern w:val="2"/>
                <w:sz w:val="21"/>
                <w:szCs w:val="21"/>
              </w:rPr>
              <w:t xml:space="preserve">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p>
        </w:tc>
        <w:tc>
          <w:tcPr>
            <w:tcW w:w="3934" w:type="dxa"/>
            <w:vAlign w:val="center"/>
          </w:tcPr>
          <w:p w14:paraId="6E778E8E">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w:t>
            </w:r>
          </w:p>
        </w:tc>
      </w:tr>
      <w:tr w14:paraId="2F38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05213386">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10</w:t>
            </w:r>
          </w:p>
        </w:tc>
        <w:tc>
          <w:tcPr>
            <w:tcW w:w="3992" w:type="dxa"/>
            <w:vAlign w:val="center"/>
          </w:tcPr>
          <w:p w14:paraId="488DB078">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锰（mg/L</w:t>
            </w:r>
            <w:r>
              <w:rPr>
                <w:rFonts w:hint="eastAsia"/>
                <w:color w:val="auto"/>
                <w:kern w:val="2"/>
                <w:sz w:val="21"/>
                <w:szCs w:val="21"/>
                <w:lang w:eastAsia="zh-CN"/>
              </w:rPr>
              <w:t>）</w:t>
            </w:r>
            <w:r>
              <w:rPr>
                <w:rFonts w:ascii="Times New Roman" w:eastAsia="宋体"/>
                <w:color w:val="auto"/>
                <w:kern w:val="2"/>
                <w:sz w:val="21"/>
                <w:szCs w:val="21"/>
              </w:rPr>
              <w:t xml:space="preserve">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p>
        </w:tc>
        <w:tc>
          <w:tcPr>
            <w:tcW w:w="3934" w:type="dxa"/>
            <w:vAlign w:val="center"/>
          </w:tcPr>
          <w:p w14:paraId="56852B23">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w:t>
            </w:r>
          </w:p>
        </w:tc>
      </w:tr>
      <w:tr w14:paraId="68B3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3242F173">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11</w:t>
            </w:r>
          </w:p>
        </w:tc>
        <w:tc>
          <w:tcPr>
            <w:tcW w:w="3992" w:type="dxa"/>
            <w:vAlign w:val="center"/>
          </w:tcPr>
          <w:p w14:paraId="7E110036">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溶解氧（mg/L</w:t>
            </w:r>
            <w:r>
              <w:rPr>
                <w:rFonts w:hint="eastAsia"/>
                <w:color w:val="auto"/>
                <w:kern w:val="2"/>
                <w:sz w:val="21"/>
                <w:szCs w:val="21"/>
                <w:lang w:eastAsia="zh-CN"/>
              </w:rPr>
              <w:t>）</w:t>
            </w:r>
            <w:r>
              <w:rPr>
                <w:rFonts w:ascii="Times New Roman" w:eastAsia="宋体"/>
                <w:color w:val="auto"/>
                <w:kern w:val="2"/>
                <w:sz w:val="21"/>
                <w:szCs w:val="21"/>
              </w:rPr>
              <w:t xml:space="preserve">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p>
        </w:tc>
        <w:tc>
          <w:tcPr>
            <w:tcW w:w="3934" w:type="dxa"/>
            <w:vAlign w:val="center"/>
          </w:tcPr>
          <w:p w14:paraId="1C8C5DDA">
            <w:pPr>
              <w:tabs>
                <w:tab w:val="left" w:pos="4404"/>
              </w:tabs>
              <w:snapToGrid w:val="0"/>
              <w:jc w:val="center"/>
              <w:rPr>
                <w:rFonts w:ascii="Times New Roman" w:eastAsia="宋体"/>
                <w:color w:val="auto"/>
                <w:kern w:val="2"/>
                <w:sz w:val="21"/>
                <w:szCs w:val="21"/>
              </w:rPr>
            </w:pPr>
            <w:r>
              <w:rPr>
                <w:rFonts w:hint="eastAsia" w:ascii="Times New Roman" w:eastAsia="宋体"/>
                <w:color w:val="auto"/>
                <w:kern w:val="2"/>
                <w:sz w:val="21"/>
                <w:szCs w:val="21"/>
                <w:lang w:val="en-US" w:eastAsia="zh-CN"/>
              </w:rPr>
              <w:t>2</w:t>
            </w:r>
            <w:r>
              <w:rPr>
                <w:rFonts w:ascii="Times New Roman" w:eastAsia="宋体"/>
                <w:color w:val="auto"/>
                <w:kern w:val="2"/>
                <w:sz w:val="21"/>
                <w:szCs w:val="21"/>
              </w:rPr>
              <w:t>.0</w:t>
            </w:r>
          </w:p>
        </w:tc>
      </w:tr>
      <w:tr w14:paraId="643B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73" w:type="dxa"/>
            <w:vAlign w:val="center"/>
          </w:tcPr>
          <w:p w14:paraId="7691B7CC">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12</w:t>
            </w:r>
          </w:p>
        </w:tc>
        <w:tc>
          <w:tcPr>
            <w:tcW w:w="3992" w:type="dxa"/>
            <w:vAlign w:val="center"/>
          </w:tcPr>
          <w:p w14:paraId="6B89B87E">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总氯（mg/L</w:t>
            </w:r>
            <w:r>
              <w:rPr>
                <w:rFonts w:hint="eastAsia"/>
                <w:color w:val="auto"/>
                <w:kern w:val="2"/>
                <w:sz w:val="21"/>
                <w:szCs w:val="21"/>
                <w:lang w:eastAsia="zh-CN"/>
              </w:rPr>
              <w:t>）</w:t>
            </w:r>
            <w:r>
              <w:rPr>
                <w:rFonts w:ascii="Times New Roman" w:eastAsia="宋体"/>
                <w:color w:val="auto"/>
                <w:kern w:val="2"/>
                <w:sz w:val="21"/>
                <w:szCs w:val="21"/>
              </w:rPr>
              <w:t xml:space="preserve">   </w:t>
            </w:r>
            <w:r>
              <w:rPr>
                <w:rFonts w:hint="eastAsia"/>
                <w:color w:val="auto"/>
                <w:kern w:val="2"/>
                <w:sz w:val="21"/>
                <w:szCs w:val="21"/>
                <w:lang w:val="en-US" w:eastAsia="zh-CN"/>
              </w:rPr>
              <w:t xml:space="preserve">                 </w:t>
            </w:r>
            <w:r>
              <w:rPr>
                <w:rFonts w:ascii="Times New Roman" w:eastAsia="宋体"/>
                <w:color w:val="auto"/>
                <w:kern w:val="2"/>
                <w:sz w:val="21"/>
                <w:szCs w:val="21"/>
              </w:rPr>
              <w:t xml:space="preserve"> ≥</w:t>
            </w:r>
          </w:p>
        </w:tc>
        <w:tc>
          <w:tcPr>
            <w:tcW w:w="3934" w:type="dxa"/>
            <w:vAlign w:val="center"/>
          </w:tcPr>
          <w:p w14:paraId="49BC368C">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1.0</w:t>
            </w:r>
            <w:r>
              <w:rPr>
                <w:rFonts w:hint="eastAsia"/>
                <w:color w:val="auto"/>
                <w:kern w:val="2"/>
                <w:sz w:val="21"/>
                <w:szCs w:val="21"/>
                <w:lang w:eastAsia="zh-CN"/>
              </w:rPr>
              <w:t>（</w:t>
            </w:r>
            <w:r>
              <w:rPr>
                <w:rFonts w:hint="eastAsia" w:ascii="Times New Roman" w:eastAsia="宋体"/>
                <w:color w:val="auto"/>
                <w:kern w:val="2"/>
                <w:sz w:val="21"/>
                <w:szCs w:val="21"/>
              </w:rPr>
              <w:t>出厂</w:t>
            </w:r>
            <w:r>
              <w:rPr>
                <w:rFonts w:hint="eastAsia"/>
                <w:color w:val="auto"/>
                <w:kern w:val="2"/>
                <w:sz w:val="21"/>
                <w:szCs w:val="21"/>
                <w:lang w:eastAsia="zh-CN"/>
              </w:rPr>
              <w:t>），</w:t>
            </w:r>
            <w:r>
              <w:rPr>
                <w:rFonts w:hint="eastAsia" w:ascii="Times New Roman" w:eastAsia="宋体"/>
                <w:color w:val="auto"/>
                <w:kern w:val="2"/>
                <w:sz w:val="21"/>
                <w:szCs w:val="21"/>
              </w:rPr>
              <w:t>0.2</w:t>
            </w:r>
            <w:r>
              <w:rPr>
                <w:rFonts w:hint="eastAsia"/>
                <w:color w:val="auto"/>
                <w:kern w:val="2"/>
                <w:sz w:val="21"/>
                <w:szCs w:val="21"/>
                <w:lang w:eastAsia="zh-CN"/>
              </w:rPr>
              <w:t>（</w:t>
            </w:r>
            <w:r>
              <w:rPr>
                <w:rFonts w:hint="eastAsia" w:ascii="Times New Roman" w:eastAsia="宋体"/>
                <w:color w:val="auto"/>
                <w:kern w:val="2"/>
                <w:sz w:val="21"/>
                <w:szCs w:val="21"/>
              </w:rPr>
              <w:t>管网末端</w:t>
            </w:r>
            <w:r>
              <w:rPr>
                <w:rFonts w:hint="eastAsia"/>
                <w:color w:val="auto"/>
                <w:kern w:val="2"/>
                <w:sz w:val="21"/>
                <w:szCs w:val="21"/>
                <w:lang w:eastAsia="zh-CN"/>
              </w:rPr>
              <w:t>）</w:t>
            </w:r>
          </w:p>
        </w:tc>
      </w:tr>
      <w:tr w14:paraId="1E9B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73" w:type="dxa"/>
            <w:vAlign w:val="center"/>
          </w:tcPr>
          <w:p w14:paraId="1BC95AEE">
            <w:pPr>
              <w:tabs>
                <w:tab w:val="left" w:pos="4404"/>
              </w:tabs>
              <w:snapToGrid w:val="0"/>
              <w:jc w:val="center"/>
              <w:rPr>
                <w:rFonts w:ascii="Times New Roman" w:eastAsia="宋体"/>
                <w:color w:val="auto"/>
                <w:kern w:val="2"/>
                <w:sz w:val="21"/>
                <w:szCs w:val="21"/>
              </w:rPr>
            </w:pPr>
            <w:r>
              <w:rPr>
                <w:rFonts w:ascii="Times New Roman" w:eastAsia="宋体"/>
                <w:color w:val="auto"/>
                <w:kern w:val="2"/>
                <w:sz w:val="21"/>
                <w:szCs w:val="21"/>
              </w:rPr>
              <w:t>13</w:t>
            </w:r>
          </w:p>
        </w:tc>
        <w:tc>
          <w:tcPr>
            <w:tcW w:w="3992" w:type="dxa"/>
            <w:vAlign w:val="center"/>
          </w:tcPr>
          <w:p w14:paraId="4F147012">
            <w:pPr>
              <w:tabs>
                <w:tab w:val="left" w:pos="4404"/>
              </w:tabs>
              <w:snapToGrid w:val="0"/>
              <w:jc w:val="both"/>
              <w:rPr>
                <w:rFonts w:ascii="Times New Roman" w:eastAsia="宋体"/>
                <w:color w:val="auto"/>
                <w:kern w:val="2"/>
                <w:sz w:val="21"/>
                <w:szCs w:val="21"/>
              </w:rPr>
            </w:pPr>
            <w:r>
              <w:rPr>
                <w:rFonts w:hint="eastAsia" w:ascii="Times New Roman" w:eastAsia="宋体"/>
                <w:color w:val="auto"/>
                <w:kern w:val="2"/>
                <w:sz w:val="21"/>
                <w:szCs w:val="21"/>
              </w:rPr>
              <w:t>大肠埃希氏菌/(MPN/100 mL或CFU/100 mL)</w:t>
            </w:r>
          </w:p>
        </w:tc>
        <w:tc>
          <w:tcPr>
            <w:tcW w:w="3934" w:type="dxa"/>
            <w:vAlign w:val="center"/>
          </w:tcPr>
          <w:p w14:paraId="27DB6C6D">
            <w:pPr>
              <w:tabs>
                <w:tab w:val="left" w:pos="4404"/>
              </w:tabs>
              <w:snapToGrid w:val="0"/>
              <w:jc w:val="center"/>
              <w:rPr>
                <w:rFonts w:hint="eastAsia" w:ascii="Times New Roman" w:eastAsia="宋体"/>
                <w:color w:val="auto"/>
                <w:kern w:val="2"/>
                <w:sz w:val="21"/>
                <w:szCs w:val="21"/>
                <w:lang w:val="en-US" w:eastAsia="zh-CN"/>
              </w:rPr>
            </w:pPr>
            <w:r>
              <w:rPr>
                <w:rFonts w:hint="eastAsia"/>
                <w:color w:val="auto"/>
                <w:kern w:val="2"/>
                <w:sz w:val="21"/>
                <w:szCs w:val="21"/>
                <w:lang w:val="en-US" w:eastAsia="zh-CN"/>
              </w:rPr>
              <w:t>无</w:t>
            </w:r>
          </w:p>
        </w:tc>
      </w:tr>
    </w:tbl>
    <w:p w14:paraId="5BD9BAF4">
      <w:pPr>
        <w:pStyle w:val="9"/>
        <w:keepNext w:val="0"/>
        <w:keepLines w:val="0"/>
        <w:pageBreakBefore w:val="0"/>
        <w:widowControl/>
        <w:kinsoku w:val="0"/>
        <w:wordWrap/>
        <w:overflowPunct/>
        <w:topLinePunct w:val="0"/>
        <w:autoSpaceDE w:val="0"/>
        <w:autoSpaceDN w:val="0"/>
        <w:bidi w:val="0"/>
        <w:adjustRightInd/>
        <w:snapToGrid/>
        <w:spacing w:before="115" w:line="360" w:lineRule="auto"/>
        <w:ind w:left="210"/>
        <w:textAlignment w:val="baseline"/>
        <w:rPr>
          <w:color w:val="auto"/>
          <w:sz w:val="24"/>
          <w:szCs w:val="24"/>
        </w:rPr>
      </w:pPr>
      <w:r>
        <w:rPr>
          <w:rFonts w:ascii="Times New Roman" w:hAnsi="Times New Roman" w:eastAsia="Times New Roman" w:cs="Times New Roman"/>
          <w:b/>
          <w:bCs/>
          <w:color w:val="auto"/>
          <w:spacing w:val="-6"/>
          <w:sz w:val="24"/>
          <w:szCs w:val="24"/>
        </w:rPr>
        <w:t>3</w:t>
      </w:r>
      <w:r>
        <w:rPr>
          <w:rFonts w:ascii="Times New Roman" w:hAnsi="Times New Roman" w:eastAsia="Times New Roman" w:cs="Times New Roman"/>
          <w:b/>
          <w:bCs/>
          <w:color w:val="auto"/>
          <w:spacing w:val="-30"/>
          <w:sz w:val="24"/>
          <w:szCs w:val="24"/>
        </w:rPr>
        <w:t xml:space="preserve"> </w:t>
      </w:r>
      <w:r>
        <w:rPr>
          <w:b/>
          <w:bCs/>
          <w:color w:val="auto"/>
          <w:spacing w:val="-6"/>
          <w:sz w:val="24"/>
          <w:szCs w:val="24"/>
        </w:rPr>
        <w:t>、噪声排放标准</w:t>
      </w:r>
    </w:p>
    <w:p w14:paraId="3C68AA1B">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60" w:firstLineChars="200"/>
        <w:textAlignment w:val="baseline"/>
        <w:rPr>
          <w:color w:val="auto"/>
          <w:sz w:val="24"/>
          <w:szCs w:val="24"/>
        </w:rPr>
      </w:pPr>
      <w:r>
        <w:rPr>
          <w:b/>
          <w:bCs/>
          <w:color w:val="auto"/>
          <w:spacing w:val="-5"/>
          <w:sz w:val="24"/>
          <w:szCs w:val="24"/>
        </w:rPr>
        <w:t>（</w:t>
      </w:r>
      <w:r>
        <w:rPr>
          <w:rFonts w:ascii="Times New Roman" w:hAnsi="Times New Roman" w:eastAsia="Times New Roman" w:cs="Times New Roman"/>
          <w:b/>
          <w:bCs/>
          <w:color w:val="auto"/>
          <w:spacing w:val="-5"/>
          <w:sz w:val="24"/>
          <w:szCs w:val="24"/>
        </w:rPr>
        <w:t>1</w:t>
      </w:r>
      <w:r>
        <w:rPr>
          <w:b/>
          <w:bCs/>
          <w:color w:val="auto"/>
          <w:spacing w:val="-5"/>
          <w:sz w:val="24"/>
          <w:szCs w:val="24"/>
        </w:rPr>
        <w:t>）施工期：</w:t>
      </w:r>
    </w:p>
    <w:p w14:paraId="20F2679F">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施工期噪声执行《建筑施工噪声排放标准》（</w:t>
      </w:r>
      <w:r>
        <w:rPr>
          <w:rFonts w:ascii="Times New Roman" w:hAnsi="Times New Roman" w:eastAsia="Times New Roman" w:cs="Times New Roman"/>
          <w:color w:val="auto"/>
          <w:spacing w:val="-2"/>
          <w:sz w:val="24"/>
          <w:szCs w:val="24"/>
        </w:rPr>
        <w:t>GB</w:t>
      </w:r>
      <w:r>
        <w:rPr>
          <w:rFonts w:ascii="Times New Roman" w:hAnsi="Times New Roman" w:eastAsia="Times New Roman" w:cs="Times New Roman"/>
          <w:color w:val="auto"/>
          <w:spacing w:val="-3"/>
          <w:sz w:val="24"/>
          <w:szCs w:val="24"/>
        </w:rPr>
        <w:t>12523-2025</w:t>
      </w:r>
      <w:r>
        <w:rPr>
          <w:color w:val="auto"/>
          <w:spacing w:val="-3"/>
          <w:sz w:val="24"/>
          <w:szCs w:val="24"/>
        </w:rPr>
        <w:t>）中相关要求，标准限值详见表</w:t>
      </w:r>
      <w:r>
        <w:rPr>
          <w:rFonts w:ascii="Times New Roman" w:hAnsi="Times New Roman" w:eastAsia="Times New Roman" w:cs="Times New Roman"/>
          <w:color w:val="auto"/>
          <w:spacing w:val="-3"/>
          <w:sz w:val="24"/>
          <w:szCs w:val="24"/>
        </w:rPr>
        <w:t>1.7</w:t>
      </w:r>
      <w:r>
        <w:rPr>
          <w:rFonts w:hint="eastAsia" w:ascii="Times New Roman" w:hAnsi="Times New Roman" w:eastAsia="宋体" w:cs="Times New Roman"/>
          <w:color w:val="auto"/>
          <w:spacing w:val="-3"/>
          <w:sz w:val="24"/>
          <w:szCs w:val="24"/>
          <w:lang w:val="en-US" w:eastAsia="zh-CN"/>
        </w:rPr>
        <w:t>-8</w:t>
      </w:r>
      <w:r>
        <w:rPr>
          <w:color w:val="auto"/>
          <w:spacing w:val="-3"/>
          <w:sz w:val="24"/>
          <w:szCs w:val="24"/>
        </w:rPr>
        <w:t>。</w:t>
      </w:r>
    </w:p>
    <w:p w14:paraId="52CEBD11">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建筑施工场界噪声排放限值    单位：dB（A）</w:t>
      </w:r>
    </w:p>
    <w:tbl>
      <w:tblPr>
        <w:tblStyle w:val="26"/>
        <w:tblW w:w="84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84"/>
        <w:gridCol w:w="4536"/>
      </w:tblGrid>
      <w:tr w14:paraId="5D248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8420" w:type="dxa"/>
            <w:gridSpan w:val="2"/>
            <w:vAlign w:val="top"/>
          </w:tcPr>
          <w:p w14:paraId="23A71C7F">
            <w:pPr>
              <w:pStyle w:val="27"/>
              <w:spacing w:before="98" w:line="221" w:lineRule="auto"/>
              <w:ind w:left="3951"/>
              <w:rPr>
                <w:color w:val="auto"/>
                <w:sz w:val="20"/>
                <w:szCs w:val="20"/>
              </w:rPr>
            </w:pPr>
            <w:r>
              <w:rPr>
                <w:b/>
                <w:bCs/>
                <w:color w:val="auto"/>
                <w:spacing w:val="4"/>
                <w:sz w:val="20"/>
                <w:szCs w:val="20"/>
              </w:rPr>
              <w:t>噪声限值</w:t>
            </w:r>
          </w:p>
        </w:tc>
      </w:tr>
      <w:tr w14:paraId="27285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3884" w:type="dxa"/>
            <w:vAlign w:val="top"/>
          </w:tcPr>
          <w:p w14:paraId="32B01B37">
            <w:pPr>
              <w:pStyle w:val="27"/>
              <w:spacing w:before="93" w:line="221" w:lineRule="auto"/>
              <w:ind w:left="1805"/>
              <w:rPr>
                <w:color w:val="auto"/>
                <w:sz w:val="20"/>
                <w:szCs w:val="20"/>
              </w:rPr>
            </w:pPr>
            <w:r>
              <w:rPr>
                <w:b/>
                <w:bCs/>
                <w:color w:val="auto"/>
                <w:spacing w:val="4"/>
                <w:sz w:val="20"/>
                <w:szCs w:val="20"/>
              </w:rPr>
              <w:t>昼间</w:t>
            </w:r>
          </w:p>
        </w:tc>
        <w:tc>
          <w:tcPr>
            <w:tcW w:w="4536" w:type="dxa"/>
            <w:vAlign w:val="top"/>
          </w:tcPr>
          <w:p w14:paraId="69B09F82">
            <w:pPr>
              <w:pStyle w:val="27"/>
              <w:spacing w:before="93" w:line="221" w:lineRule="auto"/>
              <w:ind w:left="2142"/>
              <w:rPr>
                <w:color w:val="auto"/>
                <w:sz w:val="20"/>
                <w:szCs w:val="20"/>
              </w:rPr>
            </w:pPr>
            <w:r>
              <w:rPr>
                <w:b/>
                <w:bCs/>
                <w:color w:val="auto"/>
                <w:spacing w:val="2"/>
                <w:sz w:val="20"/>
                <w:szCs w:val="20"/>
              </w:rPr>
              <w:t>夜间</w:t>
            </w:r>
          </w:p>
        </w:tc>
      </w:tr>
      <w:tr w14:paraId="4E578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884" w:type="dxa"/>
            <w:vAlign w:val="top"/>
          </w:tcPr>
          <w:p w14:paraId="3380FB34">
            <w:pPr>
              <w:spacing w:before="131" w:line="195" w:lineRule="auto"/>
              <w:ind w:left="1911"/>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sz w:val="20"/>
                <w:szCs w:val="20"/>
              </w:rPr>
              <w:t>70</w:t>
            </w:r>
          </w:p>
        </w:tc>
        <w:tc>
          <w:tcPr>
            <w:tcW w:w="4536" w:type="dxa"/>
            <w:vAlign w:val="top"/>
          </w:tcPr>
          <w:p w14:paraId="6281F98A">
            <w:pPr>
              <w:spacing w:before="134" w:line="192" w:lineRule="auto"/>
              <w:ind w:left="2247"/>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55</w:t>
            </w:r>
          </w:p>
        </w:tc>
      </w:tr>
    </w:tbl>
    <w:p w14:paraId="3C436ABF">
      <w:pPr>
        <w:pStyle w:val="9"/>
        <w:keepNext w:val="0"/>
        <w:keepLines w:val="0"/>
        <w:pageBreakBefore w:val="0"/>
        <w:widowControl/>
        <w:kinsoku w:val="0"/>
        <w:wordWrap/>
        <w:overflowPunct/>
        <w:topLinePunct w:val="0"/>
        <w:autoSpaceDE w:val="0"/>
        <w:autoSpaceDN w:val="0"/>
        <w:bidi w:val="0"/>
        <w:spacing w:before="78" w:line="360" w:lineRule="auto"/>
        <w:ind w:left="704"/>
        <w:textAlignment w:val="baseline"/>
        <w:rPr>
          <w:rFonts w:hint="default" w:ascii="Times New Roman" w:hAnsi="Times New Roman" w:cs="Times New Roman"/>
          <w:color w:val="auto"/>
          <w:sz w:val="24"/>
          <w:szCs w:val="24"/>
        </w:rPr>
      </w:pPr>
      <w:r>
        <w:rPr>
          <w:rFonts w:hint="default" w:ascii="Times New Roman" w:hAnsi="Times New Roman" w:cs="Times New Roman"/>
          <w:b/>
          <w:bCs/>
          <w:color w:val="auto"/>
          <w:spacing w:val="-5"/>
          <w:sz w:val="24"/>
          <w:szCs w:val="24"/>
        </w:rPr>
        <w:t>（</w:t>
      </w:r>
      <w:r>
        <w:rPr>
          <w:rFonts w:hint="default" w:ascii="Times New Roman" w:hAnsi="Times New Roman" w:eastAsia="Times New Roman" w:cs="Times New Roman"/>
          <w:b/>
          <w:bCs/>
          <w:color w:val="auto"/>
          <w:spacing w:val="-5"/>
          <w:sz w:val="24"/>
          <w:szCs w:val="24"/>
        </w:rPr>
        <w:t>2</w:t>
      </w:r>
      <w:r>
        <w:rPr>
          <w:rFonts w:hint="default" w:ascii="Times New Roman" w:hAnsi="Times New Roman" w:cs="Times New Roman"/>
          <w:b/>
          <w:bCs/>
          <w:color w:val="auto"/>
          <w:spacing w:val="-5"/>
          <w:sz w:val="24"/>
          <w:szCs w:val="24"/>
        </w:rPr>
        <w:t>）运营期：</w:t>
      </w:r>
    </w:p>
    <w:p w14:paraId="1558B7C2">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6"/>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运营期厂界噪声排放执行《工业企业厂界环境噪声排放标准》（GB12348-2008</w:t>
      </w:r>
      <w:r>
        <w:rPr>
          <w:rFonts w:hint="default" w:ascii="Times New Roman" w:hAnsi="Times New Roman" w:cs="Times New Roman"/>
          <w:color w:val="auto"/>
          <w:spacing w:val="-2"/>
          <w:sz w:val="24"/>
          <w:szCs w:val="24"/>
          <w:lang w:eastAsia="zh-CN"/>
        </w:rPr>
        <w:t>）</w:t>
      </w:r>
      <w:r>
        <w:rPr>
          <w:rFonts w:hint="default" w:ascii="Times New Roman" w:hAnsi="Times New Roman" w:cs="Times New Roman"/>
          <w:color w:val="auto"/>
          <w:spacing w:val="-2"/>
          <w:sz w:val="24"/>
          <w:szCs w:val="24"/>
        </w:rPr>
        <w:t>中</w:t>
      </w:r>
      <w:r>
        <w:rPr>
          <w:rFonts w:hint="default" w:ascii="Times New Roman" w:hAnsi="Times New Roman" w:cs="Times New Roman"/>
          <w:color w:val="auto"/>
          <w:spacing w:val="-2"/>
          <w:sz w:val="24"/>
          <w:szCs w:val="24"/>
          <w:lang w:val="en-US" w:eastAsia="zh-CN"/>
        </w:rPr>
        <w:t>3</w:t>
      </w:r>
      <w:r>
        <w:rPr>
          <w:rFonts w:hint="default" w:ascii="Times New Roman" w:hAnsi="Times New Roman" w:cs="Times New Roman"/>
          <w:color w:val="auto"/>
          <w:spacing w:val="-2"/>
          <w:sz w:val="24"/>
          <w:szCs w:val="24"/>
        </w:rPr>
        <w:t>类，标准</w:t>
      </w:r>
      <w:r>
        <w:rPr>
          <w:rFonts w:hint="default" w:ascii="Times New Roman" w:hAnsi="Times New Roman" w:cs="Times New Roman"/>
          <w:color w:val="auto"/>
          <w:spacing w:val="-2"/>
          <w:sz w:val="24"/>
          <w:szCs w:val="24"/>
          <w:lang w:val="en-US" w:eastAsia="zh-CN"/>
        </w:rPr>
        <w:t>值</w:t>
      </w:r>
      <w:r>
        <w:rPr>
          <w:rFonts w:hint="default" w:ascii="Times New Roman" w:hAnsi="Times New Roman" w:cs="Times New Roman"/>
          <w:color w:val="auto"/>
          <w:spacing w:val="-2"/>
          <w:sz w:val="24"/>
          <w:szCs w:val="24"/>
        </w:rPr>
        <w:t>见表</w:t>
      </w:r>
      <w:r>
        <w:rPr>
          <w:rFonts w:hint="default" w:ascii="Times New Roman" w:hAnsi="Times New Roman" w:eastAsia="宋体" w:cs="Times New Roman"/>
          <w:color w:val="auto"/>
          <w:spacing w:val="-2"/>
          <w:sz w:val="24"/>
          <w:szCs w:val="24"/>
          <w:lang w:val="en-US" w:eastAsia="zh-CN"/>
        </w:rPr>
        <w:t>1.7</w:t>
      </w:r>
      <w:r>
        <w:rPr>
          <w:rFonts w:hint="eastAsia" w:ascii="Times New Roman" w:hAnsi="Times New Roman" w:eastAsia="宋体" w:cs="Times New Roman"/>
          <w:color w:val="auto"/>
          <w:spacing w:val="-2"/>
          <w:sz w:val="24"/>
          <w:szCs w:val="24"/>
          <w:lang w:val="en-US" w:eastAsia="zh-CN"/>
        </w:rPr>
        <w:t>-9</w:t>
      </w:r>
      <w:r>
        <w:rPr>
          <w:rFonts w:hint="default" w:ascii="Times New Roman" w:hAnsi="Times New Roman" w:cs="Times New Roman"/>
          <w:color w:val="auto"/>
          <w:spacing w:val="-2"/>
          <w:sz w:val="24"/>
          <w:szCs w:val="24"/>
        </w:rPr>
        <w:t>。</w:t>
      </w:r>
    </w:p>
    <w:p w14:paraId="3E8E9330">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工业企业厂界环境噪声排放限值</w:t>
      </w:r>
      <w:r>
        <w:rPr>
          <w:rFonts w:hint="default" w:ascii="Times New Roman" w:hAnsi="Times New Roman" w:cs="Times New Roman"/>
          <w:b/>
          <w:bCs/>
          <w:color w:val="auto"/>
          <w:spacing w:val="-3"/>
          <w:lang w:val="en-US" w:eastAsia="zh-CN"/>
        </w:rPr>
        <w:t xml:space="preserve"> </w:t>
      </w:r>
      <w:r>
        <w:rPr>
          <w:rFonts w:hint="default" w:ascii="Times New Roman" w:hAnsi="Times New Roman" w:cs="Times New Roman"/>
          <w:b/>
          <w:bCs/>
          <w:color w:val="auto"/>
          <w:spacing w:val="-3"/>
        </w:rPr>
        <w:t>（单位：Leq[dB（A）]）</w:t>
      </w:r>
    </w:p>
    <w:tbl>
      <w:tblPr>
        <w:tblStyle w:val="21"/>
        <w:tblW w:w="859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733"/>
        <w:gridCol w:w="2040"/>
        <w:gridCol w:w="1379"/>
        <w:gridCol w:w="1447"/>
      </w:tblGrid>
      <w:tr w14:paraId="47C2F4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7" w:hRule="atLeast"/>
          <w:jc w:val="center"/>
        </w:trPr>
        <w:tc>
          <w:tcPr>
            <w:tcW w:w="3733" w:type="dxa"/>
            <w:vMerge w:val="restart"/>
            <w:noWrap w:val="0"/>
            <w:vAlign w:val="center"/>
          </w:tcPr>
          <w:p w14:paraId="4A126A08">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
                <w:bCs w:val="0"/>
                <w:color w:val="auto"/>
                <w:sz w:val="21"/>
                <w:szCs w:val="21"/>
              </w:rPr>
            </w:pPr>
            <w:r>
              <w:rPr>
                <w:rFonts w:hint="default" w:ascii="Times New Roman" w:hAnsi="Times New Roman" w:cs="Times New Roman"/>
                <w:b/>
                <w:bCs w:val="0"/>
                <w:color w:val="auto"/>
                <w:sz w:val="21"/>
                <w:szCs w:val="21"/>
              </w:rPr>
              <w:t>执行区域</w:t>
            </w:r>
          </w:p>
        </w:tc>
        <w:tc>
          <w:tcPr>
            <w:tcW w:w="2040" w:type="dxa"/>
            <w:vMerge w:val="restart"/>
            <w:tcBorders>
              <w:right w:val="single" w:color="auto" w:sz="4" w:space="0"/>
            </w:tcBorders>
            <w:noWrap w:val="0"/>
            <w:vAlign w:val="center"/>
          </w:tcPr>
          <w:p w14:paraId="6664EDDD">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
                <w:bCs w:val="0"/>
                <w:color w:val="auto"/>
                <w:sz w:val="21"/>
                <w:szCs w:val="21"/>
              </w:rPr>
            </w:pPr>
            <w:r>
              <w:rPr>
                <w:rFonts w:hint="default" w:ascii="Times New Roman" w:hAnsi="Times New Roman" w:cs="Times New Roman"/>
                <w:b/>
                <w:bCs w:val="0"/>
                <w:color w:val="auto"/>
                <w:sz w:val="21"/>
                <w:szCs w:val="21"/>
              </w:rPr>
              <w:t>类 别</w:t>
            </w:r>
          </w:p>
        </w:tc>
        <w:tc>
          <w:tcPr>
            <w:tcW w:w="2826" w:type="dxa"/>
            <w:gridSpan w:val="2"/>
            <w:tcBorders>
              <w:left w:val="single" w:color="auto" w:sz="4" w:space="0"/>
              <w:bottom w:val="single" w:color="auto" w:sz="4" w:space="0"/>
            </w:tcBorders>
            <w:noWrap w:val="0"/>
            <w:vAlign w:val="center"/>
          </w:tcPr>
          <w:p w14:paraId="17897E1E">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
                <w:bCs w:val="0"/>
                <w:color w:val="auto"/>
                <w:sz w:val="21"/>
                <w:szCs w:val="21"/>
              </w:rPr>
            </w:pPr>
            <w:r>
              <w:rPr>
                <w:rFonts w:hint="default" w:ascii="Times New Roman" w:hAnsi="Times New Roman" w:cs="Times New Roman"/>
                <w:b/>
                <w:bCs w:val="0"/>
                <w:color w:val="auto"/>
                <w:sz w:val="21"/>
                <w:szCs w:val="21"/>
              </w:rPr>
              <w:t>环境噪声标准限值</w:t>
            </w:r>
          </w:p>
        </w:tc>
      </w:tr>
      <w:tr w14:paraId="03ABAB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0" w:hRule="atLeast"/>
          <w:jc w:val="center"/>
        </w:trPr>
        <w:tc>
          <w:tcPr>
            <w:tcW w:w="3733" w:type="dxa"/>
            <w:vMerge w:val="continue"/>
            <w:noWrap w:val="0"/>
            <w:vAlign w:val="center"/>
          </w:tcPr>
          <w:p w14:paraId="4CC31DAC">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Cs/>
                <w:color w:val="auto"/>
                <w:sz w:val="21"/>
                <w:szCs w:val="21"/>
              </w:rPr>
            </w:pPr>
          </w:p>
        </w:tc>
        <w:tc>
          <w:tcPr>
            <w:tcW w:w="2040" w:type="dxa"/>
            <w:vMerge w:val="continue"/>
            <w:tcBorders>
              <w:right w:val="single" w:color="auto" w:sz="4" w:space="0"/>
            </w:tcBorders>
            <w:noWrap w:val="0"/>
            <w:vAlign w:val="center"/>
          </w:tcPr>
          <w:p w14:paraId="01065AA2">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Cs/>
                <w:color w:val="auto"/>
                <w:sz w:val="21"/>
                <w:szCs w:val="21"/>
              </w:rPr>
            </w:pPr>
          </w:p>
        </w:tc>
        <w:tc>
          <w:tcPr>
            <w:tcW w:w="1379" w:type="dxa"/>
            <w:tcBorders>
              <w:top w:val="single" w:color="auto" w:sz="4" w:space="0"/>
              <w:left w:val="single" w:color="auto" w:sz="4" w:space="0"/>
            </w:tcBorders>
            <w:noWrap w:val="0"/>
            <w:vAlign w:val="center"/>
          </w:tcPr>
          <w:p w14:paraId="690A8914">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昼间</w:t>
            </w:r>
          </w:p>
        </w:tc>
        <w:tc>
          <w:tcPr>
            <w:tcW w:w="1447" w:type="dxa"/>
            <w:tcBorders>
              <w:top w:val="single" w:color="auto" w:sz="4" w:space="0"/>
            </w:tcBorders>
            <w:noWrap w:val="0"/>
            <w:vAlign w:val="center"/>
          </w:tcPr>
          <w:p w14:paraId="1C7BB020">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夜间</w:t>
            </w:r>
          </w:p>
        </w:tc>
      </w:tr>
      <w:tr w14:paraId="0DC5D6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5" w:hRule="atLeast"/>
          <w:jc w:val="center"/>
        </w:trPr>
        <w:tc>
          <w:tcPr>
            <w:tcW w:w="3733" w:type="dxa"/>
            <w:noWrap w:val="0"/>
            <w:vAlign w:val="top"/>
          </w:tcPr>
          <w:p w14:paraId="32C003EC">
            <w:pPr>
              <w:keepNext w:val="0"/>
              <w:keepLines w:val="0"/>
              <w:pageBreakBefore w:val="0"/>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rPr>
              <w:t>项目区</w:t>
            </w:r>
            <w:r>
              <w:rPr>
                <w:rFonts w:hint="default" w:ascii="Times New Roman" w:hAnsi="Times New Roman" w:cs="Times New Roman"/>
                <w:color w:val="auto"/>
                <w:sz w:val="21"/>
                <w:szCs w:val="21"/>
                <w:lang w:val="en-US" w:eastAsia="zh-CN"/>
              </w:rPr>
              <w:t>及周边</w:t>
            </w:r>
          </w:p>
        </w:tc>
        <w:tc>
          <w:tcPr>
            <w:tcW w:w="2040" w:type="dxa"/>
            <w:tcBorders>
              <w:right w:val="single" w:color="auto" w:sz="4" w:space="0"/>
            </w:tcBorders>
            <w:noWrap w:val="0"/>
            <w:vAlign w:val="center"/>
          </w:tcPr>
          <w:p w14:paraId="5D4BA011">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类标准</w:t>
            </w:r>
          </w:p>
        </w:tc>
        <w:tc>
          <w:tcPr>
            <w:tcW w:w="1379" w:type="dxa"/>
            <w:tcBorders>
              <w:left w:val="single" w:color="auto" w:sz="4" w:space="0"/>
            </w:tcBorders>
            <w:noWrap w:val="0"/>
            <w:vAlign w:val="center"/>
          </w:tcPr>
          <w:p w14:paraId="3BBD1ECD">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bCs/>
                <w:color w:val="auto"/>
                <w:sz w:val="21"/>
                <w:szCs w:val="21"/>
                <w:lang w:val="en-US" w:eastAsia="zh-CN"/>
              </w:rPr>
              <w:t>65</w:t>
            </w:r>
          </w:p>
        </w:tc>
        <w:tc>
          <w:tcPr>
            <w:tcW w:w="1447" w:type="dxa"/>
            <w:noWrap w:val="0"/>
            <w:vAlign w:val="center"/>
          </w:tcPr>
          <w:p w14:paraId="4D43B5D8">
            <w:pPr>
              <w:pStyle w:val="10"/>
              <w:keepNext w:val="0"/>
              <w:keepLines w:val="0"/>
              <w:pageBreakBefore w:val="0"/>
              <w:kinsoku w:val="0"/>
              <w:wordWrap/>
              <w:overflowPunct/>
              <w:topLinePunct w:val="0"/>
              <w:autoSpaceDE w:val="0"/>
              <w:autoSpaceDN w:val="0"/>
              <w:bidi w:val="0"/>
              <w:adjustRightInd/>
              <w:snapToGrid/>
              <w:spacing w:after="0" w:line="240" w:lineRule="auto"/>
              <w:ind w:left="0" w:leftChars="0" w:firstLine="0" w:firstLineChars="0"/>
              <w:jc w:val="center"/>
              <w:textAlignment w:val="baseline"/>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55</w:t>
            </w:r>
          </w:p>
        </w:tc>
      </w:tr>
    </w:tbl>
    <w:p w14:paraId="71D3400E">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6"/>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既有铁路距外轨中心线30m处执行《铁路边界噪声限值及其测量方法》（GB12525-90）修改方案中表1限值，新建铁路距外轨中心线</w:t>
      </w:r>
      <w:r>
        <w:rPr>
          <w:rFonts w:hint="eastAsia" w:ascii="Times New Roman" w:hAnsi="Times New Roman" w:cs="Times New Roman"/>
          <w:color w:val="auto"/>
          <w:spacing w:val="-2"/>
          <w:sz w:val="24"/>
          <w:szCs w:val="24"/>
          <w:lang w:val="en-US" w:eastAsia="zh-CN"/>
        </w:rPr>
        <w:t>3</w:t>
      </w:r>
      <w:r>
        <w:rPr>
          <w:rFonts w:hint="default" w:ascii="Times New Roman" w:hAnsi="Times New Roman" w:cs="Times New Roman"/>
          <w:color w:val="auto"/>
          <w:spacing w:val="-2"/>
          <w:sz w:val="24"/>
          <w:szCs w:val="24"/>
        </w:rPr>
        <w:t>0m处执行《铁路边界噪声限值及其测量方法》（GB12525-90）修改方案中表</w:t>
      </w:r>
      <w:r>
        <w:rPr>
          <w:rFonts w:hint="eastAsia" w:ascii="Times New Roman" w:hAnsi="Times New Roman" w:eastAsia="宋体" w:cs="Times New Roman"/>
          <w:color w:val="auto"/>
          <w:spacing w:val="-2"/>
          <w:sz w:val="24"/>
          <w:szCs w:val="24"/>
          <w:lang w:val="en-US" w:eastAsia="zh-CN"/>
        </w:rPr>
        <w:t>2</w:t>
      </w:r>
      <w:r>
        <w:rPr>
          <w:rFonts w:hint="default" w:ascii="Times New Roman" w:hAnsi="Times New Roman" w:cs="Times New Roman"/>
          <w:color w:val="auto"/>
          <w:spacing w:val="-2"/>
          <w:sz w:val="24"/>
          <w:szCs w:val="24"/>
        </w:rPr>
        <w:t>限值，具体见表</w:t>
      </w:r>
      <w:r>
        <w:rPr>
          <w:rFonts w:hint="eastAsia" w:ascii="Times New Roman" w:hAnsi="Times New Roman" w:eastAsia="宋体" w:cs="Times New Roman"/>
          <w:color w:val="auto"/>
          <w:spacing w:val="-2"/>
          <w:sz w:val="24"/>
          <w:szCs w:val="24"/>
          <w:lang w:val="en-US" w:eastAsia="zh-CN"/>
        </w:rPr>
        <w:t>1.7-10</w:t>
      </w:r>
      <w:r>
        <w:rPr>
          <w:rFonts w:hint="default" w:ascii="Times New Roman" w:hAnsi="Times New Roman" w:cs="Times New Roman"/>
          <w:color w:val="auto"/>
          <w:spacing w:val="-2"/>
          <w:sz w:val="24"/>
          <w:szCs w:val="24"/>
        </w:rPr>
        <w:t>。</w:t>
      </w:r>
    </w:p>
    <w:p w14:paraId="3ADECBDF">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铁路边界噪声排放标准      单位：dB（A）</w:t>
      </w:r>
    </w:p>
    <w:tbl>
      <w:tblPr>
        <w:tblStyle w:val="26"/>
        <w:tblW w:w="76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23"/>
        <w:gridCol w:w="838"/>
        <w:gridCol w:w="1368"/>
      </w:tblGrid>
      <w:tr w14:paraId="33270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5423" w:type="dxa"/>
            <w:vAlign w:val="center"/>
          </w:tcPr>
          <w:p w14:paraId="1FE4AEA8">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4"/>
                <w:sz w:val="20"/>
                <w:szCs w:val="20"/>
              </w:rPr>
              <w:t>类别</w:t>
            </w:r>
          </w:p>
        </w:tc>
        <w:tc>
          <w:tcPr>
            <w:tcW w:w="838" w:type="dxa"/>
            <w:vAlign w:val="center"/>
          </w:tcPr>
          <w:p w14:paraId="1025E4B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5"/>
                <w:sz w:val="20"/>
                <w:szCs w:val="20"/>
              </w:rPr>
              <w:t>昼间</w:t>
            </w:r>
          </w:p>
        </w:tc>
        <w:tc>
          <w:tcPr>
            <w:tcW w:w="1368" w:type="dxa"/>
            <w:vAlign w:val="center"/>
          </w:tcPr>
          <w:p w14:paraId="5F15000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3"/>
                <w:sz w:val="20"/>
                <w:szCs w:val="20"/>
              </w:rPr>
              <w:t>夜间</w:t>
            </w:r>
          </w:p>
        </w:tc>
      </w:tr>
      <w:tr w14:paraId="409C2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jc w:val="center"/>
        </w:trPr>
        <w:tc>
          <w:tcPr>
            <w:tcW w:w="5423" w:type="dxa"/>
            <w:vAlign w:val="center"/>
          </w:tcPr>
          <w:p w14:paraId="5446D140">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既有铁路（现有到发4条货运线）外轨中心线30m</w:t>
            </w:r>
            <w:r>
              <w:rPr>
                <w:rFonts w:hint="default" w:ascii="Times New Roman" w:hAnsi="Times New Roman" w:cs="Times New Roman"/>
                <w:color w:val="auto"/>
                <w:spacing w:val="7"/>
                <w:sz w:val="21"/>
                <w:szCs w:val="21"/>
              </w:rPr>
              <w:t>处</w:t>
            </w:r>
          </w:p>
        </w:tc>
        <w:tc>
          <w:tcPr>
            <w:tcW w:w="838" w:type="dxa"/>
            <w:vAlign w:val="center"/>
          </w:tcPr>
          <w:p w14:paraId="7341787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sz w:val="20"/>
                <w:szCs w:val="20"/>
              </w:rPr>
              <w:t>70</w:t>
            </w:r>
          </w:p>
        </w:tc>
        <w:tc>
          <w:tcPr>
            <w:tcW w:w="1368" w:type="dxa"/>
            <w:vAlign w:val="center"/>
          </w:tcPr>
          <w:p w14:paraId="473C053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sz w:val="20"/>
                <w:szCs w:val="20"/>
              </w:rPr>
              <w:t>70</w:t>
            </w:r>
          </w:p>
        </w:tc>
      </w:tr>
      <w:tr w14:paraId="08592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5423" w:type="dxa"/>
            <w:vAlign w:val="center"/>
          </w:tcPr>
          <w:p w14:paraId="3F9DCE2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新建铁路（H1、H2新建货运线）外轨中心线</w:t>
            </w:r>
            <w:r>
              <w:rPr>
                <w:rFonts w:hint="default" w:ascii="Times New Roman" w:hAnsi="Times New Roman" w:eastAsia="Times New Roman" w:cs="Times New Roman"/>
                <w:color w:val="auto"/>
                <w:spacing w:val="7"/>
                <w:sz w:val="21"/>
                <w:szCs w:val="21"/>
              </w:rPr>
              <w:t>30m</w:t>
            </w:r>
            <w:r>
              <w:rPr>
                <w:rFonts w:hint="default" w:ascii="Times New Roman" w:hAnsi="Times New Roman" w:cs="Times New Roman"/>
                <w:color w:val="auto"/>
                <w:spacing w:val="7"/>
                <w:sz w:val="21"/>
                <w:szCs w:val="21"/>
              </w:rPr>
              <w:t>处</w:t>
            </w:r>
          </w:p>
        </w:tc>
        <w:tc>
          <w:tcPr>
            <w:tcW w:w="838" w:type="dxa"/>
            <w:vAlign w:val="center"/>
          </w:tcPr>
          <w:p w14:paraId="0E1FA08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1"/>
                <w:sz w:val="20"/>
                <w:szCs w:val="20"/>
              </w:rPr>
              <w:t>70</w:t>
            </w:r>
          </w:p>
        </w:tc>
        <w:tc>
          <w:tcPr>
            <w:tcW w:w="1368" w:type="dxa"/>
            <w:vAlign w:val="center"/>
          </w:tcPr>
          <w:p w14:paraId="270714A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60</w:t>
            </w:r>
          </w:p>
        </w:tc>
      </w:tr>
    </w:tbl>
    <w:p w14:paraId="7BAB465C">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60" w:firstLineChars="200"/>
        <w:textAlignment w:val="baseline"/>
        <w:rPr>
          <w:rFonts w:hint="default" w:ascii="Times New Roman" w:hAnsi="Times New Roman" w:eastAsia="Times New Roman" w:cs="Times New Roman"/>
          <w:b/>
          <w:bCs/>
          <w:color w:val="auto"/>
          <w:spacing w:val="-5"/>
          <w:sz w:val="24"/>
          <w:szCs w:val="24"/>
        </w:rPr>
      </w:pPr>
    </w:p>
    <w:p w14:paraId="49E960C2">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60" w:firstLineChars="200"/>
        <w:textAlignment w:val="baseline"/>
        <w:rPr>
          <w:rFonts w:hint="default" w:ascii="Times New Roman" w:hAnsi="Times New Roman" w:cs="Times New Roman"/>
          <w:color w:val="auto"/>
          <w:sz w:val="24"/>
          <w:szCs w:val="24"/>
        </w:rPr>
      </w:pPr>
      <w:r>
        <w:rPr>
          <w:rFonts w:hint="default" w:ascii="Times New Roman" w:hAnsi="Times New Roman" w:eastAsia="Times New Roman" w:cs="Times New Roman"/>
          <w:b/>
          <w:bCs/>
          <w:color w:val="auto"/>
          <w:spacing w:val="-5"/>
          <w:sz w:val="24"/>
          <w:szCs w:val="24"/>
        </w:rPr>
        <w:t>5</w:t>
      </w:r>
      <w:r>
        <w:rPr>
          <w:rFonts w:hint="default" w:ascii="Times New Roman" w:hAnsi="Times New Roman" w:eastAsia="Times New Roman" w:cs="Times New Roman"/>
          <w:b/>
          <w:bCs/>
          <w:color w:val="auto"/>
          <w:spacing w:val="-34"/>
          <w:sz w:val="24"/>
          <w:szCs w:val="24"/>
        </w:rPr>
        <w:t xml:space="preserve"> </w:t>
      </w:r>
      <w:r>
        <w:rPr>
          <w:rFonts w:hint="default" w:ascii="Times New Roman" w:hAnsi="Times New Roman" w:cs="Times New Roman"/>
          <w:b/>
          <w:bCs/>
          <w:color w:val="auto"/>
          <w:spacing w:val="-5"/>
          <w:sz w:val="24"/>
          <w:szCs w:val="24"/>
        </w:rPr>
        <w:t>、固体废物排放标准</w:t>
      </w:r>
    </w:p>
    <w:p w14:paraId="29A8874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一般固体废物执行《一般工业固体废物贮存和填埋污染控制标准 》（GB18599-2020）；危险废物贮存执行《危险废物贮存污染控制标准》（GB18597—2023）。</w:t>
      </w:r>
    </w:p>
    <w:p w14:paraId="37433B87">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56" w:firstLineChars="200"/>
        <w:textAlignment w:val="baseline"/>
        <w:rPr>
          <w:rFonts w:hint="default" w:ascii="Times New Roman" w:hAnsi="Times New Roman" w:cs="Times New Roman"/>
          <w:color w:val="auto"/>
          <w:sz w:val="24"/>
          <w:szCs w:val="24"/>
        </w:rPr>
      </w:pPr>
      <w:r>
        <w:rPr>
          <w:rFonts w:hint="default" w:ascii="Times New Roman" w:hAnsi="Times New Roman" w:eastAsia="Times New Roman" w:cs="Times New Roman"/>
          <w:b/>
          <w:bCs/>
          <w:color w:val="auto"/>
          <w:spacing w:val="-6"/>
          <w:sz w:val="24"/>
          <w:szCs w:val="24"/>
        </w:rPr>
        <w:t>6</w:t>
      </w:r>
      <w:r>
        <w:rPr>
          <w:rFonts w:hint="default" w:ascii="Times New Roman" w:hAnsi="Times New Roman" w:eastAsia="Times New Roman" w:cs="Times New Roman"/>
          <w:b/>
          <w:bCs/>
          <w:color w:val="auto"/>
          <w:spacing w:val="-28"/>
          <w:sz w:val="24"/>
          <w:szCs w:val="24"/>
        </w:rPr>
        <w:t xml:space="preserve"> </w:t>
      </w:r>
      <w:r>
        <w:rPr>
          <w:rFonts w:hint="default" w:ascii="Times New Roman" w:hAnsi="Times New Roman" w:cs="Times New Roman"/>
          <w:b/>
          <w:bCs/>
          <w:color w:val="auto"/>
          <w:spacing w:val="-6"/>
          <w:sz w:val="24"/>
          <w:szCs w:val="24"/>
        </w:rPr>
        <w:t>、水土流失控制标准</w:t>
      </w:r>
    </w:p>
    <w:p w14:paraId="3DB8C9B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jc w:val="both"/>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根据《全国水土保持区划（试行）》规定，本项目所在地</w:t>
      </w:r>
      <w:r>
        <w:rPr>
          <w:rFonts w:hint="default" w:ascii="Times New Roman" w:hAnsi="Times New Roman" w:cs="Times New Roman"/>
          <w:color w:val="auto"/>
          <w:spacing w:val="-2"/>
          <w:sz w:val="24"/>
          <w:szCs w:val="24"/>
          <w:lang w:val="en-US" w:eastAsia="zh-CN"/>
        </w:rPr>
        <w:t>沾益区花山镇</w:t>
      </w:r>
      <w:r>
        <w:rPr>
          <w:rFonts w:hint="default" w:ascii="Times New Roman" w:hAnsi="Times New Roman" w:cs="Times New Roman"/>
          <w:color w:val="auto"/>
          <w:spacing w:val="-2"/>
          <w:sz w:val="24"/>
          <w:szCs w:val="24"/>
        </w:rPr>
        <w:t>水土保持区划一级区属于西南岩溶区（云贵高原区），根据《土壤侵蚀分类分级标准》（SL190-2007）分析，项目区属以水力侵蚀为主的西南土石山区，容许土壤流失量为500t/km</w:t>
      </w:r>
      <w:r>
        <w:rPr>
          <w:rFonts w:hint="default" w:ascii="Times New Roman" w:hAnsi="Times New Roman" w:cs="Times New Roman"/>
          <w:color w:val="auto"/>
          <w:spacing w:val="-2"/>
          <w:sz w:val="24"/>
          <w:szCs w:val="24"/>
          <w:vertAlign w:val="superscript"/>
        </w:rPr>
        <w:t>2</w:t>
      </w:r>
      <w:r>
        <w:rPr>
          <w:rFonts w:hint="default" w:ascii="Times New Roman" w:hAnsi="Times New Roman" w:cs="Times New Roman"/>
          <w:color w:val="auto"/>
          <w:spacing w:val="-2"/>
          <w:sz w:val="24"/>
          <w:szCs w:val="24"/>
        </w:rPr>
        <w:t>·a。水土流失评价标准执行《土壤侵蚀分类分级标准》（SL190-2007）中的水力侵蚀强度分级标准中的微度标准，标准限值如下表：</w:t>
      </w:r>
    </w:p>
    <w:p w14:paraId="2F9C95A4">
      <w:pPr>
        <w:pStyle w:val="36"/>
        <w:keepNext w:val="0"/>
        <w:keepLines w:val="0"/>
        <w:pageBreakBefore w:val="0"/>
        <w:widowControl w:val="0"/>
        <w:numPr>
          <w:ilvl w:val="1"/>
          <w:numId w:val="11"/>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rPr>
      </w:pPr>
      <w:r>
        <w:rPr>
          <w:rFonts w:hint="default" w:ascii="Times New Roman" w:hAnsi="Times New Roman" w:cs="Times New Roman"/>
          <w:b/>
          <w:bCs/>
          <w:color w:val="auto"/>
          <w:spacing w:val="-3"/>
        </w:rPr>
        <w:t>水力侵蚀强度分级指标</w:t>
      </w:r>
    </w:p>
    <w:tbl>
      <w:tblPr>
        <w:tblStyle w:val="26"/>
        <w:tblW w:w="8118" w:type="dxa"/>
        <w:tblInd w:w="3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7"/>
        <w:gridCol w:w="3416"/>
        <w:gridCol w:w="3025"/>
      </w:tblGrid>
      <w:tr w14:paraId="71378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677" w:type="dxa"/>
            <w:tcBorders>
              <w:top w:val="single" w:color="000000" w:sz="2" w:space="0"/>
              <w:left w:val="single" w:color="000000" w:sz="2" w:space="0"/>
            </w:tcBorders>
            <w:vAlign w:val="top"/>
          </w:tcPr>
          <w:p w14:paraId="25463F54">
            <w:pPr>
              <w:pStyle w:val="27"/>
              <w:spacing w:before="119" w:line="228" w:lineRule="auto"/>
              <w:ind w:left="480"/>
              <w:rPr>
                <w:color w:val="auto"/>
                <w:sz w:val="21"/>
                <w:szCs w:val="21"/>
              </w:rPr>
            </w:pPr>
            <w:r>
              <w:rPr>
                <w:color w:val="auto"/>
                <w:spacing w:val="-2"/>
                <w:sz w:val="21"/>
                <w:szCs w:val="21"/>
              </w:rPr>
              <w:t>级</w:t>
            </w:r>
            <w:r>
              <w:rPr>
                <w:color w:val="auto"/>
                <w:spacing w:val="11"/>
                <w:sz w:val="21"/>
                <w:szCs w:val="21"/>
              </w:rPr>
              <w:t xml:space="preserve">  </w:t>
            </w:r>
            <w:r>
              <w:rPr>
                <w:color w:val="auto"/>
                <w:spacing w:val="-2"/>
                <w:sz w:val="21"/>
                <w:szCs w:val="21"/>
              </w:rPr>
              <w:t>别</w:t>
            </w:r>
          </w:p>
        </w:tc>
        <w:tc>
          <w:tcPr>
            <w:tcW w:w="3416" w:type="dxa"/>
            <w:tcBorders>
              <w:top w:val="single" w:color="000000" w:sz="2" w:space="0"/>
            </w:tcBorders>
            <w:vAlign w:val="top"/>
          </w:tcPr>
          <w:p w14:paraId="3EBB940F">
            <w:pPr>
              <w:pStyle w:val="27"/>
              <w:spacing w:before="118" w:line="228" w:lineRule="auto"/>
              <w:ind w:left="253"/>
              <w:rPr>
                <w:color w:val="auto"/>
                <w:sz w:val="21"/>
                <w:szCs w:val="21"/>
              </w:rPr>
            </w:pPr>
            <w:r>
              <w:rPr>
                <w:color w:val="auto"/>
                <w:spacing w:val="5"/>
                <w:sz w:val="21"/>
                <w:szCs w:val="21"/>
              </w:rPr>
              <w:t>平均侵蚀模数〔</w:t>
            </w:r>
            <w:r>
              <w:rPr>
                <w:rFonts w:ascii="Times New Roman" w:hAnsi="Times New Roman" w:eastAsia="Times New Roman" w:cs="Times New Roman"/>
                <w:color w:val="auto"/>
                <w:spacing w:val="5"/>
                <w:sz w:val="21"/>
                <w:szCs w:val="21"/>
              </w:rPr>
              <w:t>t/</w:t>
            </w:r>
            <w:r>
              <w:rPr>
                <w:color w:val="auto"/>
                <w:spacing w:val="5"/>
                <w:sz w:val="21"/>
                <w:szCs w:val="21"/>
              </w:rPr>
              <w:t>（</w:t>
            </w:r>
            <w:r>
              <w:rPr>
                <w:rFonts w:ascii="Times New Roman" w:hAnsi="Times New Roman" w:eastAsia="Times New Roman" w:cs="Times New Roman"/>
                <w:color w:val="auto"/>
                <w:sz w:val="21"/>
                <w:szCs w:val="21"/>
              </w:rPr>
              <w:t>km</w:t>
            </w:r>
            <w:r>
              <w:rPr>
                <w:rFonts w:ascii="Times New Roman" w:hAnsi="Times New Roman" w:eastAsia="Times New Roman" w:cs="Times New Roman"/>
                <w:color w:val="auto"/>
                <w:spacing w:val="5"/>
                <w:sz w:val="21"/>
                <w:szCs w:val="21"/>
              </w:rPr>
              <w:t>²</w:t>
            </w:r>
            <w:r>
              <w:rPr>
                <w:rFonts w:ascii="Times New Roman" w:hAnsi="Times New Roman" w:eastAsia="Times New Roman" w:cs="Times New Roman"/>
                <w:color w:val="auto"/>
                <w:spacing w:val="-27"/>
                <w:sz w:val="21"/>
                <w:szCs w:val="21"/>
              </w:rPr>
              <w:t xml:space="preserve"> </w:t>
            </w:r>
            <w:r>
              <w:rPr>
                <w:rFonts w:ascii="Times New Roman" w:hAnsi="Times New Roman" w:eastAsia="Times New Roman" w:cs="Times New Roman"/>
                <w:color w:val="auto"/>
                <w:spacing w:val="5"/>
                <w:sz w:val="21"/>
                <w:szCs w:val="21"/>
              </w:rPr>
              <w:t>·a</w:t>
            </w:r>
            <w:r>
              <w:rPr>
                <w:color w:val="auto"/>
                <w:spacing w:val="5"/>
                <w:sz w:val="21"/>
                <w:szCs w:val="21"/>
              </w:rPr>
              <w:t>）〕</w:t>
            </w:r>
          </w:p>
        </w:tc>
        <w:tc>
          <w:tcPr>
            <w:tcW w:w="3025" w:type="dxa"/>
            <w:tcBorders>
              <w:top w:val="single" w:color="000000" w:sz="2" w:space="0"/>
              <w:right w:val="single" w:color="000000" w:sz="2" w:space="0"/>
            </w:tcBorders>
            <w:vAlign w:val="top"/>
          </w:tcPr>
          <w:p w14:paraId="0A0BA7C0">
            <w:pPr>
              <w:pStyle w:val="27"/>
              <w:spacing w:before="119" w:line="228" w:lineRule="auto"/>
              <w:ind w:left="344"/>
              <w:rPr>
                <w:color w:val="auto"/>
                <w:sz w:val="21"/>
                <w:szCs w:val="21"/>
              </w:rPr>
            </w:pPr>
            <w:r>
              <w:rPr>
                <w:color w:val="auto"/>
                <w:spacing w:val="8"/>
                <w:sz w:val="21"/>
                <w:szCs w:val="21"/>
              </w:rPr>
              <w:t>平均流失厚度（</w:t>
            </w:r>
            <w:r>
              <w:rPr>
                <w:rFonts w:ascii="Times New Roman" w:hAnsi="Times New Roman" w:eastAsia="Times New Roman" w:cs="Times New Roman"/>
                <w:color w:val="auto"/>
                <w:sz w:val="21"/>
                <w:szCs w:val="21"/>
              </w:rPr>
              <w:t>mm</w:t>
            </w:r>
            <w:r>
              <w:rPr>
                <w:rFonts w:ascii="Times New Roman" w:hAnsi="Times New Roman" w:eastAsia="Times New Roman" w:cs="Times New Roman"/>
                <w:color w:val="auto"/>
                <w:spacing w:val="8"/>
                <w:sz w:val="21"/>
                <w:szCs w:val="21"/>
              </w:rPr>
              <w:t>/a</w:t>
            </w:r>
            <w:r>
              <w:rPr>
                <w:color w:val="auto"/>
                <w:spacing w:val="8"/>
                <w:sz w:val="21"/>
                <w:szCs w:val="21"/>
              </w:rPr>
              <w:t>）</w:t>
            </w:r>
          </w:p>
        </w:tc>
      </w:tr>
      <w:tr w14:paraId="302AC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677" w:type="dxa"/>
            <w:tcBorders>
              <w:left w:val="single" w:color="000000" w:sz="2" w:space="0"/>
            </w:tcBorders>
            <w:vAlign w:val="top"/>
          </w:tcPr>
          <w:p w14:paraId="2EBA4732">
            <w:pPr>
              <w:pStyle w:val="27"/>
              <w:spacing w:before="117" w:line="228" w:lineRule="auto"/>
              <w:ind w:left="477"/>
              <w:rPr>
                <w:color w:val="auto"/>
                <w:sz w:val="21"/>
                <w:szCs w:val="21"/>
              </w:rPr>
            </w:pPr>
            <w:r>
              <w:rPr>
                <w:color w:val="auto"/>
                <w:spacing w:val="1"/>
                <w:sz w:val="21"/>
                <w:szCs w:val="21"/>
              </w:rPr>
              <w:t>微</w:t>
            </w:r>
            <w:r>
              <w:rPr>
                <w:color w:val="auto"/>
                <w:spacing w:val="9"/>
                <w:sz w:val="21"/>
                <w:szCs w:val="21"/>
              </w:rPr>
              <w:t xml:space="preserve">  </w:t>
            </w:r>
            <w:r>
              <w:rPr>
                <w:color w:val="auto"/>
                <w:spacing w:val="1"/>
                <w:sz w:val="21"/>
                <w:szCs w:val="21"/>
              </w:rPr>
              <w:t>度</w:t>
            </w:r>
          </w:p>
        </w:tc>
        <w:tc>
          <w:tcPr>
            <w:tcW w:w="3416" w:type="dxa"/>
            <w:vAlign w:val="top"/>
          </w:tcPr>
          <w:p w14:paraId="3C846936">
            <w:pPr>
              <w:spacing w:before="153" w:line="195" w:lineRule="auto"/>
              <w:ind w:left="1387"/>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&lt;500</w:t>
            </w:r>
          </w:p>
        </w:tc>
        <w:tc>
          <w:tcPr>
            <w:tcW w:w="3025" w:type="dxa"/>
            <w:tcBorders>
              <w:right w:val="single" w:color="000000" w:sz="2" w:space="0"/>
            </w:tcBorders>
            <w:vAlign w:val="top"/>
          </w:tcPr>
          <w:p w14:paraId="3C515AB6">
            <w:pPr>
              <w:pStyle w:val="27"/>
              <w:spacing w:before="117" w:line="265" w:lineRule="exact"/>
              <w:ind w:left="1150"/>
              <w:rPr>
                <w:rFonts w:ascii="Times New Roman" w:hAnsi="Times New Roman" w:eastAsia="Times New Roman" w:cs="Times New Roman"/>
                <w:color w:val="auto"/>
                <w:sz w:val="21"/>
                <w:szCs w:val="21"/>
              </w:rPr>
            </w:pPr>
            <w:r>
              <w:rPr>
                <w:color w:val="auto"/>
                <w:spacing w:val="21"/>
                <w:position w:val="1"/>
                <w:sz w:val="21"/>
                <w:szCs w:val="21"/>
              </w:rPr>
              <w:t>&lt;</w:t>
            </w:r>
            <w:r>
              <w:rPr>
                <w:rFonts w:ascii="Times New Roman" w:hAnsi="Times New Roman" w:eastAsia="Times New Roman" w:cs="Times New Roman"/>
                <w:color w:val="auto"/>
                <w:spacing w:val="21"/>
                <w:position w:val="1"/>
                <w:sz w:val="21"/>
                <w:szCs w:val="21"/>
              </w:rPr>
              <w:t>0.37</w:t>
            </w:r>
          </w:p>
        </w:tc>
      </w:tr>
      <w:tr w14:paraId="1BA72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677" w:type="dxa"/>
            <w:tcBorders>
              <w:left w:val="single" w:color="000000" w:sz="2" w:space="0"/>
            </w:tcBorders>
            <w:vAlign w:val="top"/>
          </w:tcPr>
          <w:p w14:paraId="3227493A">
            <w:pPr>
              <w:pStyle w:val="27"/>
              <w:spacing w:before="116" w:line="228" w:lineRule="auto"/>
              <w:ind w:left="478"/>
              <w:rPr>
                <w:color w:val="auto"/>
                <w:sz w:val="21"/>
                <w:szCs w:val="21"/>
              </w:rPr>
            </w:pPr>
            <w:r>
              <w:rPr>
                <w:color w:val="auto"/>
                <w:sz w:val="21"/>
                <w:szCs w:val="21"/>
              </w:rPr>
              <w:t>轻</w:t>
            </w:r>
            <w:r>
              <w:rPr>
                <w:color w:val="auto"/>
                <w:spacing w:val="9"/>
                <w:sz w:val="21"/>
                <w:szCs w:val="21"/>
              </w:rPr>
              <w:t xml:space="preserve">  </w:t>
            </w:r>
            <w:r>
              <w:rPr>
                <w:color w:val="auto"/>
                <w:sz w:val="21"/>
                <w:szCs w:val="21"/>
              </w:rPr>
              <w:t>度</w:t>
            </w:r>
          </w:p>
        </w:tc>
        <w:tc>
          <w:tcPr>
            <w:tcW w:w="3416" w:type="dxa"/>
            <w:vAlign w:val="top"/>
          </w:tcPr>
          <w:p w14:paraId="69E576FE">
            <w:pPr>
              <w:spacing w:before="153" w:line="195" w:lineRule="auto"/>
              <w:ind w:left="1186"/>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500~2500</w:t>
            </w:r>
          </w:p>
        </w:tc>
        <w:tc>
          <w:tcPr>
            <w:tcW w:w="3025" w:type="dxa"/>
            <w:tcBorders>
              <w:right w:val="single" w:color="000000" w:sz="2" w:space="0"/>
            </w:tcBorders>
            <w:vAlign w:val="top"/>
          </w:tcPr>
          <w:p w14:paraId="2F2D6126">
            <w:pPr>
              <w:spacing w:before="153" w:line="195" w:lineRule="auto"/>
              <w:ind w:left="1052"/>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0.37~</w:t>
            </w:r>
            <w:r>
              <w:rPr>
                <w:rFonts w:ascii="Times New Roman" w:hAnsi="Times New Roman" w:eastAsia="Times New Roman" w:cs="Times New Roman"/>
                <w:color w:val="auto"/>
                <w:spacing w:val="-22"/>
                <w:sz w:val="21"/>
                <w:szCs w:val="21"/>
              </w:rPr>
              <w:t xml:space="preserve"> </w:t>
            </w:r>
            <w:r>
              <w:rPr>
                <w:rFonts w:ascii="Times New Roman" w:hAnsi="Times New Roman" w:eastAsia="Times New Roman" w:cs="Times New Roman"/>
                <w:color w:val="auto"/>
                <w:sz w:val="21"/>
                <w:szCs w:val="21"/>
              </w:rPr>
              <w:t>1.9</w:t>
            </w:r>
          </w:p>
        </w:tc>
      </w:tr>
      <w:tr w14:paraId="462F7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677" w:type="dxa"/>
            <w:tcBorders>
              <w:left w:val="single" w:color="000000" w:sz="2" w:space="0"/>
            </w:tcBorders>
            <w:vAlign w:val="top"/>
          </w:tcPr>
          <w:p w14:paraId="1D73AB58">
            <w:pPr>
              <w:pStyle w:val="27"/>
              <w:spacing w:before="119" w:line="228" w:lineRule="auto"/>
              <w:ind w:left="496"/>
              <w:rPr>
                <w:color w:val="auto"/>
                <w:sz w:val="21"/>
                <w:szCs w:val="21"/>
              </w:rPr>
            </w:pPr>
            <w:r>
              <w:rPr>
                <w:color w:val="auto"/>
                <w:spacing w:val="-9"/>
                <w:sz w:val="21"/>
                <w:szCs w:val="21"/>
              </w:rPr>
              <w:t>中</w:t>
            </w:r>
            <w:r>
              <w:rPr>
                <w:color w:val="auto"/>
                <w:spacing w:val="9"/>
                <w:sz w:val="21"/>
                <w:szCs w:val="21"/>
              </w:rPr>
              <w:t xml:space="preserve">  </w:t>
            </w:r>
            <w:r>
              <w:rPr>
                <w:color w:val="auto"/>
                <w:spacing w:val="-9"/>
                <w:sz w:val="21"/>
                <w:szCs w:val="21"/>
              </w:rPr>
              <w:t>度</w:t>
            </w:r>
          </w:p>
        </w:tc>
        <w:tc>
          <w:tcPr>
            <w:tcW w:w="3416" w:type="dxa"/>
            <w:vAlign w:val="top"/>
          </w:tcPr>
          <w:p w14:paraId="0477FB43">
            <w:pPr>
              <w:spacing w:before="154" w:line="195" w:lineRule="auto"/>
              <w:ind w:left="1126"/>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2500~5000</w:t>
            </w:r>
          </w:p>
        </w:tc>
        <w:tc>
          <w:tcPr>
            <w:tcW w:w="3025" w:type="dxa"/>
            <w:tcBorders>
              <w:right w:val="single" w:color="000000" w:sz="2" w:space="0"/>
            </w:tcBorders>
            <w:vAlign w:val="top"/>
          </w:tcPr>
          <w:p w14:paraId="4942DD92">
            <w:pPr>
              <w:spacing w:before="154" w:line="195" w:lineRule="auto"/>
              <w:ind w:left="1143"/>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1.9-3.7</w:t>
            </w:r>
          </w:p>
        </w:tc>
      </w:tr>
      <w:tr w14:paraId="74EE4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677" w:type="dxa"/>
            <w:tcBorders>
              <w:left w:val="single" w:color="000000" w:sz="2" w:space="0"/>
            </w:tcBorders>
            <w:vAlign w:val="top"/>
          </w:tcPr>
          <w:p w14:paraId="7AE87ED7">
            <w:pPr>
              <w:pStyle w:val="27"/>
              <w:spacing w:before="121" w:line="228" w:lineRule="auto"/>
              <w:ind w:left="482"/>
              <w:rPr>
                <w:color w:val="auto"/>
                <w:sz w:val="21"/>
                <w:szCs w:val="21"/>
              </w:rPr>
            </w:pPr>
            <w:r>
              <w:rPr>
                <w:color w:val="auto"/>
                <w:spacing w:val="-2"/>
                <w:sz w:val="21"/>
                <w:szCs w:val="21"/>
              </w:rPr>
              <w:t>强</w:t>
            </w:r>
            <w:r>
              <w:rPr>
                <w:color w:val="auto"/>
                <w:spacing w:val="9"/>
                <w:sz w:val="21"/>
                <w:szCs w:val="21"/>
              </w:rPr>
              <w:t xml:space="preserve">  </w:t>
            </w:r>
            <w:r>
              <w:rPr>
                <w:color w:val="auto"/>
                <w:spacing w:val="-2"/>
                <w:sz w:val="21"/>
                <w:szCs w:val="21"/>
              </w:rPr>
              <w:t>度</w:t>
            </w:r>
          </w:p>
        </w:tc>
        <w:tc>
          <w:tcPr>
            <w:tcW w:w="3416" w:type="dxa"/>
            <w:vAlign w:val="top"/>
          </w:tcPr>
          <w:p w14:paraId="5DEF4AE4">
            <w:pPr>
              <w:spacing w:before="156" w:line="195" w:lineRule="auto"/>
              <w:ind w:left="1131"/>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5000~8000</w:t>
            </w:r>
          </w:p>
        </w:tc>
        <w:tc>
          <w:tcPr>
            <w:tcW w:w="3025" w:type="dxa"/>
            <w:tcBorders>
              <w:right w:val="single" w:color="000000" w:sz="2" w:space="0"/>
            </w:tcBorders>
            <w:vAlign w:val="top"/>
          </w:tcPr>
          <w:p w14:paraId="6002E6EC">
            <w:pPr>
              <w:spacing w:before="156" w:line="195" w:lineRule="auto"/>
              <w:ind w:left="1075"/>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3.7-0.74</w:t>
            </w:r>
          </w:p>
        </w:tc>
      </w:tr>
      <w:tr w14:paraId="282F2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677" w:type="dxa"/>
            <w:tcBorders>
              <w:left w:val="single" w:color="000000" w:sz="2" w:space="0"/>
            </w:tcBorders>
            <w:vAlign w:val="top"/>
          </w:tcPr>
          <w:p w14:paraId="1FBF5136">
            <w:pPr>
              <w:pStyle w:val="27"/>
              <w:spacing w:before="120" w:line="228" w:lineRule="auto"/>
              <w:ind w:left="479"/>
              <w:rPr>
                <w:color w:val="auto"/>
                <w:sz w:val="21"/>
                <w:szCs w:val="21"/>
              </w:rPr>
            </w:pPr>
            <w:r>
              <w:rPr>
                <w:color w:val="auto"/>
                <w:spacing w:val="6"/>
                <w:sz w:val="21"/>
                <w:szCs w:val="21"/>
              </w:rPr>
              <w:t>极强度</w:t>
            </w:r>
          </w:p>
        </w:tc>
        <w:tc>
          <w:tcPr>
            <w:tcW w:w="3416" w:type="dxa"/>
            <w:vAlign w:val="top"/>
          </w:tcPr>
          <w:p w14:paraId="77B084EA">
            <w:pPr>
              <w:spacing w:before="156" w:line="195" w:lineRule="auto"/>
              <w:ind w:left="1084"/>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8000~</w:t>
            </w:r>
            <w:r>
              <w:rPr>
                <w:rFonts w:ascii="Times New Roman" w:hAnsi="Times New Roman" w:eastAsia="Times New Roman" w:cs="Times New Roman"/>
                <w:color w:val="auto"/>
                <w:spacing w:val="-23"/>
                <w:sz w:val="21"/>
                <w:szCs w:val="21"/>
              </w:rPr>
              <w:t xml:space="preserve"> </w:t>
            </w:r>
            <w:r>
              <w:rPr>
                <w:rFonts w:ascii="Times New Roman" w:hAnsi="Times New Roman" w:eastAsia="Times New Roman" w:cs="Times New Roman"/>
                <w:color w:val="auto"/>
                <w:spacing w:val="1"/>
                <w:sz w:val="21"/>
                <w:szCs w:val="21"/>
              </w:rPr>
              <w:t>15000</w:t>
            </w:r>
          </w:p>
        </w:tc>
        <w:tc>
          <w:tcPr>
            <w:tcW w:w="3025" w:type="dxa"/>
            <w:tcBorders>
              <w:right w:val="single" w:color="000000" w:sz="2" w:space="0"/>
            </w:tcBorders>
            <w:vAlign w:val="top"/>
          </w:tcPr>
          <w:p w14:paraId="48CCE6DC">
            <w:pPr>
              <w:spacing w:before="156" w:line="195" w:lineRule="auto"/>
              <w:ind w:left="1081"/>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5.9-</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pacing w:val="-2"/>
                <w:sz w:val="21"/>
                <w:szCs w:val="21"/>
              </w:rPr>
              <w:t>11.</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pacing w:val="-2"/>
                <w:sz w:val="21"/>
                <w:szCs w:val="21"/>
              </w:rPr>
              <w:t>1</w:t>
            </w:r>
          </w:p>
        </w:tc>
      </w:tr>
      <w:tr w14:paraId="51DEB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677" w:type="dxa"/>
            <w:tcBorders>
              <w:left w:val="single" w:color="000000" w:sz="2" w:space="0"/>
              <w:bottom w:val="single" w:color="000000" w:sz="2" w:space="0"/>
            </w:tcBorders>
            <w:vAlign w:val="top"/>
          </w:tcPr>
          <w:p w14:paraId="4050FF6B">
            <w:pPr>
              <w:pStyle w:val="27"/>
              <w:spacing w:before="122" w:line="229" w:lineRule="auto"/>
              <w:ind w:left="478"/>
              <w:rPr>
                <w:color w:val="auto"/>
                <w:sz w:val="21"/>
                <w:szCs w:val="21"/>
              </w:rPr>
            </w:pPr>
            <w:r>
              <w:rPr>
                <w:color w:val="auto"/>
                <w:sz w:val="21"/>
                <w:szCs w:val="21"/>
              </w:rPr>
              <w:t>剧</w:t>
            </w:r>
            <w:r>
              <w:rPr>
                <w:color w:val="auto"/>
                <w:spacing w:val="11"/>
                <w:sz w:val="21"/>
                <w:szCs w:val="21"/>
              </w:rPr>
              <w:t xml:space="preserve">  </w:t>
            </w:r>
            <w:r>
              <w:rPr>
                <w:color w:val="auto"/>
                <w:sz w:val="21"/>
                <w:szCs w:val="21"/>
              </w:rPr>
              <w:t>烈</w:t>
            </w:r>
          </w:p>
        </w:tc>
        <w:tc>
          <w:tcPr>
            <w:tcW w:w="3416" w:type="dxa"/>
            <w:tcBorders>
              <w:bottom w:val="single" w:color="000000" w:sz="2" w:space="0"/>
            </w:tcBorders>
            <w:vAlign w:val="top"/>
          </w:tcPr>
          <w:p w14:paraId="70C90E4E">
            <w:pPr>
              <w:spacing w:before="157" w:line="195" w:lineRule="auto"/>
              <w:ind w:left="1281"/>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&gt;15000</w:t>
            </w:r>
          </w:p>
        </w:tc>
        <w:tc>
          <w:tcPr>
            <w:tcW w:w="3025" w:type="dxa"/>
            <w:tcBorders>
              <w:bottom w:val="single" w:color="000000" w:sz="2" w:space="0"/>
              <w:right w:val="single" w:color="000000" w:sz="2" w:space="0"/>
            </w:tcBorders>
            <w:vAlign w:val="top"/>
          </w:tcPr>
          <w:p w14:paraId="6C3AE8D1">
            <w:pPr>
              <w:pStyle w:val="27"/>
              <w:spacing w:before="122" w:line="264" w:lineRule="exact"/>
              <w:ind w:left="1158"/>
              <w:rPr>
                <w:rFonts w:ascii="Times New Roman" w:hAnsi="Times New Roman" w:eastAsia="Times New Roman" w:cs="Times New Roman"/>
                <w:color w:val="auto"/>
                <w:sz w:val="21"/>
                <w:szCs w:val="21"/>
              </w:rPr>
            </w:pPr>
            <w:r>
              <w:rPr>
                <w:color w:val="auto"/>
                <w:spacing w:val="18"/>
                <w:position w:val="1"/>
                <w:sz w:val="21"/>
                <w:szCs w:val="21"/>
              </w:rPr>
              <w:t>&gt;</w:t>
            </w:r>
            <w:r>
              <w:rPr>
                <w:rFonts w:ascii="Times New Roman" w:hAnsi="Times New Roman" w:eastAsia="Times New Roman" w:cs="Times New Roman"/>
                <w:color w:val="auto"/>
                <w:spacing w:val="18"/>
                <w:position w:val="1"/>
                <w:sz w:val="21"/>
                <w:szCs w:val="21"/>
              </w:rPr>
              <w:t>11.1</w:t>
            </w:r>
          </w:p>
        </w:tc>
      </w:tr>
    </w:tbl>
    <w:p w14:paraId="429E20C2">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584" w:firstLineChars="200"/>
        <w:textAlignment w:val="baseline"/>
        <w:outlineLvl w:val="1"/>
        <w:rPr>
          <w:rFonts w:hint="default" w:ascii="Times New Roman" w:hAnsi="Times New Roman" w:cs="Times New Roman"/>
          <w:color w:val="auto"/>
          <w:sz w:val="30"/>
          <w:szCs w:val="30"/>
        </w:rPr>
      </w:pPr>
      <w:bookmarkStart w:id="64" w:name="bookmark15"/>
      <w:bookmarkEnd w:id="64"/>
      <w:bookmarkStart w:id="65" w:name="_Toc9029"/>
      <w:r>
        <w:rPr>
          <w:rFonts w:hint="default" w:ascii="Times New Roman" w:hAnsi="Times New Roman" w:eastAsia="Times New Roman" w:cs="Times New Roman"/>
          <w:b/>
          <w:bCs/>
          <w:color w:val="auto"/>
          <w:spacing w:val="-4"/>
          <w:sz w:val="30"/>
          <w:szCs w:val="30"/>
        </w:rPr>
        <w:t xml:space="preserve">1.8  </w:t>
      </w:r>
      <w:r>
        <w:rPr>
          <w:rFonts w:hint="default" w:ascii="Times New Roman" w:hAnsi="Times New Roman" w:cs="Times New Roman"/>
          <w:b/>
          <w:bCs/>
          <w:color w:val="auto"/>
          <w:spacing w:val="-4"/>
          <w:sz w:val="30"/>
          <w:szCs w:val="30"/>
        </w:rPr>
        <w:t>环境功能区划</w:t>
      </w:r>
      <w:bookmarkEnd w:id="65"/>
    </w:p>
    <w:p w14:paraId="70C57529">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2" w:firstLineChars="200"/>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（1）地表水环境功能区划</w:t>
      </w:r>
    </w:p>
    <w:p w14:paraId="5E72C6B5">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2"/>
          <w:sz w:val="24"/>
          <w:szCs w:val="24"/>
        </w:rPr>
      </w:pPr>
      <w:r>
        <w:rPr>
          <w:rFonts w:hint="default" w:ascii="Times New Roman" w:hAnsi="Times New Roman" w:eastAsia="宋体" w:cs="Times New Roman"/>
          <w:b w:val="0"/>
          <w:bCs w:val="0"/>
          <w:color w:val="auto"/>
          <w:sz w:val="24"/>
          <w:lang w:val="en-US" w:eastAsia="zh-CN"/>
        </w:rPr>
        <w:t>本项目所在区域的最近地表水体为西北面约90m处的</w:t>
      </w:r>
      <w:r>
        <w:rPr>
          <w:rFonts w:hint="default" w:ascii="Times New Roman" w:hAnsi="Times New Roman" w:eastAsia="宋体" w:cs="Times New Roman"/>
          <w:color w:val="auto"/>
          <w:kern w:val="0"/>
          <w:sz w:val="24"/>
          <w:lang w:val="en-US" w:eastAsia="zh-CN" w:bidi="ar"/>
        </w:rPr>
        <w:t>东干渠</w:t>
      </w:r>
      <w:r>
        <w:rPr>
          <w:rFonts w:hint="default" w:ascii="Times New Roman" w:hAnsi="Times New Roman" w:eastAsia="宋体" w:cs="Times New Roman"/>
          <w:b w:val="0"/>
          <w:bCs w:val="0"/>
          <w:color w:val="auto"/>
          <w:sz w:val="24"/>
          <w:lang w:val="en-US" w:eastAsia="zh-CN"/>
        </w:rPr>
        <w:t>，汇入南盘江</w:t>
      </w:r>
      <w:r>
        <w:rPr>
          <w:rFonts w:hint="default" w:ascii="Times New Roman" w:hAnsi="Times New Roman" w:cs="Times New Roman"/>
          <w:color w:val="auto"/>
          <w:sz w:val="24"/>
          <w:szCs w:val="24"/>
        </w:rPr>
        <w:t>。</w:t>
      </w:r>
      <w:r>
        <w:rPr>
          <w:rFonts w:hint="default" w:ascii="Times New Roman" w:hAnsi="Times New Roman" w:eastAsia="宋体" w:cs="Times New Roman"/>
          <w:b w:val="0"/>
          <w:bCs w:val="0"/>
          <w:color w:val="auto"/>
          <w:sz w:val="24"/>
          <w:lang w:val="en-US" w:eastAsia="zh-CN"/>
        </w:rPr>
        <w:t>根据《云南省水功能区划（2014年修订）》，南盘江沾益</w:t>
      </w:r>
      <w:r>
        <w:rPr>
          <w:rFonts w:hint="eastAsia" w:cs="Times New Roman"/>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宜良开发利用区中工</w:t>
      </w:r>
      <w:r>
        <w:rPr>
          <w:rFonts w:hint="eastAsia" w:ascii="Times New Roman" w:hAnsi="Times New Roman" w:eastAsia="宋体" w:cs="Times New Roman"/>
          <w:b w:val="0"/>
          <w:bCs w:val="0"/>
          <w:color w:val="auto"/>
          <w:sz w:val="24"/>
          <w:lang w:val="en-US" w:eastAsia="zh-CN"/>
        </w:rPr>
        <w:t>南盘江沾益农业、工业、渔业用水区（南盘江陈方桥至沾益天生坝电站）</w:t>
      </w:r>
      <w:r>
        <w:rPr>
          <w:rFonts w:hint="default" w:ascii="Times New Roman" w:hAnsi="Times New Roman" w:eastAsia="宋体" w:cs="Times New Roman"/>
          <w:b w:val="0"/>
          <w:bCs w:val="0"/>
          <w:color w:val="auto"/>
          <w:sz w:val="24"/>
          <w:lang w:val="en-US" w:eastAsia="zh-CN"/>
        </w:rPr>
        <w:t>，规划水平年水质目标为Ⅲ类，执行《地表水环境质量标准》（GB3838-2002）Ⅲ类标准</w:t>
      </w:r>
      <w:r>
        <w:rPr>
          <w:rFonts w:hint="eastAsia" w:ascii="Times New Roman" w:hAnsi="Times New Roman" w:eastAsia="宋体" w:cs="Times New Roman"/>
          <w:b w:val="0"/>
          <w:bCs w:val="0"/>
          <w:color w:val="auto"/>
          <w:sz w:val="24"/>
          <w:lang w:val="en-US" w:eastAsia="zh-CN"/>
        </w:rPr>
        <w:t>。</w:t>
      </w:r>
    </w:p>
    <w:p w14:paraId="66B427D2">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2" w:firstLineChars="200"/>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（2）大气环境功能区划</w:t>
      </w:r>
    </w:p>
    <w:p w14:paraId="2DA98F4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项目位于曲靖市高新技术产业开发区花山片区，环境空气功能区划属二类区。</w:t>
      </w:r>
    </w:p>
    <w:p w14:paraId="3E4F786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（3）声环境功能区划</w:t>
      </w:r>
    </w:p>
    <w:p w14:paraId="55004E6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根据《曲靖高新技术产业开发区总体规划（2023</w:t>
      </w:r>
      <w:r>
        <w:rPr>
          <w:rFonts w:hint="eastAsia" w:ascii="Times New Roman" w:hAnsi="Times New Roman" w:eastAsia="宋体" w:cs="Times New Roman"/>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2035年）环境影响报告书》，规划区涉及的主干道两侧30±5m范围内执行《声环境质量标准》（GB3096-2008）4a类标准，工业用地区域执行3类标准，其余区域（包括规划的商业区、居住区、行政区域以及保留的村庄）执行2类标准。</w:t>
      </w:r>
    </w:p>
    <w:p w14:paraId="2E85F1A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本项目位于曲靖高新技术产业开发区花山片区，属于</w:t>
      </w:r>
      <w:r>
        <w:rPr>
          <w:rFonts w:hint="default" w:ascii="Times New Roman" w:hAnsi="Times New Roman" w:eastAsia="宋体" w:cs="Times New Roman"/>
          <w:b w:val="0"/>
          <w:bCs w:val="0"/>
          <w:color w:val="auto"/>
          <w:sz w:val="24"/>
          <w:lang w:val="en-US" w:eastAsia="zh-CN"/>
        </w:rPr>
        <w:t>工业用地区域</w:t>
      </w:r>
      <w:r>
        <w:rPr>
          <w:rFonts w:hint="eastAsia" w:ascii="Times New Roman" w:hAnsi="Times New Roman" w:eastAsia="宋体" w:cs="Times New Roman"/>
          <w:b w:val="0"/>
          <w:bCs w:val="0"/>
          <w:color w:val="auto"/>
          <w:sz w:val="24"/>
          <w:lang w:val="en-US" w:eastAsia="zh-CN"/>
        </w:rPr>
        <w:t>，项目区</w:t>
      </w:r>
      <w:r>
        <w:rPr>
          <w:rFonts w:hint="default" w:ascii="Times New Roman" w:hAnsi="Times New Roman" w:eastAsia="宋体" w:cs="Times New Roman"/>
          <w:b w:val="0"/>
          <w:bCs w:val="0"/>
          <w:color w:val="auto"/>
          <w:sz w:val="24"/>
          <w:lang w:val="en-US" w:eastAsia="zh-CN"/>
        </w:rPr>
        <w:t>执行《声环境质量标准》（GB3096-2008）3类标准。</w:t>
      </w:r>
    </w:p>
    <w:p w14:paraId="507B2D8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（4）地下水环境</w:t>
      </w:r>
    </w:p>
    <w:p w14:paraId="0FE0B8B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区域地下水质量执行《地下水质量标准》（GB/T14848-2017）Ⅲ类标准。</w:t>
      </w:r>
    </w:p>
    <w:p w14:paraId="5C37875D">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584" w:firstLineChars="200"/>
        <w:textAlignment w:val="baseline"/>
        <w:outlineLvl w:val="1"/>
        <w:rPr>
          <w:rFonts w:hint="default" w:ascii="Times New Roman" w:hAnsi="Times New Roman" w:eastAsia="Times New Roman" w:cs="Times New Roman"/>
          <w:b/>
          <w:bCs/>
          <w:color w:val="auto"/>
          <w:spacing w:val="-4"/>
          <w:sz w:val="30"/>
          <w:szCs w:val="30"/>
        </w:rPr>
      </w:pPr>
      <w:bookmarkStart w:id="66" w:name="bookmark16"/>
      <w:bookmarkEnd w:id="66"/>
      <w:bookmarkStart w:id="67" w:name="_Toc7197"/>
      <w:r>
        <w:rPr>
          <w:rFonts w:hint="default" w:ascii="Times New Roman" w:hAnsi="Times New Roman" w:eastAsia="Times New Roman" w:cs="Times New Roman"/>
          <w:b/>
          <w:bCs/>
          <w:color w:val="auto"/>
          <w:spacing w:val="-4"/>
          <w:sz w:val="30"/>
          <w:szCs w:val="30"/>
        </w:rPr>
        <w:t>1.9 环境保护目标</w:t>
      </w:r>
      <w:bookmarkEnd w:id="67"/>
    </w:p>
    <w:p w14:paraId="659844E3">
      <w:pPr>
        <w:pStyle w:val="9"/>
        <w:keepNext w:val="0"/>
        <w:keepLines w:val="0"/>
        <w:pageBreakBefore w:val="0"/>
        <w:widowControl/>
        <w:kinsoku w:val="0"/>
        <w:wordWrap/>
        <w:overflowPunct/>
        <w:topLinePunct w:val="0"/>
        <w:autoSpaceDE w:val="0"/>
        <w:autoSpaceDN w:val="0"/>
        <w:bidi w:val="0"/>
        <w:adjustRightInd w:val="0"/>
        <w:snapToGrid w:val="0"/>
        <w:spacing w:before="217" w:line="221" w:lineRule="auto"/>
        <w:ind w:left="607"/>
        <w:textAlignment w:val="baseline"/>
        <w:outlineLvl w:val="2"/>
        <w:rPr>
          <w:color w:val="auto"/>
          <w:sz w:val="24"/>
          <w:szCs w:val="24"/>
        </w:rPr>
      </w:pPr>
      <w:bookmarkStart w:id="68" w:name="_Toc6057"/>
      <w:r>
        <w:rPr>
          <w:rFonts w:hint="eastAsia" w:ascii="Times New Roman" w:hAnsi="Times New Roman" w:eastAsia="宋体" w:cs="Times New Roman"/>
          <w:b/>
          <w:bCs/>
          <w:color w:val="auto"/>
          <w:spacing w:val="-7"/>
          <w:sz w:val="24"/>
          <w:szCs w:val="24"/>
          <w:lang w:val="en-US" w:eastAsia="zh-CN"/>
        </w:rPr>
        <w:t>1.9.</w:t>
      </w:r>
      <w:r>
        <w:rPr>
          <w:rFonts w:ascii="Times New Roman" w:hAnsi="Times New Roman" w:eastAsia="Times New Roman" w:cs="Times New Roman"/>
          <w:b/>
          <w:bCs/>
          <w:color w:val="auto"/>
          <w:spacing w:val="-7"/>
          <w:sz w:val="24"/>
          <w:szCs w:val="24"/>
        </w:rPr>
        <w:t>1</w:t>
      </w:r>
      <w:r>
        <w:rPr>
          <w:b/>
          <w:bCs/>
          <w:color w:val="auto"/>
          <w:spacing w:val="-7"/>
          <w:sz w:val="24"/>
          <w:szCs w:val="24"/>
        </w:rPr>
        <w:t>、污染控制目标</w:t>
      </w:r>
      <w:bookmarkEnd w:id="68"/>
    </w:p>
    <w:p w14:paraId="77568BFC">
      <w:pPr>
        <w:pStyle w:val="9"/>
        <w:spacing w:before="182" w:line="219" w:lineRule="auto"/>
        <w:ind w:left="603"/>
        <w:rPr>
          <w:color w:val="auto"/>
          <w:sz w:val="24"/>
          <w:szCs w:val="24"/>
        </w:rPr>
      </w:pPr>
      <w:r>
        <w:rPr>
          <w:color w:val="auto"/>
          <w:spacing w:val="-4"/>
          <w:sz w:val="24"/>
          <w:szCs w:val="24"/>
        </w:rPr>
        <w:t>本项目污染控制目标见表</w:t>
      </w:r>
      <w:r>
        <w:rPr>
          <w:rFonts w:ascii="Times New Roman" w:hAnsi="Times New Roman" w:eastAsia="Times New Roman" w:cs="Times New Roman"/>
          <w:color w:val="auto"/>
          <w:spacing w:val="-4"/>
          <w:sz w:val="24"/>
          <w:szCs w:val="24"/>
        </w:rPr>
        <w:t>1.9</w:t>
      </w:r>
      <w:r>
        <w:rPr>
          <w:rFonts w:hint="eastAsia" w:ascii="Times New Roman" w:hAnsi="Times New Roman" w:eastAsia="宋体" w:cs="Times New Roman"/>
          <w:color w:val="auto"/>
          <w:spacing w:val="-4"/>
          <w:sz w:val="24"/>
          <w:szCs w:val="24"/>
          <w:lang w:val="en-US" w:eastAsia="zh-CN"/>
        </w:rPr>
        <w:t>-1</w:t>
      </w:r>
      <w:r>
        <w:rPr>
          <w:color w:val="auto"/>
          <w:spacing w:val="-4"/>
          <w:sz w:val="24"/>
          <w:szCs w:val="24"/>
        </w:rPr>
        <w:t>。</w:t>
      </w:r>
    </w:p>
    <w:p w14:paraId="1B336087">
      <w:pPr>
        <w:pStyle w:val="9"/>
        <w:spacing w:before="107" w:line="211" w:lineRule="auto"/>
        <w:ind w:left="2909"/>
        <w:rPr>
          <w:color w:val="auto"/>
        </w:rPr>
      </w:pPr>
      <w:r>
        <w:rPr>
          <w:b/>
          <w:bCs/>
          <w:color w:val="auto"/>
          <w:spacing w:val="-3"/>
        </w:rPr>
        <w:t>表</w:t>
      </w:r>
      <w:r>
        <w:rPr>
          <w:rFonts w:ascii="Times New Roman" w:hAnsi="Times New Roman" w:eastAsia="Times New Roman" w:cs="Times New Roman"/>
          <w:b/>
          <w:bCs/>
          <w:color w:val="auto"/>
          <w:spacing w:val="-3"/>
        </w:rPr>
        <w:t>1.9-1</w:t>
      </w:r>
      <w:r>
        <w:rPr>
          <w:b/>
          <w:bCs/>
          <w:color w:val="auto"/>
          <w:spacing w:val="-3"/>
        </w:rPr>
        <w:t>污染控制目标表</w:t>
      </w:r>
    </w:p>
    <w:tbl>
      <w:tblPr>
        <w:tblStyle w:val="26"/>
        <w:tblW w:w="84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2"/>
        <w:gridCol w:w="1118"/>
        <w:gridCol w:w="2452"/>
        <w:gridCol w:w="4268"/>
      </w:tblGrid>
      <w:tr w14:paraId="12334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642" w:type="dxa"/>
            <w:vAlign w:val="center"/>
          </w:tcPr>
          <w:p w14:paraId="312900FA">
            <w:pPr>
              <w:pStyle w:val="27"/>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4"/>
                <w:sz w:val="21"/>
                <w:szCs w:val="21"/>
              </w:rPr>
              <w:t>序号</w:t>
            </w:r>
          </w:p>
        </w:tc>
        <w:tc>
          <w:tcPr>
            <w:tcW w:w="1118" w:type="dxa"/>
            <w:vAlign w:val="center"/>
          </w:tcPr>
          <w:p w14:paraId="2DC3D542">
            <w:pPr>
              <w:pStyle w:val="27"/>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6"/>
                <w:sz w:val="21"/>
                <w:szCs w:val="21"/>
              </w:rPr>
              <w:t>环境类别</w:t>
            </w:r>
          </w:p>
        </w:tc>
        <w:tc>
          <w:tcPr>
            <w:tcW w:w="2452" w:type="dxa"/>
            <w:vAlign w:val="center"/>
          </w:tcPr>
          <w:p w14:paraId="6C436B72">
            <w:pPr>
              <w:pStyle w:val="27"/>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6"/>
                <w:sz w:val="21"/>
                <w:szCs w:val="21"/>
              </w:rPr>
              <w:t>保护对象</w:t>
            </w:r>
          </w:p>
        </w:tc>
        <w:tc>
          <w:tcPr>
            <w:tcW w:w="4268" w:type="dxa"/>
            <w:vAlign w:val="center"/>
          </w:tcPr>
          <w:p w14:paraId="7C653B50">
            <w:pPr>
              <w:pStyle w:val="27"/>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3"/>
                <w:sz w:val="21"/>
                <w:szCs w:val="21"/>
              </w:rPr>
              <w:t>标准</w:t>
            </w:r>
          </w:p>
        </w:tc>
      </w:tr>
      <w:tr w14:paraId="274EC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42" w:type="dxa"/>
            <w:vAlign w:val="center"/>
          </w:tcPr>
          <w:p w14:paraId="1C63313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1</w:t>
            </w:r>
          </w:p>
        </w:tc>
        <w:tc>
          <w:tcPr>
            <w:tcW w:w="1118" w:type="dxa"/>
            <w:vAlign w:val="center"/>
          </w:tcPr>
          <w:p w14:paraId="54CF32B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1"/>
                <w:sz w:val="21"/>
                <w:szCs w:val="21"/>
              </w:rPr>
              <w:t>空气</w:t>
            </w:r>
          </w:p>
        </w:tc>
        <w:tc>
          <w:tcPr>
            <w:tcW w:w="2452" w:type="dxa"/>
            <w:vAlign w:val="center"/>
          </w:tcPr>
          <w:p w14:paraId="73218B3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工程占地范围</w:t>
            </w:r>
          </w:p>
        </w:tc>
        <w:tc>
          <w:tcPr>
            <w:tcW w:w="4268" w:type="dxa"/>
            <w:vAlign w:val="center"/>
          </w:tcPr>
          <w:p w14:paraId="6F261EBF">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5"/>
                <w:sz w:val="21"/>
                <w:szCs w:val="21"/>
              </w:rPr>
              <w:t>《环境空气质量标准》（</w:t>
            </w:r>
            <w:r>
              <w:rPr>
                <w:rFonts w:ascii="Times New Roman" w:hAnsi="Times New Roman" w:eastAsia="Times New Roman" w:cs="Times New Roman"/>
                <w:color w:val="auto"/>
                <w:sz w:val="21"/>
                <w:szCs w:val="21"/>
              </w:rPr>
              <w:t>GB</w:t>
            </w:r>
            <w:r>
              <w:rPr>
                <w:rFonts w:ascii="Times New Roman" w:hAnsi="Times New Roman" w:eastAsia="Times New Roman" w:cs="Times New Roman"/>
                <w:color w:val="auto"/>
                <w:spacing w:val="5"/>
                <w:sz w:val="21"/>
                <w:szCs w:val="21"/>
              </w:rPr>
              <w:t>3095-20</w:t>
            </w:r>
            <w:r>
              <w:rPr>
                <w:rFonts w:hint="eastAsia" w:ascii="Times New Roman" w:hAnsi="Times New Roman" w:eastAsia="宋体" w:cs="Times New Roman"/>
                <w:color w:val="auto"/>
                <w:spacing w:val="5"/>
                <w:sz w:val="21"/>
                <w:szCs w:val="21"/>
                <w:lang w:val="en-US" w:eastAsia="zh-CN"/>
              </w:rPr>
              <w:t>26</w:t>
            </w:r>
            <w:r>
              <w:rPr>
                <w:color w:val="auto"/>
                <w:spacing w:val="4"/>
                <w:sz w:val="21"/>
                <w:szCs w:val="21"/>
              </w:rPr>
              <w:t>）</w:t>
            </w:r>
          </w:p>
        </w:tc>
      </w:tr>
      <w:tr w14:paraId="4AD70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42" w:type="dxa"/>
            <w:vAlign w:val="center"/>
          </w:tcPr>
          <w:p w14:paraId="2B9EAA2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2</w:t>
            </w:r>
          </w:p>
        </w:tc>
        <w:tc>
          <w:tcPr>
            <w:tcW w:w="1118" w:type="dxa"/>
            <w:vAlign w:val="center"/>
          </w:tcPr>
          <w:p w14:paraId="21A85CB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6"/>
                <w:sz w:val="21"/>
                <w:szCs w:val="21"/>
              </w:rPr>
              <w:t>地表水</w:t>
            </w:r>
          </w:p>
        </w:tc>
        <w:tc>
          <w:tcPr>
            <w:tcW w:w="2452" w:type="dxa"/>
            <w:vAlign w:val="center"/>
          </w:tcPr>
          <w:p w14:paraId="44040EB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rFonts w:hint="eastAsia"/>
                <w:color w:val="auto"/>
                <w:spacing w:val="4"/>
                <w:sz w:val="21"/>
                <w:szCs w:val="21"/>
              </w:rPr>
              <w:t>东干渠汇入南盘江</w:t>
            </w:r>
          </w:p>
        </w:tc>
        <w:tc>
          <w:tcPr>
            <w:tcW w:w="4268" w:type="dxa"/>
            <w:vAlign w:val="center"/>
          </w:tcPr>
          <w:p w14:paraId="6C90113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《地表水环境质量标准》（</w:t>
            </w:r>
            <w:r>
              <w:rPr>
                <w:rFonts w:ascii="Times New Roman" w:hAnsi="Times New Roman" w:eastAsia="Times New Roman" w:cs="Times New Roman"/>
                <w:color w:val="auto"/>
                <w:sz w:val="21"/>
                <w:szCs w:val="21"/>
              </w:rPr>
              <w:t>GB</w:t>
            </w:r>
            <w:r>
              <w:rPr>
                <w:rFonts w:ascii="Times New Roman" w:hAnsi="Times New Roman" w:eastAsia="Times New Roman" w:cs="Times New Roman"/>
                <w:color w:val="auto"/>
                <w:spacing w:val="7"/>
                <w:sz w:val="21"/>
                <w:szCs w:val="21"/>
              </w:rPr>
              <w:t>3838-2002</w:t>
            </w:r>
            <w:r>
              <w:rPr>
                <w:color w:val="auto"/>
                <w:spacing w:val="7"/>
                <w:sz w:val="21"/>
                <w:szCs w:val="21"/>
              </w:rPr>
              <w:t>）</w:t>
            </w:r>
            <w:r>
              <w:rPr>
                <w:rFonts w:ascii="Times New Roman" w:hAnsi="Times New Roman" w:eastAsia="Times New Roman" w:cs="Times New Roman"/>
                <w:color w:val="auto"/>
                <w:spacing w:val="4"/>
                <w:sz w:val="21"/>
                <w:szCs w:val="21"/>
              </w:rPr>
              <w:t>Ⅲ</w:t>
            </w:r>
            <w:r>
              <w:rPr>
                <w:color w:val="auto"/>
                <w:spacing w:val="4"/>
                <w:sz w:val="21"/>
                <w:szCs w:val="21"/>
              </w:rPr>
              <w:t>类。</w:t>
            </w:r>
          </w:p>
        </w:tc>
      </w:tr>
      <w:tr w14:paraId="1EA37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42" w:type="dxa"/>
            <w:tcBorders>
              <w:bottom w:val="single" w:color="auto" w:sz="4" w:space="0"/>
            </w:tcBorders>
            <w:vAlign w:val="center"/>
          </w:tcPr>
          <w:p w14:paraId="3363064C">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3</w:t>
            </w:r>
          </w:p>
        </w:tc>
        <w:tc>
          <w:tcPr>
            <w:tcW w:w="1118" w:type="dxa"/>
            <w:tcBorders>
              <w:bottom w:val="single" w:color="auto" w:sz="4" w:space="0"/>
            </w:tcBorders>
            <w:vAlign w:val="center"/>
          </w:tcPr>
          <w:p w14:paraId="171C880A">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eastAsia="宋体"/>
                <w:color w:val="auto"/>
                <w:sz w:val="21"/>
                <w:szCs w:val="21"/>
                <w:lang w:val="en-US" w:eastAsia="zh-CN"/>
              </w:rPr>
            </w:pPr>
            <w:r>
              <w:rPr>
                <w:color w:val="auto"/>
                <w:spacing w:val="-1"/>
                <w:sz w:val="21"/>
                <w:szCs w:val="21"/>
              </w:rPr>
              <w:t>噪声</w:t>
            </w:r>
          </w:p>
        </w:tc>
        <w:tc>
          <w:tcPr>
            <w:tcW w:w="2452" w:type="dxa"/>
            <w:tcBorders>
              <w:bottom w:val="single" w:color="auto" w:sz="4" w:space="0"/>
            </w:tcBorders>
            <w:vAlign w:val="center"/>
          </w:tcPr>
          <w:p w14:paraId="3ED92D9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9"/>
                <w:sz w:val="21"/>
                <w:szCs w:val="21"/>
              </w:rPr>
              <w:t>评价范围内</w:t>
            </w:r>
            <w:r>
              <w:rPr>
                <w:rFonts w:hint="eastAsia"/>
                <w:color w:val="auto"/>
                <w:spacing w:val="9"/>
                <w:sz w:val="21"/>
                <w:szCs w:val="21"/>
                <w:lang w:val="en-US" w:eastAsia="zh-CN"/>
              </w:rPr>
              <w:t>无声</w:t>
            </w:r>
            <w:r>
              <w:rPr>
                <w:color w:val="auto"/>
                <w:spacing w:val="6"/>
                <w:sz w:val="21"/>
                <w:szCs w:val="21"/>
              </w:rPr>
              <w:t>环境敏感点</w:t>
            </w:r>
          </w:p>
        </w:tc>
        <w:tc>
          <w:tcPr>
            <w:tcW w:w="4268" w:type="dxa"/>
            <w:tcBorders>
              <w:bottom w:val="single" w:color="auto" w:sz="4" w:space="0"/>
            </w:tcBorders>
            <w:vAlign w:val="center"/>
          </w:tcPr>
          <w:p w14:paraId="68BADDDA">
            <w:pPr>
              <w:pStyle w:val="27"/>
              <w:keepNext w:val="0"/>
              <w:keepLines w:val="0"/>
              <w:pageBreakBefore w:val="0"/>
              <w:widowControl/>
              <w:kinsoku/>
              <w:wordWrap/>
              <w:overflowPunct/>
              <w:topLinePunct w:val="0"/>
              <w:autoSpaceDE w:val="0"/>
              <w:autoSpaceDN w:val="0"/>
              <w:bidi w:val="0"/>
              <w:adjustRightInd/>
              <w:snapToGrid/>
              <w:spacing w:line="240" w:lineRule="auto"/>
              <w:ind w:left="0" w:right="14"/>
              <w:jc w:val="center"/>
              <w:textAlignment w:val="baseline"/>
              <w:rPr>
                <w:color w:val="auto"/>
                <w:sz w:val="21"/>
                <w:szCs w:val="21"/>
              </w:rPr>
            </w:pPr>
            <w:r>
              <w:rPr>
                <w:color w:val="auto"/>
                <w:spacing w:val="2"/>
                <w:sz w:val="21"/>
                <w:szCs w:val="21"/>
              </w:rPr>
              <w:t>《声环境质量标准》（</w:t>
            </w:r>
            <w:r>
              <w:rPr>
                <w:rFonts w:ascii="Times New Roman" w:hAnsi="Times New Roman" w:eastAsia="Times New Roman" w:cs="Times New Roman"/>
                <w:color w:val="auto"/>
                <w:sz w:val="21"/>
                <w:szCs w:val="21"/>
              </w:rPr>
              <w:t>GB</w:t>
            </w:r>
            <w:r>
              <w:rPr>
                <w:rFonts w:ascii="Times New Roman" w:hAnsi="Times New Roman" w:eastAsia="Times New Roman" w:cs="Times New Roman"/>
                <w:color w:val="auto"/>
                <w:spacing w:val="2"/>
                <w:sz w:val="21"/>
                <w:szCs w:val="21"/>
              </w:rPr>
              <w:t>3096-2008</w:t>
            </w:r>
            <w:r>
              <w:rPr>
                <w:color w:val="auto"/>
                <w:spacing w:val="2"/>
                <w:sz w:val="21"/>
                <w:szCs w:val="21"/>
              </w:rPr>
              <w:t>）</w:t>
            </w:r>
            <w:r>
              <w:rPr>
                <w:rFonts w:ascii="Times New Roman" w:hAnsi="Times New Roman" w:eastAsia="Times New Roman" w:cs="Times New Roman"/>
                <w:color w:val="auto"/>
                <w:spacing w:val="2"/>
                <w:sz w:val="21"/>
                <w:szCs w:val="21"/>
              </w:rPr>
              <w:t>2</w:t>
            </w:r>
            <w:r>
              <w:rPr>
                <w:color w:val="auto"/>
                <w:spacing w:val="2"/>
                <w:sz w:val="21"/>
                <w:szCs w:val="21"/>
              </w:rPr>
              <w:t>类。</w:t>
            </w:r>
          </w:p>
        </w:tc>
      </w:tr>
      <w:tr w14:paraId="2D451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42" w:type="dxa"/>
            <w:tcBorders>
              <w:top w:val="single" w:color="auto" w:sz="4" w:space="0"/>
            </w:tcBorders>
            <w:vAlign w:val="center"/>
          </w:tcPr>
          <w:p w14:paraId="7C029AEC">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hint="eastAsia" w:ascii="Times New Roman" w:hAnsi="Times New Roman" w:eastAsia="宋体" w:cs="Times New Roman"/>
                <w:color w:val="auto"/>
                <w:sz w:val="21"/>
                <w:szCs w:val="21"/>
                <w:lang w:val="en-US" w:eastAsia="zh-CN"/>
              </w:rPr>
              <w:t>4</w:t>
            </w:r>
          </w:p>
        </w:tc>
        <w:tc>
          <w:tcPr>
            <w:tcW w:w="1118" w:type="dxa"/>
            <w:tcBorders>
              <w:top w:val="single" w:color="auto" w:sz="4" w:space="0"/>
            </w:tcBorders>
            <w:vAlign w:val="center"/>
          </w:tcPr>
          <w:p w14:paraId="37BACA6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eastAsia" w:eastAsia="宋体"/>
                <w:color w:val="auto"/>
                <w:spacing w:val="-1"/>
                <w:sz w:val="21"/>
                <w:szCs w:val="21"/>
                <w:lang w:val="en-US" w:eastAsia="zh-CN"/>
              </w:rPr>
            </w:pPr>
            <w:r>
              <w:rPr>
                <w:rFonts w:hint="eastAsia"/>
                <w:color w:val="auto"/>
                <w:spacing w:val="-1"/>
                <w:sz w:val="21"/>
                <w:szCs w:val="21"/>
                <w:lang w:val="en-US" w:eastAsia="zh-CN"/>
              </w:rPr>
              <w:t>振动</w:t>
            </w:r>
          </w:p>
        </w:tc>
        <w:tc>
          <w:tcPr>
            <w:tcW w:w="2452" w:type="dxa"/>
            <w:tcBorders>
              <w:top w:val="single" w:color="auto" w:sz="4" w:space="0"/>
            </w:tcBorders>
            <w:vAlign w:val="center"/>
          </w:tcPr>
          <w:p w14:paraId="0330CE3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pacing w:val="9"/>
                <w:sz w:val="21"/>
                <w:szCs w:val="21"/>
              </w:rPr>
            </w:pPr>
            <w:r>
              <w:rPr>
                <w:color w:val="auto"/>
                <w:spacing w:val="9"/>
                <w:sz w:val="21"/>
                <w:szCs w:val="21"/>
              </w:rPr>
              <w:t>评价范围内</w:t>
            </w:r>
            <w:r>
              <w:rPr>
                <w:rFonts w:hint="eastAsia"/>
                <w:color w:val="auto"/>
                <w:spacing w:val="9"/>
                <w:sz w:val="21"/>
                <w:szCs w:val="21"/>
                <w:lang w:val="en-US" w:eastAsia="zh-CN"/>
              </w:rPr>
              <w:t>无振动</w:t>
            </w:r>
            <w:r>
              <w:rPr>
                <w:color w:val="auto"/>
                <w:spacing w:val="6"/>
                <w:sz w:val="21"/>
                <w:szCs w:val="21"/>
              </w:rPr>
              <w:t>环境敏感点</w:t>
            </w:r>
          </w:p>
        </w:tc>
        <w:tc>
          <w:tcPr>
            <w:tcW w:w="4268" w:type="dxa"/>
            <w:tcBorders>
              <w:top w:val="single" w:color="auto" w:sz="4" w:space="0"/>
            </w:tcBorders>
            <w:vAlign w:val="center"/>
          </w:tcPr>
          <w:p w14:paraId="0F1BDA25">
            <w:pPr>
              <w:pStyle w:val="27"/>
              <w:keepNext w:val="0"/>
              <w:keepLines w:val="0"/>
              <w:pageBreakBefore w:val="0"/>
              <w:widowControl/>
              <w:kinsoku/>
              <w:wordWrap/>
              <w:overflowPunct/>
              <w:topLinePunct w:val="0"/>
              <w:autoSpaceDE w:val="0"/>
              <w:autoSpaceDN w:val="0"/>
              <w:bidi w:val="0"/>
              <w:adjustRightInd/>
              <w:snapToGrid/>
              <w:spacing w:line="240" w:lineRule="auto"/>
              <w:ind w:left="0" w:right="14"/>
              <w:jc w:val="center"/>
              <w:textAlignment w:val="baseline"/>
              <w:rPr>
                <w:color w:val="auto"/>
                <w:spacing w:val="2"/>
                <w:sz w:val="21"/>
                <w:szCs w:val="21"/>
              </w:rPr>
            </w:pPr>
            <w:r>
              <w:rPr>
                <w:rFonts w:hint="eastAsia"/>
                <w:color w:val="auto"/>
                <w:spacing w:val="2"/>
                <w:sz w:val="21"/>
                <w:szCs w:val="21"/>
              </w:rPr>
              <w:t>《城市区域环境振动标准》（GB10070-88）</w:t>
            </w:r>
          </w:p>
        </w:tc>
      </w:tr>
      <w:tr w14:paraId="6BB5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642" w:type="dxa"/>
            <w:vAlign w:val="center"/>
          </w:tcPr>
          <w:p w14:paraId="0A9CCF6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118" w:type="dxa"/>
            <w:vAlign w:val="center"/>
          </w:tcPr>
          <w:p w14:paraId="6DFACC0C">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环境风险</w:t>
            </w:r>
          </w:p>
        </w:tc>
        <w:tc>
          <w:tcPr>
            <w:tcW w:w="2452" w:type="dxa"/>
            <w:vAlign w:val="center"/>
          </w:tcPr>
          <w:p w14:paraId="152C01DA">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不设评价等级和范围</w:t>
            </w:r>
          </w:p>
        </w:tc>
        <w:tc>
          <w:tcPr>
            <w:tcW w:w="4268" w:type="dxa"/>
            <w:vAlign w:val="center"/>
          </w:tcPr>
          <w:p w14:paraId="40856BDF">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环境风险可接受。</w:t>
            </w:r>
          </w:p>
        </w:tc>
      </w:tr>
    </w:tbl>
    <w:p w14:paraId="34EB7196">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62" w:firstLineChars="200"/>
        <w:textAlignment w:val="baseline"/>
        <w:outlineLvl w:val="2"/>
        <w:rPr>
          <w:color w:val="auto"/>
          <w:sz w:val="24"/>
          <w:szCs w:val="24"/>
        </w:rPr>
      </w:pPr>
      <w:bookmarkStart w:id="69" w:name="_Toc25087"/>
      <w:r>
        <w:rPr>
          <w:rFonts w:hint="eastAsia" w:ascii="Times New Roman" w:hAnsi="Times New Roman" w:eastAsia="宋体" w:cs="Times New Roman"/>
          <w:b/>
          <w:bCs/>
          <w:color w:val="auto"/>
          <w:spacing w:val="-5"/>
          <w:sz w:val="24"/>
          <w:szCs w:val="24"/>
          <w:lang w:val="en-US" w:eastAsia="zh-CN"/>
        </w:rPr>
        <w:t>1.9.</w:t>
      </w:r>
      <w:r>
        <w:rPr>
          <w:rFonts w:ascii="Times New Roman" w:hAnsi="Times New Roman" w:eastAsia="Times New Roman" w:cs="Times New Roman"/>
          <w:b/>
          <w:bCs/>
          <w:color w:val="auto"/>
          <w:spacing w:val="-5"/>
          <w:sz w:val="24"/>
          <w:szCs w:val="24"/>
        </w:rPr>
        <w:t>2</w:t>
      </w:r>
      <w:r>
        <w:rPr>
          <w:rFonts w:ascii="Times New Roman" w:hAnsi="Times New Roman" w:eastAsia="Times New Roman" w:cs="Times New Roman"/>
          <w:b/>
          <w:bCs/>
          <w:color w:val="auto"/>
          <w:spacing w:val="-33"/>
          <w:sz w:val="24"/>
          <w:szCs w:val="24"/>
        </w:rPr>
        <w:t xml:space="preserve"> </w:t>
      </w:r>
      <w:r>
        <w:rPr>
          <w:b/>
          <w:bCs/>
          <w:color w:val="auto"/>
          <w:spacing w:val="-5"/>
          <w:sz w:val="24"/>
          <w:szCs w:val="24"/>
        </w:rPr>
        <w:t>、主要环境保护目标</w:t>
      </w:r>
      <w:bookmarkEnd w:id="69"/>
    </w:p>
    <w:p w14:paraId="4182A7FD">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本项目生态环境</w:t>
      </w:r>
      <w:r>
        <w:rPr>
          <w:rFonts w:hint="default" w:ascii="Times New Roman" w:hAnsi="Times New Roman" w:eastAsia="宋体" w:cs="Times New Roman"/>
          <w:color w:val="auto"/>
          <w:sz w:val="24"/>
          <w:szCs w:val="24"/>
          <w:lang w:val="en-US" w:eastAsia="zh-CN"/>
        </w:rPr>
        <w:t>评价范围内</w:t>
      </w:r>
      <w:r>
        <w:rPr>
          <w:rFonts w:hint="eastAsia" w:ascii="Times New Roman" w:hAnsi="Times New Roman" w:eastAsia="宋体" w:cs="Times New Roman"/>
          <w:color w:val="auto"/>
          <w:sz w:val="24"/>
          <w:szCs w:val="24"/>
          <w:lang w:val="en-US" w:eastAsia="zh-CN"/>
        </w:rPr>
        <w:t>无</w:t>
      </w:r>
      <w:r>
        <w:rPr>
          <w:rFonts w:hint="default" w:ascii="Times New Roman" w:hAnsi="Times New Roman" w:eastAsia="宋体" w:cs="Times New Roman"/>
          <w:color w:val="auto"/>
          <w:sz w:val="24"/>
          <w:szCs w:val="24"/>
          <w:lang w:val="en-US" w:eastAsia="zh-CN"/>
        </w:rPr>
        <w:t>国家级、省级重点保护野生植物分布，也未发现古树名木和当地特有物种</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未发现国家级和云南省级重点保护野生动物分布，以及《中国生物多样性红色名录脊椎动物卷》中保护物种。</w:t>
      </w:r>
    </w:p>
    <w:p w14:paraId="300AA944">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color w:val="auto"/>
          <w:sz w:val="24"/>
          <w:szCs w:val="24"/>
          <w:lang w:val="en-US" w:eastAsia="zh-CN"/>
        </w:rPr>
      </w:pPr>
      <w:bookmarkStart w:id="70" w:name="bookmark17"/>
      <w:bookmarkEnd w:id="70"/>
      <w:r>
        <w:rPr>
          <w:rFonts w:hint="eastAsia" w:ascii="Times New Roman" w:hAnsi="Times New Roman" w:eastAsia="宋体" w:cs="Times New Roman"/>
          <w:color w:val="auto"/>
          <w:sz w:val="24"/>
          <w:szCs w:val="24"/>
          <w:lang w:val="en-US" w:eastAsia="zh-CN"/>
        </w:rPr>
        <w:t>本项目不设置</w:t>
      </w:r>
      <w:r>
        <w:rPr>
          <w:rFonts w:hint="default" w:ascii="Times New Roman" w:hAnsi="Times New Roman" w:eastAsia="宋体" w:cs="Times New Roman"/>
          <w:color w:val="auto"/>
          <w:sz w:val="24"/>
          <w:szCs w:val="24"/>
          <w:lang w:val="en-US" w:eastAsia="zh-CN"/>
        </w:rPr>
        <w:t>大气环境影响评价范围</w:t>
      </w:r>
      <w:r>
        <w:rPr>
          <w:rFonts w:hint="eastAsia" w:ascii="Times New Roman" w:hAnsi="Times New Roman" w:eastAsia="宋体" w:cs="Times New Roman"/>
          <w:color w:val="auto"/>
          <w:sz w:val="24"/>
          <w:szCs w:val="24"/>
          <w:lang w:val="en-US" w:eastAsia="zh-CN"/>
        </w:rPr>
        <w:t>，但为了解本项目周边环境情况，本项目将</w:t>
      </w:r>
      <w:r>
        <w:rPr>
          <w:rFonts w:hint="default" w:ascii="Times New Roman" w:hAnsi="Times New Roman" w:eastAsia="宋体" w:cs="Times New Roman"/>
          <w:color w:val="auto"/>
          <w:sz w:val="24"/>
          <w:szCs w:val="24"/>
          <w:lang w:val="en-US" w:eastAsia="zh-CN"/>
        </w:rPr>
        <w:t>厂界外</w:t>
      </w:r>
      <w:r>
        <w:rPr>
          <w:rFonts w:hint="eastAsia" w:ascii="Times New Roman" w:hAnsi="Times New Roman" w:eastAsia="宋体" w:cs="Times New Roman"/>
          <w:color w:val="auto"/>
          <w:sz w:val="24"/>
          <w:szCs w:val="24"/>
          <w:lang w:val="en-US" w:eastAsia="zh-CN"/>
        </w:rPr>
        <w:t>500</w:t>
      </w:r>
      <w:r>
        <w:rPr>
          <w:rFonts w:hint="default" w:ascii="Times New Roman" w:hAnsi="Times New Roman" w:eastAsia="宋体" w:cs="Times New Roman"/>
          <w:color w:val="auto"/>
          <w:sz w:val="24"/>
          <w:szCs w:val="24"/>
          <w:lang w:val="en-US" w:eastAsia="zh-CN"/>
        </w:rPr>
        <w:t>m范围内</w:t>
      </w:r>
      <w:r>
        <w:rPr>
          <w:rFonts w:hint="eastAsia" w:ascii="Times New Roman" w:hAnsi="Times New Roman" w:eastAsia="宋体" w:cs="Times New Roman"/>
          <w:color w:val="auto"/>
          <w:sz w:val="24"/>
          <w:szCs w:val="24"/>
          <w:lang w:val="en-US" w:eastAsia="zh-CN"/>
        </w:rPr>
        <w:t>大气环境敏感点作为保护目标进行保护</w:t>
      </w:r>
      <w:r>
        <w:rPr>
          <w:rFonts w:hint="default" w:ascii="Times New Roman" w:hAnsi="Times New Roman" w:eastAsia="宋体" w:cs="Times New Roman"/>
          <w:color w:val="auto"/>
          <w:sz w:val="24"/>
          <w:szCs w:val="24"/>
          <w:lang w:val="en-US" w:eastAsia="zh-CN"/>
        </w:rPr>
        <w:t>；声环境评价范围为厂界外200m范围内；生态环境评价范围为厂界外</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00m范围内。经调查，项目厂界外200m范围内无声环境保护目标，本项目不涉及声环境保护目标，故本项目环境保护目标主要为大气、地表水及生态环境。项目主要环境保护目标见表</w:t>
      </w:r>
      <w:r>
        <w:rPr>
          <w:rFonts w:hint="eastAsia" w:ascii="Times New Roman" w:hAnsi="Times New Roman" w:eastAsia="宋体" w:cs="Times New Roman"/>
          <w:color w:val="auto"/>
          <w:sz w:val="24"/>
          <w:szCs w:val="24"/>
          <w:lang w:val="en-US" w:eastAsia="zh-CN"/>
        </w:rPr>
        <w:t>1.9-2</w:t>
      </w:r>
      <w:r>
        <w:rPr>
          <w:rFonts w:hint="default" w:ascii="Times New Roman" w:hAnsi="Times New Roman" w:eastAsia="宋体" w:cs="Times New Roman"/>
          <w:color w:val="auto"/>
          <w:sz w:val="24"/>
          <w:szCs w:val="24"/>
          <w:lang w:val="en-US" w:eastAsia="zh-CN"/>
        </w:rPr>
        <w:t>，周边环境保护目标见附图2。</w:t>
      </w:r>
    </w:p>
    <w:p w14:paraId="230D531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表1.9</w:t>
      </w:r>
      <w:r>
        <w:rPr>
          <w:rFonts w:hint="eastAsia" w:ascii="Times New Roman" w:hAnsi="Times New Roman" w:cs="Times New Roman"/>
          <w:b/>
          <w:bCs/>
          <w:color w:val="auto"/>
          <w:lang w:val="en-US" w:eastAsia="zh-CN"/>
        </w:rPr>
        <w:t>-2</w:t>
      </w:r>
      <w:r>
        <w:rPr>
          <w:rFonts w:hint="default" w:ascii="Times New Roman" w:hAnsi="Times New Roman" w:cs="Times New Roman"/>
          <w:b/>
          <w:bCs/>
          <w:color w:val="auto"/>
          <w:lang w:val="en-US" w:eastAsia="zh-CN"/>
        </w:rPr>
        <w:t xml:space="preserve"> 环境保护目标一览表</w:t>
      </w:r>
    </w:p>
    <w:tbl>
      <w:tblPr>
        <w:tblStyle w:val="22"/>
        <w:tblW w:w="8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349"/>
        <w:gridCol w:w="1420"/>
        <w:gridCol w:w="1636"/>
        <w:gridCol w:w="1134"/>
        <w:gridCol w:w="1"/>
        <w:gridCol w:w="909"/>
        <w:gridCol w:w="1395"/>
      </w:tblGrid>
      <w:tr w14:paraId="08E7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2" w:type="dxa"/>
            <w:noWrap w:val="0"/>
            <w:vAlign w:val="center"/>
          </w:tcPr>
          <w:p w14:paraId="4D8455EB">
            <w:pPr>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环境要素</w:t>
            </w:r>
          </w:p>
        </w:tc>
        <w:tc>
          <w:tcPr>
            <w:tcW w:w="1349" w:type="dxa"/>
            <w:noWrap w:val="0"/>
            <w:vAlign w:val="center"/>
          </w:tcPr>
          <w:p w14:paraId="1CF33F99">
            <w:pPr>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名称</w:t>
            </w:r>
          </w:p>
        </w:tc>
        <w:tc>
          <w:tcPr>
            <w:tcW w:w="1420" w:type="dxa"/>
            <w:noWrap w:val="0"/>
            <w:vAlign w:val="center"/>
          </w:tcPr>
          <w:p w14:paraId="35CD590A">
            <w:pPr>
              <w:spacing w:line="240" w:lineRule="auto"/>
              <w:ind w:firstLine="0" w:firstLineChars="0"/>
              <w:jc w:val="center"/>
              <w:rPr>
                <w:rFonts w:hint="default" w:ascii="Times New Roman" w:hAnsi="Times New Roman" w:cs="Times New Roman"/>
                <w:b/>
                <w:bCs/>
                <w:color w:val="auto"/>
                <w:lang w:val="en-US" w:eastAsia="zh-CN"/>
              </w:rPr>
            </w:pPr>
            <w:r>
              <w:rPr>
                <w:rFonts w:hint="default" w:ascii="Times New Roman" w:hAnsi="Times New Roman" w:eastAsia="宋体" w:cs="Times New Roman"/>
                <w:b/>
                <w:bCs/>
                <w:color w:val="auto"/>
                <w:kern w:val="1"/>
                <w:sz w:val="21"/>
                <w:szCs w:val="21"/>
                <w:lang w:val="en-US" w:eastAsia="zh-CN"/>
              </w:rPr>
              <w:t>方位距离</w:t>
            </w:r>
          </w:p>
        </w:tc>
        <w:tc>
          <w:tcPr>
            <w:tcW w:w="1636" w:type="dxa"/>
            <w:noWrap w:val="0"/>
            <w:vAlign w:val="center"/>
          </w:tcPr>
          <w:p w14:paraId="7EE69F03">
            <w:pPr>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坐标</w:t>
            </w:r>
          </w:p>
        </w:tc>
        <w:tc>
          <w:tcPr>
            <w:tcW w:w="1134" w:type="dxa"/>
            <w:noWrap w:val="0"/>
            <w:vAlign w:val="center"/>
          </w:tcPr>
          <w:p w14:paraId="2B408D4B">
            <w:pPr>
              <w:bidi w:val="0"/>
              <w:jc w:val="center"/>
              <w:rPr>
                <w:rFonts w:hint="default" w:ascii="Times New Roman" w:hAnsi="Times New Roman" w:cs="Times New Roman"/>
                <w:b/>
                <w:bCs/>
                <w:color w:val="auto"/>
                <w:lang w:val="en-US" w:eastAsia="zh-CN"/>
              </w:rPr>
            </w:pPr>
            <w:r>
              <w:rPr>
                <w:rFonts w:hint="default" w:ascii="Times New Roman" w:hAnsi="Times New Roman" w:eastAsia="宋体" w:cs="Times New Roman"/>
                <w:b/>
                <w:bCs/>
                <w:color w:val="auto"/>
                <w:kern w:val="1"/>
                <w:sz w:val="21"/>
                <w:szCs w:val="21"/>
                <w:lang w:val="en-US" w:eastAsia="zh-CN"/>
              </w:rPr>
              <w:t>主要情况</w:t>
            </w:r>
          </w:p>
        </w:tc>
        <w:tc>
          <w:tcPr>
            <w:tcW w:w="910" w:type="dxa"/>
            <w:gridSpan w:val="2"/>
            <w:noWrap w:val="0"/>
            <w:vAlign w:val="center"/>
          </w:tcPr>
          <w:p w14:paraId="71C465F9">
            <w:pPr>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主要保护对象</w:t>
            </w:r>
          </w:p>
        </w:tc>
        <w:tc>
          <w:tcPr>
            <w:tcW w:w="1395" w:type="dxa"/>
            <w:noWrap w:val="0"/>
            <w:vAlign w:val="center"/>
          </w:tcPr>
          <w:p w14:paraId="6BB0629E">
            <w:pPr>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环境功能</w:t>
            </w:r>
          </w:p>
        </w:tc>
      </w:tr>
      <w:tr w14:paraId="2CCB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772" w:type="dxa"/>
            <w:noWrap w:val="0"/>
            <w:vAlign w:val="center"/>
          </w:tcPr>
          <w:p w14:paraId="1F64AEFC">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大气环境</w:t>
            </w:r>
          </w:p>
        </w:tc>
        <w:tc>
          <w:tcPr>
            <w:tcW w:w="1349" w:type="dxa"/>
            <w:noWrap w:val="0"/>
            <w:vAlign w:val="center"/>
          </w:tcPr>
          <w:p w14:paraId="4FBC1F10">
            <w:pPr>
              <w:bidi w:val="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1"/>
                <w:sz w:val="21"/>
                <w:szCs w:val="21"/>
                <w:lang w:val="en-US" w:eastAsia="zh-CN"/>
              </w:rPr>
              <w:t>兴源社区</w:t>
            </w:r>
          </w:p>
        </w:tc>
        <w:tc>
          <w:tcPr>
            <w:tcW w:w="1420" w:type="dxa"/>
            <w:noWrap w:val="0"/>
            <w:vAlign w:val="center"/>
          </w:tcPr>
          <w:p w14:paraId="0247A5F7">
            <w:pPr>
              <w:spacing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1"/>
                <w:sz w:val="21"/>
                <w:szCs w:val="21"/>
                <w:lang w:val="en-US" w:eastAsia="zh-CN"/>
              </w:rPr>
              <w:t>东南侧430m</w:t>
            </w:r>
          </w:p>
        </w:tc>
        <w:tc>
          <w:tcPr>
            <w:tcW w:w="1636" w:type="dxa"/>
            <w:noWrap w:val="0"/>
            <w:vAlign w:val="center"/>
          </w:tcPr>
          <w:p w14:paraId="0F4E4505">
            <w:pPr>
              <w:bidi w:val="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1"/>
                <w:sz w:val="21"/>
                <w:szCs w:val="21"/>
                <w:lang w:val="en-US" w:eastAsia="zh-CN"/>
              </w:rPr>
              <w:t>103°52′57.330″</w:t>
            </w:r>
            <w:r>
              <w:rPr>
                <w:rFonts w:hint="default" w:ascii="Times New Roman" w:hAnsi="Times New Roman" w:cs="Times New Roman"/>
                <w:color w:val="auto"/>
                <w:kern w:val="1"/>
                <w:sz w:val="21"/>
                <w:szCs w:val="21"/>
                <w:lang w:val="en-US" w:eastAsia="zh-CN"/>
              </w:rPr>
              <w:t>,</w:t>
            </w:r>
            <w:r>
              <w:rPr>
                <w:rFonts w:hint="default" w:ascii="Times New Roman" w:hAnsi="Times New Roman" w:eastAsia="宋体" w:cs="Times New Roman"/>
                <w:color w:val="auto"/>
                <w:kern w:val="1"/>
                <w:sz w:val="21"/>
                <w:szCs w:val="21"/>
                <w:lang w:val="en-US" w:eastAsia="zh-CN"/>
              </w:rPr>
              <w:t>25°44′50.976″</w:t>
            </w:r>
          </w:p>
        </w:tc>
        <w:tc>
          <w:tcPr>
            <w:tcW w:w="1134" w:type="dxa"/>
            <w:noWrap w:val="0"/>
            <w:vAlign w:val="center"/>
          </w:tcPr>
          <w:p w14:paraId="736277A1">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约2500人</w:t>
            </w:r>
          </w:p>
        </w:tc>
        <w:tc>
          <w:tcPr>
            <w:tcW w:w="910" w:type="dxa"/>
            <w:gridSpan w:val="2"/>
            <w:noWrap w:val="0"/>
            <w:vAlign w:val="center"/>
          </w:tcPr>
          <w:p w14:paraId="733389BB">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居民</w:t>
            </w:r>
          </w:p>
        </w:tc>
        <w:tc>
          <w:tcPr>
            <w:tcW w:w="1395" w:type="dxa"/>
            <w:noWrap w:val="0"/>
            <w:vAlign w:val="center"/>
          </w:tcPr>
          <w:p w14:paraId="1F752D3D">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GB3095-20</w:t>
            </w:r>
            <w:r>
              <w:rPr>
                <w:rFonts w:hint="eastAsia" w:ascii="Times New Roman" w:hAnsi="Times New Roman" w:cs="Times New Roman"/>
                <w:color w:val="auto"/>
                <w:lang w:val="en-US" w:eastAsia="zh-CN"/>
              </w:rPr>
              <w:t>26</w:t>
            </w:r>
            <w:r>
              <w:rPr>
                <w:rFonts w:hint="default" w:ascii="Times New Roman" w:hAnsi="Times New Roman" w:cs="Times New Roman"/>
                <w:color w:val="auto"/>
                <w:lang w:val="en-US" w:eastAsia="zh-CN"/>
              </w:rPr>
              <w:t>《环境空气质量标准》二类功能区，二级标准</w:t>
            </w:r>
          </w:p>
        </w:tc>
      </w:tr>
      <w:tr w14:paraId="2D78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restart"/>
            <w:noWrap w:val="0"/>
            <w:vAlign w:val="center"/>
          </w:tcPr>
          <w:p w14:paraId="62B10907">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地表水</w:t>
            </w:r>
          </w:p>
        </w:tc>
        <w:tc>
          <w:tcPr>
            <w:tcW w:w="1349" w:type="dxa"/>
            <w:noWrap w:val="0"/>
            <w:vAlign w:val="center"/>
          </w:tcPr>
          <w:p w14:paraId="5032D3DD">
            <w:pPr>
              <w:bidi w:val="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1"/>
                <w:sz w:val="21"/>
                <w:szCs w:val="21"/>
                <w:lang w:val="en-US" w:eastAsia="zh-CN"/>
              </w:rPr>
              <w:t>东干渠</w:t>
            </w:r>
          </w:p>
        </w:tc>
        <w:tc>
          <w:tcPr>
            <w:tcW w:w="1420" w:type="dxa"/>
            <w:noWrap w:val="0"/>
            <w:vAlign w:val="center"/>
          </w:tcPr>
          <w:p w14:paraId="460A3094">
            <w:pPr>
              <w:bidi w:val="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1"/>
                <w:sz w:val="21"/>
                <w:szCs w:val="21"/>
                <w:lang w:val="en-US" w:eastAsia="zh-CN"/>
              </w:rPr>
              <w:t>西北侧90m</w:t>
            </w:r>
          </w:p>
        </w:tc>
        <w:tc>
          <w:tcPr>
            <w:tcW w:w="1636" w:type="dxa"/>
            <w:noWrap w:val="0"/>
            <w:vAlign w:val="center"/>
          </w:tcPr>
          <w:p w14:paraId="68FDC70A">
            <w:pPr>
              <w:bidi w:val="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1"/>
                <w:sz w:val="21"/>
                <w:szCs w:val="21"/>
                <w:lang w:val="en-US" w:eastAsia="zh-CN"/>
              </w:rPr>
              <w:t>103°52′39.331″</w:t>
            </w:r>
            <w:r>
              <w:rPr>
                <w:rFonts w:hint="default" w:ascii="Times New Roman" w:hAnsi="Times New Roman" w:cs="Times New Roman"/>
                <w:color w:val="auto"/>
                <w:kern w:val="1"/>
                <w:sz w:val="21"/>
                <w:szCs w:val="21"/>
                <w:lang w:val="en-US" w:eastAsia="zh-CN"/>
              </w:rPr>
              <w:t>,</w:t>
            </w:r>
            <w:r>
              <w:rPr>
                <w:rFonts w:hint="default" w:ascii="Times New Roman" w:hAnsi="Times New Roman" w:eastAsia="宋体" w:cs="Times New Roman"/>
                <w:color w:val="auto"/>
                <w:kern w:val="1"/>
                <w:sz w:val="21"/>
                <w:szCs w:val="21"/>
                <w:lang w:val="en-US" w:eastAsia="zh-CN"/>
              </w:rPr>
              <w:t>25°45′16.571″</w:t>
            </w:r>
          </w:p>
        </w:tc>
        <w:tc>
          <w:tcPr>
            <w:tcW w:w="1135" w:type="dxa"/>
            <w:gridSpan w:val="2"/>
            <w:shd w:val="clear" w:color="auto" w:fill="auto"/>
            <w:noWrap w:val="0"/>
            <w:vAlign w:val="center"/>
          </w:tcPr>
          <w:p w14:paraId="19DF189B">
            <w:pPr>
              <w:bidi w:val="0"/>
              <w:jc w:val="center"/>
              <w:rPr>
                <w:rFonts w:hint="default" w:ascii="Times New Roman" w:hAnsi="Times New Roman" w:eastAsia="Arial" w:cs="Times New Roman"/>
                <w:snapToGrid w:val="0"/>
                <w:color w:val="auto"/>
                <w:kern w:val="0"/>
                <w:sz w:val="21"/>
                <w:szCs w:val="21"/>
                <w:lang w:val="en-US" w:eastAsia="zh-CN" w:bidi="ar-SA"/>
              </w:rPr>
            </w:pPr>
            <w:r>
              <w:rPr>
                <w:rFonts w:hint="default" w:ascii="Times New Roman" w:hAnsi="Times New Roman" w:cs="Times New Roman"/>
                <w:color w:val="auto"/>
                <w:lang w:val="en-US" w:eastAsia="zh-CN"/>
              </w:rPr>
              <w:t>汇入南盘江</w:t>
            </w:r>
          </w:p>
        </w:tc>
        <w:tc>
          <w:tcPr>
            <w:tcW w:w="909" w:type="dxa"/>
            <w:shd w:val="clear" w:color="auto" w:fill="auto"/>
            <w:noWrap w:val="0"/>
            <w:vAlign w:val="center"/>
          </w:tcPr>
          <w:p w14:paraId="224113DC">
            <w:pPr>
              <w:bidi w:val="0"/>
              <w:jc w:val="center"/>
              <w:rPr>
                <w:rFonts w:hint="default" w:ascii="Times New Roman" w:hAnsi="Times New Roman" w:eastAsia="Arial"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rPr>
              <w:t>灌溉</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排泄</w:t>
            </w:r>
          </w:p>
        </w:tc>
        <w:tc>
          <w:tcPr>
            <w:tcW w:w="1395" w:type="dxa"/>
            <w:vMerge w:val="restart"/>
            <w:noWrap w:val="0"/>
            <w:vAlign w:val="center"/>
          </w:tcPr>
          <w:p w14:paraId="4F8E2F03">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《地表水环境质量标准》（GB3838-2002）Ⅲ类水标准</w:t>
            </w:r>
          </w:p>
        </w:tc>
      </w:tr>
      <w:tr w14:paraId="45E6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continue"/>
            <w:noWrap w:val="0"/>
            <w:vAlign w:val="center"/>
          </w:tcPr>
          <w:p w14:paraId="5A36E537">
            <w:pPr>
              <w:bidi w:val="0"/>
              <w:jc w:val="center"/>
              <w:rPr>
                <w:rFonts w:hint="default" w:ascii="Times New Roman" w:hAnsi="Times New Roman" w:cs="Times New Roman"/>
                <w:color w:val="auto"/>
                <w:lang w:val="en-US" w:eastAsia="zh-CN"/>
              </w:rPr>
            </w:pPr>
          </w:p>
        </w:tc>
        <w:tc>
          <w:tcPr>
            <w:tcW w:w="1349" w:type="dxa"/>
            <w:noWrap w:val="0"/>
            <w:vAlign w:val="center"/>
          </w:tcPr>
          <w:p w14:paraId="7789CA81">
            <w:pPr>
              <w:bidi w:val="0"/>
              <w:jc w:val="center"/>
              <w:rPr>
                <w:rFonts w:hint="default"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color w:val="auto"/>
                <w:kern w:val="1"/>
                <w:sz w:val="21"/>
                <w:szCs w:val="21"/>
                <w:lang w:val="en-US" w:eastAsia="zh-CN"/>
              </w:rPr>
              <w:t>南盘江</w:t>
            </w:r>
          </w:p>
        </w:tc>
        <w:tc>
          <w:tcPr>
            <w:tcW w:w="1420" w:type="dxa"/>
            <w:noWrap w:val="0"/>
            <w:vAlign w:val="center"/>
          </w:tcPr>
          <w:p w14:paraId="652F3E3E">
            <w:pPr>
              <w:bidi w:val="0"/>
              <w:jc w:val="center"/>
              <w:rPr>
                <w:rFonts w:hint="default"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color w:val="auto"/>
                <w:kern w:val="1"/>
                <w:sz w:val="21"/>
                <w:szCs w:val="21"/>
                <w:lang w:val="en-US" w:eastAsia="zh-CN"/>
              </w:rPr>
              <w:t>西北</w:t>
            </w:r>
            <w:r>
              <w:rPr>
                <w:rFonts w:hint="default" w:ascii="Times New Roman" w:hAnsi="Times New Roman" w:eastAsia="宋体" w:cs="Times New Roman"/>
                <w:color w:val="auto"/>
                <w:kern w:val="1"/>
                <w:sz w:val="21"/>
                <w:szCs w:val="21"/>
                <w:lang w:val="en-US" w:eastAsia="zh-CN"/>
              </w:rPr>
              <w:t>侧</w:t>
            </w:r>
            <w:r>
              <w:rPr>
                <w:rFonts w:hint="eastAsia" w:ascii="Times New Roman" w:hAnsi="Times New Roman" w:eastAsia="宋体" w:cs="Times New Roman"/>
                <w:color w:val="auto"/>
                <w:kern w:val="1"/>
                <w:sz w:val="21"/>
                <w:szCs w:val="21"/>
                <w:lang w:val="en-US" w:eastAsia="zh-CN"/>
              </w:rPr>
              <w:t>430</w:t>
            </w:r>
            <w:r>
              <w:rPr>
                <w:rFonts w:hint="default" w:ascii="Times New Roman" w:hAnsi="Times New Roman" w:eastAsia="宋体" w:cs="Times New Roman"/>
                <w:color w:val="auto"/>
                <w:kern w:val="1"/>
                <w:sz w:val="21"/>
                <w:szCs w:val="21"/>
                <w:lang w:val="en-US" w:eastAsia="zh-CN"/>
              </w:rPr>
              <w:t>m</w:t>
            </w:r>
          </w:p>
        </w:tc>
        <w:tc>
          <w:tcPr>
            <w:tcW w:w="1636" w:type="dxa"/>
            <w:noWrap w:val="0"/>
            <w:vAlign w:val="center"/>
          </w:tcPr>
          <w:p w14:paraId="60EBBB7F">
            <w:pPr>
              <w:bidi w:val="0"/>
              <w:jc w:val="both"/>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color w:val="auto"/>
                <w:kern w:val="1"/>
                <w:sz w:val="21"/>
                <w:szCs w:val="21"/>
                <w:lang w:val="en-US" w:eastAsia="zh-CN"/>
              </w:rPr>
              <w:t>103°51'01.05"</w:t>
            </w:r>
          </w:p>
          <w:p w14:paraId="5F25D3A0">
            <w:pPr>
              <w:bidi w:val="0"/>
              <w:jc w:val="both"/>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color w:val="auto"/>
                <w:kern w:val="1"/>
                <w:sz w:val="21"/>
                <w:szCs w:val="21"/>
                <w:lang w:val="en-US" w:eastAsia="zh-CN"/>
              </w:rPr>
              <w:t>25°45'18.47"</w:t>
            </w:r>
          </w:p>
        </w:tc>
        <w:tc>
          <w:tcPr>
            <w:tcW w:w="1135" w:type="dxa"/>
            <w:gridSpan w:val="2"/>
            <w:shd w:val="clear" w:color="auto" w:fill="auto"/>
            <w:noWrap w:val="0"/>
            <w:vAlign w:val="center"/>
          </w:tcPr>
          <w:p w14:paraId="355A3353">
            <w:pPr>
              <w:bidi w:val="0"/>
              <w:jc w:val="center"/>
              <w:rPr>
                <w:rFonts w:hint="default" w:ascii="Times New Roman" w:hAnsi="Times New Roman" w:eastAsia="Arial" w:cs="Times New Roman"/>
                <w:snapToGrid w:val="0"/>
                <w:color w:val="auto"/>
                <w:kern w:val="0"/>
                <w:sz w:val="21"/>
                <w:szCs w:val="21"/>
                <w:lang w:val="en-US" w:eastAsia="zh-CN" w:bidi="ar-SA"/>
              </w:rPr>
            </w:pPr>
            <w:r>
              <w:rPr>
                <w:rFonts w:hint="default" w:ascii="Times New Roman" w:hAnsi="Times New Roman" w:cs="Times New Roman"/>
                <w:color w:val="auto"/>
                <w:lang w:val="en-US" w:eastAsia="zh-CN"/>
              </w:rPr>
              <w:t>汇入</w:t>
            </w:r>
            <w:r>
              <w:rPr>
                <w:rFonts w:hint="eastAsia" w:ascii="Times New Roman" w:hAnsi="Times New Roman" w:cs="Times New Roman"/>
                <w:color w:val="auto"/>
                <w:lang w:val="en-US" w:eastAsia="zh-CN"/>
              </w:rPr>
              <w:t>珠江</w:t>
            </w:r>
          </w:p>
        </w:tc>
        <w:tc>
          <w:tcPr>
            <w:tcW w:w="909" w:type="dxa"/>
            <w:shd w:val="clear" w:color="auto" w:fill="auto"/>
            <w:noWrap w:val="0"/>
            <w:vAlign w:val="center"/>
          </w:tcPr>
          <w:p w14:paraId="4B3EEAB2">
            <w:pPr>
              <w:bidi w:val="0"/>
              <w:jc w:val="center"/>
              <w:rPr>
                <w:rFonts w:hint="default" w:ascii="Times New Roman" w:hAnsi="Times New Roman" w:eastAsia="Arial" w:cs="Times New Roman"/>
                <w:snapToGrid w:val="0"/>
                <w:color w:val="auto"/>
                <w:kern w:val="0"/>
                <w:sz w:val="21"/>
                <w:szCs w:val="21"/>
                <w:lang w:val="en-US" w:eastAsia="zh-CN" w:bidi="ar-SA"/>
              </w:rPr>
            </w:pPr>
            <w:r>
              <w:rPr>
                <w:rFonts w:hint="default" w:ascii="Times New Roman" w:hAnsi="Times New Roman" w:eastAsia="Arial" w:cs="Times New Roman"/>
                <w:snapToGrid w:val="0"/>
                <w:color w:val="auto"/>
                <w:kern w:val="0"/>
                <w:sz w:val="21"/>
                <w:szCs w:val="21"/>
                <w:lang w:val="en-US" w:eastAsia="zh-CN" w:bidi="ar-SA"/>
              </w:rPr>
              <w:t>工业、农业、景观</w:t>
            </w:r>
            <w:r>
              <w:rPr>
                <w:rFonts w:hint="eastAsia" w:ascii="Times New Roman" w:hAnsi="Times New Roman" w:cs="Times New Roman"/>
                <w:snapToGrid w:val="0"/>
                <w:color w:val="auto"/>
                <w:kern w:val="0"/>
                <w:sz w:val="21"/>
                <w:szCs w:val="21"/>
                <w:lang w:val="en-US" w:eastAsia="zh-CN" w:bidi="ar-SA"/>
              </w:rPr>
              <w:t>、</w:t>
            </w:r>
            <w:r>
              <w:rPr>
                <w:rFonts w:hint="default" w:ascii="Times New Roman" w:hAnsi="Times New Roman" w:eastAsia="Arial" w:cs="Times New Roman"/>
                <w:snapToGrid w:val="0"/>
                <w:color w:val="auto"/>
                <w:kern w:val="0"/>
                <w:sz w:val="21"/>
                <w:szCs w:val="21"/>
                <w:lang w:val="en-US" w:eastAsia="zh-CN" w:bidi="ar-SA"/>
              </w:rPr>
              <w:t>排污、过渡</w:t>
            </w:r>
          </w:p>
        </w:tc>
        <w:tc>
          <w:tcPr>
            <w:tcW w:w="1395" w:type="dxa"/>
            <w:vMerge w:val="continue"/>
            <w:noWrap w:val="0"/>
            <w:vAlign w:val="center"/>
          </w:tcPr>
          <w:p w14:paraId="62FC5217">
            <w:pPr>
              <w:bidi w:val="0"/>
              <w:jc w:val="center"/>
              <w:rPr>
                <w:rFonts w:hint="default" w:ascii="Times New Roman" w:hAnsi="Times New Roman" w:cs="Times New Roman"/>
                <w:color w:val="auto"/>
                <w:lang w:val="en-US" w:eastAsia="zh-CN"/>
              </w:rPr>
            </w:pPr>
          </w:p>
        </w:tc>
      </w:tr>
      <w:tr w14:paraId="2F70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restart"/>
            <w:noWrap w:val="0"/>
            <w:vAlign w:val="center"/>
          </w:tcPr>
          <w:p w14:paraId="55E7051D">
            <w:pPr>
              <w:bidi w:val="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地下水</w:t>
            </w:r>
          </w:p>
        </w:tc>
        <w:tc>
          <w:tcPr>
            <w:tcW w:w="1349" w:type="dxa"/>
            <w:noWrap w:val="0"/>
            <w:vAlign w:val="center"/>
          </w:tcPr>
          <w:p w14:paraId="5D4D50D0">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曲靖大为焦化制气地下水监测井DX01</w:t>
            </w:r>
          </w:p>
        </w:tc>
        <w:tc>
          <w:tcPr>
            <w:tcW w:w="1420" w:type="dxa"/>
            <w:noWrap w:val="0"/>
            <w:vAlign w:val="center"/>
          </w:tcPr>
          <w:p w14:paraId="5ED5E291">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西南，0.07km</w:t>
            </w:r>
          </w:p>
        </w:tc>
        <w:tc>
          <w:tcPr>
            <w:tcW w:w="1636" w:type="dxa"/>
            <w:noWrap w:val="0"/>
            <w:vAlign w:val="center"/>
          </w:tcPr>
          <w:p w14:paraId="23FCED66">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103°52'41.97"</w:t>
            </w:r>
          </w:p>
          <w:p w14:paraId="29AA8B44">
            <w:pPr>
              <w:keepNext w:val="0"/>
              <w:keepLines w:val="0"/>
              <w:widowControl/>
              <w:suppressLineNumbers w:val="0"/>
              <w:wordWrap/>
              <w:jc w:val="center"/>
              <w:textAlignment w:val="center"/>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strike w:val="0"/>
                <w:dstrike w:val="0"/>
                <w:color w:val="auto"/>
                <w:sz w:val="21"/>
                <w:szCs w:val="21"/>
              </w:rPr>
              <w:t>25°44'45.68"</w:t>
            </w:r>
          </w:p>
        </w:tc>
        <w:tc>
          <w:tcPr>
            <w:tcW w:w="1135" w:type="dxa"/>
            <w:gridSpan w:val="2"/>
            <w:shd w:val="clear" w:color="auto" w:fill="auto"/>
            <w:noWrap w:val="0"/>
            <w:vAlign w:val="center"/>
          </w:tcPr>
          <w:p w14:paraId="61B532D4">
            <w:pPr>
              <w:keepNext w:val="0"/>
              <w:keepLines w:val="0"/>
              <w:widowControl/>
              <w:suppressLineNumbers w:val="0"/>
              <w:wordWrap/>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不作为饮用水使用</w:t>
            </w:r>
          </w:p>
        </w:tc>
        <w:tc>
          <w:tcPr>
            <w:tcW w:w="909" w:type="dxa"/>
            <w:shd w:val="clear" w:color="auto" w:fill="auto"/>
            <w:noWrap w:val="0"/>
            <w:vAlign w:val="center"/>
          </w:tcPr>
          <w:p w14:paraId="3D30EF35">
            <w:pPr>
              <w:bidi w:val="0"/>
              <w:jc w:val="center"/>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跟踪监测</w:t>
            </w:r>
          </w:p>
        </w:tc>
        <w:tc>
          <w:tcPr>
            <w:tcW w:w="1395" w:type="dxa"/>
            <w:vMerge w:val="restart"/>
            <w:noWrap w:val="0"/>
            <w:vAlign w:val="center"/>
          </w:tcPr>
          <w:p w14:paraId="59E80C68">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w:t>
            </w:r>
            <w:r>
              <w:rPr>
                <w:rFonts w:hint="eastAsia" w:ascii="Times New Roman" w:hAnsi="Times New Roman" w:cs="Times New Roman"/>
                <w:color w:val="auto"/>
                <w:lang w:val="en-US" w:eastAsia="zh-CN"/>
              </w:rPr>
              <w:t>下</w:t>
            </w:r>
            <w:r>
              <w:rPr>
                <w:rFonts w:hint="default" w:ascii="Times New Roman" w:hAnsi="Times New Roman" w:cs="Times New Roman"/>
                <w:color w:val="auto"/>
                <w:lang w:val="en-US" w:eastAsia="zh-CN"/>
              </w:rPr>
              <w:t>水质量标准》（GB</w:t>
            </w:r>
            <w:r>
              <w:rPr>
                <w:rFonts w:hint="eastAsia" w:ascii="Times New Roman" w:hAnsi="Times New Roman" w:cs="Times New Roman"/>
                <w:color w:val="auto"/>
                <w:lang w:val="en-US" w:eastAsia="zh-CN"/>
              </w:rPr>
              <w:t>/T14848</w:t>
            </w:r>
            <w:r>
              <w:rPr>
                <w:rFonts w:hint="default" w:ascii="Times New Roman" w:hAnsi="Times New Roman" w:cs="Times New Roman"/>
                <w:color w:val="auto"/>
                <w:lang w:val="en-US" w:eastAsia="zh-CN"/>
              </w:rPr>
              <w:t>-20</w:t>
            </w:r>
            <w:r>
              <w:rPr>
                <w:rFonts w:hint="eastAsia" w:ascii="Times New Roman" w:hAnsi="Times New Roman" w:cs="Times New Roman"/>
                <w:color w:val="auto"/>
                <w:lang w:val="en-US" w:eastAsia="zh-CN"/>
              </w:rPr>
              <w:t>17</w:t>
            </w:r>
            <w:r>
              <w:rPr>
                <w:rFonts w:hint="default" w:ascii="Times New Roman" w:hAnsi="Times New Roman" w:cs="Times New Roman"/>
                <w:color w:val="auto"/>
                <w:lang w:val="en-US" w:eastAsia="zh-CN"/>
              </w:rPr>
              <w:t>）Ⅲ类水标准</w:t>
            </w:r>
          </w:p>
        </w:tc>
      </w:tr>
      <w:tr w14:paraId="61FE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continue"/>
            <w:noWrap w:val="0"/>
            <w:vAlign w:val="center"/>
          </w:tcPr>
          <w:p w14:paraId="653D41C5">
            <w:pPr>
              <w:bidi w:val="0"/>
              <w:jc w:val="center"/>
              <w:rPr>
                <w:rFonts w:hint="default" w:ascii="Times New Roman" w:hAnsi="Times New Roman" w:cs="Times New Roman"/>
                <w:color w:val="auto"/>
                <w:lang w:val="en-US" w:eastAsia="zh-CN"/>
              </w:rPr>
            </w:pPr>
          </w:p>
        </w:tc>
        <w:tc>
          <w:tcPr>
            <w:tcW w:w="1349" w:type="dxa"/>
            <w:noWrap w:val="0"/>
            <w:vAlign w:val="center"/>
          </w:tcPr>
          <w:p w14:paraId="648C67CA">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w:t>
            </w:r>
            <w:r>
              <w:rPr>
                <w:rFonts w:hint="eastAsia" w:ascii="Times New Roman" w:hAnsi="Times New Roman" w:eastAsia="宋体" w:cs="Times New Roman"/>
                <w:b w:val="0"/>
                <w:bCs w:val="0"/>
                <w:i w:val="0"/>
                <w:iCs w:val="0"/>
                <w:strike w:val="0"/>
                <w:dstrike w:val="0"/>
                <w:color w:val="auto"/>
                <w:kern w:val="0"/>
                <w:sz w:val="21"/>
                <w:szCs w:val="21"/>
                <w:lang w:val="en-US" w:eastAsia="zh-CN" w:bidi="ar"/>
              </w:rPr>
              <w:t>2</w:t>
            </w:r>
          </w:p>
        </w:tc>
        <w:tc>
          <w:tcPr>
            <w:tcW w:w="1420" w:type="dxa"/>
            <w:noWrap w:val="0"/>
            <w:vAlign w:val="center"/>
          </w:tcPr>
          <w:p w14:paraId="02A8DF6F">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西南，0.64km</w:t>
            </w:r>
          </w:p>
        </w:tc>
        <w:tc>
          <w:tcPr>
            <w:tcW w:w="1636" w:type="dxa"/>
            <w:noWrap w:val="0"/>
            <w:vAlign w:val="center"/>
          </w:tcPr>
          <w:p w14:paraId="58D6FAFD">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103°52'23.77"</w:t>
            </w:r>
          </w:p>
          <w:p w14:paraId="08ABF40E">
            <w:pPr>
              <w:keepNext w:val="0"/>
              <w:keepLines w:val="0"/>
              <w:widowControl/>
              <w:suppressLineNumbers w:val="0"/>
              <w:wordWrap/>
              <w:jc w:val="center"/>
              <w:textAlignment w:val="center"/>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strike w:val="0"/>
                <w:dstrike w:val="0"/>
                <w:color w:val="auto"/>
                <w:sz w:val="21"/>
                <w:szCs w:val="21"/>
              </w:rPr>
              <w:t>25°44'36.34"</w:t>
            </w:r>
          </w:p>
        </w:tc>
        <w:tc>
          <w:tcPr>
            <w:tcW w:w="1135" w:type="dxa"/>
            <w:gridSpan w:val="2"/>
            <w:shd w:val="clear" w:color="auto" w:fill="auto"/>
            <w:noWrap w:val="0"/>
            <w:vAlign w:val="center"/>
          </w:tcPr>
          <w:p w14:paraId="3F806404">
            <w:pPr>
              <w:keepNext w:val="0"/>
              <w:keepLines w:val="0"/>
              <w:widowControl/>
              <w:suppressLineNumbers w:val="0"/>
              <w:wordWrap/>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不作为饮用水使用</w:t>
            </w:r>
          </w:p>
        </w:tc>
        <w:tc>
          <w:tcPr>
            <w:tcW w:w="909" w:type="dxa"/>
            <w:shd w:val="clear" w:color="auto" w:fill="auto"/>
            <w:noWrap w:val="0"/>
            <w:vAlign w:val="center"/>
          </w:tcPr>
          <w:p w14:paraId="474BA7C1">
            <w:pPr>
              <w:bidi w:val="0"/>
              <w:jc w:val="center"/>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跟踪监测</w:t>
            </w:r>
          </w:p>
        </w:tc>
        <w:tc>
          <w:tcPr>
            <w:tcW w:w="1395" w:type="dxa"/>
            <w:vMerge w:val="continue"/>
            <w:noWrap w:val="0"/>
            <w:vAlign w:val="center"/>
          </w:tcPr>
          <w:p w14:paraId="631C5C55">
            <w:pPr>
              <w:bidi w:val="0"/>
              <w:jc w:val="center"/>
              <w:rPr>
                <w:rFonts w:hint="default" w:ascii="Times New Roman" w:hAnsi="Times New Roman" w:cs="Times New Roman"/>
                <w:color w:val="auto"/>
                <w:lang w:val="en-US" w:eastAsia="zh-CN"/>
              </w:rPr>
            </w:pPr>
          </w:p>
        </w:tc>
      </w:tr>
      <w:tr w14:paraId="09C7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continue"/>
            <w:noWrap w:val="0"/>
            <w:vAlign w:val="center"/>
          </w:tcPr>
          <w:p w14:paraId="0DF913DC">
            <w:pPr>
              <w:bidi w:val="0"/>
              <w:jc w:val="center"/>
              <w:rPr>
                <w:rFonts w:hint="default" w:ascii="Times New Roman" w:hAnsi="Times New Roman" w:cs="Times New Roman"/>
                <w:color w:val="auto"/>
                <w:lang w:val="en-US" w:eastAsia="zh-CN"/>
              </w:rPr>
            </w:pPr>
          </w:p>
        </w:tc>
        <w:tc>
          <w:tcPr>
            <w:tcW w:w="1349" w:type="dxa"/>
            <w:noWrap w:val="0"/>
            <w:vAlign w:val="center"/>
          </w:tcPr>
          <w:p w14:paraId="1D0B7724">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w:t>
            </w:r>
            <w:r>
              <w:rPr>
                <w:rFonts w:hint="eastAsia" w:ascii="Times New Roman" w:hAnsi="Times New Roman" w:eastAsia="宋体" w:cs="Times New Roman"/>
                <w:b w:val="0"/>
                <w:bCs w:val="0"/>
                <w:i w:val="0"/>
                <w:iCs w:val="0"/>
                <w:strike w:val="0"/>
                <w:dstrike w:val="0"/>
                <w:color w:val="auto"/>
                <w:kern w:val="0"/>
                <w:sz w:val="21"/>
                <w:szCs w:val="21"/>
                <w:lang w:val="en-US" w:eastAsia="zh-CN" w:bidi="ar"/>
              </w:rPr>
              <w:t>3</w:t>
            </w:r>
          </w:p>
        </w:tc>
        <w:tc>
          <w:tcPr>
            <w:tcW w:w="1420" w:type="dxa"/>
            <w:noWrap w:val="0"/>
            <w:vAlign w:val="center"/>
          </w:tcPr>
          <w:p w14:paraId="21DCAB46">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西南，0.89km</w:t>
            </w:r>
          </w:p>
        </w:tc>
        <w:tc>
          <w:tcPr>
            <w:tcW w:w="1636" w:type="dxa"/>
            <w:noWrap w:val="0"/>
            <w:vAlign w:val="center"/>
          </w:tcPr>
          <w:p w14:paraId="01255EA3">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103°52'32.07"</w:t>
            </w:r>
          </w:p>
          <w:p w14:paraId="01833A5B">
            <w:pPr>
              <w:keepNext w:val="0"/>
              <w:keepLines w:val="0"/>
              <w:widowControl/>
              <w:suppressLineNumbers w:val="0"/>
              <w:wordWrap/>
              <w:jc w:val="center"/>
              <w:textAlignment w:val="center"/>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strike w:val="0"/>
                <w:dstrike w:val="0"/>
                <w:color w:val="auto"/>
                <w:sz w:val="21"/>
                <w:szCs w:val="21"/>
              </w:rPr>
              <w:t>25°44'20.45"</w:t>
            </w:r>
          </w:p>
        </w:tc>
        <w:tc>
          <w:tcPr>
            <w:tcW w:w="1135" w:type="dxa"/>
            <w:gridSpan w:val="2"/>
            <w:shd w:val="clear" w:color="auto" w:fill="auto"/>
            <w:noWrap w:val="0"/>
            <w:vAlign w:val="center"/>
          </w:tcPr>
          <w:p w14:paraId="5CA95F4D">
            <w:pPr>
              <w:keepNext w:val="0"/>
              <w:keepLines w:val="0"/>
              <w:widowControl/>
              <w:suppressLineNumbers w:val="0"/>
              <w:wordWrap/>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不作为饮用水使用</w:t>
            </w:r>
          </w:p>
        </w:tc>
        <w:tc>
          <w:tcPr>
            <w:tcW w:w="909" w:type="dxa"/>
            <w:shd w:val="clear" w:color="auto" w:fill="auto"/>
            <w:noWrap w:val="0"/>
            <w:vAlign w:val="center"/>
          </w:tcPr>
          <w:p w14:paraId="4D1FA7B6">
            <w:pPr>
              <w:bidi w:val="0"/>
              <w:jc w:val="center"/>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跟踪监测</w:t>
            </w:r>
          </w:p>
        </w:tc>
        <w:tc>
          <w:tcPr>
            <w:tcW w:w="1395" w:type="dxa"/>
            <w:vMerge w:val="continue"/>
            <w:noWrap w:val="0"/>
            <w:vAlign w:val="center"/>
          </w:tcPr>
          <w:p w14:paraId="03BA96AE">
            <w:pPr>
              <w:bidi w:val="0"/>
              <w:jc w:val="center"/>
              <w:rPr>
                <w:rFonts w:hint="default" w:ascii="Times New Roman" w:hAnsi="Times New Roman" w:cs="Times New Roman"/>
                <w:color w:val="auto"/>
                <w:lang w:val="en-US" w:eastAsia="zh-CN"/>
              </w:rPr>
            </w:pPr>
          </w:p>
        </w:tc>
      </w:tr>
      <w:tr w14:paraId="767F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continue"/>
            <w:noWrap w:val="0"/>
            <w:vAlign w:val="center"/>
          </w:tcPr>
          <w:p w14:paraId="6FFC70BA">
            <w:pPr>
              <w:bidi w:val="0"/>
              <w:jc w:val="center"/>
              <w:rPr>
                <w:rFonts w:hint="default" w:ascii="Times New Roman" w:hAnsi="Times New Roman" w:cs="Times New Roman"/>
                <w:color w:val="auto"/>
                <w:lang w:val="en-US" w:eastAsia="zh-CN"/>
              </w:rPr>
            </w:pPr>
          </w:p>
        </w:tc>
        <w:tc>
          <w:tcPr>
            <w:tcW w:w="1349" w:type="dxa"/>
            <w:noWrap w:val="0"/>
            <w:vAlign w:val="center"/>
          </w:tcPr>
          <w:p w14:paraId="20C92171">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迤堵村2#水井</w:t>
            </w:r>
          </w:p>
        </w:tc>
        <w:tc>
          <w:tcPr>
            <w:tcW w:w="1420" w:type="dxa"/>
            <w:noWrap w:val="0"/>
            <w:vAlign w:val="center"/>
          </w:tcPr>
          <w:p w14:paraId="7396451F">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西南，1.14km</w:t>
            </w:r>
          </w:p>
        </w:tc>
        <w:tc>
          <w:tcPr>
            <w:tcW w:w="1636" w:type="dxa"/>
            <w:noWrap w:val="0"/>
            <w:vAlign w:val="center"/>
          </w:tcPr>
          <w:p w14:paraId="4EA9282C">
            <w:pPr>
              <w:keepNext w:val="0"/>
              <w:keepLines w:val="0"/>
              <w:widowControl/>
              <w:suppressLineNumbers w:val="0"/>
              <w:wordWrap/>
              <w:jc w:val="center"/>
              <w:textAlignment w:val="center"/>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103°51′53.91″</w:t>
            </w:r>
            <w:r>
              <w:rPr>
                <w:rFonts w:hint="default" w:ascii="Times New Roman" w:hAnsi="Times New Roman" w:eastAsia="宋体" w:cs="Times New Roman"/>
                <w:b w:val="0"/>
                <w:bCs w:val="0"/>
                <w:i w:val="0"/>
                <w:iCs w:val="0"/>
                <w:color w:val="auto"/>
                <w:kern w:val="0"/>
                <w:sz w:val="21"/>
                <w:szCs w:val="21"/>
                <w:lang w:val="en-US" w:eastAsia="zh-CN" w:bidi="ar"/>
              </w:rPr>
              <w:br w:type="textWrapping"/>
            </w:r>
            <w:r>
              <w:rPr>
                <w:rFonts w:hint="default" w:ascii="Times New Roman" w:hAnsi="Times New Roman" w:eastAsia="宋体" w:cs="Times New Roman"/>
                <w:b w:val="0"/>
                <w:bCs w:val="0"/>
                <w:i w:val="0"/>
                <w:iCs w:val="0"/>
                <w:color w:val="auto"/>
                <w:kern w:val="0"/>
                <w:sz w:val="21"/>
                <w:szCs w:val="21"/>
                <w:lang w:val="en-US" w:eastAsia="zh-CN" w:bidi="ar"/>
              </w:rPr>
              <w:t>25°45′0.78″</w:t>
            </w:r>
          </w:p>
        </w:tc>
        <w:tc>
          <w:tcPr>
            <w:tcW w:w="1135" w:type="dxa"/>
            <w:gridSpan w:val="2"/>
            <w:shd w:val="clear" w:color="auto" w:fill="auto"/>
            <w:noWrap w:val="0"/>
            <w:vAlign w:val="center"/>
          </w:tcPr>
          <w:p w14:paraId="371DD85C">
            <w:pPr>
              <w:keepNext w:val="0"/>
              <w:keepLines w:val="0"/>
              <w:widowControl/>
              <w:suppressLineNumbers w:val="0"/>
              <w:wordWrap/>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不作为饮用水使用</w:t>
            </w:r>
          </w:p>
        </w:tc>
        <w:tc>
          <w:tcPr>
            <w:tcW w:w="909" w:type="dxa"/>
            <w:shd w:val="clear" w:color="auto" w:fill="auto"/>
            <w:noWrap w:val="0"/>
            <w:vAlign w:val="center"/>
          </w:tcPr>
          <w:p w14:paraId="11FD4B25">
            <w:pPr>
              <w:bidi w:val="0"/>
              <w:jc w:val="center"/>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灌溉</w:t>
            </w:r>
          </w:p>
        </w:tc>
        <w:tc>
          <w:tcPr>
            <w:tcW w:w="1395" w:type="dxa"/>
            <w:vMerge w:val="continue"/>
            <w:noWrap w:val="0"/>
            <w:vAlign w:val="center"/>
          </w:tcPr>
          <w:p w14:paraId="352A6EDE">
            <w:pPr>
              <w:bidi w:val="0"/>
              <w:jc w:val="center"/>
              <w:rPr>
                <w:rFonts w:hint="default" w:ascii="Times New Roman" w:hAnsi="Times New Roman" w:cs="Times New Roman"/>
                <w:color w:val="auto"/>
                <w:lang w:val="en-US" w:eastAsia="zh-CN"/>
              </w:rPr>
            </w:pPr>
          </w:p>
        </w:tc>
      </w:tr>
      <w:tr w14:paraId="3619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continue"/>
            <w:noWrap w:val="0"/>
            <w:vAlign w:val="center"/>
          </w:tcPr>
          <w:p w14:paraId="3B9B0869">
            <w:pPr>
              <w:bidi w:val="0"/>
              <w:jc w:val="center"/>
              <w:rPr>
                <w:rFonts w:hint="default" w:ascii="Times New Roman" w:hAnsi="Times New Roman" w:cs="Times New Roman"/>
                <w:color w:val="auto"/>
                <w:lang w:val="en-US" w:eastAsia="zh-CN"/>
              </w:rPr>
            </w:pPr>
          </w:p>
        </w:tc>
        <w:tc>
          <w:tcPr>
            <w:tcW w:w="1349" w:type="dxa"/>
            <w:noWrap w:val="0"/>
            <w:vAlign w:val="center"/>
          </w:tcPr>
          <w:p w14:paraId="7A8122F9">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胡家小村水井</w:t>
            </w:r>
          </w:p>
        </w:tc>
        <w:tc>
          <w:tcPr>
            <w:tcW w:w="1420" w:type="dxa"/>
            <w:noWrap w:val="0"/>
            <w:vAlign w:val="center"/>
          </w:tcPr>
          <w:p w14:paraId="67AF09BA">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西南，1.35km</w:t>
            </w:r>
          </w:p>
        </w:tc>
        <w:tc>
          <w:tcPr>
            <w:tcW w:w="1636" w:type="dxa"/>
            <w:noWrap w:val="0"/>
            <w:vAlign w:val="center"/>
          </w:tcPr>
          <w:p w14:paraId="24FFD7C9">
            <w:pPr>
              <w:keepNext w:val="0"/>
              <w:keepLines w:val="0"/>
              <w:widowControl/>
              <w:suppressLineNumbers w:val="0"/>
              <w:wordWrap/>
              <w:jc w:val="center"/>
              <w:textAlignment w:val="center"/>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103°51′54.90″</w:t>
            </w:r>
            <w:r>
              <w:rPr>
                <w:rFonts w:hint="default" w:ascii="Times New Roman" w:hAnsi="Times New Roman" w:eastAsia="宋体" w:cs="Times New Roman"/>
                <w:b w:val="0"/>
                <w:bCs w:val="0"/>
                <w:i w:val="0"/>
                <w:iCs w:val="0"/>
                <w:color w:val="auto"/>
                <w:kern w:val="0"/>
                <w:sz w:val="21"/>
                <w:szCs w:val="21"/>
                <w:lang w:val="en-US" w:eastAsia="zh-CN" w:bidi="ar"/>
              </w:rPr>
              <w:br w:type="textWrapping"/>
            </w:r>
            <w:r>
              <w:rPr>
                <w:rFonts w:hint="default" w:ascii="Times New Roman" w:hAnsi="Times New Roman" w:eastAsia="宋体" w:cs="Times New Roman"/>
                <w:b w:val="0"/>
                <w:bCs w:val="0"/>
                <w:i w:val="0"/>
                <w:iCs w:val="0"/>
                <w:color w:val="auto"/>
                <w:kern w:val="0"/>
                <w:sz w:val="21"/>
                <w:szCs w:val="21"/>
                <w:lang w:val="en-US" w:eastAsia="zh-CN" w:bidi="ar"/>
              </w:rPr>
              <w:t>25°44′37.83″</w:t>
            </w:r>
          </w:p>
        </w:tc>
        <w:tc>
          <w:tcPr>
            <w:tcW w:w="1135" w:type="dxa"/>
            <w:gridSpan w:val="2"/>
            <w:shd w:val="clear" w:color="auto" w:fill="auto"/>
            <w:noWrap w:val="0"/>
            <w:vAlign w:val="center"/>
          </w:tcPr>
          <w:p w14:paraId="2E2FD85A">
            <w:pPr>
              <w:keepNext w:val="0"/>
              <w:keepLines w:val="0"/>
              <w:widowControl/>
              <w:suppressLineNumbers w:val="0"/>
              <w:wordWrap/>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不作为饮用水使用</w:t>
            </w:r>
          </w:p>
        </w:tc>
        <w:tc>
          <w:tcPr>
            <w:tcW w:w="909" w:type="dxa"/>
            <w:shd w:val="clear" w:color="auto" w:fill="auto"/>
            <w:noWrap w:val="0"/>
            <w:vAlign w:val="center"/>
          </w:tcPr>
          <w:p w14:paraId="2F985B6E">
            <w:pPr>
              <w:bidi w:val="0"/>
              <w:jc w:val="center"/>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灌溉</w:t>
            </w:r>
          </w:p>
        </w:tc>
        <w:tc>
          <w:tcPr>
            <w:tcW w:w="1395" w:type="dxa"/>
            <w:vMerge w:val="continue"/>
            <w:noWrap w:val="0"/>
            <w:vAlign w:val="center"/>
          </w:tcPr>
          <w:p w14:paraId="7C92949C">
            <w:pPr>
              <w:bidi w:val="0"/>
              <w:jc w:val="center"/>
              <w:rPr>
                <w:rFonts w:hint="default" w:ascii="Times New Roman" w:hAnsi="Times New Roman" w:cs="Times New Roman"/>
                <w:color w:val="auto"/>
                <w:lang w:val="en-US" w:eastAsia="zh-CN"/>
              </w:rPr>
            </w:pPr>
          </w:p>
        </w:tc>
      </w:tr>
      <w:tr w14:paraId="267C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continue"/>
            <w:noWrap w:val="0"/>
            <w:vAlign w:val="center"/>
          </w:tcPr>
          <w:p w14:paraId="6CD55DE5">
            <w:pPr>
              <w:bidi w:val="0"/>
              <w:jc w:val="center"/>
              <w:rPr>
                <w:rFonts w:hint="default" w:ascii="Times New Roman" w:hAnsi="Times New Roman" w:cs="Times New Roman"/>
                <w:color w:val="auto"/>
                <w:lang w:val="en-US" w:eastAsia="zh-CN"/>
              </w:rPr>
            </w:pPr>
          </w:p>
        </w:tc>
        <w:tc>
          <w:tcPr>
            <w:tcW w:w="1349" w:type="dxa"/>
            <w:noWrap w:val="0"/>
            <w:vAlign w:val="center"/>
          </w:tcPr>
          <w:p w14:paraId="43695963">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晏家塘村水井</w:t>
            </w:r>
          </w:p>
        </w:tc>
        <w:tc>
          <w:tcPr>
            <w:tcW w:w="1420" w:type="dxa"/>
            <w:noWrap w:val="0"/>
            <w:vAlign w:val="center"/>
          </w:tcPr>
          <w:p w14:paraId="07F99EEB">
            <w:pPr>
              <w:keepNext w:val="0"/>
              <w:keepLines w:val="0"/>
              <w:widowControl/>
              <w:suppressLineNumbers w:val="0"/>
              <w:wordWrap/>
              <w:jc w:val="center"/>
              <w:textAlignment w:val="center"/>
              <w:rPr>
                <w:rFonts w:hint="eastAsia" w:ascii="Times New Roman" w:hAnsi="Times New Roman" w:eastAsia="宋体" w:cs="Times New Roman"/>
                <w:color w:val="auto"/>
                <w:kern w:val="1"/>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西南，2.05km</w:t>
            </w:r>
          </w:p>
        </w:tc>
        <w:tc>
          <w:tcPr>
            <w:tcW w:w="1636" w:type="dxa"/>
            <w:noWrap w:val="0"/>
            <w:vAlign w:val="center"/>
          </w:tcPr>
          <w:p w14:paraId="1C3A3465">
            <w:pPr>
              <w:keepNext w:val="0"/>
              <w:keepLines w:val="0"/>
              <w:widowControl/>
              <w:suppressLineNumbers w:val="0"/>
              <w:wordWrap/>
              <w:jc w:val="center"/>
              <w:textAlignment w:val="center"/>
              <w:rPr>
                <w:rFonts w:hint="default" w:ascii="Times New Roman" w:hAnsi="Times New Roman" w:eastAsia="宋体" w:cs="Times New Roman"/>
                <w:color w:val="auto"/>
                <w:kern w:val="1"/>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103°51′35.22″</w:t>
            </w:r>
            <w:r>
              <w:rPr>
                <w:rFonts w:hint="default" w:ascii="Times New Roman" w:hAnsi="Times New Roman" w:eastAsia="宋体" w:cs="Times New Roman"/>
                <w:b w:val="0"/>
                <w:bCs w:val="0"/>
                <w:i w:val="0"/>
                <w:iCs w:val="0"/>
                <w:color w:val="auto"/>
                <w:kern w:val="0"/>
                <w:sz w:val="21"/>
                <w:szCs w:val="21"/>
                <w:lang w:val="en-US" w:eastAsia="zh-CN" w:bidi="ar"/>
              </w:rPr>
              <w:br w:type="textWrapping"/>
            </w:r>
            <w:r>
              <w:rPr>
                <w:rFonts w:hint="default" w:ascii="Times New Roman" w:hAnsi="Times New Roman" w:eastAsia="宋体" w:cs="Times New Roman"/>
                <w:b w:val="0"/>
                <w:bCs w:val="0"/>
                <w:i w:val="0"/>
                <w:iCs w:val="0"/>
                <w:color w:val="auto"/>
                <w:kern w:val="0"/>
                <w:sz w:val="21"/>
                <w:szCs w:val="21"/>
                <w:lang w:val="en-US" w:eastAsia="zh-CN" w:bidi="ar"/>
              </w:rPr>
              <w:t>25°44′23.32″</w:t>
            </w:r>
          </w:p>
        </w:tc>
        <w:tc>
          <w:tcPr>
            <w:tcW w:w="1135" w:type="dxa"/>
            <w:gridSpan w:val="2"/>
            <w:shd w:val="clear" w:color="auto" w:fill="auto"/>
            <w:noWrap w:val="0"/>
            <w:vAlign w:val="center"/>
          </w:tcPr>
          <w:p w14:paraId="2A8B4A5F">
            <w:pPr>
              <w:keepNext w:val="0"/>
              <w:keepLines w:val="0"/>
              <w:widowControl/>
              <w:suppressLineNumbers w:val="0"/>
              <w:wordWrap/>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不作为饮用水使用</w:t>
            </w:r>
          </w:p>
        </w:tc>
        <w:tc>
          <w:tcPr>
            <w:tcW w:w="909" w:type="dxa"/>
            <w:shd w:val="clear" w:color="auto" w:fill="auto"/>
            <w:noWrap w:val="0"/>
            <w:vAlign w:val="center"/>
          </w:tcPr>
          <w:p w14:paraId="2414587E">
            <w:pPr>
              <w:bidi w:val="0"/>
              <w:jc w:val="center"/>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灌溉</w:t>
            </w:r>
          </w:p>
        </w:tc>
        <w:tc>
          <w:tcPr>
            <w:tcW w:w="1395" w:type="dxa"/>
            <w:vMerge w:val="continue"/>
            <w:noWrap w:val="0"/>
            <w:vAlign w:val="center"/>
          </w:tcPr>
          <w:p w14:paraId="4283BE3A">
            <w:pPr>
              <w:bidi w:val="0"/>
              <w:jc w:val="center"/>
              <w:rPr>
                <w:rFonts w:hint="default" w:ascii="Times New Roman" w:hAnsi="Times New Roman" w:cs="Times New Roman"/>
                <w:color w:val="auto"/>
                <w:lang w:val="en-US" w:eastAsia="zh-CN"/>
              </w:rPr>
            </w:pPr>
          </w:p>
        </w:tc>
      </w:tr>
      <w:tr w14:paraId="0041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72" w:type="dxa"/>
            <w:vMerge w:val="continue"/>
            <w:noWrap w:val="0"/>
            <w:vAlign w:val="center"/>
          </w:tcPr>
          <w:p w14:paraId="5C729DB3">
            <w:pPr>
              <w:bidi w:val="0"/>
              <w:jc w:val="center"/>
              <w:rPr>
                <w:rFonts w:hint="default" w:ascii="Times New Roman" w:hAnsi="Times New Roman" w:cs="Times New Roman"/>
                <w:color w:val="auto"/>
                <w:lang w:val="en-US" w:eastAsia="zh-CN"/>
              </w:rPr>
            </w:pPr>
          </w:p>
        </w:tc>
        <w:tc>
          <w:tcPr>
            <w:tcW w:w="6449" w:type="dxa"/>
            <w:gridSpan w:val="6"/>
            <w:noWrap w:val="0"/>
            <w:vAlign w:val="center"/>
          </w:tcPr>
          <w:p w14:paraId="7DE3298B">
            <w:pPr>
              <w:bidi w:val="0"/>
              <w:jc w:val="center"/>
              <w:rPr>
                <w:rFonts w:hint="default" w:ascii="Times New Roman" w:hAnsi="Times New Roman" w:cs="Times New Roman"/>
                <w:color w:val="auto"/>
                <w:lang w:val="en-US" w:eastAsia="zh-CN"/>
              </w:rPr>
            </w:pPr>
            <w:r>
              <w:rPr>
                <w:rFonts w:hint="eastAsia" w:ascii="Times New Roman" w:hAnsi="Times New Roman" w:eastAsia="宋体" w:cs="Times New Roman"/>
                <w:color w:val="auto"/>
                <w:kern w:val="1"/>
                <w:sz w:val="21"/>
                <w:szCs w:val="21"/>
                <w:lang w:val="en-US" w:eastAsia="zh-CN"/>
              </w:rPr>
              <w:t>项目评价范围内岩溶含水层</w:t>
            </w:r>
          </w:p>
        </w:tc>
        <w:tc>
          <w:tcPr>
            <w:tcW w:w="1395" w:type="dxa"/>
            <w:vMerge w:val="continue"/>
            <w:noWrap w:val="0"/>
            <w:vAlign w:val="center"/>
          </w:tcPr>
          <w:p w14:paraId="41573E8C">
            <w:pPr>
              <w:bidi w:val="0"/>
              <w:jc w:val="center"/>
              <w:rPr>
                <w:rFonts w:hint="default" w:ascii="Times New Roman" w:hAnsi="Times New Roman" w:cs="Times New Roman"/>
                <w:color w:val="auto"/>
                <w:lang w:val="en-US" w:eastAsia="zh-CN"/>
              </w:rPr>
            </w:pPr>
          </w:p>
        </w:tc>
      </w:tr>
    </w:tbl>
    <w:p w14:paraId="4E72B83E">
      <w:pPr>
        <w:pStyle w:val="9"/>
        <w:spacing w:before="323" w:line="218" w:lineRule="auto"/>
        <w:ind w:left="31"/>
        <w:outlineLvl w:val="1"/>
        <w:rPr>
          <w:color w:val="auto"/>
          <w:sz w:val="30"/>
          <w:szCs w:val="30"/>
        </w:rPr>
      </w:pPr>
      <w:bookmarkStart w:id="71" w:name="_Toc15999"/>
      <w:r>
        <w:rPr>
          <w:rFonts w:ascii="Times New Roman" w:hAnsi="Times New Roman" w:eastAsia="Times New Roman" w:cs="Times New Roman"/>
          <w:b/>
          <w:bCs/>
          <w:color w:val="auto"/>
          <w:spacing w:val="-4"/>
          <w:sz w:val="30"/>
          <w:szCs w:val="30"/>
        </w:rPr>
        <w:t>1.10.</w:t>
      </w:r>
      <w:r>
        <w:rPr>
          <w:b/>
          <w:bCs/>
          <w:color w:val="auto"/>
          <w:spacing w:val="-4"/>
          <w:sz w:val="30"/>
          <w:szCs w:val="30"/>
        </w:rPr>
        <w:t>评价工作程序</w:t>
      </w:r>
      <w:bookmarkEnd w:id="71"/>
    </w:p>
    <w:p w14:paraId="36C4CB1E">
      <w:pPr>
        <w:pStyle w:val="9"/>
        <w:spacing w:before="217" w:line="346" w:lineRule="auto"/>
        <w:ind w:left="33" w:right="218" w:firstLine="467"/>
        <w:rPr>
          <w:color w:val="auto"/>
          <w:sz w:val="24"/>
          <w:szCs w:val="24"/>
        </w:rPr>
      </w:pPr>
      <w:r>
        <w:rPr>
          <w:color w:val="auto"/>
          <w:spacing w:val="-3"/>
          <w:sz w:val="24"/>
          <w:szCs w:val="24"/>
        </w:rPr>
        <w:t>通过现场调查和系统收集资料，采取点面结合、机理分析等方法进行环境影</w:t>
      </w:r>
      <w:r>
        <w:rPr>
          <w:color w:val="auto"/>
          <w:spacing w:val="-5"/>
          <w:sz w:val="24"/>
          <w:szCs w:val="24"/>
        </w:rPr>
        <w:t>响评价。评价工作程序见图</w:t>
      </w:r>
      <w:r>
        <w:rPr>
          <w:rFonts w:ascii="Times New Roman" w:hAnsi="Times New Roman" w:eastAsia="Times New Roman" w:cs="Times New Roman"/>
          <w:color w:val="auto"/>
          <w:spacing w:val="-5"/>
          <w:sz w:val="24"/>
          <w:szCs w:val="24"/>
        </w:rPr>
        <w:t>1.10-1</w:t>
      </w:r>
      <w:r>
        <w:rPr>
          <w:color w:val="auto"/>
          <w:spacing w:val="-5"/>
          <w:sz w:val="24"/>
          <w:szCs w:val="24"/>
        </w:rPr>
        <w:t>。</w:t>
      </w:r>
    </w:p>
    <w:p w14:paraId="40D07321">
      <w:pPr>
        <w:keepNext w:val="0"/>
        <w:keepLines w:val="0"/>
        <w:pageBreakBefore w:val="0"/>
        <w:widowControl/>
        <w:kinsoku w:val="0"/>
        <w:wordWrap/>
        <w:overflowPunct/>
        <w:topLinePunct w:val="0"/>
        <w:autoSpaceDE w:val="0"/>
        <w:autoSpaceDN w:val="0"/>
        <w:bidi w:val="0"/>
        <w:adjustRightInd w:val="0"/>
        <w:snapToGrid w:val="0"/>
        <w:spacing w:line="240" w:lineRule="auto"/>
        <w:ind w:firstLine="11"/>
        <w:textAlignment w:val="baseline"/>
        <w:rPr>
          <w:color w:val="auto"/>
        </w:rPr>
      </w:pPr>
      <w:r>
        <w:rPr>
          <w:color w:val="auto"/>
          <w:position w:val="-193"/>
        </w:rPr>
        <w:drawing>
          <wp:inline distT="0" distB="0" distL="0" distR="0">
            <wp:extent cx="5387975" cy="5792470"/>
            <wp:effectExtent l="0" t="0" r="3175" b="1778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2"/>
                    <a:stretch>
                      <a:fillRect/>
                    </a:stretch>
                  </pic:blipFill>
                  <pic:spPr>
                    <a:xfrm>
                      <a:off x="0" y="0"/>
                      <a:ext cx="5387975" cy="5792470"/>
                    </a:xfrm>
                    <a:prstGeom prst="rect">
                      <a:avLst/>
                    </a:prstGeom>
                  </pic:spPr>
                </pic:pic>
              </a:graphicData>
            </a:graphic>
          </wp:inline>
        </w:drawing>
      </w:r>
    </w:p>
    <w:p w14:paraId="514505D9">
      <w:pPr>
        <w:pStyle w:val="9"/>
        <w:spacing w:before="171" w:line="218" w:lineRule="auto"/>
        <w:ind w:left="2384"/>
        <w:rPr>
          <w:color w:val="auto"/>
        </w:rPr>
      </w:pPr>
      <w:r>
        <w:rPr>
          <w:b/>
          <w:bCs/>
          <w:color w:val="auto"/>
          <w:spacing w:val="-4"/>
        </w:rPr>
        <w:t>图</w:t>
      </w:r>
      <w:r>
        <w:rPr>
          <w:color w:val="auto"/>
          <w:spacing w:val="-40"/>
        </w:rPr>
        <w:t xml:space="preserve"> </w:t>
      </w:r>
      <w:r>
        <w:rPr>
          <w:rFonts w:ascii="Times New Roman" w:hAnsi="Times New Roman" w:eastAsia="Times New Roman" w:cs="Times New Roman"/>
          <w:b/>
          <w:bCs/>
          <w:color w:val="auto"/>
          <w:spacing w:val="-4"/>
        </w:rPr>
        <w:t xml:space="preserve">1.10-1 </w:t>
      </w:r>
      <w:r>
        <w:rPr>
          <w:b/>
          <w:bCs/>
          <w:color w:val="auto"/>
          <w:spacing w:val="-4"/>
        </w:rPr>
        <w:t>环境影响评价工作程序图</w:t>
      </w:r>
    </w:p>
    <w:p w14:paraId="406E053B">
      <w:pPr>
        <w:spacing w:line="218" w:lineRule="auto"/>
        <w:rPr>
          <w:color w:val="auto"/>
        </w:rPr>
        <w:sectPr>
          <w:footerReference r:id="rId9" w:type="default"/>
          <w:pgSz w:w="11907" w:h="16840"/>
          <w:pgMar w:top="1169" w:right="1579" w:bottom="1242" w:left="1786" w:header="845" w:footer="1026" w:gutter="0"/>
          <w:pgNumType w:fmt="decimal"/>
          <w:cols w:space="720" w:num="1"/>
        </w:sectPr>
      </w:pPr>
    </w:p>
    <w:p w14:paraId="610A73FB">
      <w:pPr>
        <w:spacing w:before="140" w:line="225" w:lineRule="auto"/>
        <w:ind w:left="2349"/>
        <w:outlineLvl w:val="0"/>
        <w:rPr>
          <w:rFonts w:hint="default" w:ascii="Times New Roman" w:hAnsi="Times New Roman" w:eastAsia="宋体" w:cs="Times New Roman"/>
          <w:color w:val="auto"/>
          <w:sz w:val="43"/>
          <w:szCs w:val="43"/>
        </w:rPr>
      </w:pPr>
      <w:bookmarkStart w:id="72" w:name="_Toc27406"/>
      <w:bookmarkStart w:id="73" w:name="_Toc20887"/>
      <w:bookmarkStart w:id="74" w:name="_Toc24361"/>
      <w:r>
        <w:rPr>
          <w:rFonts w:hint="eastAsia" w:ascii="Times New Roman" w:hAnsi="Times New Roman" w:eastAsia="宋体" w:cs="Times New Roman"/>
          <w:b/>
          <w:bCs/>
          <w:color w:val="auto"/>
          <w:spacing w:val="5"/>
          <w:sz w:val="43"/>
          <w:szCs w:val="43"/>
          <w:lang w:val="en-US" w:eastAsia="zh-CN"/>
        </w:rPr>
        <w:t>2</w:t>
      </w:r>
      <w:r>
        <w:rPr>
          <w:rFonts w:hint="default" w:ascii="Times New Roman" w:hAnsi="Times New Roman" w:eastAsia="Times New Roman" w:cs="Times New Roman"/>
          <w:b/>
          <w:bCs/>
          <w:color w:val="auto"/>
          <w:spacing w:val="5"/>
          <w:sz w:val="43"/>
          <w:szCs w:val="43"/>
        </w:rPr>
        <w:t>.</w:t>
      </w:r>
      <w:r>
        <w:rPr>
          <w:rFonts w:hint="default" w:ascii="Times New Roman" w:hAnsi="Times New Roman" w:eastAsia="宋体" w:cs="Times New Roman"/>
          <w:b/>
          <w:bCs/>
          <w:color w:val="auto"/>
          <w:spacing w:val="5"/>
          <w:sz w:val="43"/>
          <w:szCs w:val="43"/>
        </w:rPr>
        <w:t>建设项目工程分析</w:t>
      </w:r>
      <w:bookmarkEnd w:id="72"/>
      <w:bookmarkEnd w:id="73"/>
      <w:bookmarkEnd w:id="74"/>
    </w:p>
    <w:p w14:paraId="5A1A3C34">
      <w:pPr>
        <w:pStyle w:val="9"/>
        <w:spacing w:line="369" w:lineRule="auto"/>
        <w:rPr>
          <w:rFonts w:hint="default" w:ascii="Times New Roman" w:hAnsi="Times New Roman" w:cs="Times New Roman"/>
          <w:color w:val="auto"/>
        </w:rPr>
      </w:pPr>
    </w:p>
    <w:p w14:paraId="5E58AED8">
      <w:pPr>
        <w:spacing w:before="101" w:line="226" w:lineRule="auto"/>
        <w:ind w:left="126"/>
        <w:outlineLvl w:val="1"/>
        <w:rPr>
          <w:rFonts w:hint="default" w:ascii="Times New Roman" w:hAnsi="Times New Roman" w:eastAsia="宋体" w:cs="Times New Roman"/>
          <w:color w:val="auto"/>
          <w:sz w:val="31"/>
          <w:szCs w:val="31"/>
        </w:rPr>
      </w:pPr>
      <w:bookmarkStart w:id="75" w:name="_Toc24737"/>
      <w:bookmarkStart w:id="76" w:name="_Toc4870"/>
      <w:bookmarkStart w:id="77" w:name="_Toc32033"/>
      <w:r>
        <w:rPr>
          <w:rFonts w:hint="eastAsia" w:ascii="Times New Roman" w:hAnsi="Times New Roman" w:eastAsia="宋体" w:cs="Times New Roman"/>
          <w:b/>
          <w:bCs/>
          <w:color w:val="auto"/>
          <w:spacing w:val="5"/>
          <w:sz w:val="31"/>
          <w:szCs w:val="31"/>
          <w:lang w:val="en-US" w:eastAsia="zh-CN"/>
        </w:rPr>
        <w:t>2</w:t>
      </w:r>
      <w:r>
        <w:rPr>
          <w:rFonts w:hint="default" w:ascii="Times New Roman" w:hAnsi="Times New Roman" w:eastAsia="Times New Roman" w:cs="Times New Roman"/>
          <w:b/>
          <w:bCs/>
          <w:color w:val="auto"/>
          <w:spacing w:val="5"/>
          <w:sz w:val="31"/>
          <w:szCs w:val="31"/>
        </w:rPr>
        <w:t>.1.</w:t>
      </w:r>
      <w:r>
        <w:rPr>
          <w:rFonts w:hint="default" w:ascii="Times New Roman" w:hAnsi="Times New Roman" w:eastAsia="宋体" w:cs="Times New Roman"/>
          <w:b/>
          <w:bCs/>
          <w:color w:val="auto"/>
          <w:spacing w:val="5"/>
          <w:sz w:val="31"/>
          <w:szCs w:val="31"/>
        </w:rPr>
        <w:t>现有工程概况</w:t>
      </w:r>
      <w:bookmarkEnd w:id="75"/>
      <w:bookmarkEnd w:id="76"/>
      <w:bookmarkEnd w:id="77"/>
    </w:p>
    <w:p w14:paraId="6D52A229">
      <w:pPr>
        <w:pStyle w:val="9"/>
        <w:spacing w:line="346" w:lineRule="auto"/>
        <w:rPr>
          <w:rFonts w:hint="default" w:ascii="Times New Roman" w:hAnsi="Times New Roman" w:cs="Times New Roman"/>
          <w:color w:val="auto"/>
        </w:rPr>
      </w:pPr>
    </w:p>
    <w:p w14:paraId="60699FFF">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outlineLvl w:val="2"/>
        <w:rPr>
          <w:rFonts w:hint="default" w:ascii="Times New Roman" w:hAnsi="Times New Roman" w:eastAsia="宋体" w:cs="Times New Roman"/>
          <w:b/>
          <w:bCs w:val="0"/>
          <w:color w:val="auto"/>
          <w:sz w:val="24"/>
          <w:szCs w:val="24"/>
          <w:lang w:val="en-US" w:eastAsia="zh-CN"/>
        </w:rPr>
      </w:pPr>
      <w:bookmarkStart w:id="78" w:name="_Toc24583"/>
      <w:r>
        <w:rPr>
          <w:rFonts w:hint="eastAsia" w:ascii="Times New Roman" w:hAnsi="Times New Roman" w:eastAsia="宋体" w:cs="Times New Roman"/>
          <w:b/>
          <w:bCs w:val="0"/>
          <w:color w:val="auto"/>
          <w:sz w:val="24"/>
          <w:szCs w:val="24"/>
          <w:lang w:val="en-US" w:eastAsia="zh-CN"/>
        </w:rPr>
        <w:t>2.1.</w:t>
      </w:r>
      <w:r>
        <w:rPr>
          <w:rFonts w:hint="default" w:ascii="Times New Roman" w:hAnsi="Times New Roman" w:eastAsia="宋体" w:cs="Times New Roman"/>
          <w:b/>
          <w:bCs w:val="0"/>
          <w:color w:val="auto"/>
          <w:sz w:val="24"/>
          <w:szCs w:val="24"/>
          <w:lang w:val="en-US" w:eastAsia="zh-CN"/>
        </w:rPr>
        <w:t>1基本情况</w:t>
      </w:r>
      <w:bookmarkEnd w:id="78"/>
    </w:p>
    <w:p w14:paraId="3A4C850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val="en-US" w:eastAsia="zh-CN"/>
        </w:rPr>
        <w:t>企业简介</w:t>
      </w:r>
    </w:p>
    <w:p w14:paraId="3BD4B0D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云南曲煤焦化实业发展有限公司坐落于曲靖</w:t>
      </w:r>
      <w:r>
        <w:rPr>
          <w:rFonts w:hint="eastAsia" w:ascii="Times New Roman" w:hAnsi="Times New Roman" w:cs="Times New Roman"/>
          <w:color w:val="auto"/>
          <w:sz w:val="24"/>
          <w:szCs w:val="24"/>
          <w:lang w:val="en-US" w:eastAsia="zh-CN"/>
        </w:rPr>
        <w:t>市</w:t>
      </w:r>
      <w:r>
        <w:rPr>
          <w:rFonts w:hint="default" w:ascii="Times New Roman" w:hAnsi="Times New Roman" w:cs="Times New Roman"/>
          <w:color w:val="auto"/>
          <w:sz w:val="24"/>
          <w:szCs w:val="24"/>
          <w:lang w:val="en-US" w:eastAsia="zh-CN"/>
        </w:rPr>
        <w:t>沾益区花山街道花山工业园区，在职员工2900余人，以煤焦化生产及其后续产品的深加工为主线，拥有305万吨/年焦炭、30万吨/年甲醇、10万吨/年炭黑、20万吨/年焦油加工、5万吨/年顺酐、12万吨/年粗苯精制等生产规模能力，主要产品有焦炭、甲醇、炭黑、沥青、顺酐等多个品种，拥有企业自用专用铁路。</w:t>
      </w:r>
    </w:p>
    <w:p w14:paraId="17DF415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曲煤焦化专用铁路示意图及现状</w:t>
      </w:r>
    </w:p>
    <w:p w14:paraId="194A6D0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lang w:val="en-US" w:eastAsia="zh-CN"/>
        </w:rPr>
        <w:t>2017年云南云维集团有限公司将云维集团专用铁路所有资产出售给云南曲煤焦化实业发展有限公司，并将云维集团专用铁路更名为曲煤焦化专用铁路</w:t>
      </w:r>
      <w:r>
        <w:rPr>
          <w:rFonts w:hint="default" w:ascii="Times New Roman" w:hAnsi="Times New Roman"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本项目</w:t>
      </w:r>
      <w:r>
        <w:rPr>
          <w:rFonts w:hint="eastAsia" w:ascii="Times New Roman" w:hAnsi="Times New Roman" w:eastAsia="宋体" w:cs="Times New Roman"/>
          <w:b w:val="0"/>
          <w:bCs/>
          <w:color w:val="auto"/>
          <w:sz w:val="24"/>
          <w:szCs w:val="24"/>
          <w:lang w:val="en-US" w:eastAsia="zh-CN"/>
        </w:rPr>
        <w:t>现有到发4条货运线</w:t>
      </w:r>
      <w:r>
        <w:rPr>
          <w:rFonts w:hint="default" w:ascii="Times New Roman" w:hAnsi="Times New Roman" w:cs="Times New Roman"/>
          <w:b w:val="0"/>
          <w:bCs/>
          <w:color w:val="auto"/>
          <w:sz w:val="24"/>
          <w:szCs w:val="24"/>
          <w:lang w:val="en-US" w:eastAsia="zh-CN"/>
        </w:rPr>
        <w:t>属于</w:t>
      </w:r>
      <w:r>
        <w:rPr>
          <w:rFonts w:hint="default" w:ascii="Times New Roman" w:hAnsi="Times New Roman" w:eastAsia="宋体" w:cs="Times New Roman"/>
          <w:color w:val="auto"/>
          <w:sz w:val="24"/>
          <w:lang w:val="en-US" w:eastAsia="zh-CN"/>
        </w:rPr>
        <w:t>曲煤焦化专用铁路</w:t>
      </w:r>
      <w:r>
        <w:rPr>
          <w:rFonts w:hint="default" w:ascii="Times New Roman" w:hAnsi="Times New Roman" w:cs="Times New Roman"/>
          <w:b w:val="0"/>
          <w:bCs/>
          <w:color w:val="auto"/>
          <w:sz w:val="24"/>
          <w:szCs w:val="24"/>
          <w:lang w:val="en-US" w:eastAsia="zh-CN"/>
        </w:rPr>
        <w:t>。</w:t>
      </w:r>
    </w:p>
    <w:p w14:paraId="6BCD6A6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曲煤焦化专用铁路，现有股道23条，其中18条位于曲煤焦化公司和制氨厂区，5条位于能投硅材料公司厂区。线路总长17公里，装卸线总长4.9公里。有自备铁路机车2台，自备铁路甲醇罐车35辆，铁路危化品充装栈桥2座，最大容车数165车左右，可以发运煤、焦炭、化肥、甲醇、液氨，接卸煤、焦炭、化肥等产品，年运输能力350万吨左右，详下列图表：</w:t>
      </w:r>
    </w:p>
    <w:p w14:paraId="21D3882C">
      <w:pPr>
        <w:pStyle w:val="25"/>
        <w:keepNext w:val="0"/>
        <w:keepLines w:val="0"/>
        <w:pageBreakBefore w:val="0"/>
        <w:widowControl/>
        <w:kinsoku w:val="0"/>
        <w:wordWrap/>
        <w:overflowPunct/>
        <w:topLinePunct w:val="0"/>
        <w:autoSpaceDE w:val="0"/>
        <w:autoSpaceDN w:val="0"/>
        <w:bidi w:val="0"/>
        <w:adjustRightInd/>
        <w:snapToGrid/>
        <w:ind w:firstLine="480" w:firstLineChars="200"/>
        <w:textAlignment w:val="baseline"/>
        <w:rPr>
          <w:rFonts w:hint="default" w:ascii="Times New Roman" w:hAnsi="Times New Roman" w:eastAsia="Arial" w:cs="Times New Roman"/>
          <w:snapToGrid w:val="0"/>
          <w:color w:val="auto"/>
          <w:kern w:val="0"/>
          <w:sz w:val="24"/>
          <w:szCs w:val="24"/>
          <w:lang w:val="en-US" w:eastAsia="zh-CN" w:bidi="ar-SA"/>
        </w:rPr>
      </w:pPr>
      <w:r>
        <w:rPr>
          <w:rFonts w:hint="eastAsia" w:ascii="Times New Roman" w:hAnsi="Times New Roman" w:eastAsia="Arial" w:cs="Times New Roman"/>
          <w:snapToGrid w:val="0"/>
          <w:color w:val="auto"/>
          <w:kern w:val="0"/>
          <w:sz w:val="24"/>
          <w:szCs w:val="24"/>
          <w:lang w:val="en-US" w:eastAsia="zh-CN" w:bidi="ar-SA"/>
        </w:rPr>
        <w:t>本次项目只发送煤焦，不涉及</w:t>
      </w:r>
      <w:r>
        <w:rPr>
          <w:rFonts w:hint="eastAsia" w:ascii="Times New Roman" w:hAnsi="Times New Roman" w:cs="Times New Roman"/>
          <w:snapToGrid w:val="0"/>
          <w:color w:val="auto"/>
          <w:kern w:val="0"/>
          <w:sz w:val="24"/>
          <w:szCs w:val="24"/>
          <w:lang w:val="en-US" w:eastAsia="zh-CN" w:bidi="ar-SA"/>
        </w:rPr>
        <w:t>发送</w:t>
      </w:r>
      <w:r>
        <w:rPr>
          <w:rFonts w:hint="eastAsia" w:ascii="Times New Roman" w:hAnsi="Times New Roman" w:eastAsia="Arial" w:cs="Times New Roman"/>
          <w:snapToGrid w:val="0"/>
          <w:color w:val="auto"/>
          <w:kern w:val="0"/>
          <w:sz w:val="24"/>
          <w:szCs w:val="24"/>
          <w:lang w:val="en-US" w:eastAsia="zh-CN" w:bidi="ar-SA"/>
        </w:rPr>
        <w:t>以上危险化学品。</w:t>
      </w:r>
    </w:p>
    <w:p w14:paraId="5188661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drawing>
          <wp:inline distT="0" distB="0" distL="114300" distR="114300">
            <wp:extent cx="5269865" cy="2143760"/>
            <wp:effectExtent l="0" t="0" r="6985" b="8890"/>
            <wp:docPr id="9" name="图片 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
                    <pic:cNvPicPr>
                      <a:picLocks noChangeAspect="1"/>
                    </pic:cNvPicPr>
                  </pic:nvPicPr>
                  <pic:blipFill>
                    <a:blip r:embed="rId23"/>
                    <a:stretch>
                      <a:fillRect/>
                    </a:stretch>
                  </pic:blipFill>
                  <pic:spPr>
                    <a:xfrm>
                      <a:off x="0" y="0"/>
                      <a:ext cx="5269865" cy="2143760"/>
                    </a:xfrm>
                    <a:prstGeom prst="rect">
                      <a:avLst/>
                    </a:prstGeom>
                  </pic:spPr>
                </pic:pic>
              </a:graphicData>
            </a:graphic>
          </wp:inline>
        </w:drawing>
      </w:r>
    </w:p>
    <w:p w14:paraId="7612B04A">
      <w:pPr>
        <w:keepNext w:val="0"/>
        <w:keepLines w:val="0"/>
        <w:widowControl/>
        <w:suppressLineNumbers w:val="0"/>
        <w:jc w:val="center"/>
        <w:rPr>
          <w:rFonts w:hint="default" w:ascii="Times New Roman" w:hAnsi="Times New Roman" w:cs="Times New Roman"/>
          <w:color w:val="auto"/>
          <w:sz w:val="21"/>
          <w:szCs w:val="21"/>
        </w:rPr>
      </w:pPr>
      <w:r>
        <w:rPr>
          <w:rFonts w:hint="default" w:ascii="Times New Roman" w:hAnsi="Times New Roman" w:eastAsia="宋体" w:cs="Times New Roman"/>
          <w:b/>
          <w:bCs/>
          <w:snapToGrid w:val="0"/>
          <w:color w:val="auto"/>
          <w:kern w:val="0"/>
          <w:sz w:val="21"/>
          <w:szCs w:val="21"/>
          <w:lang w:val="en-US" w:eastAsia="zh-CN" w:bidi="ar"/>
        </w:rPr>
        <w:t>图2.1-1曲煤专用铁路示意图</w:t>
      </w:r>
    </w:p>
    <w:p w14:paraId="074278D1">
      <w:pPr>
        <w:pStyle w:val="25"/>
        <w:rPr>
          <w:rFonts w:hint="default"/>
          <w:color w:val="auto"/>
          <w:lang w:val="en-US" w:eastAsia="zh-CN"/>
        </w:rPr>
      </w:pPr>
    </w:p>
    <w:p w14:paraId="1EDBCBE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 xml:space="preserve">（3）曲煤焦化专用铁路股道表 </w:t>
      </w:r>
    </w:p>
    <w:p w14:paraId="211CEC8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专用铁路既有线路股道表2.1-1</w:t>
      </w:r>
    </w:p>
    <w:p w14:paraId="1CF38079">
      <w:pPr>
        <w:pStyle w:val="36"/>
        <w:keepNext w:val="0"/>
        <w:keepLines w:val="0"/>
        <w:pageBreakBefore w:val="0"/>
        <w:widowControl w:val="0"/>
        <w:numPr>
          <w:ilvl w:val="1"/>
          <w:numId w:val="12"/>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lang w:val="en-US" w:eastAsia="zh-CN"/>
        </w:rPr>
      </w:pPr>
      <w:r>
        <w:rPr>
          <w:rFonts w:hint="eastAsia" w:ascii="Times New Roman" w:hAnsi="Times New Roman" w:cs="Times New Roman"/>
          <w:b/>
          <w:bCs/>
          <w:color w:val="auto"/>
          <w:spacing w:val="-3"/>
          <w:lang w:val="en-US" w:eastAsia="zh-CN"/>
        </w:rPr>
        <w:t>专用铁路既有线路股道表</w:t>
      </w:r>
    </w:p>
    <w:p w14:paraId="430A9FE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color w:val="auto"/>
          <w:sz w:val="24"/>
          <w:lang w:val="en-US" w:eastAsia="zh-CN"/>
        </w:rPr>
      </w:pPr>
      <w:r>
        <w:rPr>
          <w:color w:val="auto"/>
        </w:rPr>
        <w:drawing>
          <wp:inline distT="0" distB="0" distL="114300" distR="114300">
            <wp:extent cx="5177790" cy="2523490"/>
            <wp:effectExtent l="0" t="0" r="3810" b="1016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24"/>
                    <a:stretch>
                      <a:fillRect/>
                    </a:stretch>
                  </pic:blipFill>
                  <pic:spPr>
                    <a:xfrm>
                      <a:off x="0" y="0"/>
                      <a:ext cx="5177790" cy="2523490"/>
                    </a:xfrm>
                    <a:prstGeom prst="rect">
                      <a:avLst/>
                    </a:prstGeom>
                    <a:noFill/>
                    <a:ln>
                      <a:noFill/>
                    </a:ln>
                  </pic:spPr>
                </pic:pic>
              </a:graphicData>
            </a:graphic>
          </wp:inline>
        </w:drawing>
      </w:r>
    </w:p>
    <w:p w14:paraId="6C6090EF">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outlineLvl w:val="2"/>
        <w:rPr>
          <w:rFonts w:hint="default" w:ascii="Times New Roman" w:hAnsi="Times New Roman" w:eastAsia="宋体" w:cs="Times New Roman"/>
          <w:b/>
          <w:bCs w:val="0"/>
          <w:color w:val="auto"/>
          <w:sz w:val="24"/>
          <w:szCs w:val="24"/>
          <w:lang w:val="en-US" w:eastAsia="zh-CN"/>
        </w:rPr>
      </w:pPr>
      <w:bookmarkStart w:id="79" w:name="_Toc3032"/>
      <w:r>
        <w:rPr>
          <w:rFonts w:hint="eastAsia" w:ascii="Times New Roman" w:hAnsi="Times New Roman" w:eastAsia="宋体" w:cs="Times New Roman"/>
          <w:b/>
          <w:bCs w:val="0"/>
          <w:color w:val="auto"/>
          <w:sz w:val="24"/>
          <w:szCs w:val="24"/>
          <w:lang w:val="en-US" w:eastAsia="zh-CN"/>
        </w:rPr>
        <w:t>2.1.</w:t>
      </w:r>
      <w:r>
        <w:rPr>
          <w:rFonts w:hint="default" w:ascii="Times New Roman" w:hAnsi="Times New Roman" w:eastAsia="宋体" w:cs="Times New Roman"/>
          <w:b/>
          <w:bCs w:val="0"/>
          <w:color w:val="auto"/>
          <w:sz w:val="24"/>
          <w:szCs w:val="24"/>
          <w:lang w:val="en-US" w:eastAsia="zh-CN"/>
        </w:rPr>
        <w:t>2环保手续情况</w:t>
      </w:r>
      <w:bookmarkEnd w:id="79"/>
    </w:p>
    <w:p w14:paraId="3604CD5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云南曲煤焦化实业有限公司专用铁路原名</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云南云维集团有限公司专用铁路</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，建设了从珠江源站接轨到曲煤焦化的18条货运线路，包括本次项目改变性质的4条到发货运线</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2007年建成投运，隶属云南云维集团有限公司</w:t>
      </w:r>
      <w:r>
        <w:rPr>
          <w:rFonts w:hint="eastAsia" w:ascii="Times New Roman" w:hAnsi="Times New Roman" w:cs="Times New Roman"/>
          <w:color w:val="auto"/>
          <w:sz w:val="24"/>
          <w:szCs w:val="24"/>
          <w:lang w:val="en-US" w:eastAsia="zh-CN"/>
        </w:rPr>
        <w:t>，由于历史原因该</w:t>
      </w:r>
      <w:r>
        <w:rPr>
          <w:rFonts w:hint="default" w:ascii="Times New Roman" w:hAnsi="Times New Roman" w:cs="Times New Roman"/>
          <w:color w:val="auto"/>
          <w:sz w:val="24"/>
          <w:szCs w:val="24"/>
          <w:lang w:val="en-US" w:eastAsia="zh-CN"/>
        </w:rPr>
        <w:t>专用铁路</w:t>
      </w:r>
      <w:r>
        <w:rPr>
          <w:rFonts w:hint="eastAsia" w:ascii="Times New Roman" w:hAnsi="Times New Roman" w:cs="Times New Roman"/>
          <w:color w:val="auto"/>
          <w:sz w:val="24"/>
          <w:szCs w:val="24"/>
          <w:lang w:val="en-US" w:eastAsia="zh-CN"/>
        </w:rPr>
        <w:t>未办理过环保手续</w:t>
      </w:r>
      <w:r>
        <w:rPr>
          <w:rFonts w:hint="default" w:ascii="Times New Roman" w:hAnsi="Times New Roman" w:cs="Times New Roman"/>
          <w:color w:val="auto"/>
          <w:sz w:val="24"/>
          <w:szCs w:val="24"/>
          <w:lang w:val="en-US" w:eastAsia="zh-CN"/>
        </w:rPr>
        <w:t>。2016年云南曲煤焦化实业发展有限公司以竞买方式取得该专用铁路产权，2017年9月26日昆明铁路局总工程师室同意该专用铁路名称变更为</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云南曲煤焦化实业发展有限公司专用铁路</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w:t>
      </w:r>
    </w:p>
    <w:p w14:paraId="6EF51CF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2012年，因业务需要，云南云维集团有限公司启动</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云南云维珠江源专用铁路改扩建工程”项目，2012年7月，云南省发展和改革委员会以云发改办基础〔2012〕449号文同意项目开展前期工作</w:t>
      </w:r>
      <w:r>
        <w:rPr>
          <w:rFonts w:hint="default" w:ascii="Times New Roman" w:hAnsi="Times New Roman" w:cs="Times New Roman"/>
          <w:color w:val="auto"/>
          <w:sz w:val="24"/>
          <w:szCs w:val="24"/>
          <w:highlight w:val="none"/>
          <w:lang w:val="en-US" w:eastAsia="zh-CN"/>
        </w:rPr>
        <w:t>。2014年该工程未经环境影响评价行政许可擅自开工建设</w:t>
      </w:r>
      <w:r>
        <w:rPr>
          <w:rFonts w:hint="eastAsia" w:ascii="Times New Roman" w:hAnsi="Times New Roman" w:cs="Times New Roman"/>
          <w:color w:val="auto"/>
          <w:sz w:val="24"/>
          <w:szCs w:val="24"/>
          <w:highlight w:val="none"/>
          <w:lang w:val="en-US" w:eastAsia="zh-CN"/>
        </w:rPr>
        <w:t>（建设了仓库1座）</w:t>
      </w:r>
      <w:r>
        <w:rPr>
          <w:rFonts w:hint="default" w:ascii="Times New Roman" w:hAnsi="Times New Roman" w:cs="Times New Roman"/>
          <w:color w:val="auto"/>
          <w:sz w:val="24"/>
          <w:szCs w:val="24"/>
          <w:highlight w:val="none"/>
          <w:lang w:val="en-US" w:eastAsia="zh-CN"/>
        </w:rPr>
        <w:t>，被生态环境主管部门查处，</w:t>
      </w:r>
      <w:r>
        <w:rPr>
          <w:rFonts w:hint="default" w:ascii="Times New Roman" w:hAnsi="Times New Roman" w:cs="Times New Roman"/>
          <w:color w:val="auto"/>
          <w:sz w:val="24"/>
          <w:szCs w:val="24"/>
          <w:lang w:val="en-US" w:eastAsia="zh-CN"/>
        </w:rPr>
        <w:t>随后，云南云维集团有限公司开展改扩建工程环境影响评价工作，2015年取得《云南省环境保护厅关于云南云维珠江源专用铁路改扩建工程环境影响报告书的批复》（云环审〔2015〕11号），批复中建设内容为：工厂站改建工程、新建货物线和接轨站改扩建工程；</w:t>
      </w:r>
      <w:r>
        <w:rPr>
          <w:rFonts w:hint="eastAsia" w:ascii="Times New Roman" w:hAnsi="Times New Roman" w:cs="Times New Roman"/>
          <w:color w:val="auto"/>
          <w:sz w:val="24"/>
          <w:szCs w:val="24"/>
          <w:lang w:val="en-US" w:eastAsia="zh-CN"/>
        </w:rPr>
        <w:t>由于</w:t>
      </w:r>
      <w:r>
        <w:rPr>
          <w:rFonts w:hint="default" w:ascii="Times New Roman" w:hAnsi="Times New Roman" w:cs="Times New Roman"/>
          <w:color w:val="auto"/>
          <w:sz w:val="24"/>
          <w:szCs w:val="24"/>
          <w:lang w:val="en-US" w:eastAsia="zh-CN"/>
        </w:rPr>
        <w:t>2016年云南云维集团有限公司</w:t>
      </w:r>
      <w:r>
        <w:rPr>
          <w:rFonts w:hint="eastAsia" w:ascii="Times New Roman" w:hAnsi="Times New Roman" w:cs="Times New Roman"/>
          <w:color w:val="auto"/>
          <w:sz w:val="24"/>
          <w:szCs w:val="24"/>
          <w:lang w:val="en-US" w:eastAsia="zh-CN"/>
        </w:rPr>
        <w:t>和</w:t>
      </w:r>
      <w:r>
        <w:rPr>
          <w:rFonts w:hint="default" w:ascii="Times New Roman" w:hAnsi="Times New Roman" w:cs="Times New Roman"/>
          <w:color w:val="auto"/>
          <w:sz w:val="24"/>
          <w:szCs w:val="24"/>
          <w:lang w:val="en-US" w:eastAsia="zh-CN"/>
        </w:rPr>
        <w:t>云南云维股份有限公司</w:t>
      </w:r>
      <w:r>
        <w:rPr>
          <w:rFonts w:hint="eastAsia" w:ascii="Times New Roman" w:hAnsi="Times New Roman" w:cs="Times New Roman"/>
          <w:color w:val="auto"/>
          <w:sz w:val="24"/>
          <w:szCs w:val="24"/>
          <w:lang w:val="en-US" w:eastAsia="zh-CN"/>
        </w:rPr>
        <w:t>进行了</w:t>
      </w:r>
      <w:r>
        <w:rPr>
          <w:rFonts w:hint="default" w:ascii="Times New Roman" w:hAnsi="Times New Roman" w:cs="Times New Roman"/>
          <w:color w:val="auto"/>
          <w:sz w:val="24"/>
          <w:szCs w:val="24"/>
          <w:lang w:val="en-US" w:eastAsia="zh-CN"/>
        </w:rPr>
        <w:t>司法重整</w:t>
      </w:r>
      <w:r>
        <w:rPr>
          <w:rFonts w:hint="eastAsia" w:ascii="Times New Roman" w:hAnsi="Times New Roman" w:cs="Times New Roman"/>
          <w:color w:val="auto"/>
          <w:sz w:val="24"/>
          <w:szCs w:val="24"/>
          <w:lang w:val="en-US" w:eastAsia="zh-CN"/>
        </w:rPr>
        <w:t>和机构调整，该项目建设被搁置。只有在</w:t>
      </w:r>
      <w:r>
        <w:rPr>
          <w:rFonts w:hint="default" w:ascii="Times New Roman" w:hAnsi="Times New Roman" w:eastAsia="宋体" w:cs="Times New Roman"/>
          <w:color w:val="auto"/>
          <w:sz w:val="24"/>
          <w:szCs w:val="24"/>
          <w:lang w:val="en-US" w:eastAsia="zh-CN"/>
        </w:rPr>
        <w:t>201</w:t>
      </w:r>
      <w:r>
        <w:rPr>
          <w:rFonts w:hint="default" w:ascii="Times New Roman" w:hAnsi="Times New Roman"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年</w:t>
      </w:r>
      <w:r>
        <w:rPr>
          <w:rFonts w:hint="default" w:ascii="Times New Roman" w:hAnsi="Times New Roman" w:cs="Times New Roman"/>
          <w:color w:val="auto"/>
          <w:sz w:val="24"/>
          <w:szCs w:val="24"/>
          <w:lang w:val="en-US" w:eastAsia="zh-CN"/>
        </w:rPr>
        <w:t>云南曲煤焦化实业发展有限公司以竞买方式取得该专用铁路产权，取得的产权仅为专用铁路及其相关安全附属设施，</w:t>
      </w:r>
      <w:r>
        <w:rPr>
          <w:rFonts w:hint="eastAsia" w:ascii="Times New Roman" w:hAnsi="Times New Roman" w:cs="Times New Roman"/>
          <w:color w:val="auto"/>
          <w:sz w:val="24"/>
          <w:szCs w:val="24"/>
          <w:lang w:val="en-US" w:eastAsia="zh-CN"/>
        </w:rPr>
        <w:t>但是</w:t>
      </w:r>
      <w:r>
        <w:rPr>
          <w:rFonts w:hint="default" w:ascii="Times New Roman" w:hAnsi="Times New Roman" w:cs="Times New Roman"/>
          <w:color w:val="auto"/>
          <w:sz w:val="24"/>
          <w:szCs w:val="24"/>
          <w:lang w:val="en-US" w:eastAsia="zh-CN"/>
        </w:rPr>
        <w:t>不包含土地、仓库及堆场。</w:t>
      </w:r>
      <w:r>
        <w:rPr>
          <w:rFonts w:hint="eastAsia" w:ascii="Times New Roman" w:hAnsi="Times New Roman" w:cs="Times New Roman"/>
          <w:color w:val="auto"/>
          <w:sz w:val="24"/>
          <w:szCs w:val="24"/>
          <w:lang w:val="en-US" w:eastAsia="zh-CN"/>
        </w:rPr>
        <w:t>至此</w:t>
      </w:r>
      <w:r>
        <w:rPr>
          <w:rFonts w:hint="default" w:ascii="Times New Roman" w:hAnsi="Times New Roman" w:cs="Times New Roman"/>
          <w:color w:val="auto"/>
          <w:sz w:val="24"/>
          <w:szCs w:val="24"/>
          <w:lang w:val="en-US" w:eastAsia="zh-CN"/>
        </w:rPr>
        <w:t>，原</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云南云维珠江源专用铁路改扩建工程</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项目</w:t>
      </w:r>
      <w:r>
        <w:rPr>
          <w:rFonts w:hint="eastAsia" w:ascii="Times New Roman" w:hAnsi="Times New Roman" w:cs="Times New Roman"/>
          <w:color w:val="auto"/>
          <w:sz w:val="24"/>
          <w:szCs w:val="24"/>
          <w:lang w:val="en-US" w:eastAsia="zh-CN"/>
        </w:rPr>
        <w:t>无单位接手建设，项目</w:t>
      </w:r>
      <w:r>
        <w:rPr>
          <w:rFonts w:hint="default" w:ascii="Times New Roman" w:hAnsi="Times New Roman" w:cs="Times New Roman"/>
          <w:color w:val="auto"/>
          <w:sz w:val="24"/>
          <w:szCs w:val="24"/>
          <w:lang w:val="en-US" w:eastAsia="zh-CN"/>
        </w:rPr>
        <w:t>无法继续实施。</w:t>
      </w:r>
    </w:p>
    <w:p w14:paraId="274EE9A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cs="Times New Roman"/>
          <w:color w:val="auto"/>
          <w:sz w:val="24"/>
          <w:szCs w:val="24"/>
          <w:lang w:val="en-US" w:eastAsia="zh-CN"/>
        </w:rPr>
        <w:t>综上所述，云南云维珠江源专用铁路改扩建工程取得环境影响评价批复意见后未开工建设，不满足开展竣工环境保护验收工作的条件。</w:t>
      </w:r>
    </w:p>
    <w:p w14:paraId="3F00B72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color w:val="auto"/>
          <w:sz w:val="24"/>
          <w:szCs w:val="24"/>
          <w:lang w:val="en-US" w:eastAsia="zh-CN"/>
        </w:rPr>
      </w:pPr>
      <w:r>
        <w:rPr>
          <w:rFonts w:hint="default" w:ascii="Times New Roman" w:hAnsi="Times New Roman" w:cs="Times New Roman"/>
          <w:b w:val="0"/>
          <w:bCs/>
          <w:color w:val="auto"/>
          <w:sz w:val="24"/>
          <w:szCs w:val="24"/>
          <w:lang w:val="en-US" w:eastAsia="zh-CN"/>
        </w:rPr>
        <w:t>根据《固定污染源排污许可分类管理名录（2019年）》铁路运输不用办理排污许可申请。</w:t>
      </w:r>
    </w:p>
    <w:p w14:paraId="0FCAE848">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outlineLvl w:val="2"/>
        <w:rPr>
          <w:rFonts w:hint="default" w:ascii="Times New Roman" w:hAnsi="Times New Roman" w:eastAsia="宋体" w:cs="Times New Roman"/>
          <w:b/>
          <w:bCs/>
          <w:color w:val="auto"/>
          <w:kern w:val="0"/>
          <w:sz w:val="24"/>
          <w:szCs w:val="24"/>
          <w:lang w:val="en-US" w:eastAsia="zh-CN" w:bidi="ar"/>
        </w:rPr>
      </w:pPr>
      <w:bookmarkStart w:id="80" w:name="_Toc10761"/>
      <w:r>
        <w:rPr>
          <w:rFonts w:hint="eastAsia" w:ascii="Times New Roman" w:hAnsi="Times New Roman" w:eastAsia="宋体" w:cs="Times New Roman"/>
          <w:b/>
          <w:bCs/>
          <w:color w:val="auto"/>
          <w:kern w:val="0"/>
          <w:sz w:val="24"/>
          <w:szCs w:val="24"/>
          <w:lang w:val="en-US" w:eastAsia="zh-CN" w:bidi="ar"/>
        </w:rPr>
        <w:t>2.1.</w:t>
      </w:r>
      <w:r>
        <w:rPr>
          <w:rFonts w:hint="default" w:ascii="Times New Roman" w:hAnsi="Times New Roman" w:eastAsia="宋体" w:cs="Times New Roman"/>
          <w:b/>
          <w:bCs/>
          <w:color w:val="auto"/>
          <w:kern w:val="0"/>
          <w:sz w:val="24"/>
          <w:szCs w:val="24"/>
          <w:lang w:val="en-US" w:eastAsia="zh-CN" w:bidi="ar"/>
        </w:rPr>
        <w:t>3现有工程污染物情况</w:t>
      </w:r>
      <w:bookmarkEnd w:id="80"/>
    </w:p>
    <w:p w14:paraId="7E0B101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color w:val="auto"/>
          <w:sz w:val="24"/>
          <w:szCs w:val="24"/>
          <w:lang w:val="en-US" w:eastAsia="zh-CN"/>
        </w:rPr>
        <w:t>与本项目有关的</w:t>
      </w:r>
      <w:r>
        <w:rPr>
          <w:rFonts w:hint="default" w:ascii="Times New Roman" w:hAnsi="Times New Roman" w:eastAsia="宋体" w:cs="Times New Roman"/>
          <w:color w:val="auto"/>
          <w:sz w:val="24"/>
          <w:szCs w:val="24"/>
          <w:lang w:val="en-US" w:eastAsia="zh-CN"/>
        </w:rPr>
        <w:t>曲煤焦化专用铁路</w:t>
      </w:r>
      <w:r>
        <w:rPr>
          <w:rFonts w:hint="eastAsia" w:ascii="Times New Roman" w:hAnsi="Times New Roman" w:cs="Times New Roman"/>
          <w:color w:val="auto"/>
          <w:sz w:val="24"/>
          <w:szCs w:val="24"/>
          <w:lang w:val="en-US" w:eastAsia="zh-CN"/>
        </w:rPr>
        <w:t>现有到发4条货运线</w:t>
      </w:r>
      <w:r>
        <w:rPr>
          <w:rFonts w:hint="default" w:ascii="Times New Roman" w:hAnsi="Times New Roman" w:eastAsia="宋体" w:cs="Times New Roman"/>
          <w:b w:val="0"/>
          <w:bCs/>
          <w:color w:val="auto"/>
          <w:sz w:val="24"/>
          <w:szCs w:val="24"/>
          <w:lang w:val="en-US" w:eastAsia="zh-CN"/>
        </w:rPr>
        <w:t>主要污染物情况如下：</w:t>
      </w:r>
    </w:p>
    <w:p w14:paraId="1D409FA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（1）废气</w:t>
      </w:r>
    </w:p>
    <w:p w14:paraId="3EBEC59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color w:val="auto"/>
          <w:sz w:val="24"/>
          <w:szCs w:val="24"/>
          <w:lang w:val="en-US" w:eastAsia="zh-CN"/>
        </w:rPr>
      </w:pPr>
      <w:r>
        <w:rPr>
          <w:rFonts w:hint="eastAsia" w:ascii="Times New Roman" w:hAnsi="Times New Roman" w:cs="Times New Roman"/>
          <w:color w:val="auto"/>
          <w:sz w:val="24"/>
          <w:szCs w:val="24"/>
          <w:lang w:val="en-US" w:eastAsia="zh-CN"/>
        </w:rPr>
        <w:t>现有到发4条货运线</w:t>
      </w:r>
      <w:r>
        <w:rPr>
          <w:color w:val="auto"/>
          <w:spacing w:val="-3"/>
          <w:sz w:val="24"/>
          <w:szCs w:val="24"/>
        </w:rPr>
        <w:t>营运产生的废气主要是</w:t>
      </w:r>
      <w:r>
        <w:rPr>
          <w:rFonts w:hint="default" w:ascii="Times New Roman" w:hAnsi="Times New Roman" w:cs="Times New Roman"/>
          <w:color w:val="auto"/>
          <w:spacing w:val="0"/>
          <w:w w:val="100"/>
          <w:sz w:val="24"/>
          <w:szCs w:val="24"/>
        </w:rPr>
        <w:t>内燃机牵引，牵引机车排放的尾气，属无组织排放的非连续流动源，主要污染物为烟尘、</w:t>
      </w:r>
      <w:r>
        <w:rPr>
          <w:rFonts w:hint="default" w:ascii="Times New Roman" w:hAnsi="Times New Roman" w:eastAsia="Times New Roman" w:cs="Times New Roman"/>
          <w:color w:val="auto"/>
          <w:spacing w:val="0"/>
          <w:w w:val="100"/>
          <w:sz w:val="24"/>
          <w:szCs w:val="24"/>
        </w:rPr>
        <w:t>NOx</w:t>
      </w:r>
      <w:r>
        <w:rPr>
          <w:rFonts w:hint="default" w:ascii="Times New Roman" w:hAnsi="Times New Roman" w:cs="Times New Roman"/>
          <w:color w:val="auto"/>
          <w:spacing w:val="0"/>
          <w:w w:val="100"/>
          <w:sz w:val="24"/>
          <w:szCs w:val="24"/>
        </w:rPr>
        <w:t>、</w:t>
      </w:r>
      <w:r>
        <w:rPr>
          <w:rFonts w:hint="default" w:ascii="Times New Roman" w:hAnsi="Times New Roman" w:eastAsia="Times New Roman" w:cs="Times New Roman"/>
          <w:color w:val="auto"/>
          <w:spacing w:val="0"/>
          <w:w w:val="100"/>
          <w:sz w:val="24"/>
          <w:szCs w:val="24"/>
        </w:rPr>
        <w:t>SO</w:t>
      </w:r>
      <w:r>
        <w:rPr>
          <w:rFonts w:hint="default" w:ascii="Times New Roman" w:hAnsi="Times New Roman" w:eastAsia="Times New Roman" w:cs="Times New Roman"/>
          <w:color w:val="auto"/>
          <w:spacing w:val="0"/>
          <w:w w:val="100"/>
          <w:position w:val="-1"/>
          <w:sz w:val="24"/>
          <w:szCs w:val="24"/>
          <w:vertAlign w:val="subscript"/>
        </w:rPr>
        <w:t>2</w:t>
      </w:r>
      <w:r>
        <w:rPr>
          <w:rFonts w:hint="default" w:ascii="Times New Roman" w:hAnsi="Times New Roman" w:cs="Times New Roman"/>
          <w:color w:val="auto"/>
          <w:spacing w:val="0"/>
          <w:w w:val="100"/>
          <w:sz w:val="24"/>
          <w:szCs w:val="24"/>
        </w:rPr>
        <w:t>。</w:t>
      </w:r>
      <w:r>
        <w:rPr>
          <w:rFonts w:hint="eastAsia" w:ascii="Times New Roman" w:hAnsi="Times New Roman" w:eastAsia="宋体" w:cs="Times New Roman"/>
          <w:color w:val="auto"/>
          <w:spacing w:val="0"/>
          <w:w w:val="100"/>
          <w:sz w:val="24"/>
          <w:szCs w:val="24"/>
          <w:lang w:val="en-US" w:eastAsia="zh-CN"/>
        </w:rPr>
        <w:t>建设单位</w:t>
      </w:r>
      <w:r>
        <w:rPr>
          <w:rFonts w:hint="default" w:ascii="Times New Roman" w:hAnsi="Times New Roman" w:cs="Times New Roman"/>
          <w:color w:val="auto"/>
          <w:spacing w:val="0"/>
          <w:w w:val="100"/>
          <w:sz w:val="24"/>
          <w:szCs w:val="24"/>
        </w:rPr>
        <w:t>加强对设备及车辆的维护，使之</w:t>
      </w:r>
      <w:r>
        <w:rPr>
          <w:rFonts w:hint="eastAsia" w:ascii="Times New Roman" w:hAnsi="Times New Roman" w:eastAsia="宋体" w:cs="Times New Roman"/>
          <w:color w:val="auto"/>
          <w:spacing w:val="0"/>
          <w:w w:val="100"/>
          <w:sz w:val="24"/>
          <w:szCs w:val="24"/>
          <w:lang w:val="en-US" w:eastAsia="zh-CN"/>
        </w:rPr>
        <w:t>一直</w:t>
      </w:r>
      <w:r>
        <w:rPr>
          <w:rFonts w:hint="default" w:ascii="Times New Roman" w:hAnsi="Times New Roman" w:cs="Times New Roman"/>
          <w:color w:val="auto"/>
          <w:spacing w:val="0"/>
          <w:w w:val="100"/>
          <w:sz w:val="24"/>
          <w:szCs w:val="24"/>
        </w:rPr>
        <w:t>处于良好运行状态，行驶期间污染物排放量较少。行驶路线短且两侧区域开阔，空气扩散条件好，有利于污染物扩散，对周围大气环境影响较小</w:t>
      </w:r>
      <w:r>
        <w:rPr>
          <w:rFonts w:hint="eastAsia" w:ascii="Times New Roman" w:hAnsi="Times New Roman" w:eastAsia="宋体" w:cs="Times New Roman"/>
          <w:color w:val="auto"/>
          <w:spacing w:val="0"/>
          <w:w w:val="100"/>
          <w:sz w:val="24"/>
          <w:szCs w:val="24"/>
          <w:lang w:eastAsia="zh-CN"/>
        </w:rPr>
        <w:t>。</w:t>
      </w:r>
    </w:p>
    <w:p w14:paraId="019741E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（2）废水</w:t>
      </w:r>
    </w:p>
    <w:p w14:paraId="0081280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color w:val="auto"/>
          <w:sz w:val="24"/>
          <w:szCs w:val="24"/>
          <w:lang w:val="en-US" w:eastAsia="zh-CN"/>
        </w:rPr>
        <w:t>现有到发4条货运线</w:t>
      </w:r>
      <w:r>
        <w:rPr>
          <w:color w:val="auto"/>
          <w:spacing w:val="-3"/>
          <w:sz w:val="24"/>
          <w:szCs w:val="24"/>
        </w:rPr>
        <w:t>营运</w:t>
      </w:r>
      <w:r>
        <w:rPr>
          <w:rFonts w:hint="default" w:ascii="Times New Roman" w:hAnsi="Times New Roman" w:eastAsia="宋体" w:cs="Times New Roman"/>
          <w:b w:val="0"/>
          <w:bCs w:val="0"/>
          <w:color w:val="auto"/>
          <w:sz w:val="24"/>
          <w:szCs w:val="24"/>
          <w:lang w:val="en-US" w:eastAsia="zh-CN"/>
        </w:rPr>
        <w:t>无废水</w:t>
      </w:r>
      <w:r>
        <w:rPr>
          <w:rFonts w:hint="eastAsia" w:ascii="Times New Roman" w:hAnsi="Times New Roman" w:cs="Times New Roman"/>
          <w:b w:val="0"/>
          <w:bCs w:val="0"/>
          <w:color w:val="auto"/>
          <w:sz w:val="24"/>
          <w:szCs w:val="24"/>
          <w:lang w:val="en-US" w:eastAsia="zh-CN"/>
        </w:rPr>
        <w:t>产生</w:t>
      </w:r>
      <w:r>
        <w:rPr>
          <w:rFonts w:hint="default" w:ascii="Times New Roman" w:hAnsi="Times New Roman" w:eastAsia="宋体" w:cs="Times New Roman"/>
          <w:b w:val="0"/>
          <w:bCs w:val="0"/>
          <w:color w:val="auto"/>
          <w:sz w:val="24"/>
          <w:szCs w:val="24"/>
          <w:lang w:val="en-US" w:eastAsia="zh-CN"/>
        </w:rPr>
        <w:t>。</w:t>
      </w:r>
    </w:p>
    <w:p w14:paraId="126EDF2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（3）噪声</w:t>
      </w:r>
    </w:p>
    <w:p w14:paraId="60BFD59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噪声来源主要是列车运行过程中机车牵引噪声，机车、车辆与轨道相互作用产生的轮轨噪声；机车鸣笛噪声等。</w:t>
      </w:r>
    </w:p>
    <w:p w14:paraId="3BB860D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eastAsia="宋体"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根据云南加莱希安全检测有限公司2023年09月5日出具的《云南曲煤焦化实业发展有限公司集装箱堆场提质改造项目环境空气、声环境质量现状监测环境质量现状监测报告》（项目编号：项目编号：JLXJC</w:t>
      </w:r>
      <w:r>
        <w:rPr>
          <w:rFonts w:hint="eastAsia" w:ascii="Times New Roman" w:hAnsi="Times New Roman" w:cs="Times New Roman"/>
          <w:color w:val="auto"/>
          <w:sz w:val="24"/>
          <w:szCs w:val="24"/>
          <w:lang w:val="en-US" w:eastAsia="zh-CN" w:bidi="ar"/>
        </w:rPr>
        <w:t>2026</w:t>
      </w:r>
      <w:r>
        <w:rPr>
          <w:rFonts w:hint="default" w:ascii="Times New Roman" w:hAnsi="Times New Roman" w:cs="Times New Roman"/>
          <w:color w:val="auto"/>
          <w:sz w:val="24"/>
          <w:szCs w:val="24"/>
          <w:lang w:val="en-US" w:eastAsia="zh-CN" w:bidi="ar"/>
        </w:rPr>
        <w:t>-XJ15），监测期间处于</w:t>
      </w:r>
      <w:r>
        <w:rPr>
          <w:rFonts w:hint="eastAsia" w:ascii="Times New Roman" w:hAnsi="Times New Roman" w:cs="Times New Roman"/>
          <w:color w:val="auto"/>
          <w:sz w:val="24"/>
          <w:szCs w:val="24"/>
          <w:lang w:val="en-US" w:eastAsia="zh-CN"/>
        </w:rPr>
        <w:t>现有到发4条货运线正常运行期间以及</w:t>
      </w:r>
      <w:r>
        <w:rPr>
          <w:rFonts w:hint="eastAsia" w:ascii="Times New Roman" w:hAnsi="Times New Roman" w:cs="Times New Roman"/>
          <w:color w:val="auto"/>
          <w:sz w:val="24"/>
          <w:szCs w:val="24"/>
          <w:lang w:val="en-US" w:eastAsia="zh-CN" w:bidi="ar"/>
        </w:rPr>
        <w:t>项目</w:t>
      </w:r>
      <w:r>
        <w:rPr>
          <w:rFonts w:hint="default" w:ascii="Times New Roman" w:hAnsi="Times New Roman" w:cs="Times New Roman"/>
          <w:color w:val="auto"/>
          <w:sz w:val="24"/>
          <w:szCs w:val="24"/>
          <w:lang w:val="en-US" w:eastAsia="zh-CN" w:bidi="ar"/>
        </w:rPr>
        <w:t>施工期，</w:t>
      </w:r>
      <w:r>
        <w:rPr>
          <w:rFonts w:hint="eastAsia" w:ascii="Times New Roman" w:hAnsi="Times New Roman" w:cs="Times New Roman"/>
          <w:color w:val="auto"/>
          <w:sz w:val="24"/>
          <w:szCs w:val="24"/>
          <w:lang w:val="en-US" w:eastAsia="zh-CN" w:bidi="ar"/>
        </w:rPr>
        <w:t>结果表明</w:t>
      </w:r>
      <w:r>
        <w:rPr>
          <w:rFonts w:hint="default" w:ascii="Times New Roman" w:hAnsi="Times New Roman" w:cs="Times New Roman"/>
          <w:color w:val="auto"/>
          <w:sz w:val="24"/>
          <w:szCs w:val="24"/>
          <w:lang w:bidi="ar"/>
        </w:rPr>
        <w:t>厂界噪声</w:t>
      </w:r>
      <w:r>
        <w:rPr>
          <w:rFonts w:hint="default" w:ascii="Times New Roman" w:hAnsi="Times New Roman" w:cs="Times New Roman"/>
          <w:color w:val="auto"/>
          <w:sz w:val="24"/>
          <w:szCs w:val="24"/>
          <w:lang w:val="en-US" w:eastAsia="zh-CN" w:bidi="ar"/>
        </w:rPr>
        <w:t>能够达到</w:t>
      </w:r>
      <w:r>
        <w:rPr>
          <w:rFonts w:hint="default" w:ascii="Times New Roman" w:hAnsi="Times New Roman" w:cs="Times New Roman"/>
          <w:color w:val="auto"/>
          <w:spacing w:val="-2"/>
          <w:sz w:val="24"/>
          <w:szCs w:val="24"/>
        </w:rPr>
        <w:t>《工业企业厂界环境噪声排放标准》（GB12348-2008</w:t>
      </w:r>
      <w:r>
        <w:rPr>
          <w:rFonts w:hint="default" w:ascii="Times New Roman" w:hAnsi="Times New Roman" w:cs="Times New Roman"/>
          <w:color w:val="auto"/>
          <w:spacing w:val="-2"/>
          <w:sz w:val="24"/>
          <w:szCs w:val="24"/>
          <w:lang w:eastAsia="zh-CN"/>
        </w:rPr>
        <w:t>）</w:t>
      </w:r>
      <w:r>
        <w:rPr>
          <w:rFonts w:hint="default" w:ascii="Times New Roman" w:hAnsi="Times New Roman" w:cs="Times New Roman"/>
          <w:color w:val="auto"/>
          <w:spacing w:val="-2"/>
          <w:sz w:val="24"/>
          <w:szCs w:val="24"/>
        </w:rPr>
        <w:t>中</w:t>
      </w:r>
      <w:r>
        <w:rPr>
          <w:rFonts w:hint="default" w:ascii="Times New Roman" w:hAnsi="Times New Roman" w:cs="Times New Roman"/>
          <w:color w:val="auto"/>
          <w:spacing w:val="-2"/>
          <w:sz w:val="24"/>
          <w:szCs w:val="24"/>
          <w:lang w:val="en-US" w:eastAsia="zh-CN"/>
        </w:rPr>
        <w:t>3</w:t>
      </w:r>
      <w:r>
        <w:rPr>
          <w:rFonts w:hint="default" w:ascii="Times New Roman" w:hAnsi="Times New Roman" w:cs="Times New Roman"/>
          <w:color w:val="auto"/>
          <w:spacing w:val="-2"/>
          <w:sz w:val="24"/>
          <w:szCs w:val="24"/>
        </w:rPr>
        <w:t>类</w:t>
      </w:r>
      <w:r>
        <w:rPr>
          <w:rFonts w:hint="default" w:ascii="Times New Roman" w:hAnsi="Times New Roman" w:cs="Times New Roman"/>
          <w:color w:val="auto"/>
          <w:sz w:val="24"/>
          <w:szCs w:val="24"/>
          <w:lang w:bidi="ar"/>
        </w:rPr>
        <w:t>标准（昼间</w:t>
      </w:r>
      <w:r>
        <w:rPr>
          <w:rFonts w:hint="eastAsia" w:ascii="Times New Roman" w:hAnsi="Times New Roman" w:eastAsia="宋体" w:cs="Times New Roman"/>
          <w:color w:val="auto"/>
          <w:sz w:val="24"/>
          <w:szCs w:val="24"/>
          <w:lang w:val="en-US" w:eastAsia="zh-CN" w:bidi="ar"/>
        </w:rPr>
        <w:t>65</w:t>
      </w:r>
      <w:r>
        <w:rPr>
          <w:rFonts w:hint="default" w:ascii="Times New Roman" w:hAnsi="Times New Roman" w:cs="Times New Roman"/>
          <w:color w:val="auto"/>
          <w:sz w:val="24"/>
          <w:szCs w:val="24"/>
          <w:lang w:bidi="ar"/>
        </w:rPr>
        <w:t>dB(A)</w:t>
      </w:r>
      <w:r>
        <w:rPr>
          <w:rFonts w:hint="eastAsia" w:ascii="Times New Roman" w:hAnsi="Times New Roman" w:eastAsia="宋体" w:cs="Times New Roman"/>
          <w:color w:val="auto"/>
          <w:sz w:val="24"/>
          <w:szCs w:val="24"/>
          <w:lang w:eastAsia="zh-CN" w:bidi="ar"/>
        </w:rPr>
        <w:t>）</w:t>
      </w:r>
    </w:p>
    <w:p w14:paraId="75E7662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（4）固废</w:t>
      </w:r>
    </w:p>
    <w:p w14:paraId="0D56E63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现有到发4条货运线</w:t>
      </w:r>
      <w:r>
        <w:rPr>
          <w:color w:val="auto"/>
          <w:spacing w:val="-3"/>
          <w:sz w:val="24"/>
          <w:szCs w:val="24"/>
        </w:rPr>
        <w:t>营运</w:t>
      </w:r>
      <w:r>
        <w:rPr>
          <w:rFonts w:hint="eastAsia" w:cs="Times New Roman"/>
          <w:color w:val="auto"/>
          <w:sz w:val="24"/>
          <w:highlight w:val="none"/>
          <w:lang w:val="en-US" w:eastAsia="zh-CN"/>
        </w:rPr>
        <w:t>维修产生的废物由委托的第三方带走处置不在本项目暂存，日常维护检修</w:t>
      </w:r>
      <w:r>
        <w:rPr>
          <w:rFonts w:hint="eastAsia" w:ascii="Times New Roman" w:hAnsi="Times New Roman" w:eastAsia="宋体" w:cs="Times New Roman"/>
          <w:color w:val="auto"/>
          <w:spacing w:val="-3"/>
          <w:sz w:val="24"/>
          <w:szCs w:val="24"/>
          <w:lang w:eastAsia="zh-CN"/>
        </w:rPr>
        <w:t>，</w:t>
      </w:r>
      <w:r>
        <w:rPr>
          <w:rFonts w:hint="eastAsia" w:ascii="Times New Roman" w:hAnsi="Times New Roman" w:eastAsia="宋体" w:cs="Times New Roman"/>
          <w:color w:val="auto"/>
          <w:spacing w:val="-3"/>
          <w:sz w:val="24"/>
          <w:szCs w:val="24"/>
          <w:lang w:val="en-US" w:eastAsia="zh-CN"/>
        </w:rPr>
        <w:t>内燃机车有固定维修场所，不设置在项目区内</w:t>
      </w:r>
      <w:r>
        <w:rPr>
          <w:rFonts w:hint="default" w:ascii="Times New Roman" w:hAnsi="Times New Roman" w:cs="Times New Roman"/>
          <w:color w:val="auto"/>
          <w:spacing w:val="-3"/>
          <w:sz w:val="24"/>
          <w:szCs w:val="24"/>
        </w:rPr>
        <w:t>。</w:t>
      </w:r>
      <w:r>
        <w:rPr>
          <w:rFonts w:hint="eastAsia" w:cs="Times New Roman"/>
          <w:color w:val="auto"/>
          <w:sz w:val="24"/>
          <w:highlight w:val="none"/>
          <w:lang w:val="en-US" w:eastAsia="zh-CN"/>
        </w:rPr>
        <w:t>产生的废机油暂存至</w:t>
      </w:r>
      <w:r>
        <w:rPr>
          <w:rFonts w:hint="default" w:ascii="Times New Roman" w:hAnsi="Times New Roman" w:eastAsia="宋体" w:cs="Times New Roman"/>
          <w:color w:val="auto"/>
          <w:sz w:val="24"/>
          <w:szCs w:val="24"/>
          <w:lang w:val="en-US" w:eastAsia="zh-CN"/>
        </w:rPr>
        <w:t>曲煤焦化</w:t>
      </w:r>
      <w:r>
        <w:rPr>
          <w:rFonts w:hint="eastAsia" w:ascii="Times New Roman" w:hAnsi="Times New Roman" w:eastAsia="宋体" w:cs="Times New Roman"/>
          <w:color w:val="auto"/>
          <w:sz w:val="24"/>
          <w:szCs w:val="24"/>
          <w:lang w:val="en-US" w:eastAsia="zh-CN"/>
        </w:rPr>
        <w:t>危废暂存间，</w:t>
      </w:r>
      <w:r>
        <w:rPr>
          <w:rFonts w:hint="default" w:ascii="Times New Roman" w:hAnsi="Times New Roman" w:cs="Times New Roman"/>
          <w:color w:val="auto"/>
          <w:sz w:val="24"/>
          <w:szCs w:val="24"/>
          <w:lang w:val="en-US" w:eastAsia="zh-CN"/>
        </w:rPr>
        <w:t>危废</w:t>
      </w:r>
      <w:r>
        <w:rPr>
          <w:rFonts w:hint="default" w:ascii="Times New Roman" w:hAnsi="Times New Roman" w:eastAsia="宋体" w:cs="Times New Roman"/>
          <w:color w:val="auto"/>
          <w:sz w:val="24"/>
          <w:szCs w:val="24"/>
          <w:lang w:val="en-US" w:eastAsia="zh-CN"/>
        </w:rPr>
        <w:t>委托</w:t>
      </w:r>
      <w:r>
        <w:rPr>
          <w:rFonts w:hint="default" w:ascii="Times New Roman" w:hAnsi="Times New Roman" w:cs="Times New Roman"/>
          <w:color w:val="auto"/>
          <w:sz w:val="24"/>
          <w:szCs w:val="24"/>
          <w:lang w:val="en-US" w:eastAsia="zh-CN"/>
        </w:rPr>
        <w:t>有资质单位</w:t>
      </w:r>
      <w:r>
        <w:rPr>
          <w:rFonts w:hint="default" w:ascii="Times New Roman" w:hAnsi="Times New Roman" w:eastAsia="宋体" w:cs="Times New Roman"/>
          <w:color w:val="auto"/>
          <w:sz w:val="24"/>
          <w:szCs w:val="24"/>
          <w:lang w:val="en-US" w:eastAsia="zh-CN"/>
        </w:rPr>
        <w:t>处置。</w:t>
      </w:r>
    </w:p>
    <w:p w14:paraId="55DDA0E2">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outlineLvl w:val="2"/>
        <w:rPr>
          <w:rFonts w:hint="default" w:ascii="Times New Roman" w:hAnsi="Times New Roman" w:eastAsia="宋体" w:cs="Times New Roman"/>
          <w:b/>
          <w:bCs/>
          <w:color w:val="auto"/>
          <w:kern w:val="0"/>
          <w:sz w:val="24"/>
          <w:szCs w:val="24"/>
          <w:lang w:val="en-US" w:eastAsia="zh-CN" w:bidi="ar"/>
        </w:rPr>
      </w:pPr>
      <w:bookmarkStart w:id="81" w:name="_Toc19323"/>
      <w:r>
        <w:rPr>
          <w:rFonts w:hint="eastAsia" w:ascii="Times New Roman" w:hAnsi="Times New Roman" w:eastAsia="宋体" w:cs="Times New Roman"/>
          <w:b/>
          <w:bCs/>
          <w:color w:val="auto"/>
          <w:kern w:val="0"/>
          <w:sz w:val="24"/>
          <w:szCs w:val="24"/>
          <w:lang w:val="en-US" w:eastAsia="zh-CN" w:bidi="ar"/>
        </w:rPr>
        <w:t>2.1.</w:t>
      </w:r>
      <w:r>
        <w:rPr>
          <w:rFonts w:hint="default" w:ascii="Times New Roman" w:hAnsi="Times New Roman" w:eastAsia="宋体" w:cs="Times New Roman"/>
          <w:b/>
          <w:bCs/>
          <w:color w:val="auto"/>
          <w:kern w:val="0"/>
          <w:sz w:val="24"/>
          <w:szCs w:val="24"/>
          <w:lang w:val="en-US" w:eastAsia="zh-CN" w:bidi="ar"/>
        </w:rPr>
        <w:t>4与项目有关的原有环境污染和生态破坏问题</w:t>
      </w:r>
      <w:bookmarkEnd w:id="81"/>
    </w:p>
    <w:p w14:paraId="25EFD2D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现场勘查，</w:t>
      </w:r>
      <w:r>
        <w:rPr>
          <w:rFonts w:hint="default" w:ascii="Times New Roman" w:hAnsi="Times New Roman" w:eastAsia="宋体" w:cs="Times New Roman"/>
          <w:color w:val="auto"/>
          <w:kern w:val="0"/>
          <w:sz w:val="24"/>
          <w:szCs w:val="24"/>
          <w:lang w:val="en-US" w:eastAsia="zh-CN" w:bidi="ar"/>
        </w:rPr>
        <w:t>项目</w:t>
      </w:r>
      <w:r>
        <w:rPr>
          <w:rFonts w:hint="default" w:ascii="Times New Roman" w:hAnsi="Times New Roman" w:cs="Times New Roman"/>
          <w:color w:val="auto"/>
          <w:sz w:val="24"/>
          <w:szCs w:val="24"/>
          <w:lang w:val="en-US" w:eastAsia="zh-CN"/>
        </w:rPr>
        <w:t>不存在原有环境污染问题和生态破坏问题，项目周边主要为工厂企业。经走访询问，受人为活动影响大，周边植被为人工种植植被，分布有少量鼠类及麻雀等常见鸟类，无珍稀及需要保护的陆生动物分布。项目区生态环境一般。根据建设单位核实，</w:t>
      </w:r>
      <w:r>
        <w:rPr>
          <w:rFonts w:hint="default" w:ascii="Times New Roman" w:hAnsi="Times New Roman" w:eastAsia="宋体" w:cs="Times New Roman"/>
          <w:color w:val="auto"/>
          <w:sz w:val="24"/>
          <w:szCs w:val="24"/>
          <w:lang w:val="en-US" w:eastAsia="zh-CN"/>
        </w:rPr>
        <w:t>曲煤焦化专用铁路</w:t>
      </w:r>
      <w:r>
        <w:rPr>
          <w:rFonts w:hint="default" w:ascii="Times New Roman" w:hAnsi="Times New Roman" w:eastAsia="宋体" w:cs="Times New Roman"/>
          <w:color w:val="auto"/>
          <w:kern w:val="0"/>
          <w:sz w:val="24"/>
          <w:szCs w:val="24"/>
          <w:lang w:val="en-US" w:eastAsia="zh-CN" w:bidi="ar"/>
        </w:rPr>
        <w:t>未</w:t>
      </w:r>
      <w:r>
        <w:rPr>
          <w:rFonts w:hint="default" w:ascii="Times New Roman" w:hAnsi="Times New Roman" w:cs="Times New Roman"/>
          <w:color w:val="auto"/>
          <w:kern w:val="0"/>
          <w:sz w:val="24"/>
          <w:szCs w:val="24"/>
          <w:lang w:val="en-US" w:eastAsia="zh-CN" w:bidi="ar"/>
        </w:rPr>
        <w:t>受到</w:t>
      </w:r>
      <w:r>
        <w:rPr>
          <w:rFonts w:hint="default" w:ascii="Times New Roman" w:hAnsi="Times New Roman" w:cs="Times New Roman"/>
          <w:color w:val="auto"/>
          <w:sz w:val="24"/>
          <w:szCs w:val="24"/>
          <w:lang w:val="en-US" w:eastAsia="zh-CN"/>
        </w:rPr>
        <w:t>环保督察及处罚，</w:t>
      </w:r>
      <w:r>
        <w:rPr>
          <w:rFonts w:hint="eastAsia" w:ascii="Times New Roman" w:hAnsi="Times New Roman" w:cs="Times New Roman"/>
          <w:color w:val="auto"/>
          <w:sz w:val="24"/>
          <w:szCs w:val="24"/>
          <w:lang w:val="en-US" w:eastAsia="zh-CN"/>
        </w:rPr>
        <w:t>无</w:t>
      </w:r>
      <w:r>
        <w:rPr>
          <w:rFonts w:hint="default" w:ascii="Times New Roman" w:hAnsi="Times New Roman" w:cs="Times New Roman"/>
          <w:color w:val="auto"/>
          <w:sz w:val="24"/>
          <w:szCs w:val="24"/>
          <w:lang w:val="en-US" w:eastAsia="zh-CN"/>
        </w:rPr>
        <w:t>要求整改</w:t>
      </w:r>
      <w:r>
        <w:rPr>
          <w:rFonts w:hint="eastAsia" w:ascii="Times New Roman" w:hAnsi="Times New Roman" w:cs="Times New Roman"/>
          <w:color w:val="auto"/>
          <w:sz w:val="24"/>
          <w:szCs w:val="24"/>
          <w:lang w:val="en-US" w:eastAsia="zh-CN"/>
        </w:rPr>
        <w:t>项</w:t>
      </w:r>
      <w:r>
        <w:rPr>
          <w:rFonts w:hint="default" w:ascii="Times New Roman" w:hAnsi="Times New Roman" w:cs="Times New Roman"/>
          <w:color w:val="auto"/>
          <w:sz w:val="24"/>
          <w:szCs w:val="24"/>
          <w:lang w:val="en-US" w:eastAsia="zh-CN"/>
        </w:rPr>
        <w:t>。</w:t>
      </w:r>
    </w:p>
    <w:p w14:paraId="517DB8C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2"/>
        <w:rPr>
          <w:rFonts w:hint="default" w:ascii="Times New Roman" w:hAnsi="Times New Roman" w:cs="Times New Roman"/>
          <w:b/>
          <w:bCs/>
          <w:color w:val="auto"/>
          <w:sz w:val="24"/>
          <w:szCs w:val="24"/>
          <w:lang w:val="en-US" w:eastAsia="zh-CN"/>
        </w:rPr>
      </w:pPr>
      <w:bookmarkStart w:id="82" w:name="_Toc4165"/>
      <w:r>
        <w:rPr>
          <w:rFonts w:hint="eastAsia" w:ascii="Times New Roman" w:hAnsi="Times New Roman" w:cs="Times New Roman"/>
          <w:b/>
          <w:bCs/>
          <w:color w:val="auto"/>
          <w:sz w:val="24"/>
          <w:szCs w:val="24"/>
          <w:lang w:val="en-US" w:eastAsia="zh-CN"/>
        </w:rPr>
        <w:t>2.1.5以新带老措施</w:t>
      </w:r>
      <w:bookmarkEnd w:id="82"/>
    </w:p>
    <w:p w14:paraId="16A25B9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本项目地块为原云南云维集团沾化分公司厂区，现已全部拆除，拆除后变为空地，其雨污分流系统不复存在。本次项目在项目场地设置1个初期雨水收集池，</w:t>
      </w:r>
      <w:r>
        <w:rPr>
          <w:rFonts w:hint="default"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val="en-US" w:eastAsia="zh-CN"/>
        </w:rPr>
        <w:t>个后期雨水排放口和雨水切换的闸门，前期雨水经初期雨水收集池收集后</w:t>
      </w:r>
      <w:r>
        <w:rPr>
          <w:rFonts w:hint="default" w:ascii="Times New Roman" w:hAnsi="Times New Roman" w:eastAsia="宋体" w:cs="Times New Roman"/>
          <w:color w:val="auto"/>
          <w:sz w:val="24"/>
          <w:szCs w:val="24"/>
          <w:highlight w:val="none"/>
          <w:lang w:val="en-US" w:eastAsia="zh-CN"/>
        </w:rPr>
        <w:t>回用于</w:t>
      </w:r>
      <w:r>
        <w:rPr>
          <w:rFonts w:hint="eastAsia" w:ascii="Times New Roman" w:hAnsi="Times New Roman" w:eastAsia="宋体" w:cs="Times New Roman"/>
          <w:color w:val="auto"/>
          <w:sz w:val="24"/>
          <w:szCs w:val="24"/>
          <w:highlight w:val="none"/>
          <w:lang w:val="en-US" w:eastAsia="zh-CN"/>
        </w:rPr>
        <w:t>项目区</w:t>
      </w:r>
      <w:r>
        <w:rPr>
          <w:rFonts w:hint="default" w:ascii="Times New Roman" w:hAnsi="Times New Roman" w:eastAsia="宋体" w:cs="Times New Roman"/>
          <w:color w:val="auto"/>
          <w:sz w:val="24"/>
          <w:szCs w:val="24"/>
          <w:highlight w:val="none"/>
          <w:lang w:val="en-US" w:eastAsia="zh-CN"/>
        </w:rPr>
        <w:t>绿化、洒水降尘</w:t>
      </w:r>
      <w:r>
        <w:rPr>
          <w:rFonts w:hint="default" w:ascii="Times New Roman" w:hAnsi="Times New Roman" w:eastAsia="宋体" w:cs="Times New Roman"/>
          <w:color w:val="auto"/>
          <w:sz w:val="24"/>
          <w:lang w:val="en-US" w:eastAsia="zh-CN"/>
        </w:rPr>
        <w:t>，剩余</w:t>
      </w:r>
      <w:r>
        <w:rPr>
          <w:rFonts w:hint="eastAsia" w:ascii="Times New Roman" w:hAnsi="Times New Roman" w:cs="Times New Roman"/>
          <w:color w:val="auto"/>
          <w:sz w:val="24"/>
          <w:lang w:val="en-US" w:eastAsia="zh-CN"/>
        </w:rPr>
        <w:t>部分</w:t>
      </w:r>
      <w:r>
        <w:rPr>
          <w:rFonts w:hint="default" w:ascii="Times New Roman" w:hAnsi="Times New Roman" w:eastAsia="宋体" w:cs="Times New Roman"/>
          <w:color w:val="auto"/>
          <w:sz w:val="24"/>
          <w:lang w:val="en-US" w:eastAsia="zh-CN"/>
        </w:rPr>
        <w:t>由曲煤焦化内部</w:t>
      </w:r>
      <w:r>
        <w:rPr>
          <w:rFonts w:hint="eastAsia" w:ascii="Times New Roman" w:hAnsi="Times New Roman" w:eastAsia="宋体" w:cs="Times New Roman"/>
          <w:color w:val="auto"/>
          <w:sz w:val="24"/>
          <w:lang w:val="en-US" w:eastAsia="zh-CN"/>
        </w:rPr>
        <w:t>通过抽吸罐车</w:t>
      </w:r>
      <w:r>
        <w:rPr>
          <w:rFonts w:hint="default" w:ascii="Times New Roman" w:hAnsi="Times New Roman" w:eastAsia="宋体" w:cs="Times New Roman"/>
          <w:color w:val="auto"/>
          <w:sz w:val="24"/>
          <w:lang w:val="en-US" w:eastAsia="zh-CN"/>
        </w:rPr>
        <w:t>清运至铁路卸煤区洒水降尘</w:t>
      </w:r>
      <w:r>
        <w:rPr>
          <w:rFonts w:hint="eastAsia" w:ascii="Times New Roman" w:hAnsi="Times New Roman" w:cs="Times New Roman"/>
          <w:color w:val="auto"/>
          <w:sz w:val="24"/>
          <w:szCs w:val="24"/>
          <w:lang w:val="en-US" w:eastAsia="zh-CN"/>
        </w:rPr>
        <w:t>。后期雨水</w:t>
      </w:r>
      <w:r>
        <w:rPr>
          <w:rFonts w:hint="default" w:ascii="Times New Roman" w:hAnsi="Times New Roman" w:cs="Times New Roman"/>
          <w:color w:val="auto"/>
          <w:sz w:val="24"/>
          <w:szCs w:val="24"/>
          <w:lang w:val="en-US" w:eastAsia="zh-CN"/>
        </w:rPr>
        <w:t>排入园区雨水管网</w:t>
      </w:r>
      <w:r>
        <w:rPr>
          <w:rFonts w:hint="eastAsia" w:ascii="Times New Roman" w:hAnsi="Times New Roman" w:cs="Times New Roman"/>
          <w:color w:val="auto"/>
          <w:sz w:val="24"/>
          <w:szCs w:val="24"/>
          <w:lang w:val="en-US" w:eastAsia="zh-CN"/>
        </w:rPr>
        <w:t>，最终进入东干渠。</w:t>
      </w:r>
    </w:p>
    <w:p w14:paraId="4586A47A">
      <w:pPr>
        <w:spacing w:before="101" w:line="226" w:lineRule="auto"/>
        <w:ind w:left="18"/>
        <w:outlineLvl w:val="1"/>
        <w:rPr>
          <w:rFonts w:hint="default" w:ascii="Times New Roman" w:hAnsi="Times New Roman" w:eastAsia="宋体" w:cs="Times New Roman"/>
          <w:color w:val="auto"/>
          <w:sz w:val="31"/>
          <w:szCs w:val="31"/>
        </w:rPr>
      </w:pPr>
      <w:bookmarkStart w:id="83" w:name="_Toc12024"/>
      <w:bookmarkStart w:id="84" w:name="_Toc25972"/>
      <w:bookmarkStart w:id="85" w:name="_Toc2853"/>
      <w:r>
        <w:rPr>
          <w:rFonts w:hint="eastAsia" w:ascii="Times New Roman" w:hAnsi="Times New Roman" w:eastAsia="宋体" w:cs="Times New Roman"/>
          <w:b/>
          <w:bCs/>
          <w:color w:val="auto"/>
          <w:spacing w:val="5"/>
          <w:sz w:val="31"/>
          <w:szCs w:val="31"/>
          <w:lang w:val="en-US" w:eastAsia="zh-CN"/>
        </w:rPr>
        <w:t>2</w:t>
      </w:r>
      <w:r>
        <w:rPr>
          <w:rFonts w:hint="default" w:ascii="Times New Roman" w:hAnsi="Times New Roman" w:eastAsia="Times New Roman" w:cs="Times New Roman"/>
          <w:b/>
          <w:bCs/>
          <w:color w:val="auto"/>
          <w:spacing w:val="5"/>
          <w:sz w:val="31"/>
          <w:szCs w:val="31"/>
        </w:rPr>
        <w:t>.2.</w:t>
      </w:r>
      <w:r>
        <w:rPr>
          <w:rFonts w:hint="default" w:ascii="Times New Roman" w:hAnsi="Times New Roman" w:eastAsia="宋体" w:cs="Times New Roman"/>
          <w:b/>
          <w:bCs/>
          <w:color w:val="auto"/>
          <w:spacing w:val="5"/>
          <w:sz w:val="31"/>
          <w:szCs w:val="31"/>
        </w:rPr>
        <w:t>建设项目概况</w:t>
      </w:r>
      <w:bookmarkEnd w:id="83"/>
      <w:bookmarkEnd w:id="84"/>
      <w:bookmarkEnd w:id="85"/>
    </w:p>
    <w:p w14:paraId="258C75FF">
      <w:pPr>
        <w:pStyle w:val="9"/>
        <w:spacing w:line="309" w:lineRule="auto"/>
        <w:rPr>
          <w:rFonts w:hint="default" w:ascii="Times New Roman" w:hAnsi="Times New Roman" w:cs="Times New Roman"/>
          <w:color w:val="auto"/>
        </w:rPr>
      </w:pPr>
    </w:p>
    <w:p w14:paraId="40DFC9D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rPr>
      </w:pPr>
      <w:bookmarkStart w:id="86" w:name="_Toc4698"/>
      <w:r>
        <w:rPr>
          <w:rFonts w:hint="eastAsia" w:ascii="Times New Roman" w:hAnsi="Times New Roman" w:cs="Times New Roman"/>
          <w:b/>
          <w:bCs/>
          <w:color w:val="auto"/>
          <w:sz w:val="24"/>
          <w:szCs w:val="24"/>
          <w:lang w:val="en-US" w:eastAsia="zh-CN"/>
        </w:rPr>
        <w:t>2.2.</w:t>
      </w:r>
      <w:r>
        <w:rPr>
          <w:rFonts w:hint="default" w:ascii="Times New Roman" w:hAnsi="Times New Roman" w:cs="Times New Roman"/>
          <w:b/>
          <w:bCs/>
          <w:color w:val="auto"/>
          <w:sz w:val="24"/>
          <w:szCs w:val="24"/>
          <w:lang w:val="en-US" w:eastAsia="zh-CN"/>
        </w:rPr>
        <w:t>1项目概况</w:t>
      </w:r>
      <w:bookmarkEnd w:id="86"/>
    </w:p>
    <w:p w14:paraId="1D8FB34D">
      <w:pPr>
        <w:bidi w:val="0"/>
        <w:spacing w:line="360" w:lineRule="auto"/>
        <w:ind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 xml:space="preserve">（1）项目名称：云南曲煤焦化实业发展有限公司集装箱堆场提质改造项目； </w:t>
      </w:r>
    </w:p>
    <w:p w14:paraId="0D929D6C">
      <w:pPr>
        <w:bidi w:val="0"/>
        <w:spacing w:line="360" w:lineRule="auto"/>
        <w:ind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（2）建设单位：云南曲煤焦化实业发展有限公司；</w:t>
      </w:r>
    </w:p>
    <w:p w14:paraId="2F410B16">
      <w:pPr>
        <w:bidi w:val="0"/>
        <w:spacing w:line="360" w:lineRule="auto"/>
        <w:ind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（3）建设性质：改建；</w:t>
      </w:r>
    </w:p>
    <w:p w14:paraId="696426A2">
      <w:pPr>
        <w:bidi w:val="0"/>
        <w:spacing w:line="360" w:lineRule="auto"/>
        <w:ind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（4）建设地点：</w:t>
      </w:r>
      <w:r>
        <w:rPr>
          <w:rFonts w:hint="default" w:ascii="Times New Roman" w:hAnsi="Times New Roman" w:cs="Times New Roman"/>
          <w:color w:val="auto"/>
          <w:kern w:val="0"/>
          <w:sz w:val="24"/>
          <w:szCs w:val="24"/>
        </w:rPr>
        <w:t>曲靖市高新技术产业开发区花山片区</w:t>
      </w:r>
      <w:r>
        <w:rPr>
          <w:rFonts w:hint="default" w:ascii="Times New Roman" w:hAnsi="Times New Roman" w:cs="Times New Roman"/>
          <w:color w:val="auto"/>
          <w:sz w:val="24"/>
          <w:szCs w:val="24"/>
          <w:lang w:val="en-US" w:eastAsia="zh-CN"/>
        </w:rPr>
        <w:t>；</w:t>
      </w:r>
    </w:p>
    <w:p w14:paraId="4347C4E7">
      <w:pPr>
        <w:bidi w:val="0"/>
        <w:spacing w:line="360" w:lineRule="auto"/>
        <w:ind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（5）运输量：</w:t>
      </w:r>
      <w:r>
        <w:rPr>
          <w:rFonts w:hint="default" w:ascii="Times New Roman" w:hAnsi="Times New Roman" w:eastAsia="宋体" w:cs="Times New Roman"/>
          <w:color w:val="auto"/>
          <w:kern w:val="0"/>
          <w:sz w:val="24"/>
          <w:szCs w:val="24"/>
          <w:lang w:val="en-US" w:eastAsia="zh-CN" w:bidi="ar"/>
        </w:rPr>
        <w:t>250万吨/年</w:t>
      </w:r>
      <w:r>
        <w:rPr>
          <w:rFonts w:hint="default" w:ascii="Times New Roman" w:hAnsi="Times New Roman" w:cs="Times New Roman"/>
          <w:color w:val="auto"/>
          <w:sz w:val="24"/>
          <w:szCs w:val="24"/>
          <w:lang w:val="en-US" w:eastAsia="zh-CN"/>
        </w:rPr>
        <w:t>；</w:t>
      </w:r>
    </w:p>
    <w:p w14:paraId="10B0DEBE">
      <w:pPr>
        <w:bidi w:val="0"/>
        <w:spacing w:line="360" w:lineRule="auto"/>
        <w:ind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（6）运输物品：密闭集装箱（箱内装煤焦）；</w:t>
      </w:r>
    </w:p>
    <w:p w14:paraId="1C57855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lang w:val="en-US" w:eastAsia="zh-CN"/>
        </w:rPr>
      </w:pPr>
      <w:bookmarkStart w:id="87" w:name="_Toc21941"/>
      <w:r>
        <w:rPr>
          <w:rFonts w:hint="eastAsia" w:ascii="Times New Roman" w:hAnsi="Times New Roman" w:cs="Times New Roman"/>
          <w:b/>
          <w:bCs/>
          <w:color w:val="auto"/>
          <w:sz w:val="24"/>
          <w:szCs w:val="24"/>
          <w:lang w:val="en-US" w:eastAsia="zh-CN"/>
        </w:rPr>
        <w:t>2.2.</w:t>
      </w:r>
      <w:r>
        <w:rPr>
          <w:rFonts w:hint="default" w:ascii="Times New Roman" w:hAnsi="Times New Roman" w:cs="Times New Roman"/>
          <w:b/>
          <w:bCs/>
          <w:color w:val="auto"/>
          <w:sz w:val="24"/>
          <w:szCs w:val="24"/>
          <w:lang w:val="en-US" w:eastAsia="zh-CN"/>
        </w:rPr>
        <w:t>2工程建设内容</w:t>
      </w:r>
      <w:bookmarkEnd w:id="87"/>
      <w:r>
        <w:rPr>
          <w:rFonts w:hint="default" w:ascii="Times New Roman" w:hAnsi="Times New Roman" w:cs="Times New Roman"/>
          <w:b/>
          <w:bCs/>
          <w:color w:val="auto"/>
          <w:sz w:val="24"/>
          <w:szCs w:val="24"/>
          <w:lang w:val="en-US" w:eastAsia="zh-CN"/>
        </w:rPr>
        <w:t xml:space="preserve"> </w:t>
      </w:r>
    </w:p>
    <w:p w14:paraId="2C84D8B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本项目集装箱货场仅满足曲煤焦化内部集装箱运输。本项目主要用于转运装有煤焦的集装箱，集装箱为密闭式。</w:t>
      </w:r>
    </w:p>
    <w:p w14:paraId="5625CBF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新建工程：本项目占地面积98666.67m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lang w:val="en-US" w:eastAsia="zh-CN"/>
        </w:rPr>
        <w:t>（148亩），</w:t>
      </w:r>
      <w:r>
        <w:rPr>
          <w:rFonts w:hint="eastAsia" w:ascii="Times New Roman" w:hAnsi="Times New Roman" w:cs="Times New Roman"/>
          <w:color w:val="auto"/>
          <w:sz w:val="24"/>
          <w:szCs w:val="24"/>
          <w:lang w:val="en-US" w:eastAsia="zh-CN"/>
        </w:rPr>
        <w:t>其中铁路用地面积为6074</w:t>
      </w:r>
      <w:r>
        <w:rPr>
          <w:rFonts w:hint="default" w:ascii="Times New Roman" w:hAnsi="Times New Roman" w:cs="Times New Roman"/>
          <w:color w:val="auto"/>
          <w:sz w:val="24"/>
          <w:szCs w:val="24"/>
          <w:lang w:eastAsia="zh-CN"/>
        </w:rPr>
        <w:t>m</w:t>
      </w:r>
      <w:r>
        <w:rPr>
          <w:rFonts w:hint="default" w:ascii="Times New Roman" w:hAnsi="Times New Roman" w:cs="Times New Roman"/>
          <w:color w:val="auto"/>
          <w:sz w:val="24"/>
          <w:szCs w:val="24"/>
          <w:vertAlign w:val="superscript"/>
          <w:lang w:eastAsia="zh-CN"/>
        </w:rPr>
        <w:t>2</w:t>
      </w:r>
      <w:r>
        <w:rPr>
          <w:rFonts w:hint="eastAsia" w:ascii="Times New Roman" w:hAnsi="Times New Roman" w:cs="Times New Roman"/>
          <w:color w:val="auto"/>
          <w:sz w:val="24"/>
          <w:szCs w:val="24"/>
          <w:vertAlign w:val="baseline"/>
          <w:lang w:eastAsia="zh-CN"/>
        </w:rPr>
        <w:t>，</w:t>
      </w:r>
      <w:r>
        <w:rPr>
          <w:rFonts w:hint="eastAsia" w:ascii="Times New Roman" w:hAnsi="Times New Roman" w:cs="Times New Roman"/>
          <w:color w:val="auto"/>
          <w:sz w:val="24"/>
          <w:szCs w:val="24"/>
          <w:lang w:val="en-US" w:eastAsia="zh-CN"/>
        </w:rPr>
        <w:t>三类工业用地为92592.67</w:t>
      </w:r>
      <w:r>
        <w:rPr>
          <w:rFonts w:hint="default"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本项目设计运量为250万吨/年，投资估算为8418万元。新建2条尽头式货物线，配套货物线集装箱堆场2处、占地面积50600m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lang w:val="en-US" w:eastAsia="zh-CN"/>
        </w:rPr>
        <w:t>，增加电动正面吊2台、重型叉车1台、100t动态轨道衡（带超偏载功能）1台、2台汽车衡及检箱平台。将原有的4号到发线改建为集装箱货物线（贯通式）。另设有充电大棚、视频监控、计量、照明、排水等设施。</w:t>
      </w:r>
    </w:p>
    <w:p w14:paraId="32B4BD7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依托工程：将原有曲煤焦化专用铁路线</w:t>
      </w:r>
      <w:r>
        <w:rPr>
          <w:rFonts w:hint="eastAsia" w:ascii="Times New Roman" w:hAnsi="Times New Roman" w:cs="Times New Roman"/>
          <w:color w:val="auto"/>
          <w:sz w:val="24"/>
          <w:szCs w:val="24"/>
          <w:lang w:val="en-US" w:eastAsia="zh-CN"/>
        </w:rPr>
        <w:t>现有到发4条货运线</w:t>
      </w:r>
      <w:r>
        <w:rPr>
          <w:rFonts w:hint="default" w:ascii="Times New Roman" w:hAnsi="Times New Roman" w:cs="Times New Roman"/>
          <w:color w:val="auto"/>
          <w:sz w:val="24"/>
          <w:szCs w:val="24"/>
          <w:lang w:val="en-US" w:eastAsia="zh-CN"/>
        </w:rPr>
        <w:t>改为集装箱到发兼货物线（只改用途性质，不施工），本项目新修建H1道及H2道连接曲煤焦化专用铁路线</w:t>
      </w:r>
      <w:r>
        <w:rPr>
          <w:rFonts w:hint="eastAsia" w:ascii="Times New Roman" w:hAnsi="Times New Roman" w:cs="Times New Roman"/>
          <w:color w:val="auto"/>
          <w:sz w:val="24"/>
          <w:szCs w:val="24"/>
          <w:lang w:val="en-US" w:eastAsia="zh-CN"/>
        </w:rPr>
        <w:t>现有到发4条货运线，使用曲煤焦化专用铁路既有自备机车2台，1台为DF</w:t>
      </w:r>
      <w:r>
        <w:rPr>
          <w:rFonts w:hint="eastAsia" w:ascii="Times New Roman" w:hAnsi="Times New Roman" w:cs="Times New Roman"/>
          <w:color w:val="auto"/>
          <w:sz w:val="24"/>
          <w:szCs w:val="24"/>
          <w:vertAlign w:val="subscript"/>
          <w:lang w:val="en-US" w:eastAsia="zh-CN"/>
        </w:rPr>
        <w:t>5D</w:t>
      </w:r>
      <w:r>
        <w:rPr>
          <w:rFonts w:hint="eastAsia" w:ascii="Times New Roman" w:hAnsi="Times New Roman" w:cs="Times New Roman"/>
          <w:color w:val="auto"/>
          <w:sz w:val="24"/>
          <w:szCs w:val="24"/>
          <w:lang w:val="en-US" w:eastAsia="zh-CN"/>
        </w:rPr>
        <w:t>、一台为DF</w:t>
      </w:r>
      <w:r>
        <w:rPr>
          <w:rFonts w:hint="eastAsia" w:ascii="Times New Roman" w:hAnsi="Times New Roman" w:cs="Times New Roman"/>
          <w:color w:val="auto"/>
          <w:sz w:val="24"/>
          <w:szCs w:val="24"/>
          <w:vertAlign w:val="subscript"/>
          <w:lang w:val="en-US" w:eastAsia="zh-CN"/>
        </w:rPr>
        <w:t>10D</w:t>
      </w:r>
      <w:r>
        <w:rPr>
          <w:rFonts w:hint="eastAsia" w:ascii="Times New Roman" w:hAnsi="Times New Roman" w:cs="Times New Roman"/>
          <w:color w:val="auto"/>
          <w:sz w:val="24"/>
          <w:szCs w:val="24"/>
          <w:lang w:val="en-US" w:eastAsia="zh-CN"/>
        </w:rPr>
        <w:t>。自主运营</w:t>
      </w:r>
      <w:r>
        <w:rPr>
          <w:rFonts w:hint="default" w:ascii="Times New Roman" w:hAnsi="Times New Roman" w:cs="Times New Roman"/>
          <w:color w:val="auto"/>
          <w:sz w:val="24"/>
          <w:szCs w:val="24"/>
          <w:lang w:val="en-US" w:eastAsia="zh-CN"/>
        </w:rPr>
        <w:t>。</w:t>
      </w:r>
    </w:p>
    <w:p w14:paraId="359403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项目建设由主体工程、辅助工程、依托工程、公用工程、环保工程及临时工程五个部分组成，具体见表</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.2-1。</w:t>
      </w:r>
    </w:p>
    <w:p w14:paraId="32DEC438">
      <w:pPr>
        <w:pStyle w:val="36"/>
        <w:keepNext w:val="0"/>
        <w:keepLines w:val="0"/>
        <w:pageBreakBefore w:val="0"/>
        <w:widowControl w:val="0"/>
        <w:numPr>
          <w:ilvl w:val="1"/>
          <w:numId w:val="13"/>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lang w:val="en-US" w:eastAsia="zh-CN"/>
        </w:rPr>
      </w:pPr>
      <w:r>
        <w:rPr>
          <w:rFonts w:hint="default" w:ascii="Times New Roman" w:hAnsi="Times New Roman" w:cs="Times New Roman"/>
          <w:b/>
          <w:bCs/>
          <w:color w:val="auto"/>
          <w:spacing w:val="-3"/>
          <w:lang w:val="en-US" w:eastAsia="zh-CN"/>
        </w:rPr>
        <w:t>项目工程组成一览表</w:t>
      </w:r>
    </w:p>
    <w:tbl>
      <w:tblPr>
        <w:tblStyle w:val="22"/>
        <w:tblpPr w:leftFromText="180" w:rightFromText="180" w:vertAnchor="text" w:tblpXSpec="left" w:tblpY="1"/>
        <w:tblOverlap w:val="never"/>
        <w:tblW w:w="8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358"/>
        <w:gridCol w:w="1103"/>
        <w:gridCol w:w="909"/>
        <w:gridCol w:w="722"/>
        <w:gridCol w:w="3702"/>
        <w:gridCol w:w="946"/>
      </w:tblGrid>
      <w:tr w14:paraId="6FED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206F2EA7">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工程</w:t>
            </w:r>
            <w:r>
              <w:rPr>
                <w:rFonts w:hint="default" w:ascii="Times New Roman" w:hAnsi="Times New Roman" w:cs="Times New Roman"/>
                <w:color w:val="auto"/>
                <w:sz w:val="21"/>
                <w:szCs w:val="21"/>
                <w:lang w:eastAsia="zh-CN"/>
              </w:rPr>
              <w:t>分类</w:t>
            </w:r>
          </w:p>
        </w:tc>
        <w:tc>
          <w:tcPr>
            <w:tcW w:w="1461" w:type="dxa"/>
            <w:gridSpan w:val="2"/>
            <w:vAlign w:val="center"/>
          </w:tcPr>
          <w:p w14:paraId="07A3CFC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建设内容</w:t>
            </w:r>
          </w:p>
        </w:tc>
        <w:tc>
          <w:tcPr>
            <w:tcW w:w="5333" w:type="dxa"/>
            <w:gridSpan w:val="3"/>
            <w:vAlign w:val="center"/>
          </w:tcPr>
          <w:p w14:paraId="56EC77A9">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eastAsia="zh-CN"/>
              </w:rPr>
              <w:t>基本情况</w:t>
            </w:r>
          </w:p>
        </w:tc>
        <w:tc>
          <w:tcPr>
            <w:tcW w:w="946" w:type="dxa"/>
            <w:vAlign w:val="center"/>
          </w:tcPr>
          <w:p w14:paraId="4786402C">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eastAsia="zh-CN"/>
              </w:rPr>
              <w:t>备注</w:t>
            </w:r>
          </w:p>
        </w:tc>
      </w:tr>
      <w:tr w14:paraId="1941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restart"/>
            <w:vAlign w:val="center"/>
          </w:tcPr>
          <w:p w14:paraId="12B9EDC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eastAsia="zh-CN"/>
              </w:rPr>
              <w:t>主体工程</w:t>
            </w:r>
          </w:p>
        </w:tc>
        <w:tc>
          <w:tcPr>
            <w:tcW w:w="1461" w:type="dxa"/>
            <w:gridSpan w:val="2"/>
            <w:vAlign w:val="center"/>
          </w:tcPr>
          <w:p w14:paraId="1B38FAC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H1道</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H2道</w:t>
            </w:r>
          </w:p>
        </w:tc>
        <w:tc>
          <w:tcPr>
            <w:tcW w:w="5333" w:type="dxa"/>
            <w:gridSpan w:val="3"/>
            <w:vAlign w:val="center"/>
          </w:tcPr>
          <w:p w14:paraId="11C217A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新修建H1道及H2道尽头式货物线，采用整体道床。有效长310m，货位长度分别为255m及310m。为</w:t>
            </w:r>
            <w:r>
              <w:rPr>
                <w:rFonts w:hint="default" w:ascii="Times New Roman" w:hAnsi="Times New Roman" w:cs="Times New Roman"/>
                <w:color w:val="auto"/>
                <w:sz w:val="21"/>
                <w:szCs w:val="21"/>
              </w:rPr>
              <w:t>集装箱装卸作业线</w:t>
            </w:r>
            <w:r>
              <w:rPr>
                <w:rFonts w:hint="default" w:ascii="Times New Roman" w:hAnsi="Times New Roman" w:cs="Times New Roman"/>
                <w:color w:val="auto"/>
                <w:sz w:val="21"/>
                <w:szCs w:val="21"/>
                <w:lang w:eastAsia="zh-CN"/>
              </w:rPr>
              <w:t>。</w:t>
            </w:r>
          </w:p>
        </w:tc>
        <w:tc>
          <w:tcPr>
            <w:tcW w:w="946" w:type="dxa"/>
            <w:vAlign w:val="center"/>
          </w:tcPr>
          <w:p w14:paraId="6FA84B6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0C44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1C1F4AB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0B0C055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集装箱堆场</w:t>
            </w:r>
          </w:p>
        </w:tc>
        <w:tc>
          <w:tcPr>
            <w:tcW w:w="5333" w:type="dxa"/>
            <w:gridSpan w:val="3"/>
            <w:vAlign w:val="center"/>
          </w:tcPr>
          <w:p w14:paraId="4A199127">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新建双面配筋的集装箱堆场2处，占地面积50600m</w:t>
            </w:r>
            <w:r>
              <w:rPr>
                <w:rFonts w:hint="default" w:ascii="Times New Roman" w:hAnsi="Times New Roman" w:cs="Times New Roman"/>
                <w:color w:val="auto"/>
                <w:sz w:val="21"/>
                <w:szCs w:val="21"/>
                <w:vertAlign w:val="superscript"/>
                <w:lang w:val="en-US" w:eastAsia="zh-CN"/>
              </w:rPr>
              <w:t>2</w:t>
            </w:r>
            <w:r>
              <w:rPr>
                <w:rFonts w:hint="eastAsia" w:ascii="Times New Roman" w:hAnsi="Times New Roman" w:cs="Times New Roman"/>
                <w:color w:val="auto"/>
                <w:sz w:val="21"/>
                <w:szCs w:val="21"/>
                <w:vertAlign w:val="baseline"/>
                <w:lang w:val="en-US" w:eastAsia="zh-CN"/>
              </w:rPr>
              <w:t>，</w:t>
            </w:r>
            <w:r>
              <w:rPr>
                <w:rFonts w:hint="default" w:ascii="Times New Roman" w:hAnsi="Times New Roman" w:cs="Times New Roman"/>
                <w:color w:val="auto"/>
                <w:sz w:val="21"/>
                <w:szCs w:val="21"/>
                <w:lang w:val="en-US" w:eastAsia="zh-CN"/>
              </w:rPr>
              <w:t>采用平过道沟通集装箱堆场。集装箱堆场一可容纳箱位561个；集装箱堆场二可容纳箱位753个。集装箱作业方式为正面吊。共计可容纳箱位1317个。</w:t>
            </w:r>
          </w:p>
        </w:tc>
        <w:tc>
          <w:tcPr>
            <w:tcW w:w="946" w:type="dxa"/>
            <w:vAlign w:val="center"/>
          </w:tcPr>
          <w:p w14:paraId="45F6ABA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2B11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5079CB7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依托工程</w:t>
            </w:r>
          </w:p>
        </w:tc>
        <w:tc>
          <w:tcPr>
            <w:tcW w:w="1461" w:type="dxa"/>
            <w:gridSpan w:val="2"/>
            <w:vAlign w:val="center"/>
          </w:tcPr>
          <w:p w14:paraId="6593608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集装箱到发兼货物线</w:t>
            </w:r>
          </w:p>
        </w:tc>
        <w:tc>
          <w:tcPr>
            <w:tcW w:w="5333" w:type="dxa"/>
            <w:gridSpan w:val="3"/>
            <w:vAlign w:val="center"/>
          </w:tcPr>
          <w:p w14:paraId="5B35EAD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将原有曲煤焦化专用铁路线</w:t>
            </w:r>
            <w:r>
              <w:rPr>
                <w:rFonts w:hint="eastAsia" w:ascii="Times New Roman" w:hAnsi="Times New Roman" w:cs="Times New Roman"/>
                <w:color w:val="auto"/>
                <w:sz w:val="21"/>
                <w:szCs w:val="21"/>
                <w:lang w:val="en-US" w:eastAsia="zh-CN"/>
              </w:rPr>
              <w:t>现有到发4条货运线</w:t>
            </w:r>
            <w:r>
              <w:rPr>
                <w:rFonts w:hint="default" w:ascii="Times New Roman" w:hAnsi="Times New Roman" w:cs="Times New Roman"/>
                <w:color w:val="auto"/>
                <w:sz w:val="21"/>
                <w:szCs w:val="21"/>
                <w:lang w:val="en-US" w:eastAsia="zh-CN"/>
              </w:rPr>
              <w:t>改为集装箱到发兼货物线（只改用途性质，不施工）。本项目新修建H1道及H2道连接曲煤焦化专用铁路线</w:t>
            </w:r>
            <w:r>
              <w:rPr>
                <w:rFonts w:hint="eastAsia" w:ascii="Times New Roman" w:hAnsi="Times New Roman" w:cs="Times New Roman"/>
                <w:color w:val="auto"/>
                <w:sz w:val="21"/>
                <w:szCs w:val="21"/>
                <w:lang w:val="en-US" w:eastAsia="zh-CN"/>
              </w:rPr>
              <w:t>现有到发4条货运线</w:t>
            </w:r>
            <w:r>
              <w:rPr>
                <w:rFonts w:hint="default" w:ascii="Times New Roman" w:hAnsi="Times New Roman" w:cs="Times New Roman"/>
                <w:color w:val="auto"/>
                <w:sz w:val="21"/>
                <w:szCs w:val="21"/>
                <w:lang w:val="en-US" w:eastAsia="zh-CN"/>
              </w:rPr>
              <w:t>。自备机车2台，1台为DF</w:t>
            </w:r>
            <w:r>
              <w:rPr>
                <w:rFonts w:hint="default" w:ascii="Times New Roman" w:hAnsi="Times New Roman" w:cs="Times New Roman"/>
                <w:color w:val="auto"/>
                <w:sz w:val="21"/>
                <w:szCs w:val="21"/>
                <w:vertAlign w:val="subscript"/>
                <w:lang w:val="en-US" w:eastAsia="zh-CN"/>
              </w:rPr>
              <w:t>5D</w:t>
            </w:r>
            <w:r>
              <w:rPr>
                <w:rFonts w:hint="default" w:ascii="Times New Roman" w:hAnsi="Times New Roman" w:cs="Times New Roman"/>
                <w:color w:val="auto"/>
                <w:sz w:val="21"/>
                <w:szCs w:val="21"/>
                <w:lang w:val="en-US" w:eastAsia="zh-CN"/>
              </w:rPr>
              <w:t>、一台为DF</w:t>
            </w:r>
            <w:r>
              <w:rPr>
                <w:rFonts w:hint="default" w:ascii="Times New Roman" w:hAnsi="Times New Roman" w:cs="Times New Roman"/>
                <w:color w:val="auto"/>
                <w:sz w:val="21"/>
                <w:szCs w:val="21"/>
                <w:vertAlign w:val="subscript"/>
                <w:lang w:val="en-US" w:eastAsia="zh-CN"/>
              </w:rPr>
              <w:t>10D</w:t>
            </w:r>
            <w:r>
              <w:rPr>
                <w:rFonts w:hint="default" w:ascii="Times New Roman" w:hAnsi="Times New Roman" w:cs="Times New Roman"/>
                <w:color w:val="auto"/>
                <w:sz w:val="21"/>
                <w:szCs w:val="21"/>
                <w:lang w:val="en-US" w:eastAsia="zh-CN"/>
              </w:rPr>
              <w:t>。自主运营。</w:t>
            </w:r>
          </w:p>
        </w:tc>
        <w:tc>
          <w:tcPr>
            <w:tcW w:w="946" w:type="dxa"/>
            <w:vAlign w:val="center"/>
          </w:tcPr>
          <w:p w14:paraId="3EE4163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依托</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71BF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restart"/>
            <w:vAlign w:val="center"/>
          </w:tcPr>
          <w:p w14:paraId="45428D7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辅助工程</w:t>
            </w:r>
          </w:p>
        </w:tc>
        <w:tc>
          <w:tcPr>
            <w:tcW w:w="1461" w:type="dxa"/>
            <w:gridSpan w:val="2"/>
            <w:vAlign w:val="center"/>
          </w:tcPr>
          <w:p w14:paraId="097D352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货运综合楼</w:t>
            </w:r>
          </w:p>
        </w:tc>
        <w:tc>
          <w:tcPr>
            <w:tcW w:w="5333" w:type="dxa"/>
            <w:gridSpan w:val="3"/>
            <w:vAlign w:val="center"/>
          </w:tcPr>
          <w:p w14:paraId="464580F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占地面积1367.26m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，共三层，设置办公生活区，位于项目区南侧。</w:t>
            </w:r>
          </w:p>
        </w:tc>
        <w:tc>
          <w:tcPr>
            <w:tcW w:w="946" w:type="dxa"/>
            <w:vAlign w:val="center"/>
          </w:tcPr>
          <w:p w14:paraId="344FA57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6B60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63D50E2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3296BDC5">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正面吊充电维修区</w:t>
            </w:r>
          </w:p>
        </w:tc>
        <w:tc>
          <w:tcPr>
            <w:tcW w:w="5333" w:type="dxa"/>
            <w:gridSpan w:val="3"/>
            <w:vAlign w:val="center"/>
          </w:tcPr>
          <w:p w14:paraId="033100B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占地面积650m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，共一层，位于中部，设挡雨棚。</w:t>
            </w:r>
          </w:p>
          <w:p w14:paraId="34AE0B69">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配置3台双枪充电桩，主要对电芯一致性检测、模组检修，固件升级，更换电子元器件等，以及液压系统维修、换油、滤芯更换等。</w:t>
            </w:r>
          </w:p>
        </w:tc>
        <w:tc>
          <w:tcPr>
            <w:tcW w:w="946" w:type="dxa"/>
            <w:vAlign w:val="center"/>
          </w:tcPr>
          <w:p w14:paraId="0C0987E1">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0E23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0D2872B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51089E2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门卫</w:t>
            </w:r>
          </w:p>
        </w:tc>
        <w:tc>
          <w:tcPr>
            <w:tcW w:w="5333" w:type="dxa"/>
            <w:gridSpan w:val="3"/>
            <w:vAlign w:val="center"/>
          </w:tcPr>
          <w:p w14:paraId="5E4C1DCC">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占地面积20.51m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，位于南侧。</w:t>
            </w:r>
          </w:p>
        </w:tc>
        <w:tc>
          <w:tcPr>
            <w:tcW w:w="946" w:type="dxa"/>
            <w:vAlign w:val="center"/>
          </w:tcPr>
          <w:p w14:paraId="753AB3E2">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38EE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42A3BDE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39A3B7B1">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箱检平台</w:t>
            </w:r>
          </w:p>
        </w:tc>
        <w:tc>
          <w:tcPr>
            <w:tcW w:w="5333" w:type="dxa"/>
            <w:gridSpan w:val="3"/>
            <w:vAlign w:val="center"/>
          </w:tcPr>
          <w:p w14:paraId="16DD7A19">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占地面积31.78m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，位于南侧。</w:t>
            </w:r>
          </w:p>
        </w:tc>
        <w:tc>
          <w:tcPr>
            <w:tcW w:w="946" w:type="dxa"/>
            <w:vAlign w:val="center"/>
          </w:tcPr>
          <w:p w14:paraId="0C93935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4946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1119F52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48DEB7D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车位</w:t>
            </w:r>
          </w:p>
        </w:tc>
        <w:tc>
          <w:tcPr>
            <w:tcW w:w="5333" w:type="dxa"/>
            <w:gridSpan w:val="3"/>
            <w:vAlign w:val="center"/>
          </w:tcPr>
          <w:p w14:paraId="0FB7620B">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49个车位，位于货运综合楼正前方及左右两侧。</w:t>
            </w:r>
          </w:p>
        </w:tc>
        <w:tc>
          <w:tcPr>
            <w:tcW w:w="946" w:type="dxa"/>
            <w:vAlign w:val="center"/>
          </w:tcPr>
          <w:p w14:paraId="6767F56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225D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restart"/>
            <w:vAlign w:val="center"/>
          </w:tcPr>
          <w:p w14:paraId="0289B2B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公用工程</w:t>
            </w:r>
          </w:p>
        </w:tc>
        <w:tc>
          <w:tcPr>
            <w:tcW w:w="1461" w:type="dxa"/>
            <w:gridSpan w:val="2"/>
            <w:vAlign w:val="center"/>
          </w:tcPr>
          <w:p w14:paraId="285FE98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供电工程</w:t>
            </w:r>
          </w:p>
        </w:tc>
        <w:tc>
          <w:tcPr>
            <w:tcW w:w="5333" w:type="dxa"/>
            <w:gridSpan w:val="3"/>
            <w:vAlign w:val="center"/>
          </w:tcPr>
          <w:p w14:paraId="0627613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由园区供电电网供给</w:t>
            </w:r>
            <w:r>
              <w:rPr>
                <w:rFonts w:hint="default" w:ascii="Times New Roman" w:hAnsi="Times New Roman" w:cs="Times New Roman"/>
                <w:color w:val="auto"/>
                <w:sz w:val="21"/>
                <w:szCs w:val="21"/>
                <w:lang w:eastAsia="zh-CN"/>
              </w:rPr>
              <w:t>。</w:t>
            </w:r>
          </w:p>
        </w:tc>
        <w:tc>
          <w:tcPr>
            <w:tcW w:w="946" w:type="dxa"/>
            <w:vAlign w:val="center"/>
          </w:tcPr>
          <w:p w14:paraId="60ECA6C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依托</w:t>
            </w:r>
          </w:p>
        </w:tc>
      </w:tr>
      <w:tr w14:paraId="08C3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50BDF85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339AAF9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供水工程</w:t>
            </w:r>
          </w:p>
        </w:tc>
        <w:tc>
          <w:tcPr>
            <w:tcW w:w="5333" w:type="dxa"/>
            <w:gridSpan w:val="3"/>
            <w:vAlign w:val="center"/>
          </w:tcPr>
          <w:p w14:paraId="349ED1C2">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由园区供水管网供给。</w:t>
            </w:r>
          </w:p>
        </w:tc>
        <w:tc>
          <w:tcPr>
            <w:tcW w:w="946" w:type="dxa"/>
            <w:vAlign w:val="center"/>
          </w:tcPr>
          <w:p w14:paraId="7C5B753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依托</w:t>
            </w:r>
          </w:p>
        </w:tc>
      </w:tr>
      <w:tr w14:paraId="7FBA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2007A72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1BD0C52C">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排水工程</w:t>
            </w:r>
          </w:p>
        </w:tc>
        <w:tc>
          <w:tcPr>
            <w:tcW w:w="5333" w:type="dxa"/>
            <w:gridSpan w:val="3"/>
            <w:vAlign w:val="center"/>
          </w:tcPr>
          <w:p w14:paraId="5961716C">
            <w:pPr>
              <w:keepNext w:val="0"/>
              <w:keepLines w:val="0"/>
              <w:pageBreakBefore w:val="0"/>
              <w:widowControl/>
              <w:kinsoku/>
              <w:wordWrap/>
              <w:overflowPunct/>
              <w:topLinePunct w:val="0"/>
              <w:autoSpaceDE w:val="0"/>
              <w:autoSpaceDN w:val="0"/>
              <w:bidi w:val="0"/>
              <w:adjustRightInd w:val="0"/>
              <w:snapToGrid w:val="0"/>
              <w:jc w:val="left"/>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排水系统</w:t>
            </w:r>
            <w:r>
              <w:rPr>
                <w:rFonts w:hint="default" w:ascii="Times New Roman" w:hAnsi="Times New Roman" w:cs="Times New Roman"/>
                <w:color w:val="auto"/>
                <w:sz w:val="21"/>
                <w:szCs w:val="21"/>
                <w:lang w:val="en-US" w:eastAsia="zh-CN"/>
              </w:rPr>
              <w:t>采用</w:t>
            </w:r>
            <w:r>
              <w:rPr>
                <w:rFonts w:hint="default" w:ascii="Times New Roman" w:hAnsi="Times New Roman" w:cs="Times New Roman"/>
                <w:color w:val="auto"/>
                <w:sz w:val="21"/>
                <w:szCs w:val="21"/>
              </w:rPr>
              <w:t>雨污分流制</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fldChar w:fldCharType="begin"/>
            </w:r>
            <w:r>
              <w:rPr>
                <w:rFonts w:hint="default" w:ascii="Times New Roman" w:hAnsi="Times New Roman" w:cs="Times New Roman"/>
                <w:color w:val="auto"/>
                <w:sz w:val="21"/>
                <w:szCs w:val="21"/>
              </w:rPr>
              <w:instrText xml:space="preserve"> = 1 \* GB3 </w:instrText>
            </w:r>
            <w:r>
              <w:rPr>
                <w:rFonts w:hint="default" w:ascii="Times New Roman" w:hAnsi="Times New Roman" w:cs="Times New Roman"/>
                <w:color w:val="auto"/>
                <w:sz w:val="21"/>
                <w:szCs w:val="21"/>
              </w:rPr>
              <w:fldChar w:fldCharType="separate"/>
            </w:r>
            <w:r>
              <w:rPr>
                <w:rFonts w:hint="default" w:ascii="Times New Roman" w:hAnsi="Times New Roman" w:cs="Times New Roman"/>
                <w:color w:val="auto"/>
                <w:sz w:val="21"/>
                <w:szCs w:val="21"/>
              </w:rPr>
              <w:t>①</w:t>
            </w:r>
            <w:r>
              <w:rPr>
                <w:rFonts w:hint="default" w:ascii="Times New Roman" w:hAnsi="Times New Roman" w:cs="Times New Roman"/>
                <w:color w:val="auto"/>
                <w:sz w:val="21"/>
                <w:szCs w:val="21"/>
              </w:rPr>
              <w:fldChar w:fldCharType="end"/>
            </w:r>
            <w:r>
              <w:rPr>
                <w:rFonts w:hint="default" w:ascii="Times New Roman" w:hAnsi="Times New Roman" w:cs="Times New Roman"/>
                <w:color w:val="auto"/>
                <w:sz w:val="21"/>
                <w:szCs w:val="21"/>
                <w:lang w:val="en-US" w:eastAsia="zh-CN"/>
              </w:rPr>
              <w:t>前15分钟</w:t>
            </w:r>
            <w:r>
              <w:rPr>
                <w:rFonts w:hint="default" w:ascii="Times New Roman" w:hAnsi="Times New Roman" w:cs="Times New Roman"/>
                <w:color w:val="auto"/>
                <w:sz w:val="21"/>
                <w:szCs w:val="21"/>
              </w:rPr>
              <w:t>雨水</w:t>
            </w:r>
            <w:r>
              <w:rPr>
                <w:rFonts w:hint="default" w:ascii="Times New Roman" w:hAnsi="Times New Roman" w:cs="Times New Roman"/>
                <w:color w:val="auto"/>
                <w:sz w:val="21"/>
                <w:szCs w:val="21"/>
                <w:lang w:eastAsia="zh-CN"/>
              </w:rPr>
              <w:t>经雨水沟收集，</w:t>
            </w:r>
            <w:r>
              <w:rPr>
                <w:rFonts w:hint="default" w:ascii="Times New Roman" w:hAnsi="Times New Roman" w:cs="Times New Roman"/>
                <w:color w:val="auto"/>
                <w:sz w:val="21"/>
                <w:szCs w:val="21"/>
                <w:lang w:val="en-US" w:eastAsia="zh-CN"/>
              </w:rPr>
              <w:t>排入项目区初期雨水收集池处理后，回用于项目绿化、洒水降尘，回用不完的由曲煤焦化内部清运至铁路卸煤区洒水降尘，设置雨水切换阀，后期雨水</w:t>
            </w:r>
            <w:r>
              <w:rPr>
                <w:rFonts w:hint="eastAsia" w:ascii="Times New Roman" w:hAnsi="Times New Roman" w:cs="Times New Roman"/>
                <w:color w:val="auto"/>
                <w:sz w:val="21"/>
                <w:szCs w:val="21"/>
                <w:lang w:val="en-US" w:eastAsia="zh-CN"/>
              </w:rPr>
              <w:t>通过1个雨水排口排入</w:t>
            </w:r>
            <w:r>
              <w:rPr>
                <w:rFonts w:hint="default" w:ascii="Times New Roman" w:hAnsi="Times New Roman" w:cs="Times New Roman"/>
                <w:color w:val="auto"/>
                <w:sz w:val="21"/>
                <w:szCs w:val="21"/>
                <w:lang w:val="en-US" w:eastAsia="zh-CN"/>
              </w:rPr>
              <w:t>园区雨水管网</w:t>
            </w:r>
            <w:r>
              <w:rPr>
                <w:rFonts w:hint="eastAsia" w:ascii="Times New Roman" w:hAnsi="Times New Roman" w:cs="Times New Roman"/>
                <w:color w:val="auto"/>
                <w:sz w:val="21"/>
                <w:szCs w:val="21"/>
                <w:lang w:val="en-US" w:eastAsia="zh-CN"/>
              </w:rPr>
              <w:t>，最终进入东干渠</w:t>
            </w:r>
            <w:r>
              <w:rPr>
                <w:rFonts w:hint="default" w:ascii="Times New Roman" w:hAnsi="Times New Roman" w:cs="Times New Roman"/>
                <w:color w:val="auto"/>
                <w:sz w:val="21"/>
                <w:szCs w:val="21"/>
              </w:rPr>
              <w:t>；</w:t>
            </w:r>
          </w:p>
          <w:p w14:paraId="63786DC8">
            <w:pPr>
              <w:keepNext w:val="0"/>
              <w:keepLines w:val="0"/>
              <w:pageBreakBefore w:val="0"/>
              <w:widowControl/>
              <w:kinsoku/>
              <w:wordWrap/>
              <w:overflowPunct/>
              <w:topLinePunct w:val="0"/>
              <w:autoSpaceDE w:val="0"/>
              <w:autoSpaceDN w:val="0"/>
              <w:bidi w:val="0"/>
              <w:adjustRightInd w:val="0"/>
              <w:snapToGrid w:val="0"/>
              <w:jc w:val="left"/>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场地周边设排水沟，曲煤焦化3～4道间设砟顶式纵向排水槽，整体道床H1道及H2道间采用混凝土硬化。道路外边及货场纵横向设公路排水槽。设初期雨水收集池1座（</w:t>
            </w:r>
            <w:r>
              <w:rPr>
                <w:rFonts w:hint="eastAsia" w:ascii="Times New Roman" w:hAnsi="Times New Roman" w:cs="Times New Roman"/>
                <w:color w:val="auto"/>
                <w:sz w:val="21"/>
                <w:szCs w:val="21"/>
                <w:lang w:val="en-US" w:eastAsia="zh-CN"/>
              </w:rPr>
              <w:t>约</w:t>
            </w:r>
            <w:r>
              <w:rPr>
                <w:rFonts w:hint="default" w:ascii="Times New Roman" w:hAnsi="Times New Roman" w:cs="Times New Roman"/>
                <w:color w:val="auto"/>
                <w:sz w:val="21"/>
                <w:szCs w:val="21"/>
                <w:lang w:val="en-US" w:eastAsia="zh-CN"/>
              </w:rPr>
              <w:t>1500m</w:t>
            </w:r>
            <w:r>
              <w:rPr>
                <w:rFonts w:hint="default" w:ascii="Times New Roman" w:hAnsi="Times New Roman" w:cs="Times New Roman"/>
                <w:color w:val="auto"/>
                <w:sz w:val="21"/>
                <w:szCs w:val="21"/>
                <w:vertAlign w:val="superscript"/>
                <w:lang w:val="en-US" w:eastAsia="zh-CN"/>
              </w:rPr>
              <w:t>3</w:t>
            </w:r>
            <w:r>
              <w:rPr>
                <w:rFonts w:hint="eastAsia" w:ascii="Times New Roman" w:hAnsi="Times New Roman" w:cs="Times New Roman"/>
                <w:color w:val="auto"/>
                <w:sz w:val="21"/>
                <w:szCs w:val="21"/>
                <w:vertAlign w:val="baseline"/>
                <w:lang w:val="en-US" w:eastAsia="zh-CN"/>
              </w:rPr>
              <w:t>，</w:t>
            </w:r>
            <w:r>
              <w:rPr>
                <w:rFonts w:hint="eastAsia" w:ascii="Times New Roman" w:hAnsi="Times New Roman" w:cs="Times New Roman"/>
                <w:color w:val="auto"/>
                <w:sz w:val="21"/>
                <w:szCs w:val="21"/>
                <w:lang w:val="en-US" w:eastAsia="zh-CN"/>
              </w:rPr>
              <w:t>26.5m×15m×4m</w:t>
            </w:r>
            <w:r>
              <w:rPr>
                <w:rFonts w:hint="default" w:ascii="Times New Roman" w:hAnsi="Times New Roman" w:cs="Times New Roman"/>
                <w:color w:val="auto"/>
                <w:sz w:val="21"/>
                <w:szCs w:val="21"/>
                <w:lang w:val="en-US" w:eastAsia="zh-CN"/>
              </w:rPr>
              <w:t>），将初期雨水集中排入初期雨水收集池。</w:t>
            </w:r>
          </w:p>
          <w:p w14:paraId="69BD203B">
            <w:pPr>
              <w:keepNext w:val="0"/>
              <w:keepLines w:val="0"/>
              <w:pageBreakBefore w:val="0"/>
              <w:widowControl/>
              <w:kinsoku/>
              <w:wordWrap/>
              <w:overflowPunct/>
              <w:topLinePunct w:val="0"/>
              <w:autoSpaceDE w:val="0"/>
              <w:autoSpaceDN w:val="0"/>
              <w:bidi w:val="0"/>
              <w:adjustRightInd w:val="0"/>
              <w:snapToGrid w:val="0"/>
              <w:jc w:val="left"/>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fldChar w:fldCharType="begin"/>
            </w:r>
            <w:r>
              <w:rPr>
                <w:rFonts w:hint="default" w:ascii="Times New Roman" w:hAnsi="Times New Roman" w:cs="Times New Roman"/>
                <w:color w:val="auto"/>
                <w:sz w:val="21"/>
                <w:szCs w:val="21"/>
              </w:rPr>
              <w:instrText xml:space="preserve"> = 2 \* GB3 </w:instrText>
            </w:r>
            <w:r>
              <w:rPr>
                <w:rFonts w:hint="default" w:ascii="Times New Roman" w:hAnsi="Times New Roman" w:cs="Times New Roman"/>
                <w:color w:val="auto"/>
                <w:sz w:val="21"/>
                <w:szCs w:val="21"/>
              </w:rPr>
              <w:fldChar w:fldCharType="separate"/>
            </w:r>
            <w:r>
              <w:rPr>
                <w:rFonts w:hint="default" w:ascii="Times New Roman" w:hAnsi="Times New Roman" w:cs="Times New Roman"/>
                <w:color w:val="auto"/>
                <w:sz w:val="21"/>
                <w:szCs w:val="21"/>
              </w:rPr>
              <w:t>②</w:t>
            </w:r>
            <w:r>
              <w:rPr>
                <w:rFonts w:hint="default" w:ascii="Times New Roman" w:hAnsi="Times New Roman" w:cs="Times New Roman"/>
                <w:color w:val="auto"/>
                <w:sz w:val="21"/>
                <w:szCs w:val="21"/>
              </w:rPr>
              <w:fldChar w:fldCharType="end"/>
            </w:r>
            <w:r>
              <w:rPr>
                <w:rFonts w:hint="default" w:ascii="Times New Roman" w:hAnsi="Times New Roman" w:cs="Times New Roman"/>
                <w:color w:val="auto"/>
                <w:sz w:val="21"/>
                <w:szCs w:val="21"/>
                <w:lang w:val="en-US" w:eastAsia="zh-CN"/>
              </w:rPr>
              <w:t>生活废水排入化粪池处理后委托环卫部门清运处置。</w:t>
            </w:r>
          </w:p>
        </w:tc>
        <w:tc>
          <w:tcPr>
            <w:tcW w:w="946" w:type="dxa"/>
            <w:vAlign w:val="center"/>
          </w:tcPr>
          <w:p w14:paraId="0C2D593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7B95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07240F5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1329132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eastAsia="zh-CN"/>
              </w:rPr>
              <w:t>道路</w:t>
            </w:r>
          </w:p>
        </w:tc>
        <w:tc>
          <w:tcPr>
            <w:tcW w:w="5333" w:type="dxa"/>
            <w:gridSpan w:val="3"/>
            <w:vAlign w:val="center"/>
          </w:tcPr>
          <w:p w14:paraId="7B77BE95">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主通道宽14m，场地周围设7.0m宽环形道路。</w:t>
            </w:r>
          </w:p>
        </w:tc>
        <w:tc>
          <w:tcPr>
            <w:tcW w:w="946" w:type="dxa"/>
            <w:vAlign w:val="center"/>
          </w:tcPr>
          <w:p w14:paraId="6E606C1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4EF7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restart"/>
            <w:vAlign w:val="center"/>
          </w:tcPr>
          <w:p w14:paraId="1034676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环保工程</w:t>
            </w:r>
          </w:p>
        </w:tc>
        <w:tc>
          <w:tcPr>
            <w:tcW w:w="1461" w:type="dxa"/>
            <w:gridSpan w:val="2"/>
            <w:vAlign w:val="center"/>
          </w:tcPr>
          <w:p w14:paraId="7BB8FAF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废气</w:t>
            </w:r>
          </w:p>
        </w:tc>
        <w:tc>
          <w:tcPr>
            <w:tcW w:w="5333" w:type="dxa"/>
            <w:gridSpan w:val="3"/>
            <w:vAlign w:val="center"/>
          </w:tcPr>
          <w:p w14:paraId="4C34ABF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本项目粉尘经洒水降尘后呈无组织排放，设置洒水车1台。</w:t>
            </w:r>
          </w:p>
        </w:tc>
        <w:tc>
          <w:tcPr>
            <w:tcW w:w="946" w:type="dxa"/>
            <w:vAlign w:val="center"/>
          </w:tcPr>
          <w:p w14:paraId="1116C16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1025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vMerge w:val="continue"/>
            <w:vAlign w:val="center"/>
          </w:tcPr>
          <w:p w14:paraId="3D9165C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restart"/>
            <w:vAlign w:val="center"/>
          </w:tcPr>
          <w:p w14:paraId="670A3A1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废水</w:t>
            </w:r>
          </w:p>
        </w:tc>
        <w:tc>
          <w:tcPr>
            <w:tcW w:w="5333" w:type="dxa"/>
            <w:gridSpan w:val="3"/>
            <w:vAlign w:val="center"/>
          </w:tcPr>
          <w:p w14:paraId="57E02D5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生活废水排入化粪池处理后委托环卫部门清运处置，化粪池位于货运综合楼旁，1个，容积不小于10</w:t>
            </w: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lang w:val="en-US" w:eastAsia="zh-CN"/>
              </w:rPr>
              <w:t>。</w:t>
            </w:r>
          </w:p>
        </w:tc>
        <w:tc>
          <w:tcPr>
            <w:tcW w:w="946" w:type="dxa"/>
            <w:vAlign w:val="center"/>
          </w:tcPr>
          <w:p w14:paraId="1DC4F5E9">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0CB0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vMerge w:val="continue"/>
            <w:vAlign w:val="center"/>
          </w:tcPr>
          <w:p w14:paraId="77ADB2E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continue"/>
            <w:vAlign w:val="center"/>
          </w:tcPr>
          <w:p w14:paraId="44677BE2">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5333" w:type="dxa"/>
            <w:gridSpan w:val="3"/>
            <w:vAlign w:val="center"/>
          </w:tcPr>
          <w:p w14:paraId="52C77009">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初期雨水经初期雨水收集池处理后，回用于项目绿化、洒水降尘，回用不完的由云南曲煤焦化实业发展有限公司内部清运至铁路卸煤区洒水降尘，初期雨水收集池紧邻集装箱堆场一，容积</w:t>
            </w:r>
            <w:r>
              <w:rPr>
                <w:rFonts w:hint="eastAsia" w:ascii="Times New Roman" w:hAnsi="Times New Roman" w:cs="Times New Roman"/>
                <w:color w:val="auto"/>
                <w:sz w:val="21"/>
                <w:szCs w:val="21"/>
                <w:lang w:val="en-US" w:eastAsia="zh-CN"/>
              </w:rPr>
              <w:t>约</w:t>
            </w:r>
            <w:r>
              <w:rPr>
                <w:rFonts w:hint="default" w:ascii="Times New Roman" w:hAnsi="Times New Roman" w:cs="Times New Roman"/>
                <w:color w:val="auto"/>
                <w:sz w:val="21"/>
                <w:szCs w:val="21"/>
                <w:lang w:val="en-US" w:eastAsia="zh-CN"/>
              </w:rPr>
              <w:t>1500m</w:t>
            </w:r>
            <w:r>
              <w:rPr>
                <w:rFonts w:hint="default" w:ascii="Times New Roman" w:hAnsi="Times New Roman" w:cs="Times New Roman"/>
                <w:color w:val="auto"/>
                <w:sz w:val="21"/>
                <w:szCs w:val="21"/>
                <w:vertAlign w:val="superscript"/>
                <w:lang w:val="en-US" w:eastAsia="zh-CN"/>
              </w:rPr>
              <w:t>3</w:t>
            </w:r>
            <w:r>
              <w:rPr>
                <w:rFonts w:hint="eastAsia" w:ascii="Times New Roman" w:hAnsi="Times New Roman" w:cs="Times New Roman"/>
                <w:color w:val="auto"/>
                <w:sz w:val="21"/>
                <w:szCs w:val="21"/>
                <w:vertAlign w:val="baseline"/>
                <w:lang w:val="en-US" w:eastAsia="zh-CN"/>
              </w:rPr>
              <w:t>（</w:t>
            </w:r>
            <w:r>
              <w:rPr>
                <w:rFonts w:hint="eastAsia" w:ascii="Times New Roman" w:hAnsi="Times New Roman" w:cs="Times New Roman"/>
                <w:color w:val="auto"/>
                <w:sz w:val="21"/>
                <w:szCs w:val="21"/>
                <w:lang w:val="en-US" w:eastAsia="zh-CN"/>
              </w:rPr>
              <w:t>26.5m×15m×4m</w:t>
            </w:r>
            <w:r>
              <w:rPr>
                <w:rFonts w:hint="eastAsia" w:ascii="Times New Roman" w:hAnsi="Times New Roman" w:cs="Times New Roman"/>
                <w:color w:val="auto"/>
                <w:sz w:val="21"/>
                <w:szCs w:val="21"/>
                <w:vertAlign w:val="baseline"/>
                <w:lang w:val="en-US" w:eastAsia="zh-CN"/>
              </w:rPr>
              <w:t>）</w:t>
            </w:r>
            <w:r>
              <w:rPr>
                <w:rFonts w:hint="default" w:ascii="Times New Roman" w:hAnsi="Times New Roman" w:cs="Times New Roman"/>
                <w:color w:val="auto"/>
                <w:sz w:val="21"/>
                <w:szCs w:val="21"/>
                <w:vertAlign w:val="baseline"/>
                <w:lang w:val="en-US" w:eastAsia="zh-CN"/>
              </w:rPr>
              <w:t>。</w:t>
            </w:r>
          </w:p>
        </w:tc>
        <w:tc>
          <w:tcPr>
            <w:tcW w:w="946" w:type="dxa"/>
            <w:vAlign w:val="center"/>
          </w:tcPr>
          <w:p w14:paraId="16CB850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6EBD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409126E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110C416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eastAsia="zh-CN"/>
              </w:rPr>
              <w:t>噪声</w:t>
            </w:r>
          </w:p>
        </w:tc>
        <w:tc>
          <w:tcPr>
            <w:tcW w:w="5333" w:type="dxa"/>
            <w:gridSpan w:val="3"/>
            <w:vAlign w:val="center"/>
          </w:tcPr>
          <w:p w14:paraId="7D7E037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选用</w:t>
            </w:r>
            <w:r>
              <w:rPr>
                <w:rFonts w:hint="default" w:ascii="Times New Roman" w:hAnsi="Times New Roman" w:cs="Times New Roman"/>
                <w:color w:val="auto"/>
                <w:sz w:val="21"/>
                <w:szCs w:val="21"/>
              </w:rPr>
              <w:t>低噪声设备，安装隔声、减振等措施</w:t>
            </w:r>
            <w:r>
              <w:rPr>
                <w:rFonts w:hint="default" w:ascii="Times New Roman" w:hAnsi="Times New Roman" w:cs="Times New Roman"/>
                <w:color w:val="auto"/>
                <w:sz w:val="21"/>
                <w:szCs w:val="21"/>
                <w:lang w:eastAsia="zh-CN"/>
              </w:rPr>
              <w:t>。</w:t>
            </w:r>
          </w:p>
        </w:tc>
        <w:tc>
          <w:tcPr>
            <w:tcW w:w="946" w:type="dxa"/>
            <w:vAlign w:val="center"/>
          </w:tcPr>
          <w:p w14:paraId="37AB57C1">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3AB0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3B5B424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Align w:val="center"/>
          </w:tcPr>
          <w:p w14:paraId="402D7BB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振动</w:t>
            </w:r>
          </w:p>
        </w:tc>
        <w:tc>
          <w:tcPr>
            <w:tcW w:w="5333" w:type="dxa"/>
            <w:gridSpan w:val="3"/>
            <w:vAlign w:val="center"/>
          </w:tcPr>
          <w:p w14:paraId="31B98D70">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加强轮轨的维护、保养，定期旋轮和打磨钢轨，对小半径曲线段涂油防护。</w:t>
            </w:r>
          </w:p>
        </w:tc>
        <w:tc>
          <w:tcPr>
            <w:tcW w:w="946" w:type="dxa"/>
            <w:vAlign w:val="center"/>
          </w:tcPr>
          <w:p w14:paraId="77B04FB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1E47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25E3C77F">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358" w:type="dxa"/>
            <w:vMerge w:val="restart"/>
            <w:vAlign w:val="center"/>
          </w:tcPr>
          <w:p w14:paraId="529DC430">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固废</w:t>
            </w:r>
          </w:p>
        </w:tc>
        <w:tc>
          <w:tcPr>
            <w:tcW w:w="1103" w:type="dxa"/>
            <w:vAlign w:val="center"/>
          </w:tcPr>
          <w:p w14:paraId="354820C5">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生活</w:t>
            </w:r>
            <w:r>
              <w:rPr>
                <w:rFonts w:hint="default" w:ascii="Times New Roman" w:hAnsi="Times New Roman" w:cs="Times New Roman"/>
                <w:color w:val="auto"/>
                <w:sz w:val="21"/>
                <w:szCs w:val="21"/>
                <w:lang w:val="en-US" w:eastAsia="zh-CN"/>
              </w:rPr>
              <w:t>垃圾</w:t>
            </w:r>
          </w:p>
        </w:tc>
        <w:tc>
          <w:tcPr>
            <w:tcW w:w="5333" w:type="dxa"/>
            <w:gridSpan w:val="3"/>
            <w:vAlign w:val="center"/>
          </w:tcPr>
          <w:p w14:paraId="0D75F72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设置</w:t>
            </w:r>
            <w:r>
              <w:rPr>
                <w:rFonts w:hint="default" w:ascii="Times New Roman" w:hAnsi="Times New Roman" w:cs="Times New Roman"/>
                <w:color w:val="auto"/>
                <w:sz w:val="21"/>
                <w:szCs w:val="21"/>
                <w:lang w:val="en-US" w:eastAsia="zh-CN"/>
              </w:rPr>
              <w:t>生活</w:t>
            </w:r>
            <w:r>
              <w:rPr>
                <w:rFonts w:hint="default" w:ascii="Times New Roman" w:hAnsi="Times New Roman" w:cs="Times New Roman"/>
                <w:color w:val="auto"/>
                <w:sz w:val="21"/>
                <w:szCs w:val="21"/>
              </w:rPr>
              <w:t>垃圾桶</w:t>
            </w:r>
            <w:r>
              <w:rPr>
                <w:rFonts w:hint="default" w:ascii="Times New Roman" w:hAnsi="Times New Roman" w:cs="Times New Roman"/>
                <w:color w:val="auto"/>
                <w:sz w:val="21"/>
                <w:szCs w:val="21"/>
                <w:lang w:eastAsia="zh-CN"/>
              </w:rPr>
              <w:t>若干，</w:t>
            </w:r>
            <w:r>
              <w:rPr>
                <w:rFonts w:hint="default" w:ascii="Times New Roman" w:hAnsi="Times New Roman" w:cs="Times New Roman"/>
                <w:color w:val="auto"/>
                <w:sz w:val="21"/>
                <w:szCs w:val="21"/>
                <w:lang w:val="en-US" w:eastAsia="zh-CN"/>
              </w:rPr>
              <w:t>生活</w:t>
            </w:r>
            <w:r>
              <w:rPr>
                <w:rFonts w:hint="default" w:ascii="Times New Roman" w:hAnsi="Times New Roman" w:cs="Times New Roman"/>
                <w:color w:val="auto"/>
                <w:sz w:val="21"/>
                <w:szCs w:val="21"/>
              </w:rPr>
              <w:t>垃圾</w:t>
            </w:r>
            <w:r>
              <w:rPr>
                <w:rFonts w:hint="default" w:ascii="Times New Roman" w:hAnsi="Times New Roman" w:cs="Times New Roman"/>
                <w:color w:val="auto"/>
                <w:sz w:val="21"/>
                <w:szCs w:val="21"/>
                <w:lang w:val="en-US" w:eastAsia="zh-CN"/>
              </w:rPr>
              <w:t>收集后交由环卫部门清运处置</w:t>
            </w:r>
            <w:r>
              <w:rPr>
                <w:rFonts w:hint="default" w:ascii="Times New Roman" w:hAnsi="Times New Roman" w:cs="Times New Roman"/>
                <w:color w:val="auto"/>
                <w:sz w:val="21"/>
                <w:szCs w:val="21"/>
                <w:lang w:eastAsia="zh-CN"/>
              </w:rPr>
              <w:t>。</w:t>
            </w:r>
          </w:p>
        </w:tc>
        <w:tc>
          <w:tcPr>
            <w:tcW w:w="946" w:type="dxa"/>
            <w:vAlign w:val="center"/>
          </w:tcPr>
          <w:p w14:paraId="73FC9801">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1DB9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19A8AD47">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358" w:type="dxa"/>
            <w:vMerge w:val="continue"/>
            <w:vAlign w:val="center"/>
          </w:tcPr>
          <w:p w14:paraId="04855690">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p>
        </w:tc>
        <w:tc>
          <w:tcPr>
            <w:tcW w:w="1103" w:type="dxa"/>
            <w:vAlign w:val="center"/>
          </w:tcPr>
          <w:p w14:paraId="7F1E498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危险废物</w:t>
            </w:r>
          </w:p>
        </w:tc>
        <w:tc>
          <w:tcPr>
            <w:tcW w:w="5333" w:type="dxa"/>
            <w:gridSpan w:val="3"/>
            <w:vAlign w:val="center"/>
          </w:tcPr>
          <w:p w14:paraId="10CB3123">
            <w:pPr>
              <w:keepNext/>
              <w:keepLines w:val="0"/>
              <w:pageBreakBefore w:val="0"/>
              <w:widowControl w:val="0"/>
              <w:kinsoku/>
              <w:wordWrap/>
              <w:overflowPunct/>
              <w:topLinePunct w:val="0"/>
              <w:autoSpaceDE/>
              <w:autoSpaceDN/>
              <w:bidi w:val="0"/>
              <w:snapToGrid w:val="0"/>
              <w:spacing w:line="240" w:lineRule="auto"/>
              <w:ind w:firstLine="0" w:firstLineChars="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highlight w:val="none"/>
                <w:lang w:val="en-US" w:eastAsia="zh-CN"/>
              </w:rPr>
              <w:t>废机油及含油抹布、手套</w:t>
            </w:r>
            <w:r>
              <w:rPr>
                <w:rFonts w:hint="default" w:ascii="Times New Roman" w:hAnsi="Times New Roman" w:eastAsia="宋体" w:cs="Times New Roman"/>
                <w:color w:val="auto"/>
                <w:sz w:val="21"/>
                <w:szCs w:val="21"/>
                <w:highlight w:val="none"/>
              </w:rPr>
              <w:t>按照《</w:t>
            </w:r>
            <w:r>
              <w:rPr>
                <w:rFonts w:hint="default" w:ascii="Times New Roman" w:hAnsi="Times New Roman" w:eastAsia="宋体" w:cs="Times New Roman"/>
                <w:color w:val="auto"/>
                <w:sz w:val="21"/>
                <w:szCs w:val="21"/>
                <w:highlight w:val="none"/>
                <w:lang w:val="en-US" w:eastAsia="zh-CN"/>
              </w:rPr>
              <w:t>危</w:t>
            </w:r>
            <w:r>
              <w:rPr>
                <w:rFonts w:hint="default" w:ascii="Times New Roman" w:hAnsi="Times New Roman" w:eastAsia="宋体" w:cs="Times New Roman"/>
                <w:color w:val="auto"/>
                <w:sz w:val="21"/>
                <w:szCs w:val="21"/>
                <w:highlight w:val="none"/>
              </w:rPr>
              <w:t>险废物贮存污染控制标准》（GB18597-20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相关要求，在</w:t>
            </w:r>
            <w:r>
              <w:rPr>
                <w:rFonts w:hint="default" w:ascii="Times New Roman" w:hAnsi="Times New Roman" w:eastAsia="宋体" w:cs="Times New Roman"/>
                <w:b w:val="0"/>
                <w:bCs w:val="0"/>
                <w:color w:val="auto"/>
                <w:sz w:val="21"/>
                <w:szCs w:val="21"/>
                <w:lang w:val="en-US" w:eastAsia="zh-CN"/>
              </w:rPr>
              <w:t>货运综合楼旁</w:t>
            </w:r>
            <w:r>
              <w:rPr>
                <w:rFonts w:hint="default" w:ascii="Times New Roman" w:hAnsi="Times New Roman" w:eastAsia="宋体" w:cs="Times New Roman"/>
                <w:color w:val="auto"/>
                <w:kern w:val="1"/>
                <w:sz w:val="21"/>
                <w:szCs w:val="21"/>
                <w:highlight w:val="none"/>
                <w:lang w:val="en-US" w:eastAsia="zh-CN"/>
              </w:rPr>
              <w:t>新建</w:t>
            </w:r>
            <w:r>
              <w:rPr>
                <w:rFonts w:hint="default" w:ascii="Times New Roman" w:hAnsi="Times New Roman" w:eastAsia="宋体" w:cs="Times New Roman"/>
                <w:color w:val="auto"/>
                <w:kern w:val="1"/>
                <w:sz w:val="21"/>
                <w:szCs w:val="21"/>
                <w:highlight w:val="none"/>
                <w:lang w:eastAsia="zh-CN"/>
              </w:rPr>
              <w:t>1间</w:t>
            </w:r>
            <w:r>
              <w:rPr>
                <w:rFonts w:hint="default" w:ascii="Times New Roman" w:hAnsi="Times New Roman" w:eastAsia="宋体" w:cs="Times New Roman"/>
                <w:color w:val="auto"/>
                <w:kern w:val="1"/>
                <w:sz w:val="21"/>
                <w:szCs w:val="21"/>
                <w:highlight w:val="none"/>
                <w:lang w:val="en-US" w:eastAsia="zh-CN"/>
              </w:rPr>
              <w:t>建筑面积不小于2m</w:t>
            </w:r>
            <w:r>
              <w:rPr>
                <w:rFonts w:hint="default" w:ascii="Times New Roman" w:hAnsi="Times New Roman" w:eastAsia="宋体" w:cs="Times New Roman"/>
                <w:color w:val="auto"/>
                <w:kern w:val="1"/>
                <w:sz w:val="21"/>
                <w:szCs w:val="21"/>
                <w:highlight w:val="none"/>
                <w:vertAlign w:val="superscript"/>
                <w:lang w:val="en-US" w:eastAsia="zh-CN"/>
              </w:rPr>
              <w:t>2</w:t>
            </w:r>
            <w:r>
              <w:rPr>
                <w:rFonts w:hint="default" w:ascii="Times New Roman" w:hAnsi="Times New Roman" w:eastAsia="宋体" w:cs="Times New Roman"/>
                <w:bCs/>
                <w:color w:val="auto"/>
                <w:sz w:val="21"/>
                <w:szCs w:val="21"/>
                <w:highlight w:val="none"/>
                <w:lang w:val="en-US" w:eastAsia="zh-CN"/>
              </w:rPr>
              <w:t>的</w:t>
            </w:r>
            <w:r>
              <w:rPr>
                <w:rFonts w:hint="default" w:ascii="Times New Roman" w:hAnsi="Times New Roman" w:eastAsia="宋体" w:cs="Times New Roman"/>
                <w:color w:val="auto"/>
                <w:kern w:val="1"/>
                <w:sz w:val="21"/>
                <w:szCs w:val="21"/>
                <w:highlight w:val="none"/>
                <w:lang w:eastAsia="zh-CN"/>
              </w:rPr>
              <w:t>危废暂存间，</w:t>
            </w:r>
            <w:r>
              <w:rPr>
                <w:rFonts w:hint="default" w:ascii="Times New Roman" w:hAnsi="Times New Roman" w:eastAsia="宋体" w:cs="Times New Roman"/>
                <w:bCs/>
                <w:color w:val="auto"/>
                <w:sz w:val="21"/>
                <w:szCs w:val="21"/>
                <w:highlight w:val="none"/>
                <w:lang w:val="en-US" w:eastAsia="zh-CN"/>
              </w:rPr>
              <w:t>用于储存</w:t>
            </w:r>
            <w:r>
              <w:rPr>
                <w:rFonts w:hint="default" w:ascii="Times New Roman" w:hAnsi="Times New Roman" w:eastAsia="宋体" w:cs="Times New Roman"/>
                <w:color w:val="auto"/>
                <w:kern w:val="0"/>
                <w:sz w:val="21"/>
                <w:szCs w:val="21"/>
                <w:highlight w:val="none"/>
                <w:lang w:val="en-US" w:eastAsia="zh-CN" w:bidi="ar"/>
              </w:rPr>
              <w:t>废矿物油等危险废物，暂存一定量后交由有相关危废处置资质的单位处置</w:t>
            </w:r>
            <w:r>
              <w:rPr>
                <w:rFonts w:hint="default" w:ascii="Times New Roman" w:hAnsi="Times New Roman" w:cs="Times New Roman"/>
                <w:color w:val="auto"/>
                <w:kern w:val="0"/>
                <w:sz w:val="21"/>
                <w:szCs w:val="21"/>
                <w:highlight w:val="none"/>
                <w:lang w:val="en-US" w:eastAsia="zh-CN" w:bidi="ar"/>
              </w:rPr>
              <w:t>，危废桶设置防漏托盘，防止</w:t>
            </w:r>
            <w:r>
              <w:rPr>
                <w:rFonts w:hint="default" w:ascii="Times New Roman" w:hAnsi="Times New Roman" w:eastAsia="宋体" w:cs="Times New Roman"/>
                <w:color w:val="auto"/>
                <w:kern w:val="0"/>
                <w:sz w:val="21"/>
                <w:szCs w:val="21"/>
                <w:highlight w:val="none"/>
                <w:lang w:val="en-US" w:eastAsia="zh-CN" w:bidi="ar"/>
              </w:rPr>
              <w:t>废矿物油</w:t>
            </w:r>
            <w:r>
              <w:rPr>
                <w:rFonts w:hint="default" w:ascii="Times New Roman" w:hAnsi="Times New Roman" w:cs="Times New Roman"/>
                <w:color w:val="auto"/>
                <w:kern w:val="0"/>
                <w:sz w:val="21"/>
                <w:szCs w:val="21"/>
                <w:highlight w:val="none"/>
                <w:lang w:val="en-US" w:eastAsia="zh-CN" w:bidi="ar"/>
              </w:rPr>
              <w:t>泄漏到外环境</w:t>
            </w:r>
            <w:r>
              <w:rPr>
                <w:rFonts w:hint="default" w:ascii="Times New Roman" w:hAnsi="Times New Roman" w:eastAsia="宋体" w:cs="Times New Roman"/>
                <w:color w:val="auto"/>
                <w:sz w:val="21"/>
                <w:szCs w:val="21"/>
                <w:highlight w:val="none"/>
                <w:lang w:eastAsia="zh-CN"/>
              </w:rPr>
              <w:t>。</w:t>
            </w:r>
          </w:p>
        </w:tc>
        <w:tc>
          <w:tcPr>
            <w:tcW w:w="946" w:type="dxa"/>
            <w:vAlign w:val="center"/>
          </w:tcPr>
          <w:p w14:paraId="408D9E69">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3E12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vAlign w:val="center"/>
          </w:tcPr>
          <w:p w14:paraId="31C3859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358" w:type="dxa"/>
            <w:vMerge w:val="continue"/>
            <w:vAlign w:val="center"/>
          </w:tcPr>
          <w:p w14:paraId="63611F2B">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p>
        </w:tc>
        <w:tc>
          <w:tcPr>
            <w:tcW w:w="1103" w:type="dxa"/>
            <w:vAlign w:val="center"/>
          </w:tcPr>
          <w:p w14:paraId="1155E400">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污泥</w:t>
            </w:r>
          </w:p>
        </w:tc>
        <w:tc>
          <w:tcPr>
            <w:tcW w:w="5333" w:type="dxa"/>
            <w:gridSpan w:val="3"/>
            <w:vAlign w:val="center"/>
          </w:tcPr>
          <w:p w14:paraId="12D7D1B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委托环卫部门统一清掏。</w:t>
            </w:r>
          </w:p>
        </w:tc>
        <w:tc>
          <w:tcPr>
            <w:tcW w:w="946" w:type="dxa"/>
            <w:vAlign w:val="center"/>
          </w:tcPr>
          <w:p w14:paraId="546A644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r w14:paraId="212E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736" w:type="dxa"/>
            <w:vMerge w:val="continue"/>
            <w:vAlign w:val="center"/>
          </w:tcPr>
          <w:p w14:paraId="7CA5B07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restart"/>
            <w:vAlign w:val="center"/>
          </w:tcPr>
          <w:p w14:paraId="042E6C5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土壤和地下水防范措施</w:t>
            </w:r>
          </w:p>
          <w:p w14:paraId="69DE8680">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（分区防渗）</w:t>
            </w:r>
          </w:p>
        </w:tc>
        <w:tc>
          <w:tcPr>
            <w:tcW w:w="909" w:type="dxa"/>
            <w:vMerge w:val="restart"/>
            <w:vAlign w:val="center"/>
          </w:tcPr>
          <w:p w14:paraId="6EAAB222">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重点防渗区</w:t>
            </w:r>
          </w:p>
        </w:tc>
        <w:tc>
          <w:tcPr>
            <w:tcW w:w="722" w:type="dxa"/>
            <w:vMerge w:val="restart"/>
            <w:vAlign w:val="center"/>
          </w:tcPr>
          <w:p w14:paraId="1B83D27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正面吊维修区</w:t>
            </w:r>
          </w:p>
        </w:tc>
        <w:tc>
          <w:tcPr>
            <w:tcW w:w="3702" w:type="dxa"/>
            <w:vAlign w:val="center"/>
          </w:tcPr>
          <w:p w14:paraId="46D8D76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已</w:t>
            </w:r>
            <w:r>
              <w:rPr>
                <w:rFonts w:hint="default" w:ascii="Times New Roman" w:hAnsi="Times New Roman" w:cs="Times New Roman"/>
                <w:color w:val="auto"/>
                <w:sz w:val="21"/>
                <w:szCs w:val="21"/>
              </w:rPr>
              <w:t>采用强度等级C30抗渗等级P6的商品混凝土浇筑，厚度40cm-50cm，</w:t>
            </w:r>
            <w:r>
              <w:rPr>
                <w:rFonts w:hint="eastAsia" w:ascii="Times New Roman" w:hAnsi="Times New Roman" w:eastAsia="宋体" w:cs="Times New Roman"/>
                <w:color w:val="auto"/>
                <w:sz w:val="21"/>
                <w:szCs w:val="21"/>
                <w:lang w:eastAsia="zh-CN"/>
              </w:rPr>
              <w:t>地面</w:t>
            </w:r>
            <w:r>
              <w:rPr>
                <w:rFonts w:hint="default" w:ascii="Times New Roman" w:hAnsi="Times New Roman" w:cs="Times New Roman"/>
                <w:color w:val="auto"/>
                <w:sz w:val="21"/>
                <w:szCs w:val="21"/>
              </w:rPr>
              <w:t>使用防渗、防腐砂浆抹面</w:t>
            </w:r>
            <w:r>
              <w:rPr>
                <w:rFonts w:hint="eastAsia" w:ascii="Times New Roman" w:hAnsi="Times New Roman" w:eastAsia="宋体" w:cs="Times New Roman"/>
                <w:color w:val="auto"/>
                <w:sz w:val="21"/>
                <w:szCs w:val="21"/>
                <w:lang w:eastAsia="zh-CN"/>
              </w:rPr>
              <w:t>。</w:t>
            </w:r>
          </w:p>
        </w:tc>
        <w:tc>
          <w:tcPr>
            <w:tcW w:w="946" w:type="dxa"/>
            <w:vAlign w:val="center"/>
          </w:tcPr>
          <w:p w14:paraId="51838ACC">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tc>
      </w:tr>
      <w:tr w14:paraId="2FD0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36" w:type="dxa"/>
            <w:vMerge w:val="continue"/>
            <w:vAlign w:val="center"/>
          </w:tcPr>
          <w:p w14:paraId="1D179D8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continue"/>
            <w:vAlign w:val="center"/>
          </w:tcPr>
          <w:p w14:paraId="2C8C474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cs="Times New Roman"/>
                <w:color w:val="auto"/>
                <w:sz w:val="21"/>
                <w:szCs w:val="21"/>
                <w:lang w:val="en-US" w:eastAsia="zh-CN"/>
              </w:rPr>
            </w:pPr>
          </w:p>
        </w:tc>
        <w:tc>
          <w:tcPr>
            <w:tcW w:w="909" w:type="dxa"/>
            <w:vMerge w:val="continue"/>
            <w:shd w:val="clear" w:color="auto" w:fill="auto"/>
            <w:vAlign w:val="center"/>
          </w:tcPr>
          <w:p w14:paraId="58BFA53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Arial" w:cs="Times New Roman"/>
                <w:snapToGrid w:val="0"/>
                <w:color w:val="auto"/>
                <w:kern w:val="0"/>
                <w:sz w:val="21"/>
                <w:szCs w:val="21"/>
                <w:lang w:val="en-US" w:eastAsia="zh-CN" w:bidi="ar-SA"/>
              </w:rPr>
            </w:pPr>
          </w:p>
        </w:tc>
        <w:tc>
          <w:tcPr>
            <w:tcW w:w="722" w:type="dxa"/>
            <w:vMerge w:val="continue"/>
            <w:shd w:val="clear" w:color="auto" w:fill="auto"/>
            <w:vAlign w:val="center"/>
          </w:tcPr>
          <w:p w14:paraId="220FE1E8">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p>
        </w:tc>
        <w:tc>
          <w:tcPr>
            <w:tcW w:w="3702" w:type="dxa"/>
            <w:shd w:val="clear" w:color="auto" w:fill="auto"/>
            <w:vAlign w:val="center"/>
          </w:tcPr>
          <w:p w14:paraId="6290EDBC">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地面还需采用防渗涂料刷漆</w:t>
            </w:r>
            <w:r>
              <w:rPr>
                <w:rFonts w:hint="eastAsia" w:ascii="Times New Roman" w:hAnsi="Times New Roman" w:cs="Times New Roman"/>
                <w:color w:val="auto"/>
                <w:sz w:val="21"/>
                <w:szCs w:val="21"/>
                <w:lang w:val="en-US" w:eastAsia="zh-CN"/>
              </w:rPr>
              <w:t>。</w:t>
            </w:r>
          </w:p>
        </w:tc>
        <w:tc>
          <w:tcPr>
            <w:tcW w:w="946" w:type="dxa"/>
            <w:shd w:val="clear" w:color="auto" w:fill="auto"/>
            <w:vAlign w:val="center"/>
          </w:tcPr>
          <w:p w14:paraId="5D176DA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color w:val="auto"/>
                <w:sz w:val="21"/>
                <w:szCs w:val="21"/>
                <w:lang w:val="en-US" w:eastAsia="zh-CN"/>
              </w:rPr>
              <w:t>整改措施</w:t>
            </w:r>
          </w:p>
        </w:tc>
      </w:tr>
      <w:tr w14:paraId="2746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36" w:type="dxa"/>
            <w:vMerge w:val="continue"/>
            <w:vAlign w:val="center"/>
          </w:tcPr>
          <w:p w14:paraId="0F5E2EA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continue"/>
            <w:vAlign w:val="center"/>
          </w:tcPr>
          <w:p w14:paraId="25A0D0B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cs="Times New Roman"/>
                <w:color w:val="auto"/>
                <w:sz w:val="21"/>
                <w:szCs w:val="21"/>
                <w:lang w:val="en-US" w:eastAsia="zh-CN"/>
              </w:rPr>
            </w:pPr>
          </w:p>
        </w:tc>
        <w:tc>
          <w:tcPr>
            <w:tcW w:w="909" w:type="dxa"/>
            <w:vMerge w:val="continue"/>
            <w:shd w:val="clear" w:color="auto" w:fill="auto"/>
            <w:vAlign w:val="center"/>
          </w:tcPr>
          <w:p w14:paraId="548E73C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宋体" w:cs="Times New Roman"/>
                <w:snapToGrid w:val="0"/>
                <w:color w:val="auto"/>
                <w:kern w:val="0"/>
                <w:sz w:val="21"/>
                <w:szCs w:val="21"/>
                <w:lang w:val="en-US" w:eastAsia="zh-CN" w:bidi="ar-SA"/>
              </w:rPr>
            </w:pPr>
          </w:p>
        </w:tc>
        <w:tc>
          <w:tcPr>
            <w:tcW w:w="4424" w:type="dxa"/>
            <w:gridSpan w:val="2"/>
            <w:shd w:val="clear" w:color="auto" w:fill="auto"/>
            <w:vAlign w:val="center"/>
          </w:tcPr>
          <w:p w14:paraId="5EDD7783">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lang w:val="en-US" w:eastAsia="zh-CN"/>
              </w:rPr>
              <w:t>危废暂存间：</w:t>
            </w:r>
            <w:r>
              <w:rPr>
                <w:rFonts w:hint="default" w:ascii="Times New Roman" w:hAnsi="Times New Roman" w:eastAsia="宋体" w:cs="Times New Roman"/>
                <w:color w:val="auto"/>
                <w:sz w:val="21"/>
                <w:szCs w:val="21"/>
                <w:highlight w:val="none"/>
              </w:rPr>
              <w:t>根据《危险废物贮存污染控制标准》（GB18597-2023）</w:t>
            </w:r>
            <w:r>
              <w:rPr>
                <w:rFonts w:hint="default" w:ascii="Times New Roman" w:hAnsi="Times New Roman" w:eastAsia="宋体" w:cs="Times New Roman"/>
                <w:bCs/>
                <w:color w:val="auto"/>
                <w:sz w:val="21"/>
                <w:szCs w:val="21"/>
                <w:highlight w:val="none"/>
                <w:lang w:val="en-US" w:eastAsia="zh-CN"/>
              </w:rPr>
              <w:t>防渗技术</w:t>
            </w:r>
            <w:r>
              <w:rPr>
                <w:rFonts w:hint="default" w:ascii="Times New Roman" w:hAnsi="Times New Roman" w:eastAsia="宋体" w:cs="Times New Roman"/>
                <w:color w:val="auto"/>
                <w:sz w:val="21"/>
                <w:szCs w:val="21"/>
                <w:highlight w:val="none"/>
                <w:lang w:val="en-US" w:eastAsia="zh-CN"/>
              </w:rPr>
              <w:t>要求进行防渗，防渗层为至少1m厚黏土层（渗透系数不大于10</w:t>
            </w:r>
            <w:r>
              <w:rPr>
                <w:rFonts w:hint="default" w:ascii="Times New Roman" w:hAnsi="Times New Roman" w:eastAsia="宋体" w:cs="Times New Roman"/>
                <w:color w:val="auto"/>
                <w:sz w:val="21"/>
                <w:szCs w:val="21"/>
                <w:highlight w:val="none"/>
                <w:vertAlign w:val="superscript"/>
                <w:lang w:val="en-US" w:eastAsia="zh-CN"/>
              </w:rPr>
              <w:t xml:space="preserve"> -7</w:t>
            </w:r>
            <w:r>
              <w:rPr>
                <w:rFonts w:hint="default" w:ascii="Times New Roman" w:hAnsi="Times New Roman" w:eastAsia="宋体" w:cs="Times New Roman"/>
                <w:color w:val="auto"/>
                <w:sz w:val="21"/>
                <w:szCs w:val="21"/>
                <w:highlight w:val="none"/>
                <w:lang w:val="en-US" w:eastAsia="zh-CN"/>
              </w:rPr>
              <w:t>cm/s），或至少2mm厚高密度聚乙烯膜等人工防渗材料（渗透系数不大于10</w:t>
            </w:r>
            <w:r>
              <w:rPr>
                <w:rFonts w:hint="default" w:ascii="Times New Roman" w:hAnsi="Times New Roman" w:cs="Times New Roman"/>
                <w:color w:val="auto"/>
                <w:sz w:val="21"/>
                <w:szCs w:val="21"/>
                <w:highlight w:val="none"/>
                <w:vertAlign w:val="superscript"/>
                <w:lang w:val="en-US" w:eastAsia="zh-CN"/>
              </w:rPr>
              <w:t>-10</w:t>
            </w:r>
            <w:r>
              <w:rPr>
                <w:rFonts w:hint="default" w:ascii="Times New Roman" w:hAnsi="Times New Roman" w:eastAsia="宋体" w:cs="Times New Roman"/>
                <w:color w:val="auto"/>
                <w:sz w:val="21"/>
                <w:szCs w:val="21"/>
                <w:highlight w:val="none"/>
                <w:lang w:val="en-US" w:eastAsia="zh-CN"/>
              </w:rPr>
              <w:t>cm/s），或其他防渗性能等效的材料</w:t>
            </w:r>
            <w:r>
              <w:rPr>
                <w:rFonts w:hint="default" w:ascii="Times New Roman" w:hAnsi="Times New Roman" w:cs="Times New Roman"/>
                <w:color w:val="auto"/>
                <w:sz w:val="21"/>
                <w:szCs w:val="21"/>
                <w:highlight w:val="none"/>
                <w:lang w:val="en-US" w:eastAsia="zh-CN"/>
              </w:rPr>
              <w:t>，</w:t>
            </w:r>
          </w:p>
        </w:tc>
        <w:tc>
          <w:tcPr>
            <w:tcW w:w="946" w:type="dxa"/>
            <w:shd w:val="clear" w:color="auto" w:fill="auto"/>
            <w:vAlign w:val="center"/>
          </w:tcPr>
          <w:p w14:paraId="5E310719">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eastAsia="Arial" w:cs="Times New Roman"/>
                <w:snapToGrid w:val="0"/>
                <w:color w:val="auto"/>
                <w:kern w:val="0"/>
                <w:sz w:val="21"/>
                <w:szCs w:val="21"/>
                <w:lang w:val="en-US" w:eastAsia="zh-CN" w:bidi="ar-SA"/>
              </w:rPr>
            </w:pPr>
            <w:r>
              <w:rPr>
                <w:rFonts w:hint="default" w:ascii="Times New Roman" w:hAnsi="Times New Roman" w:cs="Times New Roman"/>
                <w:color w:val="auto"/>
                <w:sz w:val="21"/>
                <w:szCs w:val="21"/>
                <w:lang w:val="en-US" w:eastAsia="zh-CN"/>
              </w:rPr>
              <w:t>待建</w:t>
            </w:r>
          </w:p>
        </w:tc>
      </w:tr>
      <w:tr w14:paraId="491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36" w:type="dxa"/>
            <w:vMerge w:val="continue"/>
            <w:vAlign w:val="center"/>
          </w:tcPr>
          <w:p w14:paraId="3968849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continue"/>
            <w:vAlign w:val="center"/>
          </w:tcPr>
          <w:p w14:paraId="45BCFDF7">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cs="Times New Roman"/>
                <w:color w:val="auto"/>
                <w:sz w:val="21"/>
                <w:szCs w:val="21"/>
                <w:lang w:val="en-US" w:eastAsia="zh-CN"/>
              </w:rPr>
            </w:pPr>
          </w:p>
        </w:tc>
        <w:tc>
          <w:tcPr>
            <w:tcW w:w="5333" w:type="dxa"/>
            <w:gridSpan w:val="3"/>
            <w:shd w:val="clear" w:color="auto" w:fill="auto"/>
            <w:vAlign w:val="center"/>
          </w:tcPr>
          <w:p w14:paraId="33E1A070">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一般防渗区：</w:t>
            </w:r>
            <w:r>
              <w:rPr>
                <w:rFonts w:hint="default" w:ascii="Times New Roman" w:hAnsi="Times New Roman" w:cs="Times New Roman"/>
                <w:color w:val="auto"/>
                <w:sz w:val="21"/>
                <w:szCs w:val="21"/>
                <w:lang w:eastAsia="zh-CN"/>
              </w:rPr>
              <w:t>化粪池、</w:t>
            </w:r>
            <w:r>
              <w:rPr>
                <w:rFonts w:hint="default" w:ascii="Times New Roman" w:hAnsi="Times New Roman" w:cs="Times New Roman"/>
                <w:color w:val="auto"/>
                <w:sz w:val="21"/>
                <w:szCs w:val="21"/>
                <w:lang w:val="en-US" w:eastAsia="zh-CN"/>
              </w:rPr>
              <w:t>初期雨水收集池。</w:t>
            </w:r>
            <w:r>
              <w:rPr>
                <w:rFonts w:hint="default" w:ascii="Times New Roman" w:hAnsi="Times New Roman" w:cs="Times New Roman"/>
                <w:color w:val="auto"/>
                <w:sz w:val="21"/>
                <w:szCs w:val="21"/>
              </w:rPr>
              <w:t>采取粘土铺底，再在上层铺10~15cm的水泥进行硬化</w:t>
            </w:r>
          </w:p>
          <w:p w14:paraId="5487FE4B">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防渗达到“黏土防渗层Mb≥1.5m,K≤10</w:t>
            </w:r>
            <w:r>
              <w:rPr>
                <w:rFonts w:hint="eastAsia" w:ascii="Times New Roman" w:hAnsi="Times New Roman" w:eastAsia="宋体" w:cs="Times New Roman"/>
                <w:color w:val="auto"/>
                <w:sz w:val="21"/>
                <w:szCs w:val="21"/>
                <w:vertAlign w:val="superscript"/>
                <w:lang w:val="en-US" w:eastAsia="zh-CN"/>
              </w:rPr>
              <w:t>-7</w:t>
            </w:r>
            <w:r>
              <w:rPr>
                <w:rFonts w:hint="eastAsia" w:ascii="Times New Roman" w:hAnsi="Times New Roman" w:eastAsia="宋体" w:cs="Times New Roman"/>
                <w:color w:val="auto"/>
                <w:sz w:val="21"/>
                <w:szCs w:val="21"/>
                <w:lang w:val="en-US" w:eastAsia="zh-CN"/>
              </w:rPr>
              <w:t>cm/s”的技术</w:t>
            </w:r>
          </w:p>
        </w:tc>
        <w:tc>
          <w:tcPr>
            <w:tcW w:w="946" w:type="dxa"/>
            <w:shd w:val="clear" w:color="auto" w:fill="auto"/>
            <w:vAlign w:val="center"/>
          </w:tcPr>
          <w:p w14:paraId="06C7FEC7">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w:t>
            </w:r>
          </w:p>
          <w:p w14:paraId="0B811A60">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color w:val="auto"/>
                <w:sz w:val="21"/>
                <w:szCs w:val="21"/>
                <w:lang w:val="en-US" w:eastAsia="zh-CN"/>
              </w:rPr>
              <w:t>满足防渗要求</w:t>
            </w:r>
          </w:p>
        </w:tc>
      </w:tr>
      <w:tr w14:paraId="35CF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36" w:type="dxa"/>
            <w:vMerge w:val="continue"/>
            <w:vAlign w:val="center"/>
          </w:tcPr>
          <w:p w14:paraId="529ADF1B">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continue"/>
            <w:vAlign w:val="center"/>
          </w:tcPr>
          <w:p w14:paraId="4ABD483E">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cs="Times New Roman"/>
                <w:color w:val="auto"/>
                <w:sz w:val="21"/>
                <w:szCs w:val="21"/>
                <w:lang w:val="en-US" w:eastAsia="zh-CN"/>
              </w:rPr>
            </w:pPr>
          </w:p>
        </w:tc>
        <w:tc>
          <w:tcPr>
            <w:tcW w:w="5333" w:type="dxa"/>
            <w:gridSpan w:val="3"/>
            <w:shd w:val="clear" w:color="auto" w:fill="auto"/>
            <w:vAlign w:val="center"/>
          </w:tcPr>
          <w:p w14:paraId="2C6FA541">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简单防渗区：除绿化外的其他区域，采用</w:t>
            </w:r>
            <w:r>
              <w:rPr>
                <w:rFonts w:hint="default" w:ascii="Times New Roman" w:hAnsi="Times New Roman" w:cs="Times New Roman"/>
                <w:color w:val="auto"/>
                <w:sz w:val="21"/>
                <w:szCs w:val="21"/>
              </w:rPr>
              <w:t>铺10~15cm的水泥进行硬化</w:t>
            </w:r>
          </w:p>
          <w:p w14:paraId="7109D2E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防渗达到“一般地面硬化”的技术</w:t>
            </w:r>
          </w:p>
        </w:tc>
        <w:tc>
          <w:tcPr>
            <w:tcW w:w="946" w:type="dxa"/>
            <w:shd w:val="clear" w:color="auto" w:fill="auto"/>
            <w:vAlign w:val="center"/>
          </w:tcPr>
          <w:p w14:paraId="6AAD9B8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Arial" w:cs="Times New Roman"/>
                <w:snapToGrid w:val="0"/>
                <w:color w:val="auto"/>
                <w:kern w:val="0"/>
                <w:sz w:val="21"/>
                <w:szCs w:val="21"/>
                <w:lang w:val="en-US" w:eastAsia="zh-CN" w:bidi="ar-SA"/>
              </w:rPr>
            </w:pPr>
            <w:r>
              <w:rPr>
                <w:rFonts w:hint="default" w:ascii="Times New Roman" w:hAnsi="Times New Roman" w:cs="Times New Roman"/>
                <w:color w:val="auto"/>
                <w:sz w:val="21"/>
                <w:szCs w:val="21"/>
                <w:lang w:val="en-US" w:eastAsia="zh-CN"/>
              </w:rPr>
              <w:t>已建</w:t>
            </w:r>
            <w:r>
              <w:rPr>
                <w:rFonts w:hint="eastAsia" w:ascii="Times New Roman" w:hAnsi="Times New Roman" w:cs="Times New Roman"/>
                <w:color w:val="auto"/>
                <w:sz w:val="21"/>
                <w:szCs w:val="21"/>
                <w:lang w:val="en-US" w:eastAsia="zh-CN"/>
              </w:rPr>
              <w:t>完满足防渗要求</w:t>
            </w:r>
          </w:p>
        </w:tc>
      </w:tr>
      <w:tr w14:paraId="7265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36" w:type="dxa"/>
            <w:vMerge w:val="continue"/>
            <w:vAlign w:val="center"/>
          </w:tcPr>
          <w:p w14:paraId="26A9F5F5">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p>
        </w:tc>
        <w:tc>
          <w:tcPr>
            <w:tcW w:w="1461" w:type="dxa"/>
            <w:gridSpan w:val="2"/>
            <w:vMerge w:val="continue"/>
            <w:vAlign w:val="center"/>
          </w:tcPr>
          <w:p w14:paraId="3FA5CF56">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eastAsia" w:ascii="Times New Roman" w:hAnsi="Times New Roman" w:cs="Times New Roman"/>
                <w:color w:val="auto"/>
                <w:sz w:val="21"/>
                <w:szCs w:val="21"/>
                <w:lang w:val="en-US" w:eastAsia="zh-CN"/>
              </w:rPr>
            </w:pPr>
          </w:p>
        </w:tc>
        <w:tc>
          <w:tcPr>
            <w:tcW w:w="5333" w:type="dxa"/>
            <w:gridSpan w:val="3"/>
            <w:shd w:val="clear" w:color="auto" w:fill="auto"/>
            <w:vAlign w:val="center"/>
          </w:tcPr>
          <w:p w14:paraId="177E014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Arial"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设置2口地下水跟踪监测井，1口由本项目J2项目区污染监测井改造（整改井台、井盖、井牌等地下水标志牌内容）、1口沿用J3下游污染扩散监测井（曲靖大为焦化制气地下水监测井DX01）</w:t>
            </w:r>
          </w:p>
        </w:tc>
        <w:tc>
          <w:tcPr>
            <w:tcW w:w="946" w:type="dxa"/>
            <w:shd w:val="clear" w:color="auto" w:fill="auto"/>
            <w:vAlign w:val="center"/>
          </w:tcPr>
          <w:p w14:paraId="27E01E35">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eastAsia="Arial" w:cs="Times New Roman"/>
                <w:snapToGrid w:val="0"/>
                <w:color w:val="auto"/>
                <w:kern w:val="0"/>
                <w:sz w:val="21"/>
                <w:szCs w:val="21"/>
                <w:lang w:val="en-US" w:eastAsia="zh-CN" w:bidi="ar-SA"/>
              </w:rPr>
            </w:pPr>
            <w:r>
              <w:rPr>
                <w:rFonts w:hint="default" w:ascii="Times New Roman" w:hAnsi="Times New Roman" w:cs="Times New Roman"/>
                <w:color w:val="auto"/>
                <w:sz w:val="21"/>
                <w:szCs w:val="21"/>
                <w:lang w:val="en-US" w:eastAsia="zh-CN"/>
              </w:rPr>
              <w:t>待建</w:t>
            </w:r>
            <w:r>
              <w:rPr>
                <w:rFonts w:hint="eastAsia" w:ascii="Times New Roman" w:hAnsi="Times New Roman" w:cs="Times New Roman"/>
                <w:color w:val="auto"/>
                <w:sz w:val="21"/>
                <w:szCs w:val="21"/>
                <w:lang w:val="en-US" w:eastAsia="zh-CN"/>
              </w:rPr>
              <w:t>+沿用</w:t>
            </w:r>
          </w:p>
        </w:tc>
      </w:tr>
      <w:tr w14:paraId="7E51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gridSpan w:val="3"/>
            <w:vAlign w:val="center"/>
          </w:tcPr>
          <w:p w14:paraId="2BA3ADF4">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绿化</w:t>
            </w:r>
          </w:p>
        </w:tc>
        <w:tc>
          <w:tcPr>
            <w:tcW w:w="5333" w:type="dxa"/>
            <w:gridSpan w:val="3"/>
            <w:vAlign w:val="center"/>
          </w:tcPr>
          <w:p w14:paraId="0478E39D">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绿化面积6537.27m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，主要种植当地常见绿化植被。</w:t>
            </w:r>
          </w:p>
        </w:tc>
        <w:tc>
          <w:tcPr>
            <w:tcW w:w="946" w:type="dxa"/>
            <w:vAlign w:val="center"/>
          </w:tcPr>
          <w:p w14:paraId="22C1DD2A">
            <w:pPr>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待建</w:t>
            </w:r>
          </w:p>
        </w:tc>
      </w:tr>
    </w:tbl>
    <w:p w14:paraId="7A8CC00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lang w:val="en-US" w:eastAsia="zh-CN"/>
        </w:rPr>
      </w:pPr>
      <w:bookmarkStart w:id="88" w:name="_Toc32591"/>
      <w:r>
        <w:rPr>
          <w:rFonts w:hint="eastAsia" w:ascii="Times New Roman" w:hAnsi="Times New Roman" w:cs="Times New Roman"/>
          <w:b/>
          <w:bCs/>
          <w:color w:val="auto"/>
          <w:sz w:val="24"/>
          <w:szCs w:val="24"/>
          <w:lang w:val="en-US" w:eastAsia="zh-CN"/>
        </w:rPr>
        <w:t>2.2.</w:t>
      </w:r>
      <w:r>
        <w:rPr>
          <w:rFonts w:hint="default" w:ascii="Times New Roman" w:hAnsi="Times New Roman" w:cs="Times New Roman"/>
          <w:b/>
          <w:bCs/>
          <w:color w:val="auto"/>
          <w:sz w:val="24"/>
          <w:szCs w:val="24"/>
          <w:lang w:val="en-US" w:eastAsia="zh-CN"/>
        </w:rPr>
        <w:t>3项目运输量及运输物品</w:t>
      </w:r>
      <w:bookmarkEnd w:id="88"/>
    </w:p>
    <w:p w14:paraId="28E532C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本集装箱货场仅满足曲煤焦化所属集团内部的集装箱运输，本项目运量如下：</w:t>
      </w:r>
    </w:p>
    <w:p w14:paraId="6630E53D">
      <w:pPr>
        <w:pStyle w:val="36"/>
        <w:keepNext w:val="0"/>
        <w:keepLines w:val="0"/>
        <w:pageBreakBefore w:val="0"/>
        <w:widowControl w:val="0"/>
        <w:numPr>
          <w:ilvl w:val="1"/>
          <w:numId w:val="13"/>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lang w:val="en-US" w:eastAsia="zh-CN"/>
        </w:rPr>
      </w:pPr>
      <w:r>
        <w:rPr>
          <w:rFonts w:hint="default" w:ascii="Times New Roman" w:hAnsi="Times New Roman" w:cs="Times New Roman"/>
          <w:b/>
          <w:bCs/>
          <w:color w:val="auto"/>
          <w:spacing w:val="-3"/>
          <w:lang w:val="en-US" w:eastAsia="zh-CN"/>
        </w:rPr>
        <w:t>货物流向表（单位：万吨）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3200"/>
        <w:gridCol w:w="2850"/>
      </w:tblGrid>
      <w:tr w14:paraId="02DF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1849" w:type="dxa"/>
            <w:vMerge w:val="restart"/>
            <w:vAlign w:val="center"/>
          </w:tcPr>
          <w:p w14:paraId="4F491D6E">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品类</w:t>
            </w:r>
          </w:p>
        </w:tc>
        <w:tc>
          <w:tcPr>
            <w:tcW w:w="6050" w:type="dxa"/>
            <w:gridSpan w:val="2"/>
            <w:vAlign w:val="center"/>
          </w:tcPr>
          <w:p w14:paraId="67673C0F">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运量</w:t>
            </w:r>
          </w:p>
        </w:tc>
      </w:tr>
      <w:tr w14:paraId="6D52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1849" w:type="dxa"/>
            <w:vMerge w:val="continue"/>
            <w:vAlign w:val="center"/>
          </w:tcPr>
          <w:p w14:paraId="1354B336">
            <w:pPr>
              <w:jc w:val="center"/>
              <w:rPr>
                <w:rFonts w:hint="default" w:ascii="Times New Roman" w:hAnsi="Times New Roman" w:eastAsia="宋体" w:cs="Times New Roman"/>
                <w:color w:val="auto"/>
                <w:sz w:val="21"/>
                <w:szCs w:val="21"/>
              </w:rPr>
            </w:pPr>
          </w:p>
        </w:tc>
        <w:tc>
          <w:tcPr>
            <w:tcW w:w="3200" w:type="dxa"/>
            <w:vAlign w:val="center"/>
          </w:tcPr>
          <w:p w14:paraId="2F0D2D0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到达</w:t>
            </w:r>
          </w:p>
        </w:tc>
        <w:tc>
          <w:tcPr>
            <w:tcW w:w="2850" w:type="dxa"/>
            <w:vAlign w:val="center"/>
          </w:tcPr>
          <w:p w14:paraId="1EFBA57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发送</w:t>
            </w:r>
          </w:p>
        </w:tc>
      </w:tr>
      <w:tr w14:paraId="7D62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849" w:type="dxa"/>
            <w:vAlign w:val="center"/>
          </w:tcPr>
          <w:p w14:paraId="14BC6C2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煤焦</w:t>
            </w:r>
          </w:p>
        </w:tc>
        <w:tc>
          <w:tcPr>
            <w:tcW w:w="3200" w:type="dxa"/>
            <w:vAlign w:val="center"/>
          </w:tcPr>
          <w:p w14:paraId="6CED1FD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120（新疆、贵州、广西）</w:t>
            </w:r>
          </w:p>
        </w:tc>
        <w:tc>
          <w:tcPr>
            <w:tcW w:w="2850" w:type="dxa"/>
            <w:vAlign w:val="center"/>
          </w:tcPr>
          <w:p w14:paraId="048C042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130（玉溪、两广、贵州）</w:t>
            </w:r>
          </w:p>
        </w:tc>
      </w:tr>
      <w:tr w14:paraId="2FEC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849" w:type="dxa"/>
            <w:vAlign w:val="center"/>
          </w:tcPr>
          <w:p w14:paraId="516FEB1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6050" w:type="dxa"/>
            <w:gridSpan w:val="2"/>
            <w:vAlign w:val="center"/>
          </w:tcPr>
          <w:p w14:paraId="7F79ABF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250</w:t>
            </w:r>
          </w:p>
        </w:tc>
      </w:tr>
    </w:tbl>
    <w:p w14:paraId="11115B9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本项目运量按照货物到达量120万吨（曲煤焦化50万吨、大为制氨35万吨、云铝索通35万吨）；发出量130万吨（全部为曲煤焦化)。</w:t>
      </w:r>
    </w:p>
    <w:p w14:paraId="627B5C0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本项目建成后运输装卸量为：250万吨/年，运输物品为：</w:t>
      </w:r>
      <w:r>
        <w:rPr>
          <w:rFonts w:hint="eastAsia" w:ascii="Times New Roman" w:hAnsi="Times New Roman" w:cs="Times New Roman"/>
          <w:color w:val="auto"/>
          <w:sz w:val="24"/>
          <w:szCs w:val="24"/>
          <w:lang w:val="en-US" w:eastAsia="zh-CN"/>
        </w:rPr>
        <w:t>全部为</w:t>
      </w:r>
      <w:r>
        <w:rPr>
          <w:rFonts w:hint="default" w:ascii="Times New Roman" w:hAnsi="Times New Roman" w:cs="Times New Roman"/>
          <w:color w:val="auto"/>
          <w:sz w:val="24"/>
          <w:szCs w:val="24"/>
          <w:lang w:val="en-US" w:eastAsia="zh-CN"/>
        </w:rPr>
        <w:t>装有煤焦的密闭集装箱。本项目仅对集装箱进行装、卸、运输及暂时堆放，不对集装箱内货物进行装卸。</w:t>
      </w:r>
    </w:p>
    <w:p w14:paraId="70EEA59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煤焦：是由配合煤送入焦炉炭化室内，经过高温干馏炼后得到的多孔炭质固体，俗称焦炭。本项目主要运输冶金焦，供给钢铁企业进行高炉炼铁。根据建设单位提供的焦炭检验报告（附件16、附件17），焦炭主要成分见下表。</w:t>
      </w:r>
    </w:p>
    <w:p w14:paraId="2F800C9C">
      <w:pPr>
        <w:pStyle w:val="36"/>
        <w:keepNext w:val="0"/>
        <w:keepLines w:val="0"/>
        <w:pageBreakBefore w:val="0"/>
        <w:widowControl w:val="0"/>
        <w:numPr>
          <w:ilvl w:val="1"/>
          <w:numId w:val="1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b/>
          <w:bCs/>
          <w:color w:val="auto"/>
          <w:spacing w:val="-3"/>
          <w:lang w:val="en-US" w:eastAsia="zh-CN"/>
        </w:rPr>
      </w:pPr>
      <w:r>
        <w:rPr>
          <w:rFonts w:hint="default" w:ascii="Times New Roman" w:hAnsi="Times New Roman" w:cs="Times New Roman"/>
          <w:b/>
          <w:bCs/>
          <w:color w:val="auto"/>
          <w:spacing w:val="-3"/>
          <w:lang w:val="en-US" w:eastAsia="zh-CN"/>
        </w:rPr>
        <w:t>焦炭主要成分</w:t>
      </w:r>
      <w:r>
        <w:rPr>
          <w:rFonts w:hint="eastAsia" w:ascii="Times New Roman" w:hAnsi="Times New Roman" w:cs="Times New Roman"/>
          <w:b/>
          <w:bCs/>
          <w:color w:val="auto"/>
          <w:spacing w:val="-3"/>
          <w:lang w:val="en-US" w:eastAsia="zh-CN"/>
        </w:rPr>
        <w:t>表</w:t>
      </w:r>
    </w:p>
    <w:tbl>
      <w:tblPr>
        <w:tblStyle w:val="22"/>
        <w:tblW w:w="7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1"/>
        <w:gridCol w:w="1478"/>
        <w:gridCol w:w="2508"/>
        <w:gridCol w:w="2019"/>
      </w:tblGrid>
      <w:tr w14:paraId="2A89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741" w:type="dxa"/>
            <w:vAlign w:val="center"/>
          </w:tcPr>
          <w:p w14:paraId="0A758D15">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项目名称</w:t>
            </w:r>
          </w:p>
        </w:tc>
        <w:tc>
          <w:tcPr>
            <w:tcW w:w="1478" w:type="dxa"/>
            <w:vAlign w:val="center"/>
          </w:tcPr>
          <w:p w14:paraId="0E3EE8F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检验结果</w:t>
            </w:r>
          </w:p>
        </w:tc>
        <w:tc>
          <w:tcPr>
            <w:tcW w:w="2508" w:type="dxa"/>
            <w:vAlign w:val="center"/>
          </w:tcPr>
          <w:p w14:paraId="791F5FAA">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项目名称</w:t>
            </w:r>
          </w:p>
        </w:tc>
        <w:tc>
          <w:tcPr>
            <w:tcW w:w="2019" w:type="dxa"/>
            <w:vAlign w:val="center"/>
          </w:tcPr>
          <w:p w14:paraId="23928632">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检验结果</w:t>
            </w:r>
          </w:p>
        </w:tc>
      </w:tr>
      <w:tr w14:paraId="1A6B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741" w:type="dxa"/>
            <w:vAlign w:val="center"/>
          </w:tcPr>
          <w:p w14:paraId="3565BD1E">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灰分</w:t>
            </w:r>
          </w:p>
        </w:tc>
        <w:tc>
          <w:tcPr>
            <w:tcW w:w="1478" w:type="dxa"/>
            <w:vAlign w:val="center"/>
          </w:tcPr>
          <w:p w14:paraId="079E0C4A">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13.36</w:t>
            </w:r>
            <w:r>
              <w:rPr>
                <w:rFonts w:hint="default" w:ascii="Times New Roman" w:hAnsi="Times New Roman" w:eastAsia="宋体" w:cs="Times New Roman"/>
                <w:color w:val="auto"/>
                <w:lang w:val="en-US" w:eastAsia="zh-CN"/>
              </w:rPr>
              <w:t>%</w:t>
            </w:r>
          </w:p>
        </w:tc>
        <w:tc>
          <w:tcPr>
            <w:tcW w:w="2508" w:type="dxa"/>
            <w:shd w:val="clear" w:color="auto" w:fill="auto"/>
            <w:vAlign w:val="center"/>
          </w:tcPr>
          <w:p w14:paraId="4BD75F96">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color w:val="auto"/>
              </w:rPr>
              <w:t>全水分</w:t>
            </w:r>
          </w:p>
        </w:tc>
        <w:tc>
          <w:tcPr>
            <w:tcW w:w="2019" w:type="dxa"/>
            <w:shd w:val="clear" w:color="auto" w:fill="auto"/>
            <w:vAlign w:val="center"/>
          </w:tcPr>
          <w:p w14:paraId="398A4D29">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color w:val="auto"/>
              </w:rPr>
              <w:t>1.0</w:t>
            </w:r>
            <w:r>
              <w:rPr>
                <w:rFonts w:hint="default" w:ascii="Times New Roman" w:hAnsi="Times New Roman" w:eastAsia="宋体" w:cs="Times New Roman"/>
                <w:color w:val="auto"/>
                <w:lang w:val="en-US" w:eastAsia="zh-CN"/>
              </w:rPr>
              <w:t>%</w:t>
            </w:r>
          </w:p>
        </w:tc>
      </w:tr>
      <w:tr w14:paraId="2493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741" w:type="dxa"/>
            <w:vAlign w:val="center"/>
          </w:tcPr>
          <w:p w14:paraId="5011891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挥发分</w:t>
            </w:r>
          </w:p>
        </w:tc>
        <w:tc>
          <w:tcPr>
            <w:tcW w:w="1478" w:type="dxa"/>
            <w:vAlign w:val="center"/>
          </w:tcPr>
          <w:p w14:paraId="138F1C15">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0.68</w:t>
            </w:r>
            <w:r>
              <w:rPr>
                <w:rFonts w:hint="default" w:ascii="Times New Roman" w:hAnsi="Times New Roman" w:eastAsia="宋体" w:cs="Times New Roman"/>
                <w:color w:val="auto"/>
                <w:lang w:val="en-US" w:eastAsia="zh-CN"/>
              </w:rPr>
              <w:t>%</w:t>
            </w:r>
          </w:p>
        </w:tc>
        <w:tc>
          <w:tcPr>
            <w:tcW w:w="2508" w:type="dxa"/>
            <w:shd w:val="clear" w:color="auto" w:fill="auto"/>
            <w:vAlign w:val="center"/>
          </w:tcPr>
          <w:p w14:paraId="08A25273">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color w:val="auto"/>
              </w:rPr>
              <w:t>焦炭反应性</w:t>
            </w:r>
          </w:p>
        </w:tc>
        <w:tc>
          <w:tcPr>
            <w:tcW w:w="2019" w:type="dxa"/>
            <w:shd w:val="clear" w:color="auto" w:fill="auto"/>
            <w:vAlign w:val="center"/>
          </w:tcPr>
          <w:p w14:paraId="6D4B132C">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color w:val="auto"/>
              </w:rPr>
              <w:t>26.7</w:t>
            </w:r>
            <w:r>
              <w:rPr>
                <w:rFonts w:hint="default" w:ascii="Times New Roman" w:hAnsi="Times New Roman" w:eastAsia="宋体" w:cs="Times New Roman"/>
                <w:color w:val="auto"/>
                <w:lang w:val="en-US" w:eastAsia="zh-CN"/>
              </w:rPr>
              <w:t>%</w:t>
            </w:r>
          </w:p>
        </w:tc>
      </w:tr>
      <w:tr w14:paraId="28A9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741" w:type="dxa"/>
            <w:vAlign w:val="center"/>
          </w:tcPr>
          <w:p w14:paraId="259598F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固定碳</w:t>
            </w:r>
          </w:p>
        </w:tc>
        <w:tc>
          <w:tcPr>
            <w:tcW w:w="1478" w:type="dxa"/>
            <w:vAlign w:val="center"/>
          </w:tcPr>
          <w:p w14:paraId="0656B511">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86.05</w:t>
            </w:r>
            <w:r>
              <w:rPr>
                <w:rFonts w:hint="default" w:ascii="Times New Roman" w:hAnsi="Times New Roman" w:eastAsia="宋体" w:cs="Times New Roman"/>
                <w:color w:val="auto"/>
                <w:lang w:val="en-US" w:eastAsia="zh-CN"/>
              </w:rPr>
              <w:t>%</w:t>
            </w:r>
          </w:p>
        </w:tc>
        <w:tc>
          <w:tcPr>
            <w:tcW w:w="2508" w:type="dxa"/>
            <w:shd w:val="clear" w:color="auto" w:fill="auto"/>
            <w:vAlign w:val="center"/>
          </w:tcPr>
          <w:p w14:paraId="0D4761F0">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color w:val="auto"/>
              </w:rPr>
              <w:t>焦炭反应后强度</w:t>
            </w:r>
          </w:p>
        </w:tc>
        <w:tc>
          <w:tcPr>
            <w:tcW w:w="2019" w:type="dxa"/>
            <w:shd w:val="clear" w:color="auto" w:fill="auto"/>
            <w:vAlign w:val="center"/>
          </w:tcPr>
          <w:p w14:paraId="2197E906">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color w:val="auto"/>
              </w:rPr>
              <w:t>66.5</w:t>
            </w:r>
            <w:r>
              <w:rPr>
                <w:rFonts w:hint="default" w:ascii="Times New Roman" w:hAnsi="Times New Roman" w:eastAsia="宋体" w:cs="Times New Roman"/>
                <w:color w:val="auto"/>
                <w:lang w:val="en-US" w:eastAsia="zh-CN"/>
              </w:rPr>
              <w:t>%</w:t>
            </w:r>
          </w:p>
        </w:tc>
      </w:tr>
      <w:tr w14:paraId="2C25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741" w:type="dxa"/>
            <w:shd w:val="clear" w:color="auto" w:fill="auto"/>
            <w:vAlign w:val="center"/>
          </w:tcPr>
          <w:p w14:paraId="2165041A">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color w:val="auto"/>
              </w:rPr>
              <w:t>全硫</w:t>
            </w:r>
          </w:p>
        </w:tc>
        <w:tc>
          <w:tcPr>
            <w:tcW w:w="1478" w:type="dxa"/>
            <w:shd w:val="clear" w:color="auto" w:fill="auto"/>
            <w:vAlign w:val="center"/>
          </w:tcPr>
          <w:p w14:paraId="1EFCFF46">
            <w:pPr>
              <w:jc w:val="center"/>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0.77</w:t>
            </w:r>
            <w:r>
              <w:rPr>
                <w:rFonts w:hint="default" w:ascii="Times New Roman" w:hAnsi="Times New Roman" w:eastAsia="宋体" w:cs="Times New Roman"/>
                <w:color w:val="auto"/>
                <w:lang w:val="en-US" w:eastAsia="zh-CN"/>
              </w:rPr>
              <w:t>%</w:t>
            </w:r>
          </w:p>
        </w:tc>
        <w:tc>
          <w:tcPr>
            <w:tcW w:w="2508" w:type="dxa"/>
            <w:shd w:val="clear" w:color="auto" w:fill="auto"/>
            <w:vAlign w:val="center"/>
          </w:tcPr>
          <w:p w14:paraId="4A924846">
            <w:pPr>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w:t>
            </w:r>
          </w:p>
        </w:tc>
        <w:tc>
          <w:tcPr>
            <w:tcW w:w="2019" w:type="dxa"/>
            <w:shd w:val="clear" w:color="auto" w:fill="auto"/>
            <w:vAlign w:val="center"/>
          </w:tcPr>
          <w:p w14:paraId="0AB7DFD7">
            <w:pPr>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w:t>
            </w:r>
          </w:p>
        </w:tc>
      </w:tr>
    </w:tbl>
    <w:p w14:paraId="3E5ADAB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lang w:val="en-US" w:eastAsia="zh-CN"/>
        </w:rPr>
      </w:pPr>
      <w:bookmarkStart w:id="89" w:name="_Toc13037"/>
      <w:r>
        <w:rPr>
          <w:rFonts w:hint="eastAsia" w:ascii="Times New Roman" w:hAnsi="Times New Roman" w:cs="Times New Roman"/>
          <w:b/>
          <w:bCs/>
          <w:color w:val="auto"/>
          <w:sz w:val="24"/>
          <w:szCs w:val="24"/>
          <w:lang w:val="en-US" w:eastAsia="zh-CN"/>
        </w:rPr>
        <w:t>2.2.4</w:t>
      </w:r>
      <w:r>
        <w:rPr>
          <w:rFonts w:hint="default" w:ascii="Times New Roman" w:hAnsi="Times New Roman" w:cs="Times New Roman"/>
          <w:b/>
          <w:bCs/>
          <w:color w:val="auto"/>
          <w:sz w:val="24"/>
          <w:szCs w:val="24"/>
          <w:lang w:val="en-US" w:eastAsia="zh-CN"/>
        </w:rPr>
        <w:t>主要设备</w:t>
      </w:r>
      <w:bookmarkEnd w:id="89"/>
    </w:p>
    <w:p w14:paraId="609CC7D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根据建设单位提供的可研资料，本项目主要设备见表</w:t>
      </w:r>
      <w:r>
        <w:rPr>
          <w:rFonts w:hint="eastAsia" w:ascii="Times New Roman" w:hAnsi="Times New Roman" w:cs="Times New Roman"/>
          <w:color w:val="auto"/>
          <w:sz w:val="24"/>
          <w:szCs w:val="24"/>
          <w:lang w:val="en-US" w:eastAsia="zh-CN"/>
        </w:rPr>
        <w:t>2.2-4</w:t>
      </w:r>
      <w:r>
        <w:rPr>
          <w:rFonts w:hint="default" w:ascii="Times New Roman" w:hAnsi="Times New Roman" w:cs="Times New Roman"/>
          <w:color w:val="auto"/>
          <w:sz w:val="24"/>
          <w:szCs w:val="24"/>
          <w:lang w:val="en-US" w:eastAsia="zh-CN"/>
        </w:rPr>
        <w:t>。</w:t>
      </w:r>
    </w:p>
    <w:p w14:paraId="79D5C205">
      <w:pPr>
        <w:pStyle w:val="36"/>
        <w:keepNext w:val="0"/>
        <w:keepLines w:val="0"/>
        <w:pageBreakBefore w:val="0"/>
        <w:widowControl w:val="0"/>
        <w:numPr>
          <w:ilvl w:val="1"/>
          <w:numId w:val="13"/>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lang w:val="en-US" w:eastAsia="zh-CN"/>
        </w:rPr>
      </w:pPr>
      <w:r>
        <w:rPr>
          <w:rFonts w:hint="default" w:ascii="Times New Roman" w:hAnsi="Times New Roman" w:cs="Times New Roman"/>
          <w:b/>
          <w:bCs/>
          <w:color w:val="auto"/>
          <w:spacing w:val="-3"/>
          <w:lang w:val="en-US" w:eastAsia="zh-CN"/>
        </w:rPr>
        <w:t>本项目主要设备</w:t>
      </w:r>
    </w:p>
    <w:tbl>
      <w:tblPr>
        <w:tblStyle w:val="22"/>
        <w:tblW w:w="80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2572"/>
        <w:gridCol w:w="3058"/>
        <w:gridCol w:w="651"/>
        <w:gridCol w:w="1084"/>
      </w:tblGrid>
      <w:tr w14:paraId="0158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32" w:type="dxa"/>
            <w:vAlign w:val="center"/>
          </w:tcPr>
          <w:p w14:paraId="3BE5B1F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序号</w:t>
            </w:r>
          </w:p>
        </w:tc>
        <w:tc>
          <w:tcPr>
            <w:tcW w:w="2572" w:type="dxa"/>
            <w:vAlign w:val="center"/>
          </w:tcPr>
          <w:p w14:paraId="4BF7371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设施名称</w:t>
            </w:r>
          </w:p>
        </w:tc>
        <w:tc>
          <w:tcPr>
            <w:tcW w:w="3058" w:type="dxa"/>
            <w:vAlign w:val="center"/>
          </w:tcPr>
          <w:p w14:paraId="5FF002B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规格</w:t>
            </w:r>
          </w:p>
        </w:tc>
        <w:tc>
          <w:tcPr>
            <w:tcW w:w="651" w:type="dxa"/>
            <w:vAlign w:val="center"/>
          </w:tcPr>
          <w:p w14:paraId="1BF9D4A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单位</w:t>
            </w:r>
          </w:p>
        </w:tc>
        <w:tc>
          <w:tcPr>
            <w:tcW w:w="1084" w:type="dxa"/>
            <w:vAlign w:val="center"/>
          </w:tcPr>
          <w:p w14:paraId="31E5C725">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数量</w:t>
            </w:r>
          </w:p>
        </w:tc>
      </w:tr>
      <w:tr w14:paraId="1CF7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32" w:type="dxa"/>
            <w:vAlign w:val="center"/>
          </w:tcPr>
          <w:p w14:paraId="5F47D45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2572" w:type="dxa"/>
            <w:vAlign w:val="center"/>
          </w:tcPr>
          <w:p w14:paraId="46D5F9B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汽车衡</w:t>
            </w:r>
          </w:p>
        </w:tc>
        <w:tc>
          <w:tcPr>
            <w:tcW w:w="3058" w:type="dxa"/>
            <w:vAlign w:val="center"/>
          </w:tcPr>
          <w:p w14:paraId="1B03708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120t（台面长8m，宽3m）</w:t>
            </w:r>
          </w:p>
        </w:tc>
        <w:tc>
          <w:tcPr>
            <w:tcW w:w="651" w:type="dxa"/>
            <w:vAlign w:val="center"/>
          </w:tcPr>
          <w:p w14:paraId="068EBA4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1084" w:type="dxa"/>
            <w:vAlign w:val="center"/>
          </w:tcPr>
          <w:p w14:paraId="7248712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3（2用1备）</w:t>
            </w:r>
          </w:p>
        </w:tc>
      </w:tr>
      <w:tr w14:paraId="59FE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32" w:type="dxa"/>
            <w:vAlign w:val="center"/>
          </w:tcPr>
          <w:p w14:paraId="0ACA95E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2572" w:type="dxa"/>
            <w:vAlign w:val="center"/>
          </w:tcPr>
          <w:p w14:paraId="5DDFEC4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轨道衡（带超偏载功能）</w:t>
            </w:r>
          </w:p>
        </w:tc>
        <w:tc>
          <w:tcPr>
            <w:tcW w:w="3058" w:type="dxa"/>
            <w:vAlign w:val="center"/>
          </w:tcPr>
          <w:p w14:paraId="72882CD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100t</w:t>
            </w:r>
          </w:p>
        </w:tc>
        <w:tc>
          <w:tcPr>
            <w:tcW w:w="651" w:type="dxa"/>
            <w:vAlign w:val="center"/>
          </w:tcPr>
          <w:p w14:paraId="0E7A875F">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1084" w:type="dxa"/>
            <w:vAlign w:val="center"/>
          </w:tcPr>
          <w:p w14:paraId="6C6146A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r>
      <w:tr w14:paraId="7221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32" w:type="dxa"/>
            <w:vAlign w:val="center"/>
          </w:tcPr>
          <w:p w14:paraId="2CBE5888">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2572" w:type="dxa"/>
            <w:vAlign w:val="center"/>
          </w:tcPr>
          <w:p w14:paraId="12FBA7B1">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叉车</w:t>
            </w:r>
          </w:p>
        </w:tc>
        <w:tc>
          <w:tcPr>
            <w:tcW w:w="3058" w:type="dxa"/>
            <w:vAlign w:val="center"/>
          </w:tcPr>
          <w:p w14:paraId="7DFCCEC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10t</w:t>
            </w:r>
          </w:p>
        </w:tc>
        <w:tc>
          <w:tcPr>
            <w:tcW w:w="651" w:type="dxa"/>
            <w:vAlign w:val="center"/>
          </w:tcPr>
          <w:p w14:paraId="1D71F0CE">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1084" w:type="dxa"/>
            <w:vAlign w:val="center"/>
          </w:tcPr>
          <w:p w14:paraId="2545F7B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r>
      <w:tr w14:paraId="0C4B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32" w:type="dxa"/>
            <w:vAlign w:val="center"/>
          </w:tcPr>
          <w:p w14:paraId="68AE78F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2572" w:type="dxa"/>
            <w:vAlign w:val="center"/>
          </w:tcPr>
          <w:p w14:paraId="0C6E023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集装箱正面吊</w:t>
            </w:r>
          </w:p>
        </w:tc>
        <w:tc>
          <w:tcPr>
            <w:tcW w:w="3058" w:type="dxa"/>
            <w:vAlign w:val="center"/>
          </w:tcPr>
          <w:p w14:paraId="476D494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45t</w:t>
            </w:r>
          </w:p>
        </w:tc>
        <w:tc>
          <w:tcPr>
            <w:tcW w:w="651" w:type="dxa"/>
            <w:vAlign w:val="center"/>
          </w:tcPr>
          <w:p w14:paraId="1DD8F781">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1084" w:type="dxa"/>
            <w:vAlign w:val="center"/>
          </w:tcPr>
          <w:p w14:paraId="1C6BAD8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r>
      <w:tr w14:paraId="1309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32" w:type="dxa"/>
            <w:vAlign w:val="center"/>
          </w:tcPr>
          <w:p w14:paraId="76686832">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2572" w:type="dxa"/>
            <w:vAlign w:val="center"/>
          </w:tcPr>
          <w:p w14:paraId="098B4EA9">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内燃机车DF5D</w:t>
            </w:r>
          </w:p>
        </w:tc>
        <w:tc>
          <w:tcPr>
            <w:tcW w:w="3058" w:type="dxa"/>
            <w:vAlign w:val="center"/>
          </w:tcPr>
          <w:p w14:paraId="6EBC433E">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牵引重量3000t</w:t>
            </w:r>
          </w:p>
        </w:tc>
        <w:tc>
          <w:tcPr>
            <w:tcW w:w="651" w:type="dxa"/>
            <w:vAlign w:val="center"/>
          </w:tcPr>
          <w:p w14:paraId="509EEBF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1084" w:type="dxa"/>
            <w:vAlign w:val="center"/>
          </w:tcPr>
          <w:p w14:paraId="53669BC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r>
      <w:tr w14:paraId="3556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32" w:type="dxa"/>
            <w:vAlign w:val="center"/>
          </w:tcPr>
          <w:p w14:paraId="6D34782A">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2572" w:type="dxa"/>
            <w:vAlign w:val="center"/>
          </w:tcPr>
          <w:p w14:paraId="4E321B6D">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内燃机车DF10D</w:t>
            </w:r>
          </w:p>
        </w:tc>
        <w:tc>
          <w:tcPr>
            <w:tcW w:w="3058" w:type="dxa"/>
            <w:vAlign w:val="center"/>
          </w:tcPr>
          <w:p w14:paraId="48FD4597">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牵引重量5000t</w:t>
            </w:r>
          </w:p>
        </w:tc>
        <w:tc>
          <w:tcPr>
            <w:tcW w:w="651" w:type="dxa"/>
            <w:vAlign w:val="center"/>
          </w:tcPr>
          <w:p w14:paraId="4D73474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台</w:t>
            </w:r>
          </w:p>
        </w:tc>
        <w:tc>
          <w:tcPr>
            <w:tcW w:w="1084" w:type="dxa"/>
            <w:vAlign w:val="center"/>
          </w:tcPr>
          <w:p w14:paraId="4A65209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r>
    </w:tbl>
    <w:p w14:paraId="5D7C7C40">
      <w:pPr>
        <w:pStyle w:val="36"/>
        <w:keepNext w:val="0"/>
        <w:keepLines w:val="0"/>
        <w:pageBreakBefore w:val="0"/>
        <w:widowControl w:val="0"/>
        <w:numPr>
          <w:ilvl w:val="1"/>
          <w:numId w:val="13"/>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cs="Times New Roman"/>
          <w:b/>
          <w:bCs/>
          <w:color w:val="auto"/>
          <w:spacing w:val="-3"/>
          <w:lang w:val="en-US" w:eastAsia="zh-CN"/>
        </w:rPr>
      </w:pPr>
      <w:r>
        <w:rPr>
          <w:rFonts w:hint="default" w:ascii="Times New Roman" w:hAnsi="Times New Roman" w:cs="Times New Roman"/>
          <w:b/>
          <w:bCs/>
          <w:color w:val="auto"/>
          <w:spacing w:val="-3"/>
          <w:lang w:val="en-US" w:eastAsia="zh-CN"/>
        </w:rPr>
        <w:t>项目主要能耗情况表</w:t>
      </w:r>
    </w:p>
    <w:tbl>
      <w:tblPr>
        <w:tblStyle w:val="21"/>
        <w:tblW w:w="7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751"/>
        <w:gridCol w:w="1856"/>
        <w:gridCol w:w="4649"/>
      </w:tblGrid>
      <w:tr w14:paraId="6C4A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62" w:type="dxa"/>
            <w:noWrap w:val="0"/>
            <w:vAlign w:val="center"/>
          </w:tcPr>
          <w:p w14:paraId="1FAD2FD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序号</w:t>
            </w:r>
          </w:p>
        </w:tc>
        <w:tc>
          <w:tcPr>
            <w:tcW w:w="751" w:type="dxa"/>
            <w:noWrap w:val="0"/>
            <w:vAlign w:val="center"/>
          </w:tcPr>
          <w:p w14:paraId="358F743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名称</w:t>
            </w:r>
          </w:p>
        </w:tc>
        <w:tc>
          <w:tcPr>
            <w:tcW w:w="1856" w:type="dxa"/>
            <w:noWrap w:val="0"/>
            <w:vAlign w:val="center"/>
          </w:tcPr>
          <w:p w14:paraId="4B237BCA">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消耗量</w:t>
            </w:r>
          </w:p>
        </w:tc>
        <w:tc>
          <w:tcPr>
            <w:tcW w:w="4649" w:type="dxa"/>
            <w:noWrap w:val="0"/>
            <w:vAlign w:val="center"/>
          </w:tcPr>
          <w:p w14:paraId="70CD554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备注</w:t>
            </w:r>
          </w:p>
        </w:tc>
      </w:tr>
      <w:tr w14:paraId="45CD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62" w:type="dxa"/>
            <w:noWrap w:val="0"/>
            <w:vAlign w:val="center"/>
          </w:tcPr>
          <w:p w14:paraId="76D1B7BA">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51" w:type="dxa"/>
            <w:noWrap w:val="0"/>
            <w:vAlign w:val="center"/>
          </w:tcPr>
          <w:p w14:paraId="6988DD4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w:t>
            </w:r>
          </w:p>
        </w:tc>
        <w:tc>
          <w:tcPr>
            <w:tcW w:w="1856" w:type="dxa"/>
            <w:noWrap w:val="0"/>
            <w:vAlign w:val="center"/>
          </w:tcPr>
          <w:p w14:paraId="7A1D737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219t/a</w:t>
            </w:r>
          </w:p>
        </w:tc>
        <w:tc>
          <w:tcPr>
            <w:tcW w:w="4649" w:type="dxa"/>
            <w:noWrap w:val="0"/>
            <w:vAlign w:val="center"/>
          </w:tcPr>
          <w:p w14:paraId="4A19A95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由园区供水管网供给。</w:t>
            </w:r>
          </w:p>
        </w:tc>
      </w:tr>
      <w:tr w14:paraId="4673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62" w:type="dxa"/>
            <w:noWrap w:val="0"/>
            <w:vAlign w:val="center"/>
          </w:tcPr>
          <w:p w14:paraId="7611FA7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751" w:type="dxa"/>
            <w:noWrap w:val="0"/>
            <w:vAlign w:val="center"/>
          </w:tcPr>
          <w:p w14:paraId="10E900C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w:t>
            </w:r>
          </w:p>
        </w:tc>
        <w:tc>
          <w:tcPr>
            <w:tcW w:w="1856" w:type="dxa"/>
            <w:noWrap w:val="0"/>
            <w:vAlign w:val="center"/>
          </w:tcPr>
          <w:p w14:paraId="7318735F">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20万kwh/a</w:t>
            </w:r>
          </w:p>
        </w:tc>
        <w:tc>
          <w:tcPr>
            <w:tcW w:w="4649" w:type="dxa"/>
            <w:noWrap w:val="0"/>
            <w:vAlign w:val="center"/>
          </w:tcPr>
          <w:p w14:paraId="0E8FFEF8">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由园区供电电网供给。</w:t>
            </w:r>
          </w:p>
        </w:tc>
      </w:tr>
      <w:tr w14:paraId="0C49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62" w:type="dxa"/>
            <w:noWrap w:val="0"/>
            <w:vAlign w:val="center"/>
          </w:tcPr>
          <w:p w14:paraId="25F324B4">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751" w:type="dxa"/>
            <w:noWrap w:val="0"/>
            <w:vAlign w:val="center"/>
          </w:tcPr>
          <w:p w14:paraId="3EDAF000">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柴油</w:t>
            </w:r>
          </w:p>
        </w:tc>
        <w:tc>
          <w:tcPr>
            <w:tcW w:w="1856" w:type="dxa"/>
            <w:noWrap w:val="0"/>
            <w:vAlign w:val="center"/>
          </w:tcPr>
          <w:p w14:paraId="3CC1BB02">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42.511t/a</w:t>
            </w:r>
          </w:p>
        </w:tc>
        <w:tc>
          <w:tcPr>
            <w:tcW w:w="4649" w:type="dxa"/>
            <w:noWrap w:val="0"/>
            <w:vAlign w:val="center"/>
          </w:tcPr>
          <w:p w14:paraId="6A835825">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由曲煤焦化所属集团油站供给</w:t>
            </w:r>
          </w:p>
        </w:tc>
      </w:tr>
    </w:tbl>
    <w:p w14:paraId="4A0F63B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lang w:val="en-US" w:eastAsia="zh-CN"/>
        </w:rPr>
      </w:pPr>
      <w:bookmarkStart w:id="90" w:name="_Toc9344"/>
      <w:r>
        <w:rPr>
          <w:rFonts w:hint="eastAsia" w:ascii="Times New Roman" w:hAnsi="Times New Roman" w:cs="Times New Roman"/>
          <w:b/>
          <w:bCs/>
          <w:color w:val="auto"/>
          <w:sz w:val="24"/>
          <w:szCs w:val="24"/>
          <w:lang w:val="en-US" w:eastAsia="zh-CN"/>
        </w:rPr>
        <w:t>2.2.5站场</w:t>
      </w:r>
      <w:r>
        <w:rPr>
          <w:rFonts w:hint="default" w:ascii="Times New Roman" w:hAnsi="Times New Roman" w:cs="Times New Roman"/>
          <w:b/>
          <w:bCs/>
          <w:color w:val="auto"/>
          <w:sz w:val="24"/>
          <w:szCs w:val="24"/>
          <w:lang w:val="en-US" w:eastAsia="zh-CN"/>
        </w:rPr>
        <w:t>布局</w:t>
      </w:r>
      <w:bookmarkEnd w:id="90"/>
    </w:p>
    <w:p w14:paraId="429D157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outlineLvl w:val="3"/>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w:t>
      </w:r>
      <w:r>
        <w:rPr>
          <w:rFonts w:hint="eastAsia" w:ascii="Times New Roman" w:hAnsi="Times New Roman" w:cs="Times New Roman"/>
          <w:b/>
          <w:bCs/>
          <w:color w:val="auto"/>
          <w:sz w:val="24"/>
          <w:szCs w:val="24"/>
          <w:lang w:val="en-US" w:eastAsia="zh-CN"/>
        </w:rPr>
        <w:t>2.</w:t>
      </w:r>
      <w:r>
        <w:rPr>
          <w:rFonts w:hint="default" w:ascii="Times New Roman" w:hAnsi="Times New Roman" w:cs="Times New Roman"/>
          <w:b/>
          <w:bCs/>
          <w:color w:val="auto"/>
          <w:sz w:val="24"/>
          <w:szCs w:val="24"/>
          <w:lang w:val="en-US" w:eastAsia="zh-CN"/>
        </w:rPr>
        <w:t>5.1 总平面布置</w:t>
      </w:r>
    </w:p>
    <w:p w14:paraId="6507E6D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在曲煤专用铁路4道插入一组9号（319#）道岔，在（319#）道岔后新铺一组9号道岔，设置H1、H2货物装卸线，货物装卸线设置为反向曲线，反向曲线半径为300，两货物装卸线直线段间距为5.0m，H1、H2道采用整体道床，在整体道床间采用500mm厚25混凝土封闭。H1、H2道两侧设集装箱堆场及装卸作业区，采用正面吊作业，主通道从“宣天一级”接入集装箱堆场及装卸作业区，主通道宽14m，接入后在场地周围设7.0m宽环形道路，与铁路交叉处采用混凝土板平过道。根据生产需要，本项目设正面吊充电及维修间、综合办公楼、汽车衡、轨道衡、检箱平台、视频监控、照明、排水等设施。</w:t>
      </w:r>
    </w:p>
    <w:p w14:paraId="2E5161F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本项目正面吊充电及维修间、综合办公楼、集装箱堆场周边均设有环形通道，道宽7m，转弯半径15m，能满足消防需求。</w:t>
      </w:r>
    </w:p>
    <w:p w14:paraId="190751E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为保障专用线运输的安全，集装箱堆场集装箱装卸作业场与现有场地外侧采用金属围网进行封闭，在进装卸作业区设大门，大门采用电动遥控设计。</w:t>
      </w:r>
    </w:p>
    <w:p w14:paraId="3B19132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outlineLvl w:val="3"/>
        <w:rPr>
          <w:rFonts w:hint="default" w:ascii="Times New Roman" w:hAnsi="Times New Roman" w:cs="Times New Roman"/>
          <w:b/>
          <w:bCs/>
          <w:color w:val="auto"/>
          <w:sz w:val="24"/>
          <w:szCs w:val="24"/>
          <w:lang w:val="en-US" w:eastAsia="zh-CN"/>
        </w:rPr>
      </w:pPr>
      <w:bookmarkStart w:id="91" w:name="_Toc11720"/>
      <w:r>
        <w:rPr>
          <w:rFonts w:hint="eastAsia" w:ascii="Times New Roman" w:hAnsi="Times New Roman" w:cs="Times New Roman"/>
          <w:b/>
          <w:bCs/>
          <w:color w:val="auto"/>
          <w:sz w:val="24"/>
          <w:szCs w:val="24"/>
          <w:lang w:val="en-US" w:eastAsia="zh-CN"/>
        </w:rPr>
        <w:t>2.2.5.2 整体道床</w:t>
      </w:r>
      <w:bookmarkEnd w:id="91"/>
    </w:p>
    <w:p w14:paraId="4E13328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整体道床结构层厚450mm，采用C40钢筋混凝土；垫层厚100mm，宽3200mm，采用C20混凝土；基础层厚350mm，宽3200mm，采用水泥稳定土基层。整体道床每6.25m分段。整体道床及有砟过渡段区域工后沉降≤15mm，不同线下基础交界处的工后沉降差异≤5mm，不均匀沉降造成的折角≤1/1000，轨道衡整体道床区及过渡段基底采用换填级配碎石掺5%水泥处理。</w:t>
      </w:r>
    </w:p>
    <w:p w14:paraId="6B26D09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（2）整体道床轨枕采用混凝土短枕支撑（1520对/km），弹条I型扣件。</w:t>
      </w:r>
    </w:p>
    <w:p w14:paraId="68444E6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示意图如图2.2-1所示：</w:t>
      </w:r>
    </w:p>
    <w:p w14:paraId="35B43A0E">
      <w:pPr>
        <w:rPr>
          <w:rFonts w:hint="eastAsia"/>
          <w:color w:val="auto"/>
          <w:lang w:val="en-US" w:eastAsia="zh-CN"/>
        </w:rPr>
      </w:pPr>
      <w:r>
        <w:rPr>
          <w:rFonts w:hint="eastAsia"/>
          <w:color w:val="auto"/>
          <w:lang w:val="en-US" w:eastAsia="zh-CN"/>
        </w:rPr>
        <w:drawing>
          <wp:inline distT="0" distB="0" distL="114300" distR="114300">
            <wp:extent cx="5130800" cy="2466340"/>
            <wp:effectExtent l="0" t="0" r="12700" b="10160"/>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25"/>
                    <a:stretch>
                      <a:fillRect/>
                    </a:stretch>
                  </pic:blipFill>
                  <pic:spPr>
                    <a:xfrm>
                      <a:off x="0" y="0"/>
                      <a:ext cx="5130800" cy="2466340"/>
                    </a:xfrm>
                    <a:prstGeom prst="rect">
                      <a:avLst/>
                    </a:prstGeom>
                    <a:noFill/>
                    <a:ln>
                      <a:noFill/>
                    </a:ln>
                  </pic:spPr>
                </pic:pic>
              </a:graphicData>
            </a:graphic>
          </wp:inline>
        </w:drawing>
      </w:r>
    </w:p>
    <w:p w14:paraId="42C7FE0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center"/>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图2.2-1 整体道床接轨剖面图</w:t>
      </w:r>
    </w:p>
    <w:p w14:paraId="75FBEB5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outlineLvl w:val="3"/>
        <w:rPr>
          <w:rFonts w:hint="default" w:ascii="Times New Roman" w:hAnsi="Times New Roman" w:cs="Times New Roman"/>
          <w:b/>
          <w:bCs/>
          <w:color w:val="auto"/>
          <w:sz w:val="24"/>
          <w:szCs w:val="24"/>
          <w:lang w:val="en-US" w:eastAsia="zh-CN"/>
        </w:rPr>
      </w:pPr>
      <w:bookmarkStart w:id="92" w:name="_Toc29419"/>
      <w:r>
        <w:rPr>
          <w:rFonts w:hint="eastAsia" w:ascii="Times New Roman" w:hAnsi="Times New Roman" w:cs="Times New Roman"/>
          <w:b/>
          <w:bCs/>
          <w:color w:val="auto"/>
          <w:sz w:val="24"/>
          <w:szCs w:val="24"/>
          <w:lang w:val="en-US" w:eastAsia="zh-CN"/>
        </w:rPr>
        <w:t>2.2.5.3 站内平过道</w:t>
      </w:r>
      <w:bookmarkEnd w:id="92"/>
    </w:p>
    <w:p w14:paraId="6DB95EC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站内平过道采用整体道床式平过道，共设1处，跨越2股道。曲靖端既有橡胶式道口改造为整体道床式道口，跨3股道。整体道床式道口采用工厂预制现场吊装方式铺设。</w:t>
      </w:r>
    </w:p>
    <w:p w14:paraId="4EE2D17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outlineLvl w:val="3"/>
        <w:rPr>
          <w:rFonts w:hint="eastAsia" w:ascii="Times New Roman" w:hAnsi="Times New Roman" w:cs="Times New Roman"/>
          <w:b/>
          <w:bCs/>
          <w:color w:val="auto"/>
          <w:sz w:val="24"/>
          <w:szCs w:val="24"/>
          <w:lang w:val="en-US" w:eastAsia="zh-CN"/>
        </w:rPr>
      </w:pPr>
      <w:bookmarkStart w:id="93" w:name="_Toc18130"/>
      <w:r>
        <w:rPr>
          <w:rFonts w:hint="eastAsia" w:ascii="Times New Roman" w:hAnsi="Times New Roman" w:cs="Times New Roman"/>
          <w:b/>
          <w:bCs/>
          <w:color w:val="auto"/>
          <w:sz w:val="24"/>
          <w:szCs w:val="24"/>
          <w:lang w:val="en-US" w:eastAsia="zh-CN"/>
        </w:rPr>
        <w:t>2.2.5.4 集装箱场坪</w:t>
      </w:r>
      <w:bookmarkEnd w:id="93"/>
    </w:p>
    <w:p w14:paraId="656A0E8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本项目新建双面配筋的集装箱堆场2处，采用平过道沟通集装箱堆场，集装箱堆场一可容纳箱位561个；集装箱堆场二可容纳箱位753个，共计可容纳箱位1317个。</w:t>
      </w:r>
    </w:p>
    <w:p w14:paraId="080B735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（1）路面结构类型：钢筋水泥混凝土铺面</w:t>
      </w:r>
    </w:p>
    <w:p w14:paraId="77A329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（2）集装箱堆放形式为多列箱</w:t>
      </w:r>
    </w:p>
    <w:p w14:paraId="5955C09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（3）堆场及道路铺面等级为二级</w:t>
      </w:r>
    </w:p>
    <w:p w14:paraId="056185E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（4）堆场及道路设计年限20年</w:t>
      </w:r>
    </w:p>
    <w:p w14:paraId="65BB817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（5）荷载等级为P2级</w:t>
      </w:r>
    </w:p>
    <w:p w14:paraId="5DDEA9C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outlineLvl w:val="3"/>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2.2.5.5轨道</w:t>
      </w:r>
    </w:p>
    <w:p w14:paraId="20CAD66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本项目新建轨道衡1座，轨道衡两端引轨区设置整体道床。H1道、H2道设置平过道整体道床和普通整体道床。</w:t>
      </w:r>
    </w:p>
    <w:p w14:paraId="6A3470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（1）钢轨及配件</w:t>
      </w:r>
    </w:p>
    <w:p w14:paraId="6362C7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专用线采用P50轨，25m标准长度有螺栓孔钢轨。钢轨接头螺栓采用10.9级高强度接头螺栓，螺母采用10级高强度螺母，垫圈采用高强度平垫圈。</w:t>
      </w:r>
    </w:p>
    <w:p w14:paraId="1653732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（2）轨枕及扣件</w:t>
      </w:r>
    </w:p>
    <w:p w14:paraId="4D91649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轨枕采用新Ⅱ型混凝土枕。站线内按1520对/km铺设，弹条Ⅰ型扣件。</w:t>
      </w:r>
    </w:p>
    <w:p w14:paraId="7433E8D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（3）碎石道床</w:t>
      </w:r>
    </w:p>
    <w:p w14:paraId="5B3F52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碎石道床采用一级道碴。道床顶宽2.9m，道床边坡坡度值采用1：1.5，道床铺设厚度为单层0.30m。</w:t>
      </w:r>
    </w:p>
    <w:p w14:paraId="07C1281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（4）道岔</w:t>
      </w:r>
    </w:p>
    <w:p w14:paraId="035AFBA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道岔采用混凝土岔枕道岔。1/9道岔采用CZ2209。按人工扳道考虑，需增设扳道器。</w:t>
      </w:r>
    </w:p>
    <w:p w14:paraId="598A2C5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（5）车档</w:t>
      </w:r>
    </w:p>
    <w:p w14:paraId="6C377C8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H1、H2道车档采用站台顶端车档，装设车钩，不装设斜枕木或挡车器以节省装卸有效长，车挡装设车档表示器，表示器用太阳能车档表示器。</w:t>
      </w:r>
    </w:p>
    <w:p w14:paraId="2EA38E1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outlineLvl w:val="3"/>
        <w:rPr>
          <w:rFonts w:hint="eastAsia" w:ascii="Times New Roman" w:hAnsi="Times New Roman" w:cs="Times New Roman"/>
          <w:b/>
          <w:bCs/>
          <w:color w:val="auto"/>
          <w:sz w:val="24"/>
          <w:szCs w:val="24"/>
          <w:lang w:val="en-US" w:eastAsia="zh-CN"/>
        </w:rPr>
      </w:pPr>
      <w:bookmarkStart w:id="94" w:name="_Toc19781"/>
      <w:bookmarkStart w:id="95" w:name="_Toc6826"/>
      <w:r>
        <w:rPr>
          <w:rFonts w:hint="eastAsia" w:ascii="Times New Roman" w:hAnsi="Times New Roman" w:cs="Times New Roman"/>
          <w:b/>
          <w:bCs/>
          <w:color w:val="auto"/>
          <w:sz w:val="24"/>
          <w:szCs w:val="24"/>
          <w:lang w:val="en-US" w:eastAsia="zh-CN"/>
        </w:rPr>
        <w:t>2.2.5.6路基</w:t>
      </w:r>
      <w:bookmarkEnd w:id="94"/>
      <w:bookmarkEnd w:id="95"/>
    </w:p>
    <w:p w14:paraId="6622F36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（1）站场路基</w:t>
      </w:r>
    </w:p>
    <w:p w14:paraId="3F918F0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站场路基工程范围内无高边坡，集装箱场靠管架边设有3m高片石混凝土挡土墙，挡土墙上部设置围墙，主要设计原则如下：</w:t>
      </w:r>
    </w:p>
    <w:p w14:paraId="5C2B402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1）路基面形状：路基面采用2%双斜面坡。</w:t>
      </w:r>
    </w:p>
    <w:p w14:paraId="580CF14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2）路基基床：到发线及货物线路基基床为1.2m，其中表层厚0.3m，底层厚0.9m。</w:t>
      </w:r>
    </w:p>
    <w:p w14:paraId="040B70F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（2）集装箱场坪基础</w:t>
      </w:r>
    </w:p>
    <w:p w14:paraId="23D886D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曲煤焦化集装箱场坪为原云南云维集团沾化分公司厂区，现已全部拆除，建筑固体废弃物松铺全场，大部分场坪标高较轨顶高程高1.2～2.5m，部分场地低于场坪标高约2～4.0m，采用破除储煤池上部的钢筋混凝土，并外购碎石土（碎石含量大于65%）分层夯实填筑。</w:t>
      </w:r>
    </w:p>
    <w:p w14:paraId="2E6D419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（3）站场路基排水</w:t>
      </w:r>
    </w:p>
    <w:p w14:paraId="1923CF7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场地周边设排水沟，曲煤焦化3～4道间设砟顶式纵向排水槽，兼做调车人员走行通道，整体道床H1道及H2道间采用混凝土硬化。道路外边及货场纵横向设公路排水槽，地面排水设备的纵坡不宜小于2‰，排水槽按《贰站(01)8012》图设计。设初期雨水收集池1座，将雨水集中排至雨水收集池，可作为场地除尘用水。</w:t>
      </w:r>
    </w:p>
    <w:p w14:paraId="73E9B09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lang w:val="en-US" w:eastAsia="zh-CN"/>
        </w:rPr>
      </w:pPr>
      <w:bookmarkStart w:id="96" w:name="_Toc4463"/>
      <w:r>
        <w:rPr>
          <w:rFonts w:hint="eastAsia" w:ascii="Times New Roman" w:hAnsi="Times New Roman" w:cs="Times New Roman"/>
          <w:b/>
          <w:bCs/>
          <w:color w:val="auto"/>
          <w:sz w:val="24"/>
          <w:szCs w:val="24"/>
          <w:lang w:val="en-US" w:eastAsia="zh-CN"/>
        </w:rPr>
        <w:t>2.2.6运输组织方案</w:t>
      </w:r>
      <w:bookmarkEnd w:id="96"/>
    </w:p>
    <w:p w14:paraId="34529E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（1）接轨点</w:t>
      </w:r>
    </w:p>
    <w:p w14:paraId="6A9947A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既有专用铁路线接轨站为珠江源站，珠江源站为沪昆线中间站，位于云南省曲靖市沾益区盘江镇境内，车站中心里程为K2449+020，隶属昆明局集团公司曲靖车务段管辖，珠江源站昆明方向临站为松林站，站间距为10.948km，上行进站信号机里程为K2450+027，上海方向临站为炎方站，站间距为27.794km，下行进站信号机里程为K2447+945。设置到发线（含正线）11股道，货物线3股，办理客货运作业。</w:t>
      </w:r>
    </w:p>
    <w:p w14:paraId="3089E15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（2）车站概况</w:t>
      </w:r>
    </w:p>
    <w:p w14:paraId="3D4D62B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珠江源站设到发线11条（含正线）；货物线3条，办理客货运作业；车站昆明端既有曲煤焦化专用铁路接轨，曲煤焦化专用铁路上接轨液化专用线（2条货物线）；车站上海端设牵出线25道（733m），昆明端借用专用铁路作为牵出线，实际操作中不能越过2#平交道口（913m）；车站还设有保证运输的安全线、机待线、段管线等。</w:t>
      </w:r>
    </w:p>
    <w:p w14:paraId="31892BE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（3）接轨能力</w:t>
      </w:r>
    </w:p>
    <w:p w14:paraId="18FFD34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1）到发线</w:t>
      </w:r>
    </w:p>
    <w:p w14:paraId="47B76A5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珠江源站不办理旅客列车停靠业务，距离上海方向区段站宣威站68.8km，距离昆明方向区段站曲靖32.0km。主要担负列车会让、部分中转车辆甩挂、作业车取送及专用铁道取送车任务。珠江源站到发线含正线4 股可满足沪昆线行车及待避的需要。经计算，日接发12对小运转列车需2~3条，考虑到珠江源站不办理旅客列车停靠；距离前后区段站较近，产生待避的可能性较少；只有珠江源集装箱场及曲煤焦化2个货区。珠江源站合并设置7条到发线，可满足本站小运转车列12对，按照4500t的牵引定数计算，珠江源站到发线可日处理564辆重车。</w:t>
      </w:r>
    </w:p>
    <w:p w14:paraId="304FF28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2）调车线（存车线）</w:t>
      </w:r>
    </w:p>
    <w:p w14:paraId="0338600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一般来说，货运站的调车线数量根据装卸地点数、作业车数和调车作业方式等因素确定，并应符合：①每一货区可设1条；②日装卸车在50辆以上的货区或装卸地点应设1条；③日装卸车在50辆以下，可与其他装卸地点合并设置1条。</w:t>
      </w:r>
    </w:p>
    <w:p w14:paraId="1992D29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货运站调车线的总有效长度可根据日均作业车辆数确定，并应考虑到发不平衡系数，其值不小于4.68m/辆。调车线的有效长度还应满足车列取送时最大长度的需要，最短不宜小于200m。珠江源站具有曲煤焦化及集装箱场2个货区，分配珠江源站11道、13道、15道、17道共4股道为到发线兼调车线（存车线），有效长分别为899m、855m、855m、981m，有效长大于3590m，有效长总和为调车线（存车线）最大日均作业车辆数为767辆。</w:t>
      </w:r>
    </w:p>
    <w:p w14:paraId="451D0F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3）牵出线</w:t>
      </w:r>
    </w:p>
    <w:p w14:paraId="1EF6B5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中间站一般设置牵出线1条，运量较小的中间站按照一次牵出1组10 辆车设置，牵出线有效长200m；运量较大的中间站按照一次牵出半列设置，珠江源站运量较大，上海端25道牵出线有效长733m，昆明端利用曲煤焦化专用铁路调车（化牵），现利用长度670m。</w:t>
      </w:r>
    </w:p>
    <w:p w14:paraId="51A53BF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4）研究结论</w:t>
      </w:r>
    </w:p>
    <w:p w14:paraId="0E88DB7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珠江源站2023年作业车总数为63797车，日均175车。珠江源站分配7股道为到发线，其中I道、II道、3道、4道承担列车通过、越行功能；5道、7道、9道承担列车始发、终到功能，可满足日12对，564辆作业车的要求。分配11道、13道、15道、17道共4股道为到发线兼调车线（存车线），可满足767辆作业车的需求。珠江源站咽喉两端具有25道及化牵2条牵出线。</w:t>
      </w:r>
    </w:p>
    <w:p w14:paraId="368B27F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珠江源站到发线、调车线、牵出线数量满足要求，不需改造。</w:t>
      </w:r>
    </w:p>
    <w:p w14:paraId="679EBDDE">
      <w:pPr>
        <w:rPr>
          <w:rFonts w:hint="eastAsia"/>
          <w:color w:val="auto"/>
          <w:lang w:eastAsia="zh-CN"/>
        </w:rPr>
      </w:pPr>
      <w:r>
        <w:rPr>
          <w:color w:val="auto"/>
        </w:rPr>
        <w:drawing>
          <wp:inline distT="0" distB="0" distL="0" distR="0">
            <wp:extent cx="5179695" cy="7494270"/>
            <wp:effectExtent l="19050" t="19050" r="20955" b="30480"/>
            <wp:docPr id="26" name="图片 26" descr="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平面图"/>
                    <pic:cNvPicPr>
                      <a:picLocks noChangeAspect="1" noChangeArrowheads="1"/>
                    </pic:cNvPicPr>
                  </pic:nvPicPr>
                  <pic:blipFill>
                    <a:blip r:embed="rId26" cstate="print">
                      <a:extLst>
                        <a:ext uri="{28A0092B-C50C-407E-A947-70E740481C1C}">
                          <a14:useLocalDpi xmlns:a14="http://schemas.microsoft.com/office/drawing/2010/main" val="0"/>
                        </a:ext>
                      </a:extLst>
                    </a:blip>
                    <a:srcRect l="2060" t="1015" r="2277" b="996"/>
                    <a:stretch>
                      <a:fillRect/>
                    </a:stretch>
                  </pic:blipFill>
                  <pic:spPr>
                    <a:xfrm>
                      <a:off x="0" y="0"/>
                      <a:ext cx="5179695" cy="7494270"/>
                    </a:xfrm>
                    <a:prstGeom prst="rect">
                      <a:avLst/>
                    </a:prstGeom>
                    <a:noFill/>
                    <a:ln w="19050" cmpd="sng">
                      <a:solidFill>
                        <a:srgbClr val="000000"/>
                      </a:solidFill>
                      <a:miter lim="800000"/>
                      <a:headEnd/>
                      <a:tailEnd/>
                    </a:ln>
                    <a:effectLst/>
                  </pic:spPr>
                </pic:pic>
              </a:graphicData>
            </a:graphic>
          </wp:inline>
        </w:drawing>
      </w:r>
    </w:p>
    <w:p w14:paraId="4F011746">
      <w:pPr>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图2.2-2  本项目与既有铁路关系图</w:t>
      </w:r>
    </w:p>
    <w:p w14:paraId="1DF74A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（4）运营管理方式</w:t>
      </w:r>
    </w:p>
    <w:p w14:paraId="6368248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曲煤焦化专用铁路既有自备机车2台，1台为DF</w:t>
      </w:r>
      <w:r>
        <w:rPr>
          <w:rFonts w:hint="eastAsia" w:ascii="Times New Roman" w:hAnsi="Times New Roman" w:cs="Times New Roman"/>
          <w:color w:val="auto"/>
          <w:sz w:val="24"/>
          <w:szCs w:val="24"/>
          <w:vertAlign w:val="subscript"/>
          <w:lang w:val="en-US" w:eastAsia="zh-CN"/>
        </w:rPr>
        <w:t>5D</w:t>
      </w:r>
      <w:r>
        <w:rPr>
          <w:rFonts w:hint="eastAsia" w:ascii="Times New Roman" w:hAnsi="Times New Roman" w:cs="Times New Roman"/>
          <w:color w:val="auto"/>
          <w:sz w:val="24"/>
          <w:szCs w:val="24"/>
          <w:lang w:val="en-US" w:eastAsia="zh-CN"/>
        </w:rPr>
        <w:t>、一台为DF</w:t>
      </w:r>
      <w:r>
        <w:rPr>
          <w:rFonts w:hint="eastAsia" w:ascii="Times New Roman" w:hAnsi="Times New Roman" w:cs="Times New Roman"/>
          <w:color w:val="auto"/>
          <w:sz w:val="24"/>
          <w:szCs w:val="24"/>
          <w:vertAlign w:val="subscript"/>
          <w:lang w:val="en-US" w:eastAsia="zh-CN"/>
        </w:rPr>
        <w:t>10D</w:t>
      </w:r>
      <w:r>
        <w:rPr>
          <w:rFonts w:hint="eastAsia" w:ascii="Times New Roman" w:hAnsi="Times New Roman" w:cs="Times New Roman"/>
          <w:color w:val="auto"/>
          <w:sz w:val="24"/>
          <w:szCs w:val="24"/>
          <w:lang w:val="en-US" w:eastAsia="zh-CN"/>
        </w:rPr>
        <w:t>，自主运营。</w:t>
      </w:r>
    </w:p>
    <w:p w14:paraId="49EEC7A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（5）运输组织方案</w:t>
      </w:r>
    </w:p>
    <w:p w14:paraId="3EF4E1F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本项目采用调车方式，采用车辆交接，交接点在珠江源站。</w:t>
      </w:r>
    </w:p>
    <w:p w14:paraId="12541E2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本专用铁路流向集中，专用铁路至接轨站间采用调车作业取送车，接轨站列车编组一般采用重点摘挂列车、小运转及直通列车结合的方式。</w:t>
      </w:r>
    </w:p>
    <w:p w14:paraId="330B203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lang w:val="en-US" w:eastAsia="zh-CN"/>
        </w:rPr>
      </w:pPr>
      <w:bookmarkStart w:id="97" w:name="_Toc4311"/>
      <w:r>
        <w:rPr>
          <w:rFonts w:hint="eastAsia" w:ascii="Times New Roman" w:hAnsi="Times New Roman" w:cs="Times New Roman"/>
          <w:b/>
          <w:bCs/>
          <w:color w:val="auto"/>
          <w:sz w:val="24"/>
          <w:szCs w:val="24"/>
          <w:lang w:val="en-US" w:eastAsia="zh-CN"/>
        </w:rPr>
        <w:t>2.2.7</w:t>
      </w:r>
      <w:r>
        <w:rPr>
          <w:rFonts w:hint="default" w:ascii="Times New Roman" w:hAnsi="Times New Roman" w:cs="Times New Roman"/>
          <w:b/>
          <w:bCs/>
          <w:color w:val="auto"/>
          <w:sz w:val="24"/>
          <w:szCs w:val="24"/>
          <w:lang w:val="en-US" w:eastAsia="zh-CN"/>
        </w:rPr>
        <w:t>劳动定员及工作制度</w:t>
      </w:r>
      <w:bookmarkEnd w:id="97"/>
    </w:p>
    <w:p w14:paraId="217DF46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（1）施工期</w:t>
      </w:r>
    </w:p>
    <w:p w14:paraId="4065754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w:t>
      </w:r>
      <w:r>
        <w:rPr>
          <w:rFonts w:hint="eastAsia" w:ascii="Times New Roman" w:hAnsi="Times New Roman" w:cs="Times New Roman"/>
          <w:color w:val="auto"/>
          <w:sz w:val="24"/>
          <w:szCs w:val="24"/>
          <w:lang w:val="en-US" w:eastAsia="zh-CN"/>
        </w:rPr>
        <w:t>已于</w:t>
      </w:r>
      <w:r>
        <w:rPr>
          <w:rFonts w:hint="default" w:ascii="Times New Roman" w:hAnsi="Times New Roman" w:cs="Times New Roman"/>
          <w:color w:val="auto"/>
          <w:sz w:val="24"/>
          <w:szCs w:val="24"/>
          <w:lang w:val="en-US" w:eastAsia="zh-CN"/>
        </w:rPr>
        <w:t>2026年01月动工，</w:t>
      </w:r>
      <w:r>
        <w:rPr>
          <w:rFonts w:hint="eastAsia" w:ascii="Times New Roman" w:hAnsi="Times New Roman" w:cs="Times New Roman"/>
          <w:color w:val="auto"/>
          <w:sz w:val="24"/>
          <w:szCs w:val="24"/>
          <w:lang w:val="en-US" w:eastAsia="zh-CN"/>
        </w:rPr>
        <w:t>目前已完成大部分建设内容，预计剩余内容将于</w:t>
      </w:r>
      <w:r>
        <w:rPr>
          <w:rFonts w:hint="default" w:ascii="Times New Roman" w:hAnsi="Times New Roman" w:cs="Times New Roman"/>
          <w:color w:val="auto"/>
          <w:sz w:val="24"/>
          <w:szCs w:val="24"/>
          <w:lang w:val="en-US" w:eastAsia="zh-CN"/>
        </w:rPr>
        <w:t>2026年0</w:t>
      </w:r>
      <w:r>
        <w:rPr>
          <w:rFonts w:hint="eastAsia" w:ascii="Times New Roman" w:hAnsi="Times New Roman" w:cs="Times New Roman"/>
          <w:color w:val="auto"/>
          <w:sz w:val="24"/>
          <w:szCs w:val="24"/>
          <w:lang w:val="en-US" w:eastAsia="zh-CN"/>
        </w:rPr>
        <w:t>9</w:t>
      </w:r>
      <w:r>
        <w:rPr>
          <w:rFonts w:hint="default" w:ascii="Times New Roman" w:hAnsi="Times New Roman" w:cs="Times New Roman"/>
          <w:color w:val="auto"/>
          <w:sz w:val="24"/>
          <w:szCs w:val="24"/>
          <w:lang w:val="en-US" w:eastAsia="zh-CN"/>
        </w:rPr>
        <w:t>月竣工，建设期</w:t>
      </w:r>
      <w:r>
        <w:rPr>
          <w:rFonts w:hint="eastAsia" w:ascii="Times New Roman" w:hAnsi="Times New Roman" w:cs="Times New Roman"/>
          <w:color w:val="auto"/>
          <w:sz w:val="24"/>
          <w:szCs w:val="24"/>
          <w:lang w:val="en-US" w:eastAsia="zh-CN"/>
        </w:rPr>
        <w:t>剩余1</w:t>
      </w:r>
      <w:r>
        <w:rPr>
          <w:rFonts w:hint="default" w:ascii="Times New Roman" w:hAnsi="Times New Roman" w:cs="Times New Roman"/>
          <w:color w:val="auto"/>
          <w:sz w:val="24"/>
          <w:szCs w:val="24"/>
          <w:lang w:val="en-US" w:eastAsia="zh-CN"/>
        </w:rPr>
        <w:t>个月，</w:t>
      </w:r>
      <w:r>
        <w:rPr>
          <w:rFonts w:hint="eastAsia" w:ascii="Times New Roman" w:hAnsi="Times New Roman" w:cs="Times New Roman"/>
          <w:color w:val="auto"/>
          <w:sz w:val="24"/>
          <w:szCs w:val="24"/>
          <w:lang w:val="en-US" w:eastAsia="zh-CN"/>
        </w:rPr>
        <w:t>剩余</w:t>
      </w:r>
      <w:r>
        <w:rPr>
          <w:rFonts w:hint="default" w:ascii="Times New Roman" w:hAnsi="Times New Roman" w:cs="Times New Roman"/>
          <w:color w:val="auto"/>
          <w:sz w:val="24"/>
          <w:szCs w:val="24"/>
          <w:lang w:val="en-US" w:eastAsia="zh-CN"/>
        </w:rPr>
        <w:t>建设期施工工地的施工人员约</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人/d，工作实行一班制，每天工作8小时，不设置施工营地，施工人员不在工地食宿。</w:t>
      </w:r>
    </w:p>
    <w:p w14:paraId="60BFC39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（2）运营期</w:t>
      </w:r>
    </w:p>
    <w:p w14:paraId="528EA4F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r>
        <w:rPr>
          <w:rFonts w:hint="default" w:ascii="Times New Roman" w:hAnsi="Times New Roman" w:cs="Times New Roman"/>
          <w:color w:val="auto"/>
          <w:sz w:val="24"/>
          <w:szCs w:val="24"/>
          <w:lang w:val="en-US" w:eastAsia="zh-CN"/>
        </w:rPr>
        <w:t>本项目运营期劳动定员30人，工作实行一班制，每天工作8小时，年工作330天，所有人员均不在项目区内食宿。</w:t>
      </w:r>
    </w:p>
    <w:p w14:paraId="00AFAA0B">
      <w:pPr>
        <w:spacing w:before="101" w:line="226" w:lineRule="auto"/>
        <w:ind w:left="18"/>
        <w:outlineLvl w:val="1"/>
        <w:rPr>
          <w:rFonts w:hint="default" w:ascii="Times New Roman" w:hAnsi="Times New Roman" w:eastAsia="宋体" w:cs="Times New Roman"/>
          <w:b/>
          <w:bCs/>
          <w:color w:val="auto"/>
          <w:spacing w:val="5"/>
          <w:sz w:val="31"/>
          <w:szCs w:val="31"/>
          <w:lang w:val="en-US" w:eastAsia="zh-CN"/>
        </w:rPr>
      </w:pPr>
      <w:bookmarkStart w:id="98" w:name="_Toc6217"/>
      <w:bookmarkStart w:id="99" w:name="_Toc9584"/>
      <w:bookmarkStart w:id="100" w:name="_Toc24177"/>
      <w:r>
        <w:rPr>
          <w:rFonts w:hint="eastAsia" w:ascii="Times New Roman" w:hAnsi="Times New Roman" w:eastAsia="宋体" w:cs="Times New Roman"/>
          <w:b/>
          <w:bCs/>
          <w:color w:val="auto"/>
          <w:spacing w:val="5"/>
          <w:sz w:val="31"/>
          <w:szCs w:val="31"/>
          <w:lang w:val="en-US" w:eastAsia="zh-CN"/>
        </w:rPr>
        <w:t>2</w:t>
      </w:r>
      <w:r>
        <w:rPr>
          <w:rFonts w:hint="default" w:ascii="Times New Roman" w:hAnsi="Times New Roman" w:eastAsia="宋体" w:cs="Times New Roman"/>
          <w:b/>
          <w:bCs/>
          <w:color w:val="auto"/>
          <w:spacing w:val="5"/>
          <w:sz w:val="31"/>
          <w:szCs w:val="31"/>
          <w:lang w:val="en-US" w:eastAsia="zh-CN"/>
        </w:rPr>
        <w:t>.3.施工组织</w:t>
      </w:r>
      <w:bookmarkEnd w:id="98"/>
      <w:bookmarkEnd w:id="99"/>
      <w:bookmarkEnd w:id="100"/>
    </w:p>
    <w:p w14:paraId="3864DCDC">
      <w:pPr>
        <w:rPr>
          <w:rFonts w:hint="default"/>
          <w:color w:val="auto"/>
        </w:rPr>
      </w:pPr>
    </w:p>
    <w:p w14:paraId="1656EDC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default" w:ascii="Times New Roman" w:hAnsi="Times New Roman" w:cs="Times New Roman"/>
          <w:b/>
          <w:bCs/>
          <w:color w:val="auto"/>
          <w:sz w:val="24"/>
          <w:szCs w:val="24"/>
          <w:lang w:val="en-US" w:eastAsia="zh-CN"/>
        </w:rPr>
      </w:pPr>
      <w:bookmarkStart w:id="101" w:name="_Toc30433"/>
      <w:r>
        <w:rPr>
          <w:rFonts w:hint="eastAsia" w:ascii="Times New Roman" w:hAnsi="Times New Roman" w:cs="Times New Roman"/>
          <w:b/>
          <w:bCs/>
          <w:color w:val="auto"/>
          <w:sz w:val="24"/>
          <w:szCs w:val="24"/>
          <w:lang w:val="en-US" w:eastAsia="zh-CN"/>
        </w:rPr>
        <w:t>2.3.</w:t>
      </w:r>
      <w:r>
        <w:rPr>
          <w:rFonts w:hint="default" w:ascii="Times New Roman" w:hAnsi="Times New Roman" w:cs="Times New Roman"/>
          <w:b/>
          <w:bCs/>
          <w:color w:val="auto"/>
          <w:sz w:val="24"/>
          <w:szCs w:val="24"/>
          <w:lang w:val="en-US" w:eastAsia="zh-CN"/>
        </w:rPr>
        <w:t>1施工工艺</w:t>
      </w:r>
      <w:bookmarkEnd w:id="101"/>
    </w:p>
    <w:p w14:paraId="7734FE5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主要工程量：新铺50kg/m钢轨0.66km，新铺9道岔2组，新建集装箱装卸作业场及堆场，新建轨道衡1座、汽车衡2座，新建检箱平台1处（按双进路设计），新建14.0m宽进场道路及7.0m宽环场道路，新建视频监控、照明、排水等设施。</w:t>
      </w:r>
    </w:p>
    <w:p w14:paraId="5867694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场地不设置施工</w:t>
      </w:r>
      <w:r>
        <w:rPr>
          <w:rFonts w:hint="eastAsia" w:ascii="Times New Roman" w:hAnsi="Times New Roman" w:cs="Times New Roman"/>
          <w:color w:val="auto"/>
          <w:sz w:val="24"/>
          <w:szCs w:val="24"/>
          <w:lang w:val="en-US" w:eastAsia="zh-CN"/>
        </w:rPr>
        <w:t>场地</w:t>
      </w:r>
      <w:r>
        <w:rPr>
          <w:rFonts w:hint="default" w:ascii="Times New Roman" w:hAnsi="Times New Roman" w:cs="Times New Roman"/>
          <w:color w:val="auto"/>
          <w:sz w:val="24"/>
          <w:szCs w:val="24"/>
          <w:lang w:val="en-US" w:eastAsia="zh-CN"/>
        </w:rPr>
        <w:t>，施工人员为周边建筑工人，施工人员不在项目区食宿。施工工艺主要包括施工前准备、施工场地清理及平整、地面建筑结构施工、建筑物及设备安装等。施工时采用机械结合人工的施工方法，主要污染物包括扬尘、废水、噪声和固体废弃物等，项目施工期工艺流程及产污节点图详见图</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.3-1。</w:t>
      </w:r>
    </w:p>
    <w:p w14:paraId="10D74A07">
      <w:pPr>
        <w:rPr>
          <w:rFonts w:hint="default"/>
          <w:color w:val="auto"/>
        </w:rPr>
      </w:pPr>
      <w:r>
        <w:rPr>
          <w:rFonts w:hint="default"/>
          <w:color w:val="auto"/>
        </w:rPr>
        <w:object>
          <v:shape id="_x0000_i1025" o:spt="75" type="#_x0000_t75" style="height:90.15pt;width:411.45pt;" o:ole="t" filled="f" o:preferrelative="t" stroked="f" coordsize="21600,21600">
            <v:path/>
            <v:fill on="f" focussize="0,0"/>
            <v:stroke on="f"/>
            <v:imagedata r:id="rId28" o:title=""/>
            <o:lock v:ext="edit" aspectratio="f"/>
            <w10:wrap type="none"/>
            <w10:anchorlock/>
          </v:shape>
          <o:OLEObject Type="Embed" ProgID="Visio.Drawing.15" ShapeID="_x0000_i1025" DrawAspect="Content" ObjectID="_1468075725" r:id="rId27">
            <o:LockedField>false</o:LockedField>
          </o:OLEObject>
        </w:object>
      </w:r>
    </w:p>
    <w:p w14:paraId="5A5756F3">
      <w:pPr>
        <w:jc w:val="center"/>
        <w:rPr>
          <w:rFonts w:hint="default" w:ascii="Times New Roman" w:hAnsi="Times New Roman" w:cs="Times New Roman"/>
          <w:b/>
          <w:bCs/>
          <w:color w:val="auto"/>
        </w:rPr>
      </w:pPr>
      <w:r>
        <w:rPr>
          <w:rFonts w:hint="default" w:ascii="Times New Roman" w:hAnsi="Times New Roman" w:cs="Times New Roman"/>
          <w:b/>
          <w:bCs/>
          <w:color w:val="auto"/>
        </w:rPr>
        <w:t>图</w:t>
      </w:r>
      <w:r>
        <w:rPr>
          <w:rFonts w:hint="default" w:ascii="Times New Roman" w:hAnsi="Times New Roman" w:cs="Times New Roman"/>
          <w:b/>
          <w:bCs/>
          <w:color w:val="auto"/>
          <w:lang w:val="en-US" w:eastAsia="zh-CN"/>
        </w:rPr>
        <w:t xml:space="preserve">2.3-1 </w:t>
      </w:r>
      <w:r>
        <w:rPr>
          <w:rFonts w:hint="default" w:ascii="Times New Roman" w:hAnsi="Times New Roman" w:cs="Times New Roman"/>
          <w:b/>
          <w:bCs/>
          <w:color w:val="auto"/>
        </w:rPr>
        <w:t>施工期工艺流程及产污节点图</w:t>
      </w:r>
    </w:p>
    <w:p w14:paraId="4A5283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施工流程简述：</w:t>
      </w:r>
    </w:p>
    <w:p w14:paraId="0AF0E8E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（1）施工前准备：准备必要的机械设备、混凝土、钢材等施工设备、建筑材料；</w:t>
      </w:r>
    </w:p>
    <w:p w14:paraId="29818F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（2）施工场地清理、平整：清理、平整场地，硬化工程，使项目区整体地形更为平坦。场地清理平整，采用机械为主辅以人工的方法。</w:t>
      </w:r>
    </w:p>
    <w:p w14:paraId="561C757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（3）地面建筑工程：根据施工图纸采用机械结合人工的施工方法进行，使用钢材、石料、混凝土等建筑材料对主体建筑及配套建、构筑物进行建设施工。</w:t>
      </w:r>
    </w:p>
    <w:p w14:paraId="1718441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（4）建筑物及设备安装：采用人工辅以机械的方法，安装门窗、设备、管道、轨道等设施设备。</w:t>
      </w:r>
    </w:p>
    <w:p w14:paraId="7B54153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（5）绿化：绿化安排在工程基本完工后实施，绿化工作主要分为覆土、种植、养护，绿化基本采用人力施工。</w:t>
      </w:r>
    </w:p>
    <w:p w14:paraId="07F1CF5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施工行为将产生一定的环境问题，包括施工行为产生的扬尘，施工机械及车辆排放的燃油废气；施工产生的施工废水及施工人员的生活污水；施工机械及运输车辆产生的噪声；施工人员生活垃圾及施工建筑垃圾等固体废物，在施工期产生环境影响是可逆的，待施工期结束后将一并消失。</w:t>
      </w:r>
    </w:p>
    <w:p w14:paraId="1C18E9F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（6）</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三场</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情况</w:t>
      </w:r>
    </w:p>
    <w:p w14:paraId="48F37B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取土场：施工场地充分利用地势就地挖填，阶梯式建设各功能分区，场地不需大挖大填，不设取土场。</w:t>
      </w:r>
    </w:p>
    <w:p w14:paraId="768D2A2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渣土场：施工过程中需用于回填的土石方在施工现场临时堆存于施工围栏内，并采取遮盖措施防尘、防雨淋，不独立设置表土堆场，废弃土石方委托具有承运资格的单位及时清运至当地合法处置场；建筑垃圾外委承运单位及时清运至当地合法弃渣场，不自设建筑垃圾消纳场。</w:t>
      </w:r>
    </w:p>
    <w:p w14:paraId="361D0AB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石料场：不设石料场，砂石骨料在当地购买。</w:t>
      </w:r>
    </w:p>
    <w:p w14:paraId="7F8C2C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lang w:val="en-US" w:eastAsia="zh-CN"/>
        </w:rPr>
        <w:t>施工建设条件</w:t>
      </w:r>
    </w:p>
    <w:p w14:paraId="7CC453F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4"/>
          <w:szCs w:val="24"/>
          <w:lang w:val="en-US" w:eastAsia="zh-CN"/>
        </w:rPr>
        <w:t>项目所在地为工业园区，施工场地具备</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三通</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条件，运输道路由毗邻Y084道路进入施工场地，用水、用电依托片区既有公共设施。建筑物资从当地购买，通过公路运输至施工场地。施工过程使用商品砼，施工场地内不设混凝土搅拌站，钢材、水泥、木材、砂石料等建筑材料，根据施工过程实际需要，少量、多次购买运入。本项目施工均在地块内，不新增临时占地</w:t>
      </w:r>
      <w:r>
        <w:rPr>
          <w:rFonts w:hint="default" w:ascii="Times New Roman" w:hAnsi="Times New Roman" w:cs="Times New Roman"/>
          <w:color w:val="auto"/>
          <w:sz w:val="21"/>
          <w:szCs w:val="21"/>
          <w:lang w:val="en-US" w:eastAsia="zh-CN"/>
        </w:rPr>
        <w:t>。</w:t>
      </w:r>
    </w:p>
    <w:p w14:paraId="64384C6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outlineLvl w:val="2"/>
        <w:rPr>
          <w:rFonts w:hint="eastAsia" w:ascii="Times New Roman" w:hAnsi="Times New Roman" w:cs="Times New Roman"/>
          <w:b/>
          <w:bCs/>
          <w:color w:val="auto"/>
          <w:sz w:val="24"/>
          <w:szCs w:val="24"/>
          <w:lang w:val="en-US" w:eastAsia="zh-CN"/>
        </w:rPr>
      </w:pPr>
      <w:bookmarkStart w:id="102" w:name="_Toc15310"/>
      <w:r>
        <w:rPr>
          <w:rFonts w:hint="eastAsia" w:ascii="Times New Roman" w:hAnsi="Times New Roman" w:cs="Times New Roman"/>
          <w:b/>
          <w:bCs/>
          <w:color w:val="auto"/>
          <w:sz w:val="24"/>
          <w:szCs w:val="24"/>
          <w:lang w:val="en-US" w:eastAsia="zh-CN"/>
        </w:rPr>
        <w:t>2.3.2施工计划</w:t>
      </w:r>
      <w:bookmarkEnd w:id="102"/>
    </w:p>
    <w:p w14:paraId="7FD1227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根据本线重点工程分布和控制工期工程情况，结合沿线地形地质条件及铺轨方案，参照中国铁路总公司铁总建设【2018】94号文发布的《铁路工程施工组织设计规范》以及在建类似项目施工组织设计进度指标，综合安排本线施工总工期。本阶段按施工总工期按9个月工期考虑。施工进度计划如下表所示：</w:t>
      </w:r>
    </w:p>
    <w:p w14:paraId="42A9C37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表2.3-1 施工进度计划</w:t>
      </w:r>
    </w:p>
    <w:tbl>
      <w:tblPr>
        <w:tblStyle w:val="21"/>
        <w:tblW w:w="8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4"/>
        <w:gridCol w:w="2510"/>
        <w:gridCol w:w="1359"/>
        <w:gridCol w:w="1322"/>
        <w:gridCol w:w="2355"/>
      </w:tblGrid>
      <w:tr w14:paraId="16EF9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F858">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编号</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B635">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工作名称</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888D">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开始时间</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09D2">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结束时间</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7843E">
            <w:pPr>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备注</w:t>
            </w:r>
          </w:p>
        </w:tc>
      </w:tr>
      <w:tr w14:paraId="3D8BC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222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A40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施工准备</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058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2026/1/4</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447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2026/5/28</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F168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760B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52A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1C98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项目地块围挡</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4DDD">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A0FC">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0C15">
            <w:pPr>
              <w:jc w:val="center"/>
              <w:rPr>
                <w:rFonts w:hint="default" w:ascii="Times New Roman" w:hAnsi="Times New Roman" w:eastAsia="宋体" w:cs="Times New Roman"/>
                <w:color w:val="auto"/>
                <w:sz w:val="21"/>
                <w:szCs w:val="21"/>
              </w:rPr>
            </w:pPr>
          </w:p>
        </w:tc>
      </w:tr>
      <w:tr w14:paraId="1A48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726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033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临水临电</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7067">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1B11">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83438">
            <w:pPr>
              <w:jc w:val="center"/>
              <w:rPr>
                <w:rFonts w:hint="default" w:ascii="Times New Roman" w:hAnsi="Times New Roman" w:eastAsia="宋体" w:cs="Times New Roman"/>
                <w:color w:val="auto"/>
                <w:sz w:val="21"/>
                <w:szCs w:val="21"/>
              </w:rPr>
            </w:pPr>
          </w:p>
        </w:tc>
      </w:tr>
      <w:tr w14:paraId="603AB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1BE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F92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工程测量(标高控制、定位放线)</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A685">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4A03">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BCCA">
            <w:pPr>
              <w:jc w:val="center"/>
              <w:rPr>
                <w:rFonts w:hint="default" w:ascii="Times New Roman" w:hAnsi="Times New Roman" w:eastAsia="宋体" w:cs="Times New Roman"/>
                <w:color w:val="auto"/>
                <w:sz w:val="21"/>
                <w:szCs w:val="21"/>
              </w:rPr>
            </w:pPr>
          </w:p>
        </w:tc>
      </w:tr>
      <w:tr w14:paraId="71C61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2AF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316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土方工程</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9E6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2026/1/9</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A6E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2026/3/15</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9490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36FA6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14B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48C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地下构建物清挖、破除</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FB27">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77C5B">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5BFD">
            <w:pPr>
              <w:jc w:val="center"/>
              <w:rPr>
                <w:rFonts w:hint="default" w:ascii="Times New Roman" w:hAnsi="Times New Roman" w:eastAsia="宋体" w:cs="Times New Roman"/>
                <w:color w:val="auto"/>
                <w:sz w:val="21"/>
                <w:szCs w:val="21"/>
              </w:rPr>
            </w:pPr>
          </w:p>
        </w:tc>
      </w:tr>
      <w:tr w14:paraId="5881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0438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8342">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土方外运、处置</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487F">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F1D6">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1FED">
            <w:pPr>
              <w:jc w:val="center"/>
              <w:rPr>
                <w:rFonts w:hint="default" w:ascii="Times New Roman" w:hAnsi="Times New Roman" w:eastAsia="宋体" w:cs="Times New Roman"/>
                <w:color w:val="auto"/>
                <w:sz w:val="21"/>
                <w:szCs w:val="21"/>
              </w:rPr>
            </w:pPr>
          </w:p>
        </w:tc>
      </w:tr>
      <w:tr w14:paraId="6FFF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976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B86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铁路、站场基础工程</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D13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2026/3/20</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562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2026/4/30</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B86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3D9D4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EBE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51A2">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CFG桩地基加固</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B8F1">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21A0">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FB69">
            <w:pPr>
              <w:jc w:val="center"/>
              <w:rPr>
                <w:rFonts w:hint="default" w:ascii="Times New Roman" w:hAnsi="Times New Roman" w:eastAsia="宋体" w:cs="Times New Roman"/>
                <w:color w:val="auto"/>
                <w:sz w:val="21"/>
                <w:szCs w:val="21"/>
              </w:rPr>
            </w:pPr>
          </w:p>
        </w:tc>
      </w:tr>
      <w:tr w14:paraId="5E684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A5D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44C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CFG桩扩大桩头施工</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883A">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1090">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BF21">
            <w:pPr>
              <w:jc w:val="center"/>
              <w:rPr>
                <w:rFonts w:hint="default" w:ascii="Times New Roman" w:hAnsi="Times New Roman" w:eastAsia="宋体" w:cs="Times New Roman"/>
                <w:color w:val="auto"/>
                <w:sz w:val="21"/>
                <w:szCs w:val="21"/>
              </w:rPr>
            </w:pPr>
          </w:p>
        </w:tc>
      </w:tr>
      <w:tr w14:paraId="79B77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975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EC0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翻挖回填（含片石换填）</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D69C">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00A9">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7BA4">
            <w:pPr>
              <w:jc w:val="center"/>
              <w:rPr>
                <w:rFonts w:hint="default" w:ascii="Times New Roman" w:hAnsi="Times New Roman" w:eastAsia="宋体" w:cs="Times New Roman"/>
                <w:color w:val="auto"/>
                <w:sz w:val="21"/>
                <w:szCs w:val="21"/>
              </w:rPr>
            </w:pPr>
          </w:p>
        </w:tc>
      </w:tr>
      <w:tr w14:paraId="06CB4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7AF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6.4</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B37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级配褥垫层</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D8475">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D356">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3E37">
            <w:pPr>
              <w:jc w:val="center"/>
              <w:rPr>
                <w:rFonts w:hint="default" w:ascii="Times New Roman" w:hAnsi="Times New Roman" w:eastAsia="宋体" w:cs="Times New Roman"/>
                <w:color w:val="auto"/>
                <w:sz w:val="21"/>
                <w:szCs w:val="21"/>
              </w:rPr>
            </w:pPr>
          </w:p>
        </w:tc>
      </w:tr>
      <w:tr w14:paraId="05D19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252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6.5</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ECC2">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水稳层施工</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C395">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25DF">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D0C7">
            <w:pPr>
              <w:jc w:val="center"/>
              <w:rPr>
                <w:rFonts w:hint="default" w:ascii="Times New Roman" w:hAnsi="Times New Roman" w:eastAsia="宋体" w:cs="Times New Roman"/>
                <w:color w:val="auto"/>
                <w:sz w:val="21"/>
                <w:szCs w:val="21"/>
              </w:rPr>
            </w:pPr>
          </w:p>
        </w:tc>
      </w:tr>
      <w:tr w14:paraId="579C2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271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6.6</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47F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封水层</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EED4">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E1EF">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E049">
            <w:pPr>
              <w:jc w:val="center"/>
              <w:rPr>
                <w:rFonts w:hint="default" w:ascii="Times New Roman" w:hAnsi="Times New Roman" w:eastAsia="宋体" w:cs="Times New Roman"/>
                <w:color w:val="auto"/>
                <w:sz w:val="21"/>
                <w:szCs w:val="21"/>
              </w:rPr>
            </w:pPr>
          </w:p>
        </w:tc>
      </w:tr>
      <w:tr w14:paraId="77F3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52C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6.7</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414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排水（沟、管、井）系统</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A28D">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F93C">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86841">
            <w:pPr>
              <w:jc w:val="center"/>
              <w:rPr>
                <w:rFonts w:hint="default" w:ascii="Times New Roman" w:hAnsi="Times New Roman" w:eastAsia="宋体" w:cs="Times New Roman"/>
                <w:color w:val="auto"/>
                <w:sz w:val="21"/>
                <w:szCs w:val="21"/>
              </w:rPr>
            </w:pPr>
          </w:p>
        </w:tc>
      </w:tr>
      <w:tr w14:paraId="4BD4C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B27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6.8</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9CF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边坡支护（植草）</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F9B8">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FD3E">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2F39">
            <w:pPr>
              <w:jc w:val="center"/>
              <w:rPr>
                <w:rFonts w:hint="default" w:ascii="Times New Roman" w:hAnsi="Times New Roman" w:eastAsia="宋体" w:cs="Times New Roman"/>
                <w:color w:val="auto"/>
                <w:sz w:val="21"/>
                <w:szCs w:val="21"/>
              </w:rPr>
            </w:pPr>
          </w:p>
        </w:tc>
      </w:tr>
      <w:tr w14:paraId="210CD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158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3B1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土建工程</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D3C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2026/3/15</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FBE9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2026/4/30</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37A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503EC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F33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08B2">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雨水集水池</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10349">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EF99">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C9E8">
            <w:pPr>
              <w:jc w:val="center"/>
              <w:rPr>
                <w:rFonts w:hint="default" w:ascii="Times New Roman" w:hAnsi="Times New Roman" w:eastAsia="宋体" w:cs="Times New Roman"/>
                <w:color w:val="auto"/>
                <w:sz w:val="21"/>
                <w:szCs w:val="21"/>
              </w:rPr>
            </w:pPr>
          </w:p>
        </w:tc>
      </w:tr>
      <w:tr w14:paraId="74408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9A8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2E1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门卫</w:t>
            </w:r>
          </w:p>
        </w:tc>
        <w:tc>
          <w:tcPr>
            <w:tcW w:w="1359" w:type="dxa"/>
            <w:vMerge w:val="restart"/>
            <w:tcBorders>
              <w:top w:val="single" w:color="000000" w:sz="4" w:space="0"/>
              <w:left w:val="single" w:color="000000" w:sz="4" w:space="0"/>
              <w:right w:val="single" w:color="000000" w:sz="4" w:space="0"/>
            </w:tcBorders>
            <w:shd w:val="clear" w:color="auto" w:fill="auto"/>
            <w:noWrap/>
            <w:vAlign w:val="center"/>
          </w:tcPr>
          <w:p w14:paraId="7E33FAE5">
            <w:pPr>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原计划2026/8/2</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BBEA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F70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环评批复后再开始施工</w:t>
            </w:r>
          </w:p>
        </w:tc>
      </w:tr>
      <w:tr w14:paraId="77192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B94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068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箱检平台</w:t>
            </w:r>
          </w:p>
        </w:tc>
        <w:tc>
          <w:tcPr>
            <w:tcW w:w="1359" w:type="dxa"/>
            <w:vMerge w:val="continue"/>
            <w:tcBorders>
              <w:left w:val="single" w:color="000000" w:sz="4" w:space="0"/>
              <w:right w:val="single" w:color="000000" w:sz="4" w:space="0"/>
            </w:tcBorders>
            <w:shd w:val="clear" w:color="auto" w:fill="auto"/>
            <w:noWrap/>
            <w:vAlign w:val="center"/>
          </w:tcPr>
          <w:p w14:paraId="58939013">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4A8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0052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环评批复后再开始施工</w:t>
            </w:r>
          </w:p>
        </w:tc>
      </w:tr>
      <w:tr w14:paraId="1980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984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7.4</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838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车位</w:t>
            </w:r>
          </w:p>
        </w:tc>
        <w:tc>
          <w:tcPr>
            <w:tcW w:w="1359" w:type="dxa"/>
            <w:vMerge w:val="continue"/>
            <w:tcBorders>
              <w:left w:val="single" w:color="000000" w:sz="4" w:space="0"/>
              <w:bottom w:val="single" w:color="000000" w:sz="4" w:space="0"/>
              <w:right w:val="single" w:color="000000" w:sz="4" w:space="0"/>
            </w:tcBorders>
            <w:shd w:val="clear" w:color="auto" w:fill="auto"/>
            <w:noWrap/>
            <w:vAlign w:val="center"/>
          </w:tcPr>
          <w:p w14:paraId="5F14A408">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19A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561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环评批复后再开始施工</w:t>
            </w:r>
          </w:p>
        </w:tc>
      </w:tr>
      <w:tr w14:paraId="27BD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A4E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DD2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铁路工程</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96D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2026/4/1</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810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2026/5/25</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53E1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52459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942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0AD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路基、路床</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A3CD">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593C">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D8CE">
            <w:pPr>
              <w:jc w:val="center"/>
              <w:rPr>
                <w:rFonts w:hint="default" w:ascii="Times New Roman" w:hAnsi="Times New Roman" w:eastAsia="宋体" w:cs="Times New Roman"/>
                <w:color w:val="auto"/>
                <w:sz w:val="21"/>
                <w:szCs w:val="21"/>
              </w:rPr>
            </w:pPr>
          </w:p>
        </w:tc>
      </w:tr>
      <w:tr w14:paraId="54429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F04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1BD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铺轨</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29C3">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DAB12">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4557">
            <w:pPr>
              <w:jc w:val="center"/>
              <w:rPr>
                <w:rFonts w:hint="default" w:ascii="Times New Roman" w:hAnsi="Times New Roman" w:eastAsia="宋体" w:cs="Times New Roman"/>
                <w:color w:val="auto"/>
                <w:sz w:val="21"/>
                <w:szCs w:val="21"/>
              </w:rPr>
            </w:pPr>
          </w:p>
        </w:tc>
      </w:tr>
      <w:tr w14:paraId="64B4E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C07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007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电气安装</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9232">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589C">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B53DB">
            <w:pPr>
              <w:jc w:val="center"/>
              <w:rPr>
                <w:rFonts w:hint="default" w:ascii="Times New Roman" w:hAnsi="Times New Roman" w:eastAsia="宋体" w:cs="Times New Roman"/>
                <w:color w:val="auto"/>
                <w:sz w:val="21"/>
                <w:szCs w:val="21"/>
              </w:rPr>
            </w:pPr>
          </w:p>
        </w:tc>
      </w:tr>
      <w:tr w14:paraId="19E84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E8F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4CA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轨道衡</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F0E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2026/3/20</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A01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2026/5/18</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AD5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6C802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919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EC12">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地基加固处理</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6278">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8973">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F518">
            <w:pPr>
              <w:jc w:val="center"/>
              <w:rPr>
                <w:rFonts w:hint="default" w:ascii="Times New Roman" w:hAnsi="Times New Roman" w:eastAsia="宋体" w:cs="Times New Roman"/>
                <w:color w:val="auto"/>
                <w:sz w:val="21"/>
                <w:szCs w:val="21"/>
              </w:rPr>
            </w:pPr>
          </w:p>
        </w:tc>
      </w:tr>
      <w:tr w14:paraId="7000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982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914C">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轨道衡基础</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D3EFC">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8F2C">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C59C">
            <w:pPr>
              <w:jc w:val="center"/>
              <w:rPr>
                <w:rFonts w:hint="default" w:ascii="Times New Roman" w:hAnsi="Times New Roman" w:eastAsia="宋体" w:cs="Times New Roman"/>
                <w:color w:val="auto"/>
                <w:sz w:val="21"/>
                <w:szCs w:val="21"/>
              </w:rPr>
            </w:pPr>
          </w:p>
        </w:tc>
      </w:tr>
      <w:tr w14:paraId="5EECB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D9D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0F2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轨道衡安装</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EE78">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9CB9">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7828">
            <w:pPr>
              <w:jc w:val="center"/>
              <w:rPr>
                <w:rFonts w:hint="default" w:ascii="Times New Roman" w:hAnsi="Times New Roman" w:eastAsia="宋体" w:cs="Times New Roman"/>
                <w:color w:val="auto"/>
                <w:sz w:val="21"/>
                <w:szCs w:val="21"/>
              </w:rPr>
            </w:pPr>
          </w:p>
        </w:tc>
      </w:tr>
      <w:tr w14:paraId="6A6BD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6B12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966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集装箱堆场铺面工程</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188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2026/4/2</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229C">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2026/5/9</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EBD9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136E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7C96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773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钢筋网片</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7A58">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FCE8">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94DF">
            <w:pPr>
              <w:jc w:val="center"/>
              <w:rPr>
                <w:rFonts w:hint="default" w:ascii="Times New Roman" w:hAnsi="Times New Roman" w:eastAsia="宋体" w:cs="Times New Roman"/>
                <w:color w:val="auto"/>
                <w:sz w:val="21"/>
                <w:szCs w:val="21"/>
              </w:rPr>
            </w:pPr>
          </w:p>
        </w:tc>
      </w:tr>
      <w:tr w14:paraId="324AF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04E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6BC8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C45混凝土面层</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A971">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9AA66">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A970">
            <w:pPr>
              <w:jc w:val="center"/>
              <w:rPr>
                <w:rFonts w:hint="default" w:ascii="Times New Roman" w:hAnsi="Times New Roman" w:eastAsia="宋体" w:cs="Times New Roman"/>
                <w:color w:val="auto"/>
                <w:sz w:val="21"/>
                <w:szCs w:val="21"/>
              </w:rPr>
            </w:pPr>
          </w:p>
        </w:tc>
      </w:tr>
      <w:tr w14:paraId="19DF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37B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0D01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道路工程铺面</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8E55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2026/5/10</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52F8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2026/6/30</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3F8A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0D6E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503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9ECC">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C45混凝土面层</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25AD6">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9601F">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14DD">
            <w:pPr>
              <w:jc w:val="center"/>
              <w:rPr>
                <w:rFonts w:hint="default" w:ascii="Times New Roman" w:hAnsi="Times New Roman" w:eastAsia="宋体" w:cs="Times New Roman"/>
                <w:color w:val="auto"/>
                <w:sz w:val="21"/>
                <w:szCs w:val="21"/>
              </w:rPr>
            </w:pPr>
          </w:p>
        </w:tc>
      </w:tr>
      <w:tr w14:paraId="524E3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7C88C">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2B52">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C25混凝土路面</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98252">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D8586">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3DCD">
            <w:pPr>
              <w:jc w:val="center"/>
              <w:rPr>
                <w:rFonts w:hint="default" w:ascii="Times New Roman" w:hAnsi="Times New Roman" w:eastAsia="宋体" w:cs="Times New Roman"/>
                <w:color w:val="auto"/>
                <w:sz w:val="21"/>
                <w:szCs w:val="21"/>
              </w:rPr>
            </w:pPr>
          </w:p>
        </w:tc>
      </w:tr>
      <w:tr w14:paraId="6FA4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590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FB7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汽车衡基础</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A502">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8E86E">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CCAA">
            <w:pPr>
              <w:jc w:val="center"/>
              <w:rPr>
                <w:rFonts w:hint="default" w:ascii="Times New Roman" w:hAnsi="Times New Roman" w:eastAsia="宋体" w:cs="Times New Roman"/>
                <w:color w:val="auto"/>
                <w:sz w:val="21"/>
                <w:szCs w:val="21"/>
              </w:rPr>
            </w:pPr>
          </w:p>
        </w:tc>
      </w:tr>
      <w:tr w14:paraId="5F245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4AD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11.4</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B3A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汽车衡安装</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B5D5">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6E46A">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2602">
            <w:pPr>
              <w:jc w:val="center"/>
              <w:rPr>
                <w:rFonts w:hint="default" w:ascii="Times New Roman" w:hAnsi="Times New Roman" w:eastAsia="宋体" w:cs="Times New Roman"/>
                <w:color w:val="auto"/>
                <w:sz w:val="21"/>
                <w:szCs w:val="21"/>
              </w:rPr>
            </w:pPr>
          </w:p>
        </w:tc>
      </w:tr>
      <w:tr w14:paraId="00C2A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B98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6F3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绿化工程</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3FE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2026/6/30</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D36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2026/8/1</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108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已完成</w:t>
            </w:r>
          </w:p>
        </w:tc>
      </w:tr>
      <w:tr w14:paraId="3688C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26FD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4D48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绿化带整形、红土回填</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ED53">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33C3">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6333E">
            <w:pPr>
              <w:jc w:val="center"/>
              <w:rPr>
                <w:rFonts w:hint="default" w:ascii="Times New Roman" w:hAnsi="Times New Roman" w:eastAsia="宋体" w:cs="Times New Roman"/>
                <w:color w:val="auto"/>
                <w:sz w:val="21"/>
                <w:szCs w:val="21"/>
              </w:rPr>
            </w:pPr>
          </w:p>
        </w:tc>
      </w:tr>
      <w:tr w14:paraId="0C397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03E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B29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植被栽种</w:t>
            </w: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26AD">
            <w:pPr>
              <w:jc w:val="center"/>
              <w:rPr>
                <w:rFonts w:hint="default" w:ascii="Times New Roman" w:hAnsi="Times New Roman" w:eastAsia="宋体" w:cs="Times New Roman"/>
                <w:color w:val="auto"/>
                <w:sz w:val="21"/>
                <w:szCs w:val="21"/>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D9E9">
            <w:pPr>
              <w:jc w:val="center"/>
              <w:rPr>
                <w:rFonts w:hint="default" w:ascii="Times New Roman" w:hAnsi="Times New Roman" w:eastAsia="宋体" w:cs="Times New Roman"/>
                <w:color w:val="auto"/>
                <w:sz w:val="21"/>
                <w:szCs w:val="21"/>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A9D1A">
            <w:pPr>
              <w:jc w:val="center"/>
              <w:rPr>
                <w:rFonts w:hint="default" w:ascii="Times New Roman" w:hAnsi="Times New Roman" w:eastAsia="宋体" w:cs="Times New Roman"/>
                <w:color w:val="auto"/>
                <w:sz w:val="21"/>
                <w:szCs w:val="21"/>
              </w:rPr>
            </w:pPr>
          </w:p>
        </w:tc>
      </w:tr>
      <w:tr w14:paraId="0A03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46EA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D26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安装工程（含管线预埋周期）</w:t>
            </w:r>
          </w:p>
        </w:tc>
        <w:tc>
          <w:tcPr>
            <w:tcW w:w="1359" w:type="dxa"/>
            <w:vMerge w:val="restart"/>
            <w:tcBorders>
              <w:top w:val="single" w:color="000000" w:sz="4" w:space="0"/>
              <w:left w:val="single" w:color="000000" w:sz="4" w:space="0"/>
              <w:right w:val="single" w:color="000000" w:sz="4" w:space="0"/>
            </w:tcBorders>
            <w:shd w:val="clear" w:color="auto" w:fill="auto"/>
            <w:noWrap/>
            <w:vAlign w:val="center"/>
          </w:tcPr>
          <w:p w14:paraId="35AC3227">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原计划2026/8/2</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238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E55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环评批复后再开始安装</w:t>
            </w:r>
          </w:p>
        </w:tc>
      </w:tr>
      <w:tr w14:paraId="6BEAE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9E24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2D5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电力安装</w:t>
            </w:r>
          </w:p>
        </w:tc>
        <w:tc>
          <w:tcPr>
            <w:tcW w:w="1359" w:type="dxa"/>
            <w:vMerge w:val="continue"/>
            <w:tcBorders>
              <w:left w:val="single" w:color="000000" w:sz="4" w:space="0"/>
              <w:right w:val="single" w:color="000000" w:sz="4" w:space="0"/>
            </w:tcBorders>
            <w:shd w:val="clear" w:color="auto" w:fill="auto"/>
            <w:noWrap/>
            <w:vAlign w:val="center"/>
          </w:tcPr>
          <w:p w14:paraId="389BF569">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473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ED6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环评批复后再开始安装</w:t>
            </w:r>
          </w:p>
        </w:tc>
      </w:tr>
      <w:tr w14:paraId="2CF6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34B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885E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信息、智能化系统</w:t>
            </w:r>
          </w:p>
        </w:tc>
        <w:tc>
          <w:tcPr>
            <w:tcW w:w="1359" w:type="dxa"/>
            <w:vMerge w:val="continue"/>
            <w:tcBorders>
              <w:left w:val="single" w:color="000000" w:sz="4" w:space="0"/>
              <w:right w:val="single" w:color="000000" w:sz="4" w:space="0"/>
            </w:tcBorders>
            <w:shd w:val="clear" w:color="auto" w:fill="auto"/>
            <w:noWrap/>
            <w:vAlign w:val="center"/>
          </w:tcPr>
          <w:p w14:paraId="242C41AB">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821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78D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环评批复后再开始安装</w:t>
            </w:r>
          </w:p>
        </w:tc>
      </w:tr>
      <w:tr w14:paraId="04A70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C1B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4E0A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灯塔</w:t>
            </w:r>
          </w:p>
        </w:tc>
        <w:tc>
          <w:tcPr>
            <w:tcW w:w="1359" w:type="dxa"/>
            <w:vMerge w:val="continue"/>
            <w:tcBorders>
              <w:left w:val="single" w:color="000000" w:sz="4" w:space="0"/>
              <w:bottom w:val="single" w:color="000000" w:sz="4" w:space="0"/>
              <w:right w:val="single" w:color="000000" w:sz="4" w:space="0"/>
            </w:tcBorders>
            <w:shd w:val="clear" w:color="auto" w:fill="auto"/>
            <w:noWrap/>
            <w:vAlign w:val="center"/>
          </w:tcPr>
          <w:p w14:paraId="46FE1D4B">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5FBF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A05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环评批复后再开始安装</w:t>
            </w:r>
          </w:p>
        </w:tc>
      </w:tr>
      <w:tr w14:paraId="6F6A6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220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14</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C35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工程验收</w:t>
            </w:r>
          </w:p>
        </w:tc>
        <w:tc>
          <w:tcPr>
            <w:tcW w:w="1359" w:type="dxa"/>
            <w:vMerge w:val="restart"/>
            <w:tcBorders>
              <w:top w:val="single" w:color="000000" w:sz="4" w:space="0"/>
              <w:left w:val="single" w:color="000000" w:sz="4" w:space="0"/>
              <w:right w:val="single" w:color="000000" w:sz="4" w:space="0"/>
            </w:tcBorders>
            <w:shd w:val="clear" w:color="auto" w:fill="auto"/>
            <w:noWrap/>
            <w:vAlign w:val="center"/>
          </w:tcPr>
          <w:p w14:paraId="0EC689B6">
            <w:pPr>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原计划2026/9/30</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B83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CA3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环评批复后再开始验收</w:t>
            </w:r>
          </w:p>
        </w:tc>
      </w:tr>
      <w:tr w14:paraId="070A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0D8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14.1</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0C3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自查自检，分部报验</w:t>
            </w:r>
          </w:p>
        </w:tc>
        <w:tc>
          <w:tcPr>
            <w:tcW w:w="1359" w:type="dxa"/>
            <w:vMerge w:val="continue"/>
            <w:tcBorders>
              <w:left w:val="single" w:color="000000" w:sz="4" w:space="0"/>
              <w:right w:val="single" w:color="000000" w:sz="4" w:space="0"/>
            </w:tcBorders>
            <w:shd w:val="clear" w:color="auto" w:fill="auto"/>
            <w:noWrap/>
            <w:vAlign w:val="center"/>
          </w:tcPr>
          <w:p w14:paraId="354B273B">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367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90A6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环评批复后再开始验收</w:t>
            </w:r>
          </w:p>
        </w:tc>
      </w:tr>
      <w:tr w14:paraId="1E591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D91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14.2</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9AD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预验收</w:t>
            </w:r>
          </w:p>
        </w:tc>
        <w:tc>
          <w:tcPr>
            <w:tcW w:w="1359" w:type="dxa"/>
            <w:vMerge w:val="continue"/>
            <w:tcBorders>
              <w:left w:val="single" w:color="000000" w:sz="4" w:space="0"/>
              <w:right w:val="single" w:color="000000" w:sz="4" w:space="0"/>
            </w:tcBorders>
            <w:shd w:val="clear" w:color="auto" w:fill="auto"/>
            <w:noWrap/>
            <w:vAlign w:val="center"/>
          </w:tcPr>
          <w:p w14:paraId="342D01DD">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7878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B21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环评批复后再开始验收</w:t>
            </w:r>
          </w:p>
        </w:tc>
      </w:tr>
      <w:tr w14:paraId="19DC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6B6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14.3</w:t>
            </w:r>
          </w:p>
        </w:tc>
        <w:tc>
          <w:tcPr>
            <w:tcW w:w="2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9A8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工程验收</w:t>
            </w:r>
          </w:p>
        </w:tc>
        <w:tc>
          <w:tcPr>
            <w:tcW w:w="1359" w:type="dxa"/>
            <w:vMerge w:val="continue"/>
            <w:tcBorders>
              <w:left w:val="single" w:color="000000" w:sz="4" w:space="0"/>
              <w:bottom w:val="single" w:color="000000" w:sz="4" w:space="0"/>
              <w:right w:val="single" w:color="000000" w:sz="4" w:space="0"/>
            </w:tcBorders>
            <w:shd w:val="clear" w:color="auto" w:fill="auto"/>
            <w:noWrap/>
            <w:vAlign w:val="center"/>
          </w:tcPr>
          <w:p w14:paraId="6D6E87C8">
            <w:pPr>
              <w:jc w:val="center"/>
              <w:rPr>
                <w:rFonts w:hint="default" w:ascii="Times New Roman" w:hAnsi="Times New Roman" w:eastAsia="宋体" w:cs="Times New Roman"/>
                <w:color w:val="auto"/>
                <w:sz w:val="21"/>
                <w:szCs w:val="21"/>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69D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暂停</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6A4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环评批复后再开始验收</w:t>
            </w:r>
          </w:p>
        </w:tc>
      </w:tr>
    </w:tbl>
    <w:p w14:paraId="18B8CA18">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1"/>
        <w:rPr>
          <w:color w:val="auto"/>
          <w:sz w:val="24"/>
          <w:szCs w:val="24"/>
        </w:rPr>
      </w:pPr>
      <w:bookmarkStart w:id="103" w:name="_Toc19584"/>
      <w:r>
        <w:rPr>
          <w:rFonts w:ascii="Times New Roman" w:hAnsi="Times New Roman" w:eastAsia="Times New Roman" w:cs="Times New Roman"/>
          <w:b/>
          <w:bCs/>
          <w:color w:val="auto"/>
          <w:spacing w:val="-3"/>
          <w:sz w:val="24"/>
          <w:szCs w:val="24"/>
        </w:rPr>
        <w:t>2.</w:t>
      </w:r>
      <w:r>
        <w:rPr>
          <w:rFonts w:hint="eastAsia" w:ascii="Times New Roman" w:hAnsi="Times New Roman" w:eastAsia="宋体" w:cs="Times New Roman"/>
          <w:b/>
          <w:bCs/>
          <w:color w:val="auto"/>
          <w:spacing w:val="-3"/>
          <w:sz w:val="24"/>
          <w:szCs w:val="24"/>
          <w:lang w:val="en-US" w:eastAsia="zh-CN"/>
        </w:rPr>
        <w:t>4</w:t>
      </w:r>
      <w:r>
        <w:rPr>
          <w:rFonts w:ascii="Times New Roman" w:hAnsi="Times New Roman" w:eastAsia="Times New Roman" w:cs="Times New Roman"/>
          <w:b/>
          <w:bCs/>
          <w:color w:val="auto"/>
          <w:spacing w:val="-3"/>
          <w:sz w:val="24"/>
          <w:szCs w:val="24"/>
        </w:rPr>
        <w:t xml:space="preserve"> </w:t>
      </w:r>
      <w:r>
        <w:rPr>
          <w:b/>
          <w:bCs/>
          <w:color w:val="auto"/>
          <w:spacing w:val="-3"/>
          <w:sz w:val="24"/>
          <w:szCs w:val="24"/>
        </w:rPr>
        <w:t>污染影响因素分析及污染源源强核算</w:t>
      </w:r>
      <w:bookmarkEnd w:id="103"/>
    </w:p>
    <w:p w14:paraId="353D8488">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color w:val="auto"/>
          <w:sz w:val="24"/>
          <w:szCs w:val="24"/>
        </w:rPr>
      </w:pPr>
      <w:bookmarkStart w:id="104" w:name="_Toc7531"/>
      <w:r>
        <w:rPr>
          <w:rFonts w:ascii="Times New Roman" w:hAnsi="Times New Roman" w:eastAsia="Times New Roman" w:cs="Times New Roman"/>
          <w:b/>
          <w:bCs/>
          <w:color w:val="auto"/>
          <w:spacing w:val="-2"/>
          <w:sz w:val="24"/>
          <w:szCs w:val="24"/>
        </w:rPr>
        <w:t>2.</w:t>
      </w:r>
      <w:r>
        <w:rPr>
          <w:rFonts w:hint="eastAsia" w:ascii="Times New Roman" w:hAnsi="Times New Roman" w:eastAsia="宋体" w:cs="Times New Roman"/>
          <w:b/>
          <w:bCs/>
          <w:color w:val="auto"/>
          <w:spacing w:val="-2"/>
          <w:sz w:val="24"/>
          <w:szCs w:val="24"/>
          <w:lang w:val="en-US" w:eastAsia="zh-CN"/>
        </w:rPr>
        <w:t>4</w:t>
      </w:r>
      <w:r>
        <w:rPr>
          <w:rFonts w:ascii="Times New Roman" w:hAnsi="Times New Roman" w:eastAsia="Times New Roman" w:cs="Times New Roman"/>
          <w:b/>
          <w:bCs/>
          <w:color w:val="auto"/>
          <w:spacing w:val="-2"/>
          <w:sz w:val="24"/>
          <w:szCs w:val="24"/>
        </w:rPr>
        <w:t xml:space="preserve">.1 </w:t>
      </w:r>
      <w:r>
        <w:rPr>
          <w:b/>
          <w:bCs/>
          <w:color w:val="auto"/>
          <w:spacing w:val="-2"/>
          <w:sz w:val="24"/>
          <w:szCs w:val="24"/>
        </w:rPr>
        <w:t>施工期污染物产生及排放情况</w:t>
      </w:r>
      <w:bookmarkEnd w:id="104"/>
    </w:p>
    <w:p w14:paraId="16675915">
      <w:pPr>
        <w:keepNext w:val="0"/>
        <w:keepLines w:val="0"/>
        <w:pageBreakBefore w:val="0"/>
        <w:widowControl/>
        <w:kinsoku w:val="0"/>
        <w:wordWrap/>
        <w:overflowPunct/>
        <w:topLinePunct w:val="0"/>
        <w:autoSpaceDE w:val="0"/>
        <w:autoSpaceDN w:val="0"/>
        <w:bidi w:val="0"/>
        <w:adjustRightInd/>
        <w:snapToGrid/>
        <w:spacing w:line="360" w:lineRule="auto"/>
        <w:ind w:left="0" w:firstLine="482" w:firstLineChars="200"/>
        <w:textAlignment w:val="baseline"/>
        <w:outlineLvl w:val="3"/>
        <w:rPr>
          <w:rFonts w:hint="default" w:ascii="Times New Roman" w:hAnsi="Times New Roman" w:cs="Times New Roman"/>
          <w:color w:val="auto"/>
          <w:sz w:val="24"/>
          <w:szCs w:val="24"/>
        </w:rPr>
      </w:pPr>
      <w:r>
        <w:rPr>
          <w:rFonts w:hint="eastAsia" w:ascii="Times New Roman" w:hAnsi="Times New Roman" w:eastAsia="宋体" w:cs="Times New Roman"/>
          <w:b/>
          <w:color w:val="auto"/>
          <w:sz w:val="24"/>
          <w:szCs w:val="24"/>
          <w:lang w:val="en-US" w:eastAsia="zh-CN" w:bidi="ar"/>
        </w:rPr>
        <w:t>2.4.1.1</w:t>
      </w:r>
      <w:r>
        <w:rPr>
          <w:rFonts w:hint="default" w:ascii="Times New Roman" w:hAnsi="Times New Roman" w:cs="Times New Roman"/>
          <w:b/>
          <w:color w:val="auto"/>
          <w:sz w:val="24"/>
          <w:szCs w:val="24"/>
          <w:lang w:bidi="ar"/>
        </w:rPr>
        <w:t>已施工部分—回顾性分析</w:t>
      </w:r>
    </w:p>
    <w:p w14:paraId="2B5CF2B5">
      <w:pPr>
        <w:keepNext w:val="0"/>
        <w:keepLines w:val="0"/>
        <w:pageBreakBefore w:val="0"/>
        <w:widowControl/>
        <w:numPr>
          <w:ilvl w:val="0"/>
          <w:numId w:val="0"/>
        </w:numPr>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color w:val="auto"/>
          <w:sz w:val="24"/>
          <w:szCs w:val="24"/>
          <w:lang w:bidi="ar"/>
        </w:rPr>
        <w:t>根据现场踏勘，</w:t>
      </w:r>
      <w:r>
        <w:rPr>
          <w:rFonts w:hint="eastAsia" w:ascii="Times New Roman" w:hAnsi="Times New Roman" w:cs="Times New Roman"/>
          <w:b w:val="0"/>
          <w:bCs w:val="0"/>
          <w:color w:val="auto"/>
          <w:kern w:val="2"/>
          <w:sz w:val="24"/>
          <w:szCs w:val="24"/>
          <w:highlight w:val="none"/>
          <w:lang w:val="en-US" w:eastAsia="zh-CN" w:bidi="ar-SA"/>
        </w:rPr>
        <w:t>目前项目</w:t>
      </w:r>
      <w:r>
        <w:rPr>
          <w:rFonts w:hint="default" w:ascii="Times New Roman" w:hAnsi="Times New Roman" w:eastAsia="宋体" w:cs="Times New Roman"/>
          <w:color w:val="auto"/>
          <w:kern w:val="0"/>
          <w:sz w:val="24"/>
          <w:szCs w:val="24"/>
          <w:lang w:val="en-US" w:eastAsia="zh-CN" w:bidi="ar"/>
        </w:rPr>
        <w:t>H1道及H2道尽头式货物线</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bidi="ar"/>
        </w:rPr>
        <w:t>集装箱堆场</w:t>
      </w:r>
      <w:r>
        <w:rPr>
          <w:rFonts w:hint="eastAsia" w:ascii="Times New Roman" w:hAnsi="Times New Roman" w:eastAsia="宋体" w:cs="Times New Roman"/>
          <w:color w:val="auto"/>
          <w:kern w:val="0"/>
          <w:sz w:val="24"/>
          <w:szCs w:val="24"/>
          <w:lang w:val="en-US" w:eastAsia="zh-CN" w:bidi="ar"/>
        </w:rPr>
        <w:t>地块、货运综合楼、正面吊充电维修区以及</w:t>
      </w:r>
      <w:r>
        <w:rPr>
          <w:rFonts w:hint="default" w:ascii="Times New Roman" w:hAnsi="Times New Roman" w:cs="Times New Roman"/>
          <w:b w:val="0"/>
          <w:bCs w:val="0"/>
          <w:color w:val="auto"/>
          <w:kern w:val="2"/>
          <w:sz w:val="24"/>
          <w:szCs w:val="24"/>
          <w:lang w:val="en-US" w:eastAsia="zh-CN" w:bidi="ar-SA"/>
        </w:rPr>
        <w:t>初期雨水收集池</w:t>
      </w:r>
      <w:r>
        <w:rPr>
          <w:rFonts w:hint="eastAsia" w:ascii="Times New Roman" w:hAnsi="Times New Roman" w:cs="Times New Roman"/>
          <w:b w:val="0"/>
          <w:bCs w:val="0"/>
          <w:color w:val="auto"/>
          <w:kern w:val="2"/>
          <w:sz w:val="24"/>
          <w:szCs w:val="24"/>
          <w:lang w:val="en-US" w:eastAsia="zh-CN" w:bidi="ar-SA"/>
        </w:rPr>
        <w:t>等主体、临时环保工程已建设</w:t>
      </w:r>
      <w:r>
        <w:rPr>
          <w:rFonts w:hint="eastAsia" w:ascii="Times New Roman" w:hAnsi="Times New Roman" w:cs="Times New Roman"/>
          <w:b w:val="0"/>
          <w:bCs w:val="0"/>
          <w:color w:val="auto"/>
          <w:kern w:val="2"/>
          <w:sz w:val="24"/>
          <w:szCs w:val="24"/>
          <w:highlight w:val="none"/>
          <w:lang w:val="en-US" w:eastAsia="zh-CN" w:bidi="ar-SA"/>
        </w:rPr>
        <w:t>。</w:t>
      </w:r>
      <w:r>
        <w:rPr>
          <w:rFonts w:hint="default" w:ascii="Times New Roman" w:hAnsi="Times New Roman" w:cs="Times New Roman"/>
          <w:color w:val="auto"/>
          <w:sz w:val="24"/>
          <w:szCs w:val="24"/>
          <w:lang w:bidi="ar"/>
        </w:rPr>
        <w:t>建设过程中产生的少量废气、废水、噪声及固废均已得到妥善处置。其中，废气</w:t>
      </w:r>
      <w:r>
        <w:rPr>
          <w:rFonts w:hint="eastAsia" w:ascii="Times New Roman" w:hAnsi="Times New Roman" w:cs="Times New Roman"/>
          <w:color w:val="auto"/>
          <w:sz w:val="24"/>
          <w:szCs w:val="24"/>
          <w:lang w:val="en-US" w:eastAsia="zh-CN" w:bidi="ar"/>
        </w:rPr>
        <w:t>主要为场地清理、车辆运输中产生的地表扬尘</w:t>
      </w:r>
      <w:r>
        <w:rPr>
          <w:rFonts w:hint="default" w:ascii="Times New Roman" w:hAnsi="Times New Roman" w:cs="Times New Roman"/>
          <w:color w:val="auto"/>
          <w:sz w:val="24"/>
          <w:szCs w:val="24"/>
          <w:lang w:bidi="ar"/>
        </w:rPr>
        <w:t>，</w:t>
      </w:r>
      <w:r>
        <w:rPr>
          <w:rFonts w:hint="eastAsia" w:ascii="Times New Roman" w:hAnsi="Times New Roman" w:cs="Times New Roman"/>
          <w:color w:val="auto"/>
          <w:sz w:val="24"/>
          <w:szCs w:val="24"/>
          <w:lang w:val="en-US" w:eastAsia="zh-CN" w:bidi="ar"/>
        </w:rPr>
        <w:t>已</w:t>
      </w:r>
      <w:r>
        <w:rPr>
          <w:rFonts w:hint="default" w:ascii="Times New Roman" w:hAnsi="Times New Roman" w:cs="Times New Roman"/>
          <w:color w:val="auto"/>
          <w:sz w:val="24"/>
          <w:szCs w:val="24"/>
          <w:lang w:bidi="ar"/>
        </w:rPr>
        <w:t>通过采取</w:t>
      </w:r>
      <w:r>
        <w:rPr>
          <w:rFonts w:hint="eastAsia" w:ascii="Times New Roman" w:hAnsi="Times New Roman" w:cs="Times New Roman"/>
          <w:color w:val="auto"/>
          <w:sz w:val="24"/>
          <w:szCs w:val="24"/>
          <w:lang w:val="en-US" w:eastAsia="zh-CN" w:bidi="ar"/>
        </w:rPr>
        <w:t>在项目区厂界四周设置施工围挡，</w:t>
      </w:r>
      <w:r>
        <w:rPr>
          <w:rFonts w:hint="default" w:ascii="Times New Roman" w:hAnsi="Times New Roman" w:cs="Times New Roman"/>
          <w:color w:val="auto"/>
          <w:sz w:val="24"/>
          <w:szCs w:val="24"/>
          <w:lang w:bidi="ar"/>
        </w:rPr>
        <w:t>易起尘物料篷布覆盖，</w:t>
      </w:r>
      <w:r>
        <w:rPr>
          <w:rFonts w:hint="eastAsia" w:ascii="Times New Roman" w:hAnsi="Times New Roman" w:cs="Times New Roman"/>
          <w:color w:val="auto"/>
          <w:sz w:val="24"/>
          <w:szCs w:val="24"/>
          <w:lang w:val="en-US" w:eastAsia="zh-CN" w:bidi="ar"/>
        </w:rPr>
        <w:t>施工场地</w:t>
      </w:r>
      <w:r>
        <w:rPr>
          <w:rFonts w:hint="default" w:ascii="Times New Roman" w:hAnsi="Times New Roman" w:cs="Times New Roman"/>
          <w:color w:val="auto"/>
          <w:sz w:val="24"/>
          <w:szCs w:val="24"/>
          <w:lang w:bidi="ar"/>
        </w:rPr>
        <w:t>定时洒水降尘；项目施工</w:t>
      </w:r>
      <w:r>
        <w:rPr>
          <w:rFonts w:hint="eastAsia" w:ascii="Times New Roman" w:hAnsi="Times New Roman" w:cs="Times New Roman"/>
          <w:color w:val="auto"/>
          <w:sz w:val="24"/>
          <w:szCs w:val="24"/>
          <w:lang w:val="en-US" w:eastAsia="zh-CN" w:bidi="ar"/>
        </w:rPr>
        <w:t>主要为施工人员生活污水、施工废水，</w:t>
      </w:r>
      <w:r>
        <w:rPr>
          <w:rFonts w:hint="default" w:ascii="Times New Roman" w:hAnsi="Times New Roman" w:cs="Times New Roman"/>
          <w:color w:val="auto"/>
          <w:sz w:val="24"/>
          <w:szCs w:val="24"/>
          <w:lang w:bidi="ar"/>
        </w:rPr>
        <w:t>经</w:t>
      </w:r>
      <w:r>
        <w:rPr>
          <w:rFonts w:hint="eastAsia" w:ascii="Times New Roman" w:hAnsi="Times New Roman" w:cs="Times New Roman"/>
          <w:color w:val="auto"/>
          <w:sz w:val="24"/>
          <w:szCs w:val="24"/>
          <w:lang w:val="en-US" w:eastAsia="zh-CN" w:bidi="ar"/>
        </w:rPr>
        <w:t>施工场地设置的沉淀池</w:t>
      </w:r>
      <w:r>
        <w:rPr>
          <w:rFonts w:hint="default" w:ascii="Times New Roman" w:hAnsi="Times New Roman" w:cs="Times New Roman"/>
          <w:color w:val="auto"/>
          <w:sz w:val="24"/>
          <w:szCs w:val="24"/>
          <w:lang w:bidi="ar"/>
        </w:rPr>
        <w:t>沉淀后回用于施工或洒水降尘，不外排；</w:t>
      </w:r>
      <w:r>
        <w:rPr>
          <w:rFonts w:hint="eastAsia" w:ascii="Times New Roman" w:hAnsi="Times New Roman"/>
          <w:color w:val="auto"/>
          <w:kern w:val="0"/>
          <w:sz w:val="24"/>
          <w:szCs w:val="24"/>
          <w:shd w:val="clear" w:color="auto" w:fill="FFFFFF"/>
          <w:lang w:val="en-US" w:eastAsia="zh-CN"/>
        </w:rPr>
        <w:t>施工噪声通过将</w:t>
      </w:r>
      <w:r>
        <w:rPr>
          <w:rFonts w:ascii="Times New Roman" w:hAnsi="Times New Roman"/>
          <w:color w:val="auto"/>
          <w:kern w:val="0"/>
          <w:sz w:val="24"/>
          <w:szCs w:val="24"/>
          <w:shd w:val="clear" w:color="auto" w:fill="FFFFFF"/>
        </w:rPr>
        <w:t>高噪声设备布置施工场地中部</w:t>
      </w:r>
      <w:r>
        <w:rPr>
          <w:rFonts w:hint="eastAsia" w:ascii="Times New Roman" w:hAnsi="Times New Roman"/>
          <w:color w:val="auto"/>
          <w:kern w:val="0"/>
          <w:sz w:val="24"/>
          <w:szCs w:val="24"/>
          <w:shd w:val="clear" w:color="auto" w:fill="FFFFFF"/>
          <w:lang w:eastAsia="zh-CN"/>
        </w:rPr>
        <w:t>，</w:t>
      </w:r>
      <w:r>
        <w:rPr>
          <w:rFonts w:ascii="Times New Roman" w:hAnsi="Times New Roman"/>
          <w:color w:val="auto"/>
          <w:kern w:val="0"/>
          <w:sz w:val="24"/>
          <w:szCs w:val="24"/>
          <w:shd w:val="clear" w:color="auto" w:fill="FFFFFF"/>
        </w:rPr>
        <w:t>厂界四周设置施工围挡设施</w:t>
      </w:r>
      <w:r>
        <w:rPr>
          <w:rFonts w:hint="eastAsia" w:ascii="Times New Roman" w:hAnsi="Times New Roman"/>
          <w:color w:val="auto"/>
          <w:kern w:val="0"/>
          <w:sz w:val="24"/>
          <w:szCs w:val="24"/>
          <w:shd w:val="clear" w:color="auto" w:fill="FFFFFF"/>
          <w:lang w:val="en-US" w:eastAsia="zh-CN"/>
        </w:rPr>
        <w:t>，</w:t>
      </w:r>
      <w:r>
        <w:rPr>
          <w:rFonts w:ascii="Times New Roman" w:hAnsi="Times New Roman"/>
          <w:color w:val="auto"/>
          <w:kern w:val="0"/>
          <w:sz w:val="24"/>
          <w:szCs w:val="24"/>
          <w:shd w:val="clear" w:color="auto" w:fill="FFFFFF"/>
        </w:rPr>
        <w:t>运输车辆进入场地时限速、禁鸣</w:t>
      </w:r>
      <w:r>
        <w:rPr>
          <w:rFonts w:hint="eastAsia" w:ascii="Times New Roman" w:hAnsi="Times New Roman"/>
          <w:color w:val="auto"/>
          <w:kern w:val="0"/>
          <w:sz w:val="24"/>
          <w:szCs w:val="24"/>
          <w:shd w:val="clear" w:color="auto" w:fill="FFFFFF"/>
          <w:lang w:eastAsia="zh-CN"/>
        </w:rPr>
        <w:t>，</w:t>
      </w:r>
      <w:r>
        <w:rPr>
          <w:rFonts w:hint="default" w:ascii="Times New Roman" w:hAnsi="Times New Roman" w:cs="Times New Roman" w:eastAsiaTheme="minorEastAsia"/>
          <w:color w:val="auto"/>
          <w:sz w:val="24"/>
          <w:szCs w:val="24"/>
          <w:highlight w:val="none"/>
          <w:lang w:val="en-US" w:eastAsia="zh-CN"/>
        </w:rPr>
        <w:t>合理安排施工时间和施工时段</w:t>
      </w:r>
      <w:r>
        <w:rPr>
          <w:rFonts w:hint="eastAsia" w:ascii="Times New Roman" w:hAnsi="Times New Roman" w:cs="Times New Roman" w:eastAsiaTheme="minorEastAsia"/>
          <w:color w:val="auto"/>
          <w:sz w:val="24"/>
          <w:szCs w:val="24"/>
          <w:highlight w:val="none"/>
          <w:lang w:val="en-US" w:eastAsia="zh-CN"/>
        </w:rPr>
        <w:t>后对周边环境影响较小。</w:t>
      </w:r>
      <w:r>
        <w:rPr>
          <w:rFonts w:hint="default" w:ascii="Times New Roman" w:hAnsi="Times New Roman" w:cs="Times New Roman"/>
          <w:color w:val="auto"/>
          <w:sz w:val="24"/>
          <w:szCs w:val="24"/>
          <w:lang w:bidi="ar"/>
        </w:rPr>
        <w:t>建筑垃圾经分类收集后，能回收利用的进行回收利用，不可回收利用的运至城市建设管理部门指定的堆放点处置；施工人员生活垃圾统一收集后运至附近的垃圾收集点处置。项目建设施工过程产生扬尘、废水、噪声及固废对周围环境影响小。</w:t>
      </w:r>
      <w:r>
        <w:rPr>
          <w:rFonts w:hint="default" w:ascii="Times New Roman" w:hAnsi="Times New Roman" w:cs="Times New Roman" w:eastAsiaTheme="minorEastAsia"/>
          <w:color w:val="auto"/>
          <w:sz w:val="24"/>
          <w:szCs w:val="24"/>
          <w:highlight w:val="none"/>
          <w:lang w:eastAsia="zh-CN"/>
        </w:rPr>
        <w:t>本</w:t>
      </w:r>
      <w:r>
        <w:rPr>
          <w:rFonts w:hint="default" w:ascii="Times New Roman" w:hAnsi="Times New Roman" w:cs="Times New Roman" w:eastAsiaTheme="minorEastAsia"/>
          <w:color w:val="auto"/>
          <w:sz w:val="24"/>
          <w:szCs w:val="24"/>
          <w:highlight w:val="none"/>
        </w:rPr>
        <w:t>项目施工人员为</w:t>
      </w:r>
      <w:r>
        <w:rPr>
          <w:rFonts w:hint="default" w:ascii="Times New Roman" w:hAnsi="Times New Roman" w:cs="Times New Roman" w:eastAsiaTheme="minorEastAsia"/>
          <w:color w:val="auto"/>
          <w:sz w:val="24"/>
          <w:szCs w:val="24"/>
          <w:highlight w:val="none"/>
          <w:lang w:eastAsia="zh-CN"/>
        </w:rPr>
        <w:t>项目区周边建筑工人</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z w:val="24"/>
          <w:szCs w:val="24"/>
          <w:highlight w:val="none"/>
          <w:lang w:eastAsia="zh-CN"/>
        </w:rPr>
        <w:t>施工人员不在项目区食宿</w:t>
      </w:r>
      <w:r>
        <w:rPr>
          <w:rFonts w:hint="default" w:ascii="Times New Roman" w:hAnsi="Times New Roman" w:cs="Times New Roman" w:eastAsiaTheme="minorEastAsia"/>
          <w:color w:val="auto"/>
          <w:sz w:val="24"/>
          <w:szCs w:val="24"/>
          <w:highlight w:val="none"/>
        </w:rPr>
        <w:t>。</w:t>
      </w:r>
      <w:r>
        <w:rPr>
          <w:rFonts w:hint="eastAsia" w:ascii="Times New Roman" w:hAnsi="Times New Roman" w:eastAsia="宋体" w:cs="Times New Roman"/>
          <w:caps w:val="0"/>
          <w:smallCaps w:val="0"/>
          <w:color w:val="auto"/>
          <w:sz w:val="24"/>
          <w:szCs w:val="24"/>
          <w:highlight w:val="none"/>
          <w:lang w:val="en-US" w:eastAsia="zh-CN"/>
        </w:rPr>
        <w:t>经过询问及走访调查，在</w:t>
      </w:r>
      <w:r>
        <w:rPr>
          <w:rFonts w:hint="eastAsia" w:ascii="Times New Roman" w:hAnsi="Times New Roman" w:cs="Times New Roman"/>
          <w:caps w:val="0"/>
          <w:smallCaps w:val="0"/>
          <w:color w:val="auto"/>
          <w:sz w:val="24"/>
          <w:szCs w:val="24"/>
          <w:highlight w:val="none"/>
          <w:lang w:val="en-US" w:eastAsia="zh-CN"/>
        </w:rPr>
        <w:t>目前</w:t>
      </w:r>
      <w:r>
        <w:rPr>
          <w:rFonts w:hint="eastAsia" w:ascii="Times New Roman" w:hAnsi="Times New Roman" w:eastAsia="宋体" w:cs="Times New Roman"/>
          <w:caps w:val="0"/>
          <w:smallCaps w:val="0"/>
          <w:color w:val="auto"/>
          <w:sz w:val="24"/>
          <w:szCs w:val="24"/>
          <w:highlight w:val="none"/>
          <w:lang w:val="en-US" w:eastAsia="zh-CN"/>
        </w:rPr>
        <w:t>施工过程中未发生投诉等污染环境事件。</w:t>
      </w:r>
    </w:p>
    <w:p w14:paraId="5E9C154E">
      <w:pPr>
        <w:keepNext/>
        <w:keepLines/>
        <w:pageBreakBefore w:val="0"/>
        <w:widowControl w:val="0"/>
        <w:kinsoku/>
        <w:wordWrap/>
        <w:overflowPunct/>
        <w:topLinePunct w:val="0"/>
        <w:autoSpaceDE/>
        <w:autoSpaceDN/>
        <w:bidi w:val="0"/>
        <w:adjustRightInd/>
        <w:snapToGrid/>
        <w:spacing w:line="360" w:lineRule="auto"/>
        <w:ind w:firstLine="482"/>
        <w:textAlignment w:val="auto"/>
        <w:outlineLvl w:val="3"/>
        <w:rPr>
          <w:rFonts w:hint="default" w:ascii="Times New Roman" w:hAnsi="Times New Roman" w:cs="Times New Roman" w:eastAsiaTheme="minorEastAsia"/>
          <w:b/>
          <w:bCs/>
          <w:color w:val="auto"/>
          <w:sz w:val="24"/>
          <w:szCs w:val="24"/>
          <w:highlight w:val="none"/>
          <w:lang w:val="en-US" w:eastAsia="zh-CN"/>
        </w:rPr>
      </w:pPr>
      <w:r>
        <w:rPr>
          <w:rFonts w:hint="eastAsia" w:ascii="Times New Roman" w:hAnsi="Times New Roman" w:eastAsia="宋体" w:cs="Times New Roman"/>
          <w:b/>
          <w:color w:val="auto"/>
          <w:sz w:val="24"/>
          <w:szCs w:val="24"/>
          <w:lang w:val="en-US" w:eastAsia="zh-CN" w:bidi="ar"/>
        </w:rPr>
        <w:t>2.4.1.2</w:t>
      </w:r>
      <w:r>
        <w:rPr>
          <w:rFonts w:hint="eastAsia" w:ascii="Times New Roman" w:hAnsi="Times New Roman" w:cs="Times New Roman" w:eastAsiaTheme="minorEastAsia"/>
          <w:b/>
          <w:bCs/>
          <w:color w:val="auto"/>
          <w:sz w:val="24"/>
          <w:szCs w:val="24"/>
          <w:highlight w:val="none"/>
          <w:lang w:val="en-US" w:eastAsia="zh-CN"/>
        </w:rPr>
        <w:t>待施工阶段</w:t>
      </w:r>
    </w:p>
    <w:p w14:paraId="126537CF">
      <w:pPr>
        <w:keepNext/>
        <w:keepLines/>
        <w:pageBreakBefore w:val="0"/>
        <w:widowControl w:val="0"/>
        <w:kinsoku/>
        <w:wordWrap/>
        <w:overflowPunct/>
        <w:topLinePunct w:val="0"/>
        <w:autoSpaceDE/>
        <w:autoSpaceDN/>
        <w:bidi w:val="0"/>
        <w:adjustRightInd/>
        <w:snapToGrid/>
        <w:spacing w:line="360" w:lineRule="auto"/>
        <w:ind w:firstLine="482"/>
        <w:textAlignment w:val="auto"/>
        <w:outlineLvl w:val="9"/>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color w:val="auto"/>
          <w:sz w:val="24"/>
          <w:szCs w:val="24"/>
          <w:lang w:bidi="ar"/>
        </w:rPr>
        <w:t>根据现场踏勘，</w:t>
      </w:r>
      <w:r>
        <w:rPr>
          <w:rFonts w:hint="eastAsia" w:ascii="Times New Roman" w:hAnsi="Times New Roman" w:eastAsia="宋体" w:cs="Times New Roman"/>
          <w:color w:val="auto"/>
          <w:sz w:val="24"/>
          <w:szCs w:val="24"/>
          <w:lang w:val="en-US" w:eastAsia="zh-CN" w:bidi="ar"/>
        </w:rPr>
        <w:t>项目剩余施工内容为门卫、箱检平台、车位、环保设施危废暂存间的建设和防渗工程的建设。</w:t>
      </w:r>
    </w:p>
    <w:p w14:paraId="2C021413">
      <w:pPr>
        <w:keepNext/>
        <w:keepLines/>
        <w:pageBreakBefore w:val="0"/>
        <w:widowControl w:val="0"/>
        <w:kinsoku/>
        <w:wordWrap/>
        <w:overflowPunct/>
        <w:topLinePunct w:val="0"/>
        <w:autoSpaceDE/>
        <w:autoSpaceDN/>
        <w:bidi w:val="0"/>
        <w:adjustRightInd/>
        <w:snapToGrid/>
        <w:spacing w:line="360" w:lineRule="auto"/>
        <w:ind w:firstLine="482"/>
        <w:textAlignment w:val="auto"/>
        <w:outlineLvl w:val="9"/>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1、废气</w:t>
      </w:r>
    </w:p>
    <w:p w14:paraId="31FF5E7C">
      <w:pPr>
        <w:pageBreakBefore w:val="0"/>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本</w:t>
      </w:r>
      <w:r>
        <w:rPr>
          <w:rFonts w:hint="default" w:ascii="Times New Roman" w:hAnsi="Times New Roman" w:cs="Times New Roman" w:eastAsiaTheme="minorEastAsia"/>
          <w:color w:val="auto"/>
          <w:sz w:val="24"/>
          <w:szCs w:val="24"/>
          <w:highlight w:val="none"/>
        </w:rPr>
        <w:t>项目</w:t>
      </w:r>
      <w:r>
        <w:rPr>
          <w:rFonts w:hint="eastAsia" w:ascii="Times New Roman" w:hAnsi="Times New Roman" w:cs="Times New Roman" w:eastAsiaTheme="minorEastAsia"/>
          <w:color w:val="auto"/>
          <w:sz w:val="24"/>
          <w:szCs w:val="24"/>
          <w:highlight w:val="none"/>
          <w:lang w:val="en-US" w:eastAsia="zh-CN"/>
        </w:rPr>
        <w:t>后续</w:t>
      </w:r>
      <w:r>
        <w:rPr>
          <w:rFonts w:hint="default" w:ascii="Times New Roman" w:hAnsi="Times New Roman" w:cs="Times New Roman"/>
          <w:color w:val="auto"/>
          <w:sz w:val="24"/>
          <w:szCs w:val="24"/>
          <w:highlight w:val="none"/>
          <w:lang w:eastAsia="zh-CN"/>
        </w:rPr>
        <w:t>施工过程中的大气污染主要</w:t>
      </w:r>
      <w:r>
        <w:rPr>
          <w:rFonts w:hint="default" w:ascii="Times New Roman" w:hAnsi="Times New Roman" w:cs="Times New Roman"/>
          <w:color w:val="auto"/>
          <w:sz w:val="24"/>
          <w:szCs w:val="24"/>
          <w:highlight w:val="none"/>
        </w:rPr>
        <w:t>为</w:t>
      </w:r>
      <w:r>
        <w:rPr>
          <w:rFonts w:hint="default" w:ascii="Times New Roman" w:hAnsi="Times New Roman" w:cs="Times New Roman"/>
          <w:color w:val="auto"/>
          <w:sz w:val="24"/>
          <w:szCs w:val="24"/>
          <w:highlight w:val="none"/>
          <w:lang w:eastAsia="zh-CN"/>
        </w:rPr>
        <w:t>施工</w:t>
      </w:r>
      <w:r>
        <w:rPr>
          <w:rFonts w:hint="default" w:ascii="Times New Roman" w:hAnsi="Times New Roman" w:cs="Times New Roman"/>
          <w:color w:val="auto"/>
          <w:sz w:val="24"/>
          <w:szCs w:val="24"/>
          <w:highlight w:val="none"/>
        </w:rPr>
        <w:t>扬尘、</w:t>
      </w:r>
      <w:r>
        <w:rPr>
          <w:rFonts w:hint="default" w:ascii="Times New Roman" w:hAnsi="Times New Roman" w:cs="Times New Roman"/>
          <w:color w:val="auto"/>
          <w:sz w:val="24"/>
          <w:szCs w:val="24"/>
          <w:highlight w:val="none"/>
          <w:lang w:eastAsia="zh-CN"/>
        </w:rPr>
        <w:t>运输扬尘、施工机械、运输车辆废气</w:t>
      </w:r>
      <w:r>
        <w:rPr>
          <w:rFonts w:hint="default"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lang w:eastAsia="zh-CN"/>
        </w:rPr>
        <w:t>。</w:t>
      </w:r>
    </w:p>
    <w:p w14:paraId="48FE5AB6">
      <w:pPr>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1</w:t>
      </w:r>
      <w:r>
        <w:rPr>
          <w:rFonts w:hint="default" w:ascii="Times New Roman" w:hAnsi="Times New Roman" w:cs="Times New Roman" w:eastAsiaTheme="minorEastAsia"/>
          <w:color w:val="auto"/>
          <w:sz w:val="24"/>
          <w:szCs w:val="24"/>
          <w:highlight w:val="none"/>
          <w:lang w:eastAsia="zh-CN"/>
        </w:rPr>
        <w:t>）施工期扬尘</w:t>
      </w:r>
    </w:p>
    <w:p w14:paraId="55AF977F">
      <w:pPr>
        <w:spacing w:line="360" w:lineRule="auto"/>
        <w:ind w:firstLine="480" w:firstLineChars="200"/>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val="en-US" w:eastAsia="zh-CN"/>
        </w:rPr>
        <w:t>项目剩余施工工程</w:t>
      </w:r>
      <w:r>
        <w:rPr>
          <w:rFonts w:hint="default" w:ascii="Times New Roman" w:hAnsi="Times New Roman" w:cs="Times New Roman" w:eastAsiaTheme="minorEastAsia"/>
          <w:color w:val="auto"/>
          <w:sz w:val="24"/>
          <w:szCs w:val="24"/>
          <w:highlight w:val="none"/>
          <w:lang w:val="en-US" w:eastAsia="zh-CN"/>
        </w:rPr>
        <w:t>场地平整、土方运输、施工材料装卸和运输等会产生</w:t>
      </w:r>
      <w:r>
        <w:rPr>
          <w:rFonts w:hint="eastAsia" w:ascii="Times New Roman" w:hAnsi="Times New Roman" w:cs="Times New Roman" w:eastAsiaTheme="minorEastAsia"/>
          <w:color w:val="auto"/>
          <w:sz w:val="24"/>
          <w:szCs w:val="24"/>
          <w:highlight w:val="none"/>
          <w:lang w:val="en-US" w:eastAsia="zh-CN"/>
        </w:rPr>
        <w:t>少</w:t>
      </w:r>
      <w:r>
        <w:rPr>
          <w:rFonts w:hint="default" w:ascii="Times New Roman" w:hAnsi="Times New Roman" w:cs="Times New Roman" w:eastAsiaTheme="minorEastAsia"/>
          <w:color w:val="auto"/>
          <w:sz w:val="24"/>
          <w:szCs w:val="24"/>
          <w:highlight w:val="none"/>
          <w:lang w:val="en-US" w:eastAsia="zh-CN"/>
        </w:rPr>
        <w:t>量的扬尘，施工场地道路与砂石堆场遇风亦会产生扬尘，项目建设过程中使用商品混凝土，不设置混凝土搅拌场所。项目施工对周围大气环境产生影响，主要污染因子为TSP。运输过程产生的扬尘和天气、温度、空气相对湿度、风向、风速、道路路面情况等有关，无法精确计算。每天运输原料的车辆采取帆布遮盖</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车辆减速慢行，必要时进行道路垫草、进场道路及时洒水等措施。</w:t>
      </w:r>
    </w:p>
    <w:p w14:paraId="236C771F">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（2）运输扬尘</w:t>
      </w:r>
    </w:p>
    <w:p w14:paraId="4DFCFC69">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运输扬尘是车辆经过带起的粉尘，项目施工期主要运输物质为建筑材料，建筑材料运输量不大，采用密闭运输；施工期土石方可基本平衡，土石方的运输量较小，项目产生的运输扬尘较少，为无组织排放。施工过程中对运输道路进行洒水降尘，以减少运输扬尘的产生及排放量。</w:t>
      </w:r>
    </w:p>
    <w:p w14:paraId="438FF9D3">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（3）施工机械和运输车辆废气</w:t>
      </w:r>
    </w:p>
    <w:p w14:paraId="41F177CB">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机械尾气主要</w:t>
      </w:r>
      <w:r>
        <w:rPr>
          <w:rFonts w:hint="eastAsia" w:ascii="Times New Roman" w:hAnsi="Times New Roman" w:cs="Times New Roman"/>
          <w:color w:val="auto"/>
          <w:sz w:val="24"/>
          <w:highlight w:val="none"/>
          <w:lang w:eastAsia="zh-CN"/>
        </w:rPr>
        <w:t>来自</w:t>
      </w:r>
      <w:r>
        <w:rPr>
          <w:rFonts w:hint="default" w:ascii="Times New Roman" w:hAnsi="Times New Roman" w:eastAsia="宋体" w:cs="Times New Roman"/>
          <w:color w:val="auto"/>
          <w:sz w:val="24"/>
          <w:highlight w:val="none"/>
          <w:lang w:eastAsia="zh-CN"/>
        </w:rPr>
        <w:t>施工燃油机械和交通运输车辆，排放的主要污染物为NOx、 CO和烯烃类污染物。机械尾气因具体施工情况不同而差异较大，其产生量与施工机械组织、所使用的机械种类、设备工况以及不同施工时段有关，由于项目区域较开阔，施工机械尾气容易扩散，不会对周围环境产生明显影响，本次评价不做定量分析，只提出防治措施</w:t>
      </w:r>
      <w:r>
        <w:rPr>
          <w:rFonts w:hint="eastAsia" w:ascii="Times New Roman" w:hAnsi="Times New Roman" w:eastAsia="宋体" w:cs="Times New Roman"/>
          <w:color w:val="auto"/>
          <w:sz w:val="24"/>
          <w:highlight w:val="none"/>
          <w:lang w:eastAsia="zh-CN"/>
        </w:rPr>
        <w:t>。</w:t>
      </w:r>
    </w:p>
    <w:p w14:paraId="697DEEE1">
      <w:pPr>
        <w:keepNext w:val="0"/>
        <w:keepLines w:val="0"/>
        <w:pageBreakBefore w:val="0"/>
        <w:widowControl/>
        <w:kinsoku/>
        <w:wordWrap/>
        <w:overflowPunct/>
        <w:topLinePunct w:val="0"/>
        <w:autoSpaceDE w:val="0"/>
        <w:autoSpaceDN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2、废水</w:t>
      </w:r>
    </w:p>
    <w:p w14:paraId="0580706C">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本</w:t>
      </w:r>
      <w:r>
        <w:rPr>
          <w:rFonts w:hint="default" w:ascii="Times New Roman" w:hAnsi="Times New Roman" w:cs="Times New Roman" w:eastAsiaTheme="minorEastAsia"/>
          <w:color w:val="auto"/>
          <w:sz w:val="24"/>
          <w:szCs w:val="24"/>
          <w:highlight w:val="none"/>
        </w:rPr>
        <w:t>项目</w:t>
      </w:r>
      <w:r>
        <w:rPr>
          <w:rFonts w:hint="eastAsia" w:ascii="Times New Roman" w:hAnsi="Times New Roman" w:cs="Times New Roman" w:eastAsiaTheme="minorEastAsia"/>
          <w:color w:val="auto"/>
          <w:sz w:val="24"/>
          <w:szCs w:val="24"/>
          <w:highlight w:val="none"/>
          <w:lang w:val="en-US" w:eastAsia="zh-CN"/>
        </w:rPr>
        <w:t>后续</w:t>
      </w:r>
      <w:r>
        <w:rPr>
          <w:rFonts w:hint="default" w:ascii="Times New Roman" w:hAnsi="Times New Roman" w:cs="Times New Roman"/>
          <w:color w:val="auto"/>
          <w:sz w:val="24"/>
          <w:szCs w:val="24"/>
          <w:highlight w:val="none"/>
          <w:lang w:eastAsia="zh-CN"/>
        </w:rPr>
        <w:t>施工过程中的</w:t>
      </w:r>
      <w:r>
        <w:rPr>
          <w:rFonts w:hint="default" w:ascii="Times New Roman" w:hAnsi="Times New Roman" w:cs="Times New Roman"/>
          <w:color w:val="auto"/>
          <w:sz w:val="24"/>
          <w:szCs w:val="24"/>
          <w:highlight w:val="none"/>
          <w:lang w:val="en-US" w:eastAsia="zh-CN"/>
        </w:rPr>
        <w:t>废水</w:t>
      </w:r>
      <w:r>
        <w:rPr>
          <w:rFonts w:hint="default" w:ascii="Times New Roman" w:hAnsi="Times New Roman" w:cs="Times New Roman"/>
          <w:color w:val="auto"/>
          <w:sz w:val="24"/>
          <w:szCs w:val="24"/>
          <w:highlight w:val="none"/>
          <w:lang w:eastAsia="zh-CN"/>
        </w:rPr>
        <w:t>主要</w:t>
      </w:r>
      <w:r>
        <w:rPr>
          <w:rFonts w:hint="default" w:ascii="Times New Roman" w:hAnsi="Times New Roman" w:cs="Times New Roman"/>
          <w:color w:val="auto"/>
          <w:sz w:val="24"/>
          <w:szCs w:val="24"/>
          <w:highlight w:val="none"/>
        </w:rPr>
        <w:t>为</w:t>
      </w:r>
      <w:r>
        <w:rPr>
          <w:rFonts w:hint="default" w:ascii="Times New Roman" w:hAnsi="Times New Roman" w:cs="Times New Roman"/>
          <w:color w:val="auto"/>
          <w:sz w:val="24"/>
          <w:szCs w:val="24"/>
          <w:highlight w:val="none"/>
          <w:lang w:val="en-US" w:eastAsia="zh-CN"/>
        </w:rPr>
        <w:t>施工废水、</w:t>
      </w:r>
      <w:r>
        <w:rPr>
          <w:rFonts w:hint="default" w:ascii="Times New Roman" w:hAnsi="Times New Roman" w:cs="Times New Roman"/>
          <w:color w:val="auto"/>
          <w:sz w:val="24"/>
          <w:szCs w:val="24"/>
          <w:highlight w:val="none"/>
          <w:lang w:eastAsia="zh-CN"/>
        </w:rPr>
        <w:t>施工</w:t>
      </w:r>
      <w:r>
        <w:rPr>
          <w:rFonts w:hint="default" w:ascii="Times New Roman" w:hAnsi="Times New Roman" w:cs="Times New Roman"/>
          <w:color w:val="auto"/>
          <w:sz w:val="24"/>
          <w:szCs w:val="24"/>
          <w:highlight w:val="none"/>
          <w:lang w:val="en-US" w:eastAsia="zh-CN"/>
        </w:rPr>
        <w:t>人员</w:t>
      </w:r>
      <w:r>
        <w:rPr>
          <w:rFonts w:hint="eastAsia" w:ascii="Times New Roman" w:hAnsi="Times New Roman" w:cs="Times New Roman"/>
          <w:color w:val="auto"/>
          <w:sz w:val="24"/>
          <w:szCs w:val="24"/>
          <w:highlight w:val="none"/>
          <w:lang w:eastAsia="zh-CN"/>
        </w:rPr>
        <w:t>生活污水</w:t>
      </w:r>
      <w:r>
        <w:rPr>
          <w:rFonts w:hint="default" w:ascii="Times New Roman" w:hAnsi="Times New Roman" w:cs="Times New Roman"/>
          <w:color w:val="auto"/>
          <w:sz w:val="24"/>
          <w:szCs w:val="24"/>
          <w:highlight w:val="none"/>
          <w:lang w:eastAsia="zh-CN"/>
        </w:rPr>
        <w:t>和</w:t>
      </w:r>
      <w:r>
        <w:rPr>
          <w:rFonts w:hint="default" w:ascii="Times New Roman" w:hAnsi="Times New Roman" w:cs="Times New Roman"/>
          <w:color w:val="auto"/>
          <w:sz w:val="24"/>
          <w:szCs w:val="24"/>
          <w:highlight w:val="none"/>
          <w:lang w:val="en-US" w:eastAsia="zh-CN"/>
        </w:rPr>
        <w:t>施工场地降雨冲刷水等</w:t>
      </w:r>
      <w:r>
        <w:rPr>
          <w:rFonts w:hint="default" w:ascii="Times New Roman" w:hAnsi="Times New Roman" w:cs="Times New Roman"/>
          <w:color w:val="auto"/>
          <w:sz w:val="24"/>
          <w:szCs w:val="24"/>
          <w:highlight w:val="none"/>
          <w:lang w:eastAsia="zh-CN"/>
        </w:rPr>
        <w:t>。</w:t>
      </w:r>
    </w:p>
    <w:p w14:paraId="4FF6F745">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施工</w:t>
      </w:r>
      <w:r>
        <w:rPr>
          <w:rFonts w:hint="default" w:ascii="Times New Roman" w:hAnsi="Times New Roman" w:cs="Times New Roman"/>
          <w:color w:val="auto"/>
          <w:sz w:val="24"/>
          <w:szCs w:val="24"/>
          <w:highlight w:val="none"/>
          <w:lang w:val="en-US" w:eastAsia="zh-CN"/>
        </w:rPr>
        <w:t>废</w:t>
      </w:r>
      <w:r>
        <w:rPr>
          <w:rFonts w:hint="default" w:ascii="Times New Roman" w:hAnsi="Times New Roman" w:cs="Times New Roman"/>
          <w:color w:val="auto"/>
          <w:sz w:val="24"/>
          <w:szCs w:val="24"/>
          <w:highlight w:val="none"/>
        </w:rPr>
        <w:t>水</w:t>
      </w:r>
    </w:p>
    <w:p w14:paraId="4F170F20">
      <w:pPr>
        <w:pStyle w:val="9"/>
        <w:keepNext w:val="0"/>
        <w:keepLines w:val="0"/>
        <w:pageBreakBefore w:val="0"/>
        <w:widowControl/>
        <w:kinsoku/>
        <w:wordWrap/>
        <w:overflowPunct/>
        <w:topLinePunct w:val="0"/>
        <w:autoSpaceDE w:val="0"/>
        <w:autoSpaceDN w:val="0"/>
        <w:bidi w:val="0"/>
        <w:adjustRightInd/>
        <w:snapToGrid/>
        <w:spacing w:after="0" w:line="360" w:lineRule="auto"/>
        <w:ind w:firstLine="480" w:firstLineChars="200"/>
        <w:jc w:val="both"/>
        <w:rPr>
          <w:rFonts w:ascii="Times New Roman" w:hAnsi="Times New Roman"/>
          <w:color w:val="auto"/>
          <w:kern w:val="0"/>
          <w:sz w:val="24"/>
          <w:szCs w:val="24"/>
          <w:shd w:val="clear" w:color="auto" w:fill="FFFFFF"/>
        </w:rPr>
      </w:pPr>
      <w:r>
        <w:rPr>
          <w:rFonts w:hint="eastAsia" w:ascii="Times New Roman" w:hAnsi="Times New Roman"/>
          <w:color w:val="auto"/>
          <w:kern w:val="0"/>
          <w:sz w:val="24"/>
          <w:szCs w:val="24"/>
          <w:shd w:val="clear" w:color="auto" w:fill="FFFFFF"/>
          <w:lang w:val="en-US" w:eastAsia="zh-CN"/>
        </w:rPr>
        <w:t>本项</w:t>
      </w:r>
      <w:r>
        <w:rPr>
          <w:rFonts w:ascii="Times New Roman" w:hAnsi="Times New Roman"/>
          <w:color w:val="auto"/>
          <w:kern w:val="0"/>
          <w:sz w:val="24"/>
          <w:szCs w:val="24"/>
          <w:shd w:val="clear" w:color="auto" w:fill="FFFFFF"/>
        </w:rPr>
        <w:t>目施工废水主要包括工具清洗废水，其产生量较小。机械设备、工具清洗等产生的废水与大多数建筑工程一样，不含有毒成份，主要是泥沙悬浮物。根据国内外同类工程施工废水监测资料：清洗废水悬浮物浓度500mg/L～800mg/L，pH值9～10，该项目施工废水所含悬浮物浓度属上述浓度变化范围的中下水平。</w:t>
      </w:r>
    </w:p>
    <w:p w14:paraId="6D61D96F">
      <w:pPr>
        <w:pStyle w:val="9"/>
        <w:keepNext w:val="0"/>
        <w:keepLines w:val="0"/>
        <w:pageBreakBefore w:val="0"/>
        <w:widowControl/>
        <w:kinsoku/>
        <w:wordWrap/>
        <w:overflowPunct/>
        <w:topLinePunct w:val="0"/>
        <w:autoSpaceDE w:val="0"/>
        <w:autoSpaceDN w:val="0"/>
        <w:bidi w:val="0"/>
        <w:adjustRightInd/>
        <w:snapToGrid/>
        <w:spacing w:after="0" w:line="360" w:lineRule="auto"/>
        <w:ind w:firstLine="480" w:firstLineChars="200"/>
        <w:rPr>
          <w:rFonts w:ascii="Times New Roman" w:hAnsi="Times New Roman"/>
          <w:color w:val="auto"/>
          <w:kern w:val="0"/>
          <w:sz w:val="24"/>
          <w:szCs w:val="24"/>
          <w:shd w:val="clear" w:color="auto" w:fill="FFFFFF"/>
        </w:rPr>
      </w:pPr>
      <w:r>
        <w:rPr>
          <w:rFonts w:ascii="Times New Roman" w:hAnsi="Times New Roman"/>
          <w:color w:val="auto"/>
          <w:kern w:val="0"/>
          <w:sz w:val="24"/>
          <w:szCs w:val="24"/>
          <w:shd w:val="clear" w:color="auto" w:fill="FFFFFF"/>
        </w:rPr>
        <w:t>经类比同类工程施工期污染物产生情况，本项目施工废水产生量约为</w:t>
      </w:r>
      <w:r>
        <w:rPr>
          <w:rFonts w:hint="eastAsia" w:ascii="Times New Roman" w:hAnsi="Times New Roman"/>
          <w:color w:val="auto"/>
          <w:kern w:val="0"/>
          <w:sz w:val="24"/>
          <w:szCs w:val="24"/>
          <w:shd w:val="clear" w:color="auto" w:fill="FFFFFF"/>
          <w:lang w:val="en-US" w:eastAsia="zh-CN"/>
        </w:rPr>
        <w:t>0.5</w:t>
      </w:r>
      <w:r>
        <w:rPr>
          <w:rFonts w:ascii="Times New Roman" w:hAnsi="Times New Roman"/>
          <w:color w:val="auto"/>
          <w:kern w:val="0"/>
          <w:sz w:val="24"/>
          <w:szCs w:val="24"/>
          <w:shd w:val="clear" w:color="auto" w:fill="FFFFFF"/>
        </w:rPr>
        <w:t>m</w:t>
      </w:r>
      <w:r>
        <w:rPr>
          <w:rFonts w:ascii="Times New Roman" w:hAnsi="Times New Roman"/>
          <w:color w:val="auto"/>
          <w:kern w:val="0"/>
          <w:sz w:val="24"/>
          <w:szCs w:val="24"/>
          <w:shd w:val="clear" w:color="auto" w:fill="FFFFFF"/>
          <w:vertAlign w:val="superscript"/>
        </w:rPr>
        <w:t>3</w:t>
      </w:r>
      <w:r>
        <w:rPr>
          <w:rFonts w:ascii="Times New Roman" w:hAnsi="Times New Roman"/>
          <w:color w:val="auto"/>
          <w:kern w:val="0"/>
          <w:sz w:val="24"/>
          <w:szCs w:val="24"/>
          <w:shd w:val="clear" w:color="auto" w:fill="FFFFFF"/>
        </w:rPr>
        <w:t>/d，项目施工过程中</w:t>
      </w:r>
      <w:r>
        <w:rPr>
          <w:rFonts w:hint="eastAsia" w:ascii="Times New Roman" w:hAnsi="Times New Roman" w:eastAsia="宋体"/>
          <w:color w:val="auto"/>
          <w:kern w:val="0"/>
          <w:sz w:val="24"/>
          <w:szCs w:val="24"/>
          <w:shd w:val="clear" w:color="auto" w:fill="FFFFFF"/>
          <w:lang w:val="en-US" w:eastAsia="zh-CN"/>
        </w:rPr>
        <w:t>已</w:t>
      </w:r>
      <w:r>
        <w:rPr>
          <w:rFonts w:ascii="Times New Roman" w:hAnsi="Times New Roman"/>
          <w:color w:val="auto"/>
          <w:kern w:val="0"/>
          <w:sz w:val="24"/>
          <w:szCs w:val="24"/>
          <w:shd w:val="clear" w:color="auto" w:fill="FFFFFF"/>
        </w:rPr>
        <w:t>设置1个</w:t>
      </w:r>
      <w:r>
        <w:rPr>
          <w:rFonts w:hint="eastAsia" w:ascii="Times New Roman" w:hAnsi="Times New Roman"/>
          <w:color w:val="auto"/>
          <w:kern w:val="0"/>
          <w:sz w:val="24"/>
          <w:szCs w:val="24"/>
          <w:shd w:val="clear" w:color="auto" w:fill="FFFFFF"/>
          <w:lang w:val="en-US" w:eastAsia="zh-CN"/>
        </w:rPr>
        <w:t>2</w:t>
      </w:r>
      <w:r>
        <w:rPr>
          <w:rFonts w:ascii="Times New Roman" w:hAnsi="Times New Roman"/>
          <w:color w:val="auto"/>
          <w:kern w:val="0"/>
          <w:sz w:val="24"/>
          <w:szCs w:val="24"/>
          <w:shd w:val="clear" w:color="auto" w:fill="FFFFFF"/>
        </w:rPr>
        <w:t>m</w:t>
      </w:r>
      <w:r>
        <w:rPr>
          <w:rFonts w:ascii="Times New Roman" w:hAnsi="Times New Roman"/>
          <w:color w:val="auto"/>
          <w:kern w:val="0"/>
          <w:sz w:val="24"/>
          <w:szCs w:val="24"/>
          <w:shd w:val="clear" w:color="auto" w:fill="FFFFFF"/>
          <w:vertAlign w:val="superscript"/>
        </w:rPr>
        <w:t>3</w:t>
      </w:r>
      <w:r>
        <w:rPr>
          <w:rFonts w:ascii="Times New Roman" w:hAnsi="Times New Roman"/>
          <w:color w:val="auto"/>
          <w:kern w:val="0"/>
          <w:sz w:val="24"/>
          <w:szCs w:val="24"/>
          <w:shd w:val="clear" w:color="auto" w:fill="FFFFFF"/>
        </w:rPr>
        <w:t>的临时沉淀池，产生的生活污水和施工废水全部引至临时沉淀池内处理后可回用于道路、场地洒水抑尘，不外排。</w:t>
      </w:r>
    </w:p>
    <w:p w14:paraId="77B232B2">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）施工</w:t>
      </w:r>
      <w:r>
        <w:rPr>
          <w:rFonts w:hint="default" w:ascii="Times New Roman" w:hAnsi="Times New Roman" w:cs="Times New Roman"/>
          <w:color w:val="auto"/>
          <w:sz w:val="24"/>
          <w:szCs w:val="24"/>
          <w:highlight w:val="none"/>
          <w:lang w:val="en-US" w:eastAsia="zh-CN"/>
        </w:rPr>
        <w:t>人员</w:t>
      </w:r>
      <w:r>
        <w:rPr>
          <w:rFonts w:hint="eastAsia" w:ascii="Times New Roman" w:hAnsi="Times New Roman" w:cs="Times New Roman"/>
          <w:color w:val="auto"/>
          <w:sz w:val="24"/>
          <w:szCs w:val="24"/>
          <w:highlight w:val="none"/>
          <w:lang w:eastAsia="zh-CN"/>
        </w:rPr>
        <w:t>生活污水</w:t>
      </w:r>
    </w:p>
    <w:p w14:paraId="3D99FEE7">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80" w:firstLineChars="20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本项目施工人员均不在项目内部食宿，依托周边已有生活设施，因此施工人员在施工现场产生的污水量很少</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项目区内</w:t>
      </w:r>
      <w:r>
        <w:rPr>
          <w:rFonts w:hint="default" w:ascii="Times New Roman" w:hAnsi="Times New Roman" w:cs="Times New Roman"/>
          <w:color w:val="auto"/>
          <w:sz w:val="24"/>
          <w:szCs w:val="24"/>
          <w:highlight w:val="none"/>
        </w:rPr>
        <w:t>主要是清洗废水，</w:t>
      </w:r>
      <w:r>
        <w:rPr>
          <w:rFonts w:hint="default" w:ascii="Times New Roman" w:hAnsi="Times New Roman" w:cs="Times New Roman"/>
          <w:color w:val="auto"/>
          <w:sz w:val="24"/>
          <w:szCs w:val="24"/>
          <w:highlight w:val="none"/>
          <w:lang w:val="en-US" w:eastAsia="zh-CN"/>
        </w:rPr>
        <w:t>本项目</w:t>
      </w:r>
      <w:r>
        <w:rPr>
          <w:rFonts w:hint="eastAsia" w:ascii="Times New Roman" w:hAnsi="Times New Roman" w:cs="Times New Roman"/>
          <w:color w:val="auto"/>
          <w:sz w:val="24"/>
          <w:szCs w:val="24"/>
          <w:highlight w:val="none"/>
          <w:lang w:val="en-US" w:eastAsia="zh-CN"/>
        </w:rPr>
        <w:t>剩余</w:t>
      </w:r>
      <w:r>
        <w:rPr>
          <w:rFonts w:hint="default" w:ascii="Times New Roman" w:hAnsi="Times New Roman" w:cs="Times New Roman"/>
          <w:color w:val="auto"/>
          <w:sz w:val="24"/>
          <w:szCs w:val="24"/>
          <w:highlight w:val="none"/>
          <w:lang w:val="en-US" w:eastAsia="zh-CN"/>
        </w:rPr>
        <w:t>施工人员约</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人/d，污水产生量按10L/人.d计，则施工人员</w:t>
      </w:r>
      <w:r>
        <w:rPr>
          <w:rFonts w:hint="eastAsia" w:ascii="Times New Roman" w:hAnsi="Times New Roman" w:cs="Times New Roman"/>
          <w:color w:val="auto"/>
          <w:sz w:val="24"/>
          <w:szCs w:val="24"/>
          <w:highlight w:val="none"/>
          <w:lang w:val="en-US" w:eastAsia="zh-CN"/>
        </w:rPr>
        <w:t>生活污水</w:t>
      </w:r>
      <w:r>
        <w:rPr>
          <w:rFonts w:hint="default" w:ascii="Times New Roman" w:hAnsi="Times New Roman" w:cs="Times New Roman"/>
          <w:color w:val="auto"/>
          <w:sz w:val="24"/>
          <w:szCs w:val="24"/>
          <w:highlight w:val="none"/>
          <w:lang w:val="en-US" w:eastAsia="zh-CN"/>
        </w:rPr>
        <w:t>产生量约0.</w:t>
      </w:r>
      <w:r>
        <w:rPr>
          <w:rFonts w:hint="eastAsia" w:ascii="Times New Roman" w:hAnsi="Times New Roman" w:cs="Times New Roman"/>
          <w:color w:val="auto"/>
          <w:sz w:val="24"/>
          <w:szCs w:val="24"/>
          <w:highlight w:val="none"/>
          <w:lang w:val="en-US" w:eastAsia="zh-CN"/>
        </w:rPr>
        <w:t>05</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w:t>
      </w:r>
      <w:r>
        <w:rPr>
          <w:rFonts w:hint="eastAsia" w:ascii="Times New Roman" w:hAnsi="Times New Roman" w:cs="Times New Roman"/>
          <w:color w:val="auto"/>
          <w:sz w:val="24"/>
          <w:szCs w:val="24"/>
          <w:highlight w:val="none"/>
          <w:lang w:val="en-US" w:eastAsia="zh-CN"/>
        </w:rPr>
        <w:t>1.5</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w:t>
      </w:r>
      <w:r>
        <w:rPr>
          <w:rFonts w:ascii="Times New Roman" w:hAnsi="Times New Roman"/>
          <w:color w:val="auto"/>
          <w:kern w:val="0"/>
          <w:sz w:val="24"/>
          <w:szCs w:val="24"/>
          <w:shd w:val="clear" w:color="auto" w:fill="FFFFFF"/>
        </w:rPr>
        <w:t>产生的生活污水和施工废水全部引至临时沉淀池内处理后可回用于道路、场地洒水抑尘，不外排。</w:t>
      </w:r>
    </w:p>
    <w:p w14:paraId="66CCA7B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施工场地降雨冲刷水</w:t>
      </w:r>
    </w:p>
    <w:p w14:paraId="2B0CC521">
      <w:pPr>
        <w:keepNext w:val="0"/>
        <w:keepLines w:val="0"/>
        <w:pageBreakBefore w:val="0"/>
        <w:widowControl/>
        <w:kinsoku/>
        <w:wordWrap/>
        <w:overflowPunct/>
        <w:topLinePunct w:val="0"/>
        <w:autoSpaceDE w:val="0"/>
        <w:autoSpaceDN w:val="0"/>
        <w:bidi w:val="0"/>
        <w:adjustRightInd/>
        <w:snapToGrid/>
        <w:spacing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施工期遇到下雨天气时，施工场地不可避免</w:t>
      </w:r>
      <w:r>
        <w:rPr>
          <w:rFonts w:hint="eastAsia" w:ascii="Times New Roman" w:hAnsi="Times New Roman" w:eastAsia="宋体" w:cs="Times New Roman"/>
          <w:color w:val="auto"/>
          <w:sz w:val="24"/>
          <w:szCs w:val="24"/>
          <w:lang w:val="en-US" w:eastAsia="zh-CN"/>
        </w:rPr>
        <w:t>地</w:t>
      </w:r>
      <w:r>
        <w:rPr>
          <w:rFonts w:hint="default" w:ascii="Times New Roman" w:hAnsi="Times New Roman" w:eastAsia="宋体" w:cs="Times New Roman"/>
          <w:color w:val="auto"/>
          <w:sz w:val="24"/>
          <w:szCs w:val="24"/>
          <w:lang w:val="en-US" w:eastAsia="zh-CN"/>
        </w:rPr>
        <w:t>会遭遇雨水的冲刷，使得施工场地成为面源污染源。降雨冲刷地面浮土、建筑砂石等，降雨冲刷后形成的地表径流会携带泥沙，主要污染物为悬浮物。</w:t>
      </w:r>
    </w:p>
    <w:p w14:paraId="77669A60">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项目施工场内拟沿场地周边设置临时排水沟，将施工场地内悬浮物浓度较高的初期地表径流雨水截留，导入临时</w:t>
      </w:r>
      <w:r>
        <w:rPr>
          <w:rFonts w:hint="eastAsia" w:ascii="Times New Roman" w:hAnsi="Times New Roman" w:eastAsia="宋体" w:cs="Times New Roman"/>
          <w:color w:val="auto"/>
          <w:sz w:val="24"/>
          <w:szCs w:val="24"/>
          <w:lang w:val="en-US" w:eastAsia="zh-CN"/>
        </w:rPr>
        <w:t>沉砂池</w:t>
      </w:r>
      <w:r>
        <w:rPr>
          <w:rFonts w:hint="default" w:ascii="Times New Roman" w:hAnsi="Times New Roman" w:eastAsia="宋体" w:cs="Times New Roman"/>
          <w:color w:val="auto"/>
          <w:sz w:val="24"/>
          <w:szCs w:val="24"/>
          <w:lang w:val="en-US" w:eastAsia="zh-CN"/>
        </w:rPr>
        <w:t>（1个，容积</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），经临时沉淀池沉淀后回用于施工或洒水降尘。总之，本项目施工期废水均能得到妥善处理，施工期产生的废水对地表水体的影响属短期影响，施工结束后即可终止。</w:t>
      </w:r>
    </w:p>
    <w:p w14:paraId="2F2346C4">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3、噪声</w:t>
      </w:r>
    </w:p>
    <w:p w14:paraId="37D21C5C">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剩余</w:t>
      </w:r>
      <w:r>
        <w:rPr>
          <w:rFonts w:hint="default" w:ascii="Times New Roman" w:hAnsi="Times New Roman" w:eastAsia="宋体" w:cs="Times New Roman"/>
          <w:color w:val="auto"/>
          <w:sz w:val="24"/>
          <w:szCs w:val="24"/>
          <w:lang w:val="en-US" w:eastAsia="zh-CN"/>
        </w:rPr>
        <w:t>施工噪声主要来自</w:t>
      </w:r>
      <w:r>
        <w:rPr>
          <w:rFonts w:hint="eastAsia" w:ascii="Times New Roman" w:hAnsi="Times New Roman" w:eastAsia="宋体" w:cs="Times New Roman"/>
          <w:color w:val="auto"/>
          <w:sz w:val="24"/>
          <w:szCs w:val="24"/>
          <w:lang w:val="en-US" w:eastAsia="zh-CN"/>
        </w:rPr>
        <w:t>构建筑施工、</w:t>
      </w:r>
      <w:r>
        <w:rPr>
          <w:rFonts w:hint="default" w:ascii="Times New Roman" w:hAnsi="Times New Roman" w:eastAsia="宋体" w:cs="Times New Roman"/>
          <w:color w:val="auto"/>
          <w:sz w:val="24"/>
          <w:szCs w:val="24"/>
          <w:lang w:val="en-US" w:eastAsia="zh-CN"/>
        </w:rPr>
        <w:t>施工车辆运输、装修等施工过程。施工期间使用的主要施工机械有振捣机、</w:t>
      </w:r>
      <w:r>
        <w:rPr>
          <w:rFonts w:hint="default" w:ascii="Times New Roman" w:hAnsi="Times New Roman" w:eastAsia="宋体" w:cs="Times New Roman"/>
          <w:color w:val="auto"/>
          <w:sz w:val="24"/>
          <w:szCs w:val="24"/>
          <w:lang w:val="zh-CN" w:eastAsia="zh-CN"/>
        </w:rPr>
        <w:t>电焊机、自卸汽车</w:t>
      </w:r>
      <w:r>
        <w:rPr>
          <w:rFonts w:hint="default" w:ascii="Times New Roman" w:hAnsi="Times New Roman" w:eastAsia="宋体" w:cs="Times New Roman"/>
          <w:color w:val="auto"/>
          <w:sz w:val="24"/>
          <w:szCs w:val="24"/>
          <w:lang w:val="en-US" w:eastAsia="zh-CN"/>
        </w:rPr>
        <w:t>等。</w:t>
      </w:r>
      <w:r>
        <w:rPr>
          <w:rFonts w:hint="default" w:ascii="Times New Roman" w:hAnsi="Times New Roman" w:cs="Times New Roman"/>
          <w:color w:val="auto"/>
          <w:spacing w:val="-3"/>
          <w:sz w:val="24"/>
          <w:szCs w:val="24"/>
        </w:rPr>
        <w:t>根据《环境噪声与振动控制工程技术导则》（HJ2034-2013），</w:t>
      </w:r>
      <w:r>
        <w:rPr>
          <w:rFonts w:hint="default" w:ascii="Times New Roman" w:hAnsi="Times New Roman" w:eastAsia="宋体" w:cs="Times New Roman"/>
          <w:color w:val="auto"/>
          <w:sz w:val="24"/>
          <w:szCs w:val="24"/>
          <w:lang w:val="en-US" w:eastAsia="zh-CN"/>
        </w:rPr>
        <w:t>施工期主要噪声源强见表2</w:t>
      </w:r>
      <w:r>
        <w:rPr>
          <w:rFonts w:hint="eastAsia" w:ascii="Times New Roman" w:hAnsi="Times New Roman" w:eastAsia="宋体" w:cs="Times New Roman"/>
          <w:color w:val="auto"/>
          <w:sz w:val="24"/>
          <w:szCs w:val="24"/>
          <w:lang w:val="en-US" w:eastAsia="zh-CN"/>
        </w:rPr>
        <w:t>.4-1</w:t>
      </w:r>
      <w:r>
        <w:rPr>
          <w:rFonts w:hint="default" w:ascii="Times New Roman" w:hAnsi="Times New Roman" w:eastAsia="宋体" w:cs="Times New Roman"/>
          <w:color w:val="auto"/>
          <w:sz w:val="24"/>
          <w:szCs w:val="24"/>
          <w:lang w:val="en-US" w:eastAsia="zh-CN"/>
        </w:rPr>
        <w:t>。</w:t>
      </w:r>
    </w:p>
    <w:p w14:paraId="2375B17B">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施工期主要噪声源强表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1705"/>
        <w:gridCol w:w="1650"/>
        <w:gridCol w:w="1812"/>
        <w:gridCol w:w="1812"/>
      </w:tblGrid>
      <w:tr w14:paraId="28AB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tcBorders>
              <w:tl2br w:val="nil"/>
              <w:tr2bl w:val="nil"/>
            </w:tcBorders>
            <w:vAlign w:val="center"/>
          </w:tcPr>
          <w:p w14:paraId="6D542AD7">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b/>
                <w:color w:val="auto"/>
                <w:kern w:val="2"/>
                <w:sz w:val="21"/>
                <w:szCs w:val="21"/>
                <w:highlight w:val="none"/>
                <w:lang w:val="en-US" w:eastAsia="zh-CN" w:bidi="ar-SA"/>
              </w:rPr>
            </w:pPr>
            <w:r>
              <w:rPr>
                <w:rFonts w:hint="default" w:ascii="Times New Roman" w:hAnsi="Times New Roman" w:cs="Times New Roman" w:eastAsiaTheme="minorEastAsia"/>
                <w:b/>
                <w:color w:val="auto"/>
                <w:kern w:val="2"/>
                <w:sz w:val="21"/>
                <w:szCs w:val="21"/>
                <w:highlight w:val="none"/>
                <w:lang w:val="en-US" w:eastAsia="zh-CN" w:bidi="ar-SA"/>
              </w:rPr>
              <w:t>施工工段</w:t>
            </w:r>
          </w:p>
        </w:tc>
        <w:tc>
          <w:tcPr>
            <w:tcW w:w="1000" w:type="pct"/>
            <w:tcBorders>
              <w:tl2br w:val="nil"/>
              <w:tr2bl w:val="nil"/>
            </w:tcBorders>
            <w:vAlign w:val="center"/>
          </w:tcPr>
          <w:p w14:paraId="3094F209">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b/>
                <w:color w:val="auto"/>
                <w:kern w:val="2"/>
                <w:sz w:val="21"/>
                <w:szCs w:val="21"/>
                <w:highlight w:val="none"/>
                <w:lang w:val="en-US" w:eastAsia="zh-CN" w:bidi="ar-SA"/>
              </w:rPr>
            </w:pPr>
            <w:r>
              <w:rPr>
                <w:rFonts w:hint="default" w:ascii="Times New Roman" w:hAnsi="Times New Roman" w:cs="Times New Roman" w:eastAsiaTheme="minorEastAsia"/>
                <w:b/>
                <w:color w:val="auto"/>
                <w:kern w:val="2"/>
                <w:sz w:val="21"/>
                <w:szCs w:val="21"/>
                <w:highlight w:val="none"/>
                <w:lang w:val="en-US" w:eastAsia="zh-CN" w:bidi="ar-SA"/>
              </w:rPr>
              <w:t>机械分类及名称</w:t>
            </w:r>
          </w:p>
        </w:tc>
        <w:tc>
          <w:tcPr>
            <w:tcW w:w="968" w:type="pct"/>
            <w:tcBorders>
              <w:tl2br w:val="nil"/>
              <w:tr2bl w:val="nil"/>
            </w:tcBorders>
            <w:vAlign w:val="center"/>
          </w:tcPr>
          <w:p w14:paraId="00EFEE4F">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cs="Times New Roman" w:eastAsiaTheme="minorEastAsia"/>
                <w:b/>
                <w:color w:val="auto"/>
                <w:kern w:val="2"/>
                <w:sz w:val="21"/>
                <w:szCs w:val="21"/>
                <w:highlight w:val="none"/>
                <w:lang w:val="en-US" w:eastAsia="zh-CN" w:bidi="ar-SA"/>
              </w:rPr>
            </w:pPr>
            <w:r>
              <w:rPr>
                <w:b/>
                <w:bCs/>
                <w:color w:val="auto"/>
                <w:spacing w:val="4"/>
                <w:sz w:val="21"/>
                <w:szCs w:val="21"/>
              </w:rPr>
              <w:t>距声源</w:t>
            </w:r>
            <w:r>
              <w:rPr>
                <w:color w:val="auto"/>
                <w:spacing w:val="-38"/>
                <w:sz w:val="21"/>
                <w:szCs w:val="21"/>
              </w:rPr>
              <w:t xml:space="preserve"> </w:t>
            </w:r>
            <w:r>
              <w:rPr>
                <w:rFonts w:ascii="Times New Roman" w:hAnsi="Times New Roman" w:eastAsia="Times New Roman" w:cs="Times New Roman"/>
                <w:b/>
                <w:bCs/>
                <w:color w:val="auto"/>
                <w:spacing w:val="4"/>
                <w:sz w:val="21"/>
                <w:szCs w:val="21"/>
              </w:rPr>
              <w:t>5m</w:t>
            </w:r>
          </w:p>
        </w:tc>
        <w:tc>
          <w:tcPr>
            <w:tcW w:w="1063" w:type="pct"/>
            <w:tcBorders>
              <w:tl2br w:val="nil"/>
              <w:tr2bl w:val="nil"/>
            </w:tcBorders>
            <w:vAlign w:val="center"/>
          </w:tcPr>
          <w:p w14:paraId="4EDE0311">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cs="Times New Roman" w:eastAsiaTheme="minorEastAsia"/>
                <w:b/>
                <w:color w:val="auto"/>
                <w:kern w:val="2"/>
                <w:sz w:val="21"/>
                <w:szCs w:val="21"/>
                <w:highlight w:val="none"/>
                <w:lang w:val="en-US" w:eastAsia="zh-CN" w:bidi="ar-SA"/>
              </w:rPr>
            </w:pPr>
            <w:r>
              <w:rPr>
                <w:b/>
                <w:bCs/>
                <w:color w:val="auto"/>
                <w:spacing w:val="3"/>
                <w:sz w:val="21"/>
                <w:szCs w:val="21"/>
              </w:rPr>
              <w:t>距声源</w:t>
            </w:r>
            <w:r>
              <w:rPr>
                <w:color w:val="auto"/>
                <w:spacing w:val="-30"/>
                <w:sz w:val="21"/>
                <w:szCs w:val="21"/>
              </w:rPr>
              <w:t xml:space="preserve"> </w:t>
            </w:r>
            <w:r>
              <w:rPr>
                <w:rFonts w:ascii="Times New Roman" w:hAnsi="Times New Roman" w:eastAsia="Times New Roman" w:cs="Times New Roman"/>
                <w:b/>
                <w:bCs/>
                <w:color w:val="auto"/>
                <w:spacing w:val="3"/>
                <w:sz w:val="21"/>
                <w:szCs w:val="21"/>
              </w:rPr>
              <w:t>10m</w:t>
            </w:r>
          </w:p>
        </w:tc>
        <w:tc>
          <w:tcPr>
            <w:tcW w:w="1063" w:type="pct"/>
            <w:tcBorders>
              <w:tl2br w:val="nil"/>
              <w:tr2bl w:val="nil"/>
            </w:tcBorders>
            <w:shd w:val="clear" w:color="auto" w:fill="auto"/>
            <w:vAlign w:val="center"/>
          </w:tcPr>
          <w:p w14:paraId="42C15C01">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宋体" w:hAnsi="宋体" w:eastAsia="宋体" w:cs="宋体"/>
                <w:snapToGrid w:val="0"/>
                <w:color w:val="auto"/>
                <w:kern w:val="0"/>
                <w:sz w:val="21"/>
                <w:szCs w:val="21"/>
                <w:lang w:val="en-US" w:eastAsia="zh-CN" w:bidi="ar-SA"/>
              </w:rPr>
            </w:pPr>
            <w:r>
              <w:rPr>
                <w:b/>
                <w:bCs/>
                <w:color w:val="auto"/>
                <w:spacing w:val="2"/>
                <w:sz w:val="21"/>
                <w:szCs w:val="21"/>
              </w:rPr>
              <w:t>备注</w:t>
            </w:r>
          </w:p>
        </w:tc>
      </w:tr>
      <w:tr w14:paraId="1903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04" w:type="pct"/>
            <w:vMerge w:val="restart"/>
            <w:tcBorders>
              <w:tl2br w:val="nil"/>
              <w:tr2bl w:val="nil"/>
            </w:tcBorders>
            <w:vAlign w:val="center"/>
          </w:tcPr>
          <w:p w14:paraId="77D25DB3">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结构阶段</w:t>
            </w:r>
          </w:p>
        </w:tc>
        <w:tc>
          <w:tcPr>
            <w:tcW w:w="1000" w:type="pct"/>
            <w:tcBorders>
              <w:tl2br w:val="nil"/>
              <w:tr2bl w:val="nil"/>
            </w:tcBorders>
            <w:vAlign w:val="center"/>
          </w:tcPr>
          <w:p w14:paraId="2EC32261">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混凝土输送泵</w:t>
            </w:r>
          </w:p>
        </w:tc>
        <w:tc>
          <w:tcPr>
            <w:tcW w:w="968" w:type="pct"/>
            <w:tcBorders>
              <w:tl2br w:val="nil"/>
              <w:tr2bl w:val="nil"/>
            </w:tcBorders>
            <w:shd w:val="clear" w:color="auto" w:fill="auto"/>
            <w:vAlign w:val="center"/>
          </w:tcPr>
          <w:p w14:paraId="1809DC68">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88~95</w:t>
            </w:r>
          </w:p>
        </w:tc>
        <w:tc>
          <w:tcPr>
            <w:tcW w:w="1063" w:type="pct"/>
            <w:tcBorders>
              <w:tl2br w:val="nil"/>
              <w:tr2bl w:val="nil"/>
            </w:tcBorders>
            <w:shd w:val="clear" w:color="auto" w:fill="auto"/>
            <w:vAlign w:val="center"/>
          </w:tcPr>
          <w:p w14:paraId="387732F2">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84~90</w:t>
            </w:r>
          </w:p>
        </w:tc>
        <w:tc>
          <w:tcPr>
            <w:tcW w:w="1063" w:type="pct"/>
            <w:tcBorders>
              <w:tl2br w:val="nil"/>
              <w:tr2bl w:val="nil"/>
            </w:tcBorders>
            <w:shd w:val="clear" w:color="auto" w:fill="auto"/>
            <w:vAlign w:val="center"/>
          </w:tcPr>
          <w:p w14:paraId="5DEADD4A">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宋体" w:hAnsi="宋体" w:eastAsia="宋体" w:cs="宋体"/>
                <w:snapToGrid w:val="0"/>
                <w:color w:val="auto"/>
                <w:kern w:val="0"/>
                <w:sz w:val="21"/>
                <w:szCs w:val="21"/>
                <w:lang w:val="en-US" w:eastAsia="zh-CN" w:bidi="ar-SA"/>
              </w:rPr>
            </w:pPr>
            <w:r>
              <w:rPr>
                <w:color w:val="auto"/>
                <w:spacing w:val="3"/>
                <w:sz w:val="21"/>
                <w:szCs w:val="21"/>
              </w:rPr>
              <w:t>间歇使用</w:t>
            </w:r>
          </w:p>
        </w:tc>
      </w:tr>
      <w:tr w14:paraId="7AA7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35BCA933">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679A0E68">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振捣机</w:t>
            </w:r>
          </w:p>
        </w:tc>
        <w:tc>
          <w:tcPr>
            <w:tcW w:w="968" w:type="pct"/>
            <w:tcBorders>
              <w:tl2br w:val="nil"/>
              <w:tr2bl w:val="nil"/>
            </w:tcBorders>
            <w:shd w:val="clear" w:color="auto" w:fill="auto"/>
            <w:vAlign w:val="center"/>
          </w:tcPr>
          <w:p w14:paraId="47598063">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80~88</w:t>
            </w:r>
          </w:p>
        </w:tc>
        <w:tc>
          <w:tcPr>
            <w:tcW w:w="1063" w:type="pct"/>
            <w:tcBorders>
              <w:tl2br w:val="nil"/>
              <w:tr2bl w:val="nil"/>
            </w:tcBorders>
            <w:shd w:val="clear" w:color="auto" w:fill="auto"/>
            <w:vAlign w:val="center"/>
          </w:tcPr>
          <w:p w14:paraId="61BB8A35">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3"/>
                <w:sz w:val="21"/>
                <w:szCs w:val="21"/>
              </w:rPr>
              <w:t>75~84</w:t>
            </w:r>
          </w:p>
        </w:tc>
        <w:tc>
          <w:tcPr>
            <w:tcW w:w="1063" w:type="pct"/>
            <w:tcBorders>
              <w:tl2br w:val="nil"/>
              <w:tr2bl w:val="nil"/>
            </w:tcBorders>
            <w:vAlign w:val="center"/>
          </w:tcPr>
          <w:p w14:paraId="104DFAF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461E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01AFBBCC">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shd w:val="clear" w:color="auto" w:fill="auto"/>
            <w:vAlign w:val="center"/>
          </w:tcPr>
          <w:p w14:paraId="1DC66DC7">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宋体" w:hAnsi="宋体" w:eastAsia="宋体" w:cs="宋体"/>
                <w:snapToGrid w:val="0"/>
                <w:color w:val="auto"/>
                <w:kern w:val="0"/>
                <w:sz w:val="21"/>
                <w:szCs w:val="21"/>
                <w:lang w:val="en-US" w:eastAsia="zh-CN" w:bidi="ar-SA"/>
              </w:rPr>
            </w:pPr>
            <w:r>
              <w:rPr>
                <w:color w:val="auto"/>
                <w:spacing w:val="4"/>
                <w:sz w:val="21"/>
                <w:szCs w:val="21"/>
              </w:rPr>
              <w:t>空压机</w:t>
            </w:r>
          </w:p>
        </w:tc>
        <w:tc>
          <w:tcPr>
            <w:tcW w:w="968" w:type="pct"/>
            <w:tcBorders>
              <w:tl2br w:val="nil"/>
              <w:tr2bl w:val="nil"/>
            </w:tcBorders>
            <w:shd w:val="clear" w:color="auto" w:fill="auto"/>
            <w:vAlign w:val="center"/>
          </w:tcPr>
          <w:p w14:paraId="6EFB4CBE">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zh-CN" w:eastAsia="zh-CN" w:bidi="ar-SA"/>
              </w:rPr>
            </w:pPr>
            <w:r>
              <w:rPr>
                <w:rFonts w:ascii="Times New Roman" w:hAnsi="Times New Roman" w:eastAsia="Times New Roman" w:cs="Times New Roman"/>
                <w:color w:val="auto"/>
                <w:spacing w:val="2"/>
                <w:sz w:val="21"/>
                <w:szCs w:val="21"/>
              </w:rPr>
              <w:t>88~92</w:t>
            </w:r>
          </w:p>
        </w:tc>
        <w:tc>
          <w:tcPr>
            <w:tcW w:w="1063" w:type="pct"/>
            <w:tcBorders>
              <w:tl2br w:val="nil"/>
              <w:tr2bl w:val="nil"/>
            </w:tcBorders>
            <w:shd w:val="clear" w:color="auto" w:fill="auto"/>
            <w:vAlign w:val="center"/>
          </w:tcPr>
          <w:p w14:paraId="63178494">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zh-CN" w:eastAsia="zh-CN" w:bidi="ar-SA"/>
              </w:rPr>
            </w:pPr>
            <w:r>
              <w:rPr>
                <w:rFonts w:ascii="Times New Roman" w:hAnsi="Times New Roman" w:eastAsia="Times New Roman" w:cs="Times New Roman"/>
                <w:color w:val="auto"/>
                <w:spacing w:val="2"/>
                <w:sz w:val="21"/>
                <w:szCs w:val="21"/>
              </w:rPr>
              <w:t>83~88</w:t>
            </w:r>
          </w:p>
        </w:tc>
        <w:tc>
          <w:tcPr>
            <w:tcW w:w="1063" w:type="pct"/>
            <w:tcBorders>
              <w:tl2br w:val="nil"/>
              <w:tr2bl w:val="nil"/>
            </w:tcBorders>
            <w:vAlign w:val="center"/>
          </w:tcPr>
          <w:p w14:paraId="67EED50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zh-CN" w:eastAsia="zh-CN" w:bidi="ar-SA"/>
              </w:rPr>
            </w:pPr>
            <w:r>
              <w:rPr>
                <w:color w:val="auto"/>
                <w:spacing w:val="3"/>
                <w:sz w:val="21"/>
                <w:szCs w:val="21"/>
              </w:rPr>
              <w:t>间歇使用</w:t>
            </w:r>
          </w:p>
        </w:tc>
      </w:tr>
      <w:tr w14:paraId="3115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restart"/>
            <w:tcBorders>
              <w:tl2br w:val="nil"/>
              <w:tr2bl w:val="nil"/>
            </w:tcBorders>
            <w:vAlign w:val="center"/>
          </w:tcPr>
          <w:p w14:paraId="6041EF3A">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装饰、装修阶段</w:t>
            </w:r>
          </w:p>
        </w:tc>
        <w:tc>
          <w:tcPr>
            <w:tcW w:w="1000" w:type="pct"/>
            <w:tcBorders>
              <w:tl2br w:val="nil"/>
              <w:tr2bl w:val="nil"/>
            </w:tcBorders>
            <w:vAlign w:val="center"/>
          </w:tcPr>
          <w:p w14:paraId="524D7853">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电钻</w:t>
            </w:r>
          </w:p>
        </w:tc>
        <w:tc>
          <w:tcPr>
            <w:tcW w:w="968" w:type="pct"/>
            <w:tcBorders>
              <w:tl2br w:val="nil"/>
              <w:tr2bl w:val="nil"/>
            </w:tcBorders>
            <w:vAlign w:val="center"/>
          </w:tcPr>
          <w:p w14:paraId="1A7D925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88</w:t>
            </w:r>
            <w:r>
              <w:rPr>
                <w:rFonts w:ascii="Times New Roman" w:hAnsi="Times New Roman" w:eastAsia="Times New Roman" w:cs="Times New Roman"/>
                <w:color w:val="auto"/>
                <w:spacing w:val="2"/>
                <w:sz w:val="21"/>
                <w:szCs w:val="21"/>
              </w:rPr>
              <w:t>~9</w:t>
            </w:r>
            <w:r>
              <w:rPr>
                <w:rFonts w:hint="eastAsia" w:ascii="Times New Roman" w:hAnsi="Times New Roman" w:eastAsia="宋体" w:cs="Times New Roman"/>
                <w:color w:val="auto"/>
                <w:spacing w:val="2"/>
                <w:sz w:val="21"/>
                <w:szCs w:val="21"/>
                <w:lang w:val="en-US" w:eastAsia="zh-CN"/>
              </w:rPr>
              <w:t>2</w:t>
            </w:r>
          </w:p>
        </w:tc>
        <w:tc>
          <w:tcPr>
            <w:tcW w:w="1063" w:type="pct"/>
            <w:tcBorders>
              <w:tl2br w:val="nil"/>
              <w:tr2bl w:val="nil"/>
            </w:tcBorders>
            <w:vAlign w:val="center"/>
          </w:tcPr>
          <w:p w14:paraId="52CBCF7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83</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87</w:t>
            </w:r>
          </w:p>
        </w:tc>
        <w:tc>
          <w:tcPr>
            <w:tcW w:w="1063" w:type="pct"/>
            <w:tcBorders>
              <w:tl2br w:val="nil"/>
              <w:tr2bl w:val="nil"/>
            </w:tcBorders>
            <w:vAlign w:val="center"/>
          </w:tcPr>
          <w:p w14:paraId="0128801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7A2B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6A1A4B9F">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7F5D48BF">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振动夯锤</w:t>
            </w:r>
          </w:p>
        </w:tc>
        <w:tc>
          <w:tcPr>
            <w:tcW w:w="968" w:type="pct"/>
            <w:tcBorders>
              <w:tl2br w:val="nil"/>
              <w:tr2bl w:val="nil"/>
            </w:tcBorders>
            <w:shd w:val="clear" w:color="auto" w:fill="auto"/>
            <w:vAlign w:val="center"/>
          </w:tcPr>
          <w:p w14:paraId="5A7AFFD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88</w:t>
            </w:r>
            <w:r>
              <w:rPr>
                <w:rFonts w:ascii="Times New Roman" w:hAnsi="Times New Roman" w:eastAsia="Times New Roman" w:cs="Times New Roman"/>
                <w:color w:val="auto"/>
                <w:spacing w:val="2"/>
                <w:sz w:val="21"/>
                <w:szCs w:val="21"/>
              </w:rPr>
              <w:t>~9</w:t>
            </w:r>
            <w:r>
              <w:rPr>
                <w:rFonts w:hint="eastAsia" w:ascii="Times New Roman" w:hAnsi="Times New Roman" w:eastAsia="宋体" w:cs="Times New Roman"/>
                <w:color w:val="auto"/>
                <w:spacing w:val="2"/>
                <w:sz w:val="21"/>
                <w:szCs w:val="21"/>
                <w:lang w:val="en-US" w:eastAsia="zh-CN"/>
              </w:rPr>
              <w:t>2</w:t>
            </w:r>
          </w:p>
        </w:tc>
        <w:tc>
          <w:tcPr>
            <w:tcW w:w="1063" w:type="pct"/>
            <w:tcBorders>
              <w:tl2br w:val="nil"/>
              <w:tr2bl w:val="nil"/>
            </w:tcBorders>
            <w:shd w:val="clear" w:color="auto" w:fill="auto"/>
            <w:vAlign w:val="center"/>
          </w:tcPr>
          <w:p w14:paraId="297E2E7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83</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87</w:t>
            </w:r>
          </w:p>
        </w:tc>
        <w:tc>
          <w:tcPr>
            <w:tcW w:w="1063" w:type="pct"/>
            <w:tcBorders>
              <w:tl2br w:val="nil"/>
              <w:tr2bl w:val="nil"/>
            </w:tcBorders>
            <w:vAlign w:val="center"/>
          </w:tcPr>
          <w:p w14:paraId="0ED3F7F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22A2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6EF9063B">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53D0BD77">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角向磨光机</w:t>
            </w:r>
          </w:p>
        </w:tc>
        <w:tc>
          <w:tcPr>
            <w:tcW w:w="968" w:type="pct"/>
            <w:tcBorders>
              <w:tl2br w:val="nil"/>
              <w:tr2bl w:val="nil"/>
            </w:tcBorders>
            <w:vAlign w:val="center"/>
          </w:tcPr>
          <w:p w14:paraId="4549C228">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pacing w:val="2"/>
                <w:sz w:val="21"/>
                <w:szCs w:val="21"/>
                <w:lang w:val="en-US" w:eastAsia="zh-CN"/>
              </w:rPr>
              <w:t>90</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96</w:t>
            </w:r>
          </w:p>
        </w:tc>
        <w:tc>
          <w:tcPr>
            <w:tcW w:w="1063" w:type="pct"/>
            <w:tcBorders>
              <w:tl2br w:val="nil"/>
              <w:tr2bl w:val="nil"/>
            </w:tcBorders>
            <w:vAlign w:val="center"/>
          </w:tcPr>
          <w:p w14:paraId="73DC1C5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eastAsia="宋体" w:cs="Times New Roman"/>
                <w:color w:val="auto"/>
                <w:spacing w:val="2"/>
                <w:sz w:val="21"/>
                <w:szCs w:val="21"/>
                <w:lang w:val="en-US" w:eastAsia="zh-CN"/>
              </w:rPr>
              <w:t>84</w:t>
            </w:r>
            <w:r>
              <w:rPr>
                <w:rFonts w:ascii="Times New Roman" w:hAnsi="Times New Roman" w:eastAsia="Times New Roman" w:cs="Times New Roman"/>
                <w:color w:val="auto"/>
                <w:spacing w:val="2"/>
                <w:sz w:val="21"/>
                <w:szCs w:val="21"/>
              </w:rPr>
              <w:t>~90</w:t>
            </w:r>
          </w:p>
        </w:tc>
        <w:tc>
          <w:tcPr>
            <w:tcW w:w="1063" w:type="pct"/>
            <w:tcBorders>
              <w:tl2br w:val="nil"/>
              <w:tr2bl w:val="nil"/>
            </w:tcBorders>
            <w:vAlign w:val="center"/>
          </w:tcPr>
          <w:p w14:paraId="45297C4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5F3B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restart"/>
            <w:tcBorders>
              <w:tl2br w:val="nil"/>
              <w:tr2bl w:val="nil"/>
            </w:tcBorders>
            <w:vAlign w:val="center"/>
          </w:tcPr>
          <w:p w14:paraId="501A0949">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运输阶段</w:t>
            </w:r>
          </w:p>
        </w:tc>
        <w:tc>
          <w:tcPr>
            <w:tcW w:w="1000" w:type="pct"/>
            <w:tcBorders>
              <w:tl2br w:val="nil"/>
              <w:tr2bl w:val="nil"/>
            </w:tcBorders>
            <w:vAlign w:val="center"/>
          </w:tcPr>
          <w:p w14:paraId="1DF48333">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大型载重车</w:t>
            </w:r>
          </w:p>
        </w:tc>
        <w:tc>
          <w:tcPr>
            <w:tcW w:w="968" w:type="pct"/>
            <w:tcBorders>
              <w:tl2br w:val="nil"/>
              <w:tr2bl w:val="nil"/>
            </w:tcBorders>
            <w:shd w:val="clear" w:color="auto" w:fill="auto"/>
            <w:vAlign w:val="center"/>
          </w:tcPr>
          <w:p w14:paraId="07E34543">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82~90</w:t>
            </w:r>
          </w:p>
        </w:tc>
        <w:tc>
          <w:tcPr>
            <w:tcW w:w="1063" w:type="pct"/>
            <w:tcBorders>
              <w:tl2br w:val="nil"/>
              <w:tr2bl w:val="nil"/>
            </w:tcBorders>
            <w:shd w:val="clear" w:color="auto" w:fill="auto"/>
            <w:vAlign w:val="center"/>
          </w:tcPr>
          <w:p w14:paraId="07675AFA">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3"/>
                <w:sz w:val="21"/>
                <w:szCs w:val="21"/>
              </w:rPr>
              <w:t>78~86</w:t>
            </w:r>
          </w:p>
        </w:tc>
        <w:tc>
          <w:tcPr>
            <w:tcW w:w="1063" w:type="pct"/>
            <w:tcBorders>
              <w:tl2br w:val="nil"/>
              <w:tr2bl w:val="nil"/>
            </w:tcBorders>
            <w:vAlign w:val="center"/>
          </w:tcPr>
          <w:p w14:paraId="7E7E716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2E66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16217D06">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0B70DE6E">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混凝土罐车</w:t>
            </w:r>
          </w:p>
        </w:tc>
        <w:tc>
          <w:tcPr>
            <w:tcW w:w="968" w:type="pct"/>
            <w:tcBorders>
              <w:tl2br w:val="nil"/>
              <w:tr2bl w:val="nil"/>
            </w:tcBorders>
            <w:vAlign w:val="center"/>
          </w:tcPr>
          <w:p w14:paraId="46B24D3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85</w:t>
            </w:r>
            <w:r>
              <w:rPr>
                <w:rFonts w:ascii="Times New Roman" w:hAnsi="Times New Roman" w:eastAsia="Times New Roman" w:cs="Times New Roman"/>
                <w:color w:val="auto"/>
                <w:spacing w:val="2"/>
                <w:sz w:val="21"/>
                <w:szCs w:val="21"/>
              </w:rPr>
              <w:t>~90</w:t>
            </w:r>
          </w:p>
        </w:tc>
        <w:tc>
          <w:tcPr>
            <w:tcW w:w="1063" w:type="pct"/>
            <w:tcBorders>
              <w:tl2br w:val="nil"/>
              <w:tr2bl w:val="nil"/>
            </w:tcBorders>
            <w:vAlign w:val="center"/>
          </w:tcPr>
          <w:p w14:paraId="5285297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82</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84</w:t>
            </w:r>
          </w:p>
        </w:tc>
        <w:tc>
          <w:tcPr>
            <w:tcW w:w="1063" w:type="pct"/>
            <w:tcBorders>
              <w:tl2br w:val="nil"/>
              <w:tr2bl w:val="nil"/>
            </w:tcBorders>
            <w:vAlign w:val="center"/>
          </w:tcPr>
          <w:p w14:paraId="799977F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0A3D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0345FD16">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3DCB613C">
            <w:pPr>
              <w:keepNext w:val="0"/>
              <w:keepLines w:val="0"/>
              <w:pageBreakBefore w:val="0"/>
              <w:widowControl/>
              <w:kinsoku/>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轻型载重车</w:t>
            </w:r>
          </w:p>
        </w:tc>
        <w:tc>
          <w:tcPr>
            <w:tcW w:w="968" w:type="pct"/>
            <w:tcBorders>
              <w:tl2br w:val="nil"/>
              <w:tr2bl w:val="nil"/>
            </w:tcBorders>
            <w:shd w:val="clear" w:color="auto" w:fill="auto"/>
            <w:vAlign w:val="center"/>
          </w:tcPr>
          <w:p w14:paraId="5CAB3316">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82~90</w:t>
            </w:r>
          </w:p>
        </w:tc>
        <w:tc>
          <w:tcPr>
            <w:tcW w:w="1063" w:type="pct"/>
            <w:tcBorders>
              <w:tl2br w:val="nil"/>
              <w:tr2bl w:val="nil"/>
            </w:tcBorders>
            <w:shd w:val="clear" w:color="auto" w:fill="auto"/>
            <w:vAlign w:val="center"/>
          </w:tcPr>
          <w:p w14:paraId="4EA9F51D">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3"/>
                <w:sz w:val="21"/>
                <w:szCs w:val="21"/>
              </w:rPr>
              <w:t>78~86</w:t>
            </w:r>
          </w:p>
        </w:tc>
        <w:tc>
          <w:tcPr>
            <w:tcW w:w="1063" w:type="pct"/>
            <w:tcBorders>
              <w:tl2br w:val="nil"/>
              <w:tr2bl w:val="nil"/>
            </w:tcBorders>
            <w:vAlign w:val="center"/>
          </w:tcPr>
          <w:p w14:paraId="3B3073E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bl>
    <w:p w14:paraId="30E1E5D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4、固体废物</w:t>
      </w:r>
    </w:p>
    <w:p w14:paraId="7D23CCA2">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本项目施工期产生的固体废物主要为废弃土石方、建筑垃圾和施工人员生活垃圾等。</w:t>
      </w:r>
    </w:p>
    <w:p w14:paraId="32219076">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（1）废弃土石方</w:t>
      </w:r>
    </w:p>
    <w:p w14:paraId="1D9FC7D3">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w:t>
      </w:r>
      <w:r>
        <w:rPr>
          <w:rFonts w:hint="eastAsia" w:ascii="Times New Roman" w:hAnsi="Times New Roman" w:eastAsia="宋体" w:cs="Times New Roman"/>
          <w:color w:val="auto"/>
          <w:sz w:val="24"/>
          <w:szCs w:val="24"/>
          <w:lang w:val="en-US" w:eastAsia="zh-CN"/>
        </w:rPr>
        <w:t>建设单位提供的水土保持方案资料，</w:t>
      </w:r>
      <w:r>
        <w:rPr>
          <w:rFonts w:hint="default" w:ascii="Times New Roman" w:hAnsi="Times New Roman" w:eastAsia="宋体" w:cs="Times New Roman"/>
          <w:color w:val="auto"/>
          <w:sz w:val="24"/>
          <w:szCs w:val="24"/>
          <w:lang w:val="en-US" w:eastAsia="zh-CN"/>
        </w:rPr>
        <w:t>项目绿化覆土面积总计</w:t>
      </w:r>
      <w:r>
        <w:rPr>
          <w:rFonts w:hint="eastAsia" w:ascii="Times New Roman" w:hAnsi="Times New Roman" w:eastAsia="宋体" w:cs="Times New Roman"/>
          <w:color w:val="auto"/>
          <w:sz w:val="24"/>
          <w:szCs w:val="24"/>
          <w:lang w:val="en-US" w:eastAsia="zh-CN"/>
        </w:rPr>
        <w:t>6537.27</w:t>
      </w:r>
      <w:r>
        <w:rPr>
          <w:rFonts w:hint="default" w:ascii="Times New Roman" w:hAnsi="Times New Roman" w:eastAsia="宋体" w:cs="Times New Roman"/>
          <w:color w:val="auto"/>
          <w:sz w:val="24"/>
          <w:szCs w:val="24"/>
          <w:lang w:val="en-US" w:eastAsia="zh-CN"/>
        </w:rPr>
        <w:t>m²</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覆土平均厚度</w:t>
      </w:r>
      <w:r>
        <w:rPr>
          <w:rFonts w:hint="eastAsia" w:ascii="Times New Roman" w:hAnsi="Times New Roman" w:eastAsia="宋体" w:cs="Times New Roman"/>
          <w:color w:val="auto"/>
          <w:sz w:val="24"/>
          <w:szCs w:val="24"/>
          <w:lang w:val="en-US" w:eastAsia="zh-CN"/>
        </w:rPr>
        <w:t>50</w:t>
      </w:r>
      <w:r>
        <w:rPr>
          <w:rFonts w:hint="default" w:ascii="Times New Roman" w:hAnsi="Times New Roman" w:eastAsia="宋体" w:cs="Times New Roman"/>
          <w:color w:val="auto"/>
          <w:sz w:val="24"/>
          <w:szCs w:val="24"/>
          <w:lang w:val="en-US" w:eastAsia="zh-CN"/>
        </w:rPr>
        <w:t>cm，则覆土量</w:t>
      </w:r>
      <w:r>
        <w:rPr>
          <w:rFonts w:hint="eastAsia" w:ascii="Times New Roman" w:hAnsi="Times New Roman" w:eastAsia="宋体" w:cs="Times New Roman"/>
          <w:color w:val="auto"/>
          <w:sz w:val="24"/>
          <w:szCs w:val="24"/>
          <w:lang w:val="en-US" w:eastAsia="zh-CN"/>
        </w:rPr>
        <w:t>3268.64</w:t>
      </w:r>
      <w:r>
        <w:rPr>
          <w:rFonts w:hint="default" w:ascii="Times New Roman" w:hAnsi="Times New Roman" w:eastAsia="宋体" w:cs="Times New Roman"/>
          <w:color w:val="auto"/>
          <w:sz w:val="24"/>
          <w:szCs w:val="24"/>
          <w:lang w:val="en-US" w:eastAsia="zh-CN"/>
        </w:rPr>
        <w:t>m³。场地平整地回填过程中需回填厚度约</w:t>
      </w:r>
      <w:r>
        <w:rPr>
          <w:rFonts w:hint="eastAsia"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lang w:val="en-US" w:eastAsia="zh-CN"/>
        </w:rPr>
        <w:t>m，则回填量为</w:t>
      </w:r>
      <w:r>
        <w:rPr>
          <w:rFonts w:hint="eastAsia" w:ascii="Times New Roman" w:hAnsi="Times New Roman" w:eastAsia="宋体" w:cs="Times New Roman"/>
          <w:color w:val="auto"/>
          <w:sz w:val="24"/>
          <w:szCs w:val="24"/>
          <w:lang w:val="en-US" w:eastAsia="zh-CN"/>
        </w:rPr>
        <w:t>11.84</w:t>
      </w:r>
      <w:r>
        <w:rPr>
          <w:rFonts w:hint="default" w:ascii="Times New Roman" w:hAnsi="Times New Roman" w:eastAsia="宋体" w:cs="Times New Roman"/>
          <w:color w:val="auto"/>
          <w:sz w:val="24"/>
          <w:szCs w:val="24"/>
          <w:lang w:val="en-US" w:eastAsia="zh-CN"/>
        </w:rPr>
        <w:t>万m³。回填量总计</w:t>
      </w:r>
      <w:r>
        <w:rPr>
          <w:rFonts w:hint="eastAsia" w:ascii="Times New Roman" w:hAnsi="Times New Roman" w:eastAsia="宋体" w:cs="Times New Roman"/>
          <w:color w:val="auto"/>
          <w:sz w:val="24"/>
          <w:szCs w:val="24"/>
          <w:lang w:val="en-US" w:eastAsia="zh-CN"/>
        </w:rPr>
        <w:t>12.167</w:t>
      </w:r>
      <w:r>
        <w:rPr>
          <w:rFonts w:hint="default" w:ascii="Times New Roman" w:hAnsi="Times New Roman" w:eastAsia="宋体" w:cs="Times New Roman"/>
          <w:color w:val="auto"/>
          <w:sz w:val="24"/>
          <w:szCs w:val="24"/>
          <w:lang w:val="en-US" w:eastAsia="zh-CN"/>
        </w:rPr>
        <w:t>万m³。</w:t>
      </w:r>
    </w:p>
    <w:p w14:paraId="1FEB75B3">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综上，</w:t>
      </w:r>
      <w:r>
        <w:rPr>
          <w:rFonts w:hint="eastAsia" w:ascii="Times New Roman" w:hAnsi="Times New Roman" w:eastAsia="宋体" w:cs="Times New Roman"/>
          <w:color w:val="auto"/>
          <w:sz w:val="24"/>
          <w:szCs w:val="24"/>
          <w:lang w:val="en-US" w:eastAsia="zh-CN"/>
        </w:rPr>
        <w:t>根据水土保持方案，</w:t>
      </w:r>
      <w:r>
        <w:rPr>
          <w:rFonts w:hint="default" w:ascii="Times New Roman" w:hAnsi="Times New Roman" w:eastAsia="宋体" w:cs="Times New Roman"/>
          <w:color w:val="auto"/>
          <w:sz w:val="24"/>
          <w:szCs w:val="24"/>
          <w:lang w:val="en-US" w:eastAsia="zh-CN"/>
        </w:rPr>
        <w:t>本项目共开挖土石方</w:t>
      </w:r>
      <w:r>
        <w:rPr>
          <w:rFonts w:hint="eastAsia" w:ascii="Times New Roman" w:hAnsi="Times New Roman" w:eastAsia="宋体" w:cs="Times New Roman"/>
          <w:color w:val="auto"/>
          <w:sz w:val="24"/>
          <w:szCs w:val="24"/>
          <w:lang w:val="en-US" w:eastAsia="zh-CN"/>
        </w:rPr>
        <w:t>11.9</w:t>
      </w:r>
      <w:r>
        <w:rPr>
          <w:rFonts w:hint="default" w:ascii="Times New Roman" w:hAnsi="Times New Roman" w:eastAsia="宋体" w:cs="Times New Roman"/>
          <w:color w:val="auto"/>
          <w:sz w:val="24"/>
          <w:szCs w:val="24"/>
          <w:lang w:val="en-US" w:eastAsia="zh-CN"/>
        </w:rPr>
        <w:t>万m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回填总量为</w:t>
      </w:r>
      <w:r>
        <w:rPr>
          <w:rFonts w:hint="eastAsia" w:ascii="Times New Roman" w:hAnsi="Times New Roman" w:eastAsia="宋体" w:cs="Times New Roman"/>
          <w:color w:val="auto"/>
          <w:sz w:val="24"/>
          <w:szCs w:val="24"/>
          <w:lang w:val="en-US" w:eastAsia="zh-CN"/>
        </w:rPr>
        <w:t>12.167</w:t>
      </w:r>
      <w:r>
        <w:rPr>
          <w:rFonts w:hint="default" w:ascii="Times New Roman" w:hAnsi="Times New Roman" w:eastAsia="宋体" w:cs="Times New Roman"/>
          <w:color w:val="auto"/>
          <w:sz w:val="24"/>
          <w:szCs w:val="24"/>
          <w:lang w:val="en-US" w:eastAsia="zh-CN"/>
        </w:rPr>
        <w:t>万m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工程建设产生的土石方得到全面综合利用，不产生永久弃方</w:t>
      </w:r>
      <w:r>
        <w:rPr>
          <w:rFonts w:hint="eastAsia" w:ascii="Times New Roman" w:hAnsi="Times New Roman" w:eastAsia="宋体" w:cs="Times New Roman"/>
          <w:color w:val="auto"/>
          <w:sz w:val="24"/>
          <w:szCs w:val="24"/>
          <w:lang w:val="en-US" w:eastAsia="zh-CN"/>
        </w:rPr>
        <w:t>，外购土石方来源于园区其他工地</w:t>
      </w:r>
      <w:r>
        <w:rPr>
          <w:rFonts w:hint="default" w:ascii="Times New Roman" w:hAnsi="Times New Roman" w:eastAsia="宋体" w:cs="Times New Roman"/>
          <w:color w:val="auto"/>
          <w:sz w:val="24"/>
          <w:szCs w:val="24"/>
          <w:lang w:val="en-US" w:eastAsia="zh-CN"/>
        </w:rPr>
        <w:t>。</w:t>
      </w:r>
    </w:p>
    <w:p w14:paraId="4FB3D1F2">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（2）建筑垃圾</w:t>
      </w:r>
    </w:p>
    <w:p w14:paraId="63F5AAE4">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项目施工期的建筑垃圾主要包括施工中的废钢筋、砖瓦、混凝土块、废旧塑料、泡沫等，这些废弃物基本上不溶解、不腐烂变质，如处理不当，会影响景观和周围环境的质量。</w:t>
      </w:r>
    </w:p>
    <w:p w14:paraId="404C75C2">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对于这些废物，应集中处理，分类收集并尽可能的回收再利用，不能回收利用的则应及时清理出施工现场。施工场地及时清理，由于建筑需要，可将建筑废砖头用于人工景观、内部道路等施工中，不外运，对环境影响较小；建筑垃圾委托专业建筑垃圾运输单位及时运送至政府指定的建筑垃圾收纳场处置。</w:t>
      </w:r>
    </w:p>
    <w:p w14:paraId="35542E14">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（3）生活垃圾</w:t>
      </w:r>
    </w:p>
    <w:p w14:paraId="14F0ECEE">
      <w:pPr>
        <w:keepNext w:val="0"/>
        <w:keepLines w:val="0"/>
        <w:pageBreakBefore w:val="0"/>
        <w:widowControl/>
        <w:kinsoku/>
        <w:wordWrap/>
        <w:overflowPunct/>
        <w:topLinePunct w:val="0"/>
        <w:autoSpaceDE w:val="0"/>
        <w:autoSpaceDN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本项目施工人员平均约</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人/d，施工人员主要聘用项目周边的建筑工人，不在项目区食宿，在工地</w:t>
      </w:r>
      <w:r>
        <w:rPr>
          <w:rFonts w:hint="eastAsia" w:ascii="Times New Roman" w:hAnsi="Times New Roman" w:eastAsia="宋体" w:cs="Times New Roman"/>
          <w:color w:val="auto"/>
          <w:sz w:val="24"/>
          <w:szCs w:val="24"/>
          <w:lang w:val="en-US" w:eastAsia="zh-CN"/>
        </w:rPr>
        <w:t>只</w:t>
      </w:r>
      <w:r>
        <w:rPr>
          <w:rFonts w:hint="default" w:ascii="Times New Roman" w:hAnsi="Times New Roman" w:eastAsia="宋体" w:cs="Times New Roman"/>
          <w:color w:val="auto"/>
          <w:sz w:val="24"/>
          <w:szCs w:val="24"/>
          <w:lang w:val="en-US" w:eastAsia="zh-CN"/>
        </w:rPr>
        <w:t>设置1到2个现场看守人员，不在现场做饭，施工期生活垃圾多为果皮、纸屑和塑料袋等，施工期生活垃圾产生量按每人每天0.</w:t>
      </w:r>
      <w:r>
        <w:rPr>
          <w:rFonts w:hint="eastAsia" w:ascii="Times New Roman" w:hAnsi="Times New Roman" w:eastAsia="宋体" w:cs="Times New Roman"/>
          <w:color w:val="auto"/>
          <w:sz w:val="24"/>
          <w:szCs w:val="24"/>
          <w:lang w:val="en-US" w:eastAsia="zh-CN"/>
        </w:rPr>
        <w:t>02</w:t>
      </w:r>
      <w:r>
        <w:rPr>
          <w:rFonts w:hint="default" w:ascii="Times New Roman" w:hAnsi="Times New Roman" w:eastAsia="宋体" w:cs="Times New Roman"/>
          <w:color w:val="auto"/>
          <w:sz w:val="24"/>
          <w:szCs w:val="24"/>
          <w:lang w:val="en-US" w:eastAsia="zh-CN"/>
        </w:rPr>
        <w:t>kg计，每天垃圾产生量约</w:t>
      </w:r>
      <w:r>
        <w:rPr>
          <w:rFonts w:hint="eastAsia" w:ascii="Times New Roman" w:hAnsi="Times New Roman" w:eastAsia="宋体" w:cs="Times New Roman"/>
          <w:color w:val="auto"/>
          <w:sz w:val="24"/>
          <w:szCs w:val="24"/>
          <w:lang w:val="en-US" w:eastAsia="zh-CN"/>
        </w:rPr>
        <w:t>0.1</w:t>
      </w:r>
      <w:r>
        <w:rPr>
          <w:rFonts w:hint="default" w:ascii="Times New Roman" w:hAnsi="Times New Roman" w:eastAsia="宋体" w:cs="Times New Roman"/>
          <w:color w:val="auto"/>
          <w:sz w:val="24"/>
          <w:szCs w:val="24"/>
          <w:lang w:val="en-US" w:eastAsia="zh-CN"/>
        </w:rPr>
        <w:t>kg，施工期约</w:t>
      </w:r>
      <w:r>
        <w:rPr>
          <w:rFonts w:hint="eastAsia"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lang w:val="en-US" w:eastAsia="zh-CN"/>
        </w:rPr>
        <w:t>天，生活垃圾总产生量约</w:t>
      </w:r>
      <w:r>
        <w:rPr>
          <w:rFonts w:hint="eastAsia" w:ascii="Times New Roman" w:hAnsi="Times New Roman" w:eastAsia="宋体" w:cs="Times New Roman"/>
          <w:color w:val="auto"/>
          <w:sz w:val="24"/>
          <w:szCs w:val="24"/>
          <w:lang w:val="en-US" w:eastAsia="zh-CN"/>
        </w:rPr>
        <w:t>3kg</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生活垃圾清运至环卫部门指定地点处理。</w:t>
      </w:r>
    </w:p>
    <w:p w14:paraId="3BB0C236">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rFonts w:hint="default" w:ascii="Times New Roman" w:hAnsi="Times New Roman" w:eastAsia="Times New Roman" w:cs="Times New Roman"/>
          <w:b/>
          <w:bCs/>
          <w:color w:val="auto"/>
          <w:spacing w:val="-2"/>
          <w:sz w:val="24"/>
          <w:szCs w:val="24"/>
        </w:rPr>
      </w:pPr>
      <w:bookmarkStart w:id="105" w:name="_Toc32081"/>
      <w:r>
        <w:rPr>
          <w:rFonts w:hint="default" w:ascii="Times New Roman" w:hAnsi="Times New Roman" w:eastAsia="Times New Roman" w:cs="Times New Roman"/>
          <w:b/>
          <w:bCs/>
          <w:color w:val="auto"/>
          <w:spacing w:val="-2"/>
          <w:sz w:val="24"/>
          <w:szCs w:val="24"/>
        </w:rPr>
        <w:t>2.</w:t>
      </w:r>
      <w:r>
        <w:rPr>
          <w:rFonts w:hint="default" w:ascii="Times New Roman" w:hAnsi="Times New Roman" w:eastAsia="Times New Roman"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.2  运营期污染影响因素分析及污染源源强核算</w:t>
      </w:r>
      <w:bookmarkEnd w:id="105"/>
    </w:p>
    <w:p w14:paraId="645AD9DC">
      <w:pPr>
        <w:pStyle w:val="9"/>
        <w:keepNext/>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hint="default" w:ascii="Times New Roman" w:hAnsi="Times New Roman" w:cs="Times New Roman"/>
          <w:color w:val="auto"/>
          <w:sz w:val="24"/>
          <w:szCs w:val="24"/>
        </w:rPr>
      </w:pPr>
      <w:r>
        <w:rPr>
          <w:rFonts w:hint="default" w:ascii="Times New Roman" w:hAnsi="Times New Roman" w:eastAsia="Times New Roman" w:cs="Times New Roman"/>
          <w:b/>
          <w:bCs/>
          <w:color w:val="auto"/>
          <w:spacing w:val="-2"/>
          <w:sz w:val="24"/>
          <w:szCs w:val="24"/>
        </w:rPr>
        <w:t>2.</w:t>
      </w:r>
      <w:r>
        <w:rPr>
          <w:rFonts w:hint="default" w:ascii="Times New Roman" w:hAnsi="Times New Roman" w:eastAsia="宋体"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 xml:space="preserve">.2.1  </w:t>
      </w:r>
      <w:r>
        <w:rPr>
          <w:rFonts w:hint="default" w:ascii="Times New Roman" w:hAnsi="Times New Roman" w:cs="Times New Roman"/>
          <w:b/>
          <w:bCs/>
          <w:color w:val="auto"/>
          <w:spacing w:val="-2"/>
          <w:sz w:val="24"/>
          <w:szCs w:val="24"/>
        </w:rPr>
        <w:t>运营期工艺流程</w:t>
      </w:r>
    </w:p>
    <w:p w14:paraId="33D23D00">
      <w:pPr>
        <w:keepNext/>
        <w:keepLines w:val="0"/>
        <w:pageBreakBefore w:val="0"/>
        <w:widowControl w:val="0"/>
        <w:kinsoku/>
        <w:wordWrap/>
        <w:overflowPunct/>
        <w:topLinePunct w:val="0"/>
        <w:autoSpaceDE/>
        <w:autoSpaceDN/>
        <w:bidi w:val="0"/>
        <w:adjustRightInd/>
        <w:snapToGrid/>
        <w:spacing w:line="360" w:lineRule="auto"/>
        <w:ind w:left="0" w:firstLine="48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sz w:val="24"/>
          <w:szCs w:val="22"/>
          <w:lang w:eastAsia="zh-CN"/>
        </w:rPr>
        <w:t>本项目运营期</w:t>
      </w:r>
      <w:r>
        <w:rPr>
          <w:rFonts w:hint="default" w:ascii="Times New Roman" w:hAnsi="Times New Roman" w:eastAsia="宋体" w:cs="Times New Roman"/>
          <w:b w:val="0"/>
          <w:bCs w:val="0"/>
          <w:color w:val="auto"/>
          <w:sz w:val="24"/>
          <w:szCs w:val="22"/>
          <w:lang w:val="en-US" w:eastAsia="zh-CN"/>
        </w:rPr>
        <w:t>主要进行密闭集装箱（煤焦）装卸，设计运量为250万吨/年</w:t>
      </w:r>
      <w:r>
        <w:rPr>
          <w:rFonts w:hint="default" w:ascii="Times New Roman" w:hAnsi="Times New Roman" w:eastAsia="宋体" w:cs="Times New Roman"/>
          <w:b w:val="0"/>
          <w:bCs w:val="0"/>
          <w:color w:val="auto"/>
          <w:sz w:val="24"/>
          <w:szCs w:val="22"/>
          <w:lang w:eastAsia="zh-CN"/>
        </w:rPr>
        <w:t>，</w:t>
      </w:r>
      <w:r>
        <w:rPr>
          <w:rFonts w:hint="default" w:ascii="Times New Roman" w:hAnsi="Times New Roman" w:eastAsia="宋体" w:cs="Times New Roman"/>
          <w:b w:val="0"/>
          <w:bCs w:val="0"/>
          <w:color w:val="auto"/>
          <w:sz w:val="24"/>
          <w:szCs w:val="22"/>
        </w:rPr>
        <w:t>主要污染物包括</w:t>
      </w:r>
      <w:r>
        <w:rPr>
          <w:rFonts w:hint="default" w:ascii="Times New Roman" w:hAnsi="Times New Roman" w:eastAsia="宋体" w:cs="Times New Roman"/>
          <w:b w:val="0"/>
          <w:bCs w:val="0"/>
          <w:color w:val="auto"/>
          <w:sz w:val="24"/>
          <w:szCs w:val="22"/>
          <w:lang w:val="en-US" w:eastAsia="zh-CN"/>
        </w:rPr>
        <w:t>粉尘、</w:t>
      </w:r>
      <w:r>
        <w:rPr>
          <w:rFonts w:hint="default" w:ascii="Times New Roman" w:hAnsi="Times New Roman" w:eastAsia="宋体" w:cs="Times New Roman"/>
          <w:b w:val="0"/>
          <w:bCs w:val="0"/>
          <w:color w:val="auto"/>
          <w:sz w:val="24"/>
          <w:szCs w:val="22"/>
        </w:rPr>
        <w:t>噪声和固体废弃物</w:t>
      </w:r>
      <w:r>
        <w:rPr>
          <w:rFonts w:hint="default" w:ascii="Times New Roman" w:hAnsi="Times New Roman" w:eastAsia="宋体" w:cs="Times New Roman"/>
          <w:b w:val="0"/>
          <w:bCs w:val="0"/>
          <w:color w:val="auto"/>
          <w:sz w:val="24"/>
          <w:szCs w:val="22"/>
          <w:lang w:eastAsia="zh-CN"/>
        </w:rPr>
        <w:t>等，</w:t>
      </w:r>
      <w:r>
        <w:rPr>
          <w:rFonts w:hint="default" w:ascii="Times New Roman" w:hAnsi="Times New Roman" w:eastAsia="宋体" w:cs="Times New Roman"/>
          <w:b w:val="0"/>
          <w:bCs w:val="0"/>
          <w:color w:val="auto"/>
          <w:sz w:val="24"/>
          <w:szCs w:val="22"/>
        </w:rPr>
        <w:t>项目</w:t>
      </w:r>
      <w:r>
        <w:rPr>
          <w:rFonts w:hint="default" w:ascii="Times New Roman" w:hAnsi="Times New Roman" w:eastAsia="宋体" w:cs="Times New Roman"/>
          <w:b w:val="0"/>
          <w:bCs w:val="0"/>
          <w:color w:val="auto"/>
          <w:sz w:val="24"/>
          <w:szCs w:val="22"/>
          <w:lang w:eastAsia="zh-CN"/>
        </w:rPr>
        <w:t>运营</w:t>
      </w:r>
      <w:r>
        <w:rPr>
          <w:rFonts w:hint="default" w:ascii="Times New Roman" w:hAnsi="Times New Roman" w:eastAsia="宋体" w:cs="Times New Roman"/>
          <w:b w:val="0"/>
          <w:bCs w:val="0"/>
          <w:color w:val="auto"/>
          <w:sz w:val="24"/>
          <w:szCs w:val="22"/>
        </w:rPr>
        <w:t>期工艺流程及产</w:t>
      </w:r>
      <w:r>
        <w:rPr>
          <w:rFonts w:hint="default" w:ascii="Times New Roman" w:hAnsi="Times New Roman" w:eastAsia="宋体" w:cs="Times New Roman"/>
          <w:b w:val="0"/>
          <w:bCs w:val="0"/>
          <w:color w:val="auto"/>
          <w:sz w:val="24"/>
          <w:szCs w:val="22"/>
          <w:lang w:eastAsia="zh-CN"/>
        </w:rPr>
        <w:t>污</w:t>
      </w:r>
      <w:r>
        <w:rPr>
          <w:rFonts w:hint="default" w:ascii="Times New Roman" w:hAnsi="Times New Roman" w:eastAsia="宋体" w:cs="Times New Roman"/>
          <w:b w:val="0"/>
          <w:bCs w:val="0"/>
          <w:color w:val="auto"/>
          <w:sz w:val="24"/>
          <w:szCs w:val="22"/>
        </w:rPr>
        <w:t>节点图详见图</w:t>
      </w:r>
      <w:r>
        <w:rPr>
          <w:rFonts w:hint="default" w:ascii="Times New Roman" w:hAnsi="Times New Roman" w:eastAsia="宋体" w:cs="Times New Roman"/>
          <w:b w:val="0"/>
          <w:bCs w:val="0"/>
          <w:color w:val="auto"/>
          <w:sz w:val="24"/>
          <w:szCs w:val="22"/>
          <w:lang w:val="en-US" w:eastAsia="zh-CN"/>
        </w:rPr>
        <w:t>2.4-1</w:t>
      </w:r>
      <w:r>
        <w:rPr>
          <w:rFonts w:hint="eastAsia" w:ascii="Times New Roman" w:hAnsi="Times New Roman" w:eastAsia="宋体" w:cs="Times New Roman"/>
          <w:b w:val="0"/>
          <w:bCs w:val="0"/>
          <w:color w:val="auto"/>
          <w:sz w:val="24"/>
          <w:szCs w:val="22"/>
          <w:lang w:val="en-US" w:eastAsia="zh-CN"/>
        </w:rPr>
        <w:t>，图2.4-2</w:t>
      </w:r>
      <w:r>
        <w:rPr>
          <w:rFonts w:hint="default" w:ascii="Times New Roman" w:hAnsi="Times New Roman" w:eastAsia="宋体" w:cs="Times New Roman"/>
          <w:b w:val="0"/>
          <w:bCs w:val="0"/>
          <w:color w:val="auto"/>
          <w:sz w:val="24"/>
          <w:szCs w:val="22"/>
        </w:rPr>
        <w:t>。</w:t>
      </w:r>
    </w:p>
    <w:p w14:paraId="2CDE284E">
      <w:pPr>
        <w:pStyle w:val="9"/>
        <w:keepLines w:val="0"/>
        <w:pageBreakBefore w:val="0"/>
        <w:kinsoku/>
        <w:wordWrap/>
        <w:overflowPunct/>
        <w:topLinePunct w:val="0"/>
        <w:bidi w:val="0"/>
        <w:adjustRightInd/>
        <w:snapToGrid/>
        <w:spacing w:line="360" w:lineRule="auto"/>
        <w:ind w:left="0"/>
        <w:rPr>
          <w:color w:val="auto"/>
          <w:sz w:val="24"/>
          <w:szCs w:val="24"/>
        </w:rPr>
      </w:pPr>
      <w:r>
        <w:rPr>
          <w:rFonts w:ascii="Times New Roman" w:hAnsi="Times New Roman" w:eastAsia="Times New Roman" w:cs="Times New Roman"/>
          <w:b/>
          <w:bCs/>
          <w:color w:val="auto"/>
          <w:spacing w:val="-6"/>
          <w:sz w:val="24"/>
          <w:szCs w:val="24"/>
        </w:rPr>
        <w:t>1</w:t>
      </w:r>
      <w:r>
        <w:rPr>
          <w:rFonts w:ascii="Times New Roman" w:hAnsi="Times New Roman" w:eastAsia="Times New Roman" w:cs="Times New Roman"/>
          <w:b/>
          <w:bCs/>
          <w:color w:val="auto"/>
          <w:spacing w:val="-33"/>
          <w:sz w:val="24"/>
          <w:szCs w:val="24"/>
        </w:rPr>
        <w:t xml:space="preserve"> </w:t>
      </w:r>
      <w:r>
        <w:rPr>
          <w:b/>
          <w:bCs/>
          <w:color w:val="auto"/>
          <w:spacing w:val="-6"/>
          <w:sz w:val="24"/>
          <w:szCs w:val="24"/>
        </w:rPr>
        <w:t>、货物到达工艺流程</w:t>
      </w:r>
    </w:p>
    <w:p w14:paraId="3FFD9AE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eastAsia" w:ascii="Times New Roman" w:hAnsi="Times New Roman" w:eastAsia="宋体" w:cs="Times New Roman"/>
          <w:b w:val="0"/>
          <w:bCs w:val="0"/>
          <w:color w:val="auto"/>
          <w:sz w:val="24"/>
          <w:szCs w:val="22"/>
          <w:lang w:val="en-US" w:eastAsia="zh-CN"/>
        </w:rPr>
      </w:pPr>
      <w:r>
        <w:rPr>
          <w:color w:val="auto"/>
          <w:spacing w:val="-3"/>
          <w:sz w:val="24"/>
          <w:szCs w:val="24"/>
        </w:rPr>
        <w:t>项目到达货物主要为</w:t>
      </w:r>
      <w:r>
        <w:rPr>
          <w:rFonts w:hint="eastAsia"/>
          <w:color w:val="auto"/>
          <w:spacing w:val="-3"/>
          <w:sz w:val="24"/>
          <w:szCs w:val="24"/>
          <w:lang w:val="en-US" w:eastAsia="zh-CN"/>
        </w:rPr>
        <w:t>煤焦</w:t>
      </w:r>
      <w:r>
        <w:rPr>
          <w:color w:val="auto"/>
          <w:spacing w:val="-3"/>
          <w:sz w:val="24"/>
          <w:szCs w:val="24"/>
        </w:rPr>
        <w:t>，且采用集装箱运输，</w:t>
      </w:r>
      <w:r>
        <w:rPr>
          <w:rFonts w:hint="eastAsia" w:ascii="Times New Roman" w:hAnsi="Times New Roman" w:eastAsia="宋体" w:cs="Times New Roman"/>
          <w:b w:val="0"/>
          <w:bCs w:val="0"/>
          <w:color w:val="auto"/>
          <w:sz w:val="24"/>
          <w:szCs w:val="22"/>
          <w:lang w:val="en-US" w:eastAsia="zh-CN"/>
        </w:rPr>
        <w:t>列车</w:t>
      </w:r>
      <w:r>
        <w:rPr>
          <w:rFonts w:hint="default" w:ascii="Times New Roman" w:hAnsi="Times New Roman" w:eastAsia="宋体" w:cs="Times New Roman"/>
          <w:b w:val="0"/>
          <w:bCs w:val="0"/>
          <w:color w:val="auto"/>
          <w:sz w:val="24"/>
          <w:szCs w:val="22"/>
          <w:lang w:val="en-US" w:eastAsia="zh-CN"/>
        </w:rPr>
        <w:t>到达曲煤焦化专用铁路</w:t>
      </w:r>
      <w:r>
        <w:rPr>
          <w:rFonts w:hint="eastAsia" w:ascii="Times New Roman" w:hAnsi="Times New Roman" w:cs="Times New Roman"/>
          <w:b w:val="0"/>
          <w:bCs w:val="0"/>
          <w:color w:val="auto"/>
          <w:sz w:val="24"/>
          <w:szCs w:val="22"/>
          <w:lang w:val="en-US" w:eastAsia="zh-CN"/>
        </w:rPr>
        <w:t>现有到发4条货运线</w:t>
      </w:r>
      <w:r>
        <w:rPr>
          <w:rFonts w:hint="default" w:ascii="Times New Roman" w:hAnsi="Times New Roman" w:cs="Times New Roman"/>
          <w:b w:val="0"/>
          <w:bCs w:val="0"/>
          <w:color w:val="auto"/>
          <w:sz w:val="24"/>
          <w:szCs w:val="22"/>
          <w:lang w:val="en-US" w:eastAsia="zh-CN"/>
        </w:rPr>
        <w:t>后</w:t>
      </w:r>
      <w:r>
        <w:rPr>
          <w:rFonts w:hint="default" w:ascii="Times New Roman" w:hAnsi="Times New Roman" w:eastAsia="宋体" w:cs="Times New Roman"/>
          <w:b w:val="0"/>
          <w:bCs w:val="0"/>
          <w:color w:val="auto"/>
          <w:sz w:val="24"/>
          <w:szCs w:val="22"/>
          <w:lang w:val="en-US" w:eastAsia="zh-CN"/>
        </w:rPr>
        <w:t>，将车辆推送至本项目（集装箱装卸作业场）位置，采用正面吊将集装箱从</w:t>
      </w:r>
      <w:r>
        <w:rPr>
          <w:rFonts w:hint="eastAsia" w:ascii="Times New Roman" w:hAnsi="Times New Roman" w:eastAsia="宋体" w:cs="Times New Roman"/>
          <w:b w:val="0"/>
          <w:bCs w:val="0"/>
          <w:color w:val="auto"/>
          <w:sz w:val="24"/>
          <w:szCs w:val="22"/>
          <w:lang w:val="en-US" w:eastAsia="zh-CN"/>
        </w:rPr>
        <w:t>列车</w:t>
      </w:r>
      <w:r>
        <w:rPr>
          <w:rFonts w:hint="default" w:ascii="Times New Roman" w:hAnsi="Times New Roman" w:eastAsia="宋体" w:cs="Times New Roman"/>
          <w:b w:val="0"/>
          <w:bCs w:val="0"/>
          <w:color w:val="auto"/>
          <w:sz w:val="24"/>
          <w:szCs w:val="22"/>
          <w:lang w:val="en-US" w:eastAsia="zh-CN"/>
        </w:rPr>
        <w:t>车辆取下，装入集装箱运输汽车，</w:t>
      </w:r>
      <w:r>
        <w:rPr>
          <w:rFonts w:hint="default" w:ascii="Times New Roman" w:hAnsi="Times New Roman" w:cs="Times New Roman"/>
          <w:b w:val="0"/>
          <w:bCs w:val="0"/>
          <w:color w:val="auto"/>
          <w:sz w:val="24"/>
          <w:szCs w:val="22"/>
          <w:lang w:val="en-US" w:eastAsia="zh-CN"/>
        </w:rPr>
        <w:t>经检查后，</w:t>
      </w:r>
      <w:r>
        <w:rPr>
          <w:rFonts w:hint="eastAsia" w:ascii="Times New Roman" w:hAnsi="Times New Roman" w:eastAsia="宋体" w:cs="Times New Roman"/>
          <w:b w:val="0"/>
          <w:bCs w:val="0"/>
          <w:color w:val="auto"/>
          <w:sz w:val="24"/>
          <w:szCs w:val="22"/>
          <w:lang w:val="en-US" w:eastAsia="zh-CN"/>
        </w:rPr>
        <w:t>外运。</w:t>
      </w:r>
    </w:p>
    <w:p w14:paraId="5E4EB96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pacing w:val="-2"/>
          <w:sz w:val="24"/>
          <w:szCs w:val="24"/>
        </w:rPr>
      </w:pPr>
      <w:r>
        <w:rPr>
          <w:rFonts w:hint="eastAsia"/>
          <w:color w:val="auto"/>
          <w:spacing w:val="-3"/>
          <w:sz w:val="24"/>
          <w:szCs w:val="24"/>
          <w:lang w:val="en-US" w:eastAsia="zh-CN"/>
        </w:rPr>
        <w:t>到达</w:t>
      </w:r>
      <w:r>
        <w:rPr>
          <w:color w:val="auto"/>
          <w:spacing w:val="-3"/>
          <w:sz w:val="24"/>
          <w:szCs w:val="24"/>
        </w:rPr>
        <w:t>货</w:t>
      </w:r>
      <w:r>
        <w:rPr>
          <w:color w:val="auto"/>
          <w:spacing w:val="-4"/>
          <w:sz w:val="24"/>
          <w:szCs w:val="24"/>
        </w:rPr>
        <w:t>物的装卸</w:t>
      </w:r>
      <w:r>
        <w:rPr>
          <w:color w:val="auto"/>
          <w:spacing w:val="-3"/>
          <w:sz w:val="24"/>
          <w:szCs w:val="24"/>
        </w:rPr>
        <w:t>利用叉车以及</w:t>
      </w:r>
      <w:r>
        <w:rPr>
          <w:rFonts w:hint="eastAsia"/>
          <w:color w:val="auto"/>
          <w:spacing w:val="-3"/>
          <w:sz w:val="24"/>
          <w:szCs w:val="24"/>
        </w:rPr>
        <w:t>集装箱正面吊</w:t>
      </w:r>
      <w:r>
        <w:rPr>
          <w:color w:val="auto"/>
          <w:spacing w:val="-3"/>
          <w:sz w:val="24"/>
          <w:szCs w:val="24"/>
        </w:rPr>
        <w:t>，因此，货物装卸过程产生的扬尘可忽略不计。列车运输过程中产生噪声和内燃机车废气，货车运输产生汽车尾气和道路扬尘等，内燃机车废气主要为颗粒物、</w:t>
      </w:r>
      <w:r>
        <w:rPr>
          <w:rFonts w:ascii="Times New Roman" w:hAnsi="Times New Roman" w:eastAsia="Times New Roman" w:cs="Times New Roman"/>
          <w:color w:val="auto"/>
          <w:spacing w:val="-3"/>
          <w:sz w:val="24"/>
          <w:szCs w:val="24"/>
        </w:rPr>
        <w:t>SO</w:t>
      </w:r>
      <w:r>
        <w:rPr>
          <w:rFonts w:ascii="Times New Roman" w:hAnsi="Times New Roman" w:eastAsia="Times New Roman" w:cs="Times New Roman"/>
          <w:color w:val="auto"/>
          <w:spacing w:val="-3"/>
          <w:position w:val="-1"/>
          <w:sz w:val="24"/>
          <w:szCs w:val="24"/>
          <w:vertAlign w:val="subscript"/>
        </w:rPr>
        <w:t>2</w:t>
      </w:r>
      <w:r>
        <w:rPr>
          <w:color w:val="auto"/>
          <w:spacing w:val="-3"/>
          <w:sz w:val="24"/>
          <w:szCs w:val="24"/>
        </w:rPr>
        <w:t>和</w:t>
      </w:r>
      <w:r>
        <w:rPr>
          <w:rFonts w:ascii="Times New Roman" w:hAnsi="Times New Roman" w:eastAsia="Times New Roman" w:cs="Times New Roman"/>
          <w:color w:val="auto"/>
          <w:spacing w:val="-3"/>
          <w:sz w:val="24"/>
          <w:szCs w:val="24"/>
        </w:rPr>
        <w:t>NOx</w:t>
      </w:r>
      <w:r>
        <w:rPr>
          <w:color w:val="auto"/>
          <w:spacing w:val="-3"/>
          <w:sz w:val="24"/>
          <w:szCs w:val="24"/>
        </w:rPr>
        <w:t>。项目</w:t>
      </w:r>
      <w:r>
        <w:rPr>
          <w:rFonts w:hint="eastAsia"/>
          <w:color w:val="auto"/>
          <w:spacing w:val="-3"/>
          <w:sz w:val="24"/>
          <w:szCs w:val="24"/>
          <w:lang w:val="en-US" w:eastAsia="zh-CN"/>
        </w:rPr>
        <w:t>煤焦</w:t>
      </w:r>
      <w:r>
        <w:rPr>
          <w:color w:val="auto"/>
          <w:spacing w:val="-3"/>
          <w:sz w:val="24"/>
          <w:szCs w:val="24"/>
        </w:rPr>
        <w:t>到达</w:t>
      </w:r>
      <w:r>
        <w:rPr>
          <w:color w:val="auto"/>
          <w:spacing w:val="-2"/>
          <w:sz w:val="24"/>
          <w:szCs w:val="24"/>
        </w:rPr>
        <w:t>工艺流程及产污节点见下图</w:t>
      </w:r>
      <w:r>
        <w:rPr>
          <w:color w:val="auto"/>
          <w:spacing w:val="-55"/>
          <w:sz w:val="24"/>
          <w:szCs w:val="24"/>
        </w:rPr>
        <w:t xml:space="preserve"> </w:t>
      </w:r>
      <w:r>
        <w:rPr>
          <w:rFonts w:ascii="Times New Roman" w:hAnsi="Times New Roman" w:eastAsia="Times New Roman" w:cs="Times New Roman"/>
          <w:color w:val="auto"/>
          <w:spacing w:val="-2"/>
          <w:sz w:val="24"/>
          <w:szCs w:val="24"/>
        </w:rPr>
        <w:t>2.</w:t>
      </w:r>
      <w:r>
        <w:rPr>
          <w:rFonts w:hint="eastAsia" w:ascii="Times New Roman" w:hAnsi="Times New Roman" w:eastAsia="宋体" w:cs="Times New Roman"/>
          <w:color w:val="auto"/>
          <w:spacing w:val="-2"/>
          <w:sz w:val="24"/>
          <w:szCs w:val="24"/>
          <w:lang w:val="en-US" w:eastAsia="zh-CN"/>
        </w:rPr>
        <w:t>4</w:t>
      </w:r>
      <w:r>
        <w:rPr>
          <w:rFonts w:ascii="Times New Roman" w:hAnsi="Times New Roman" w:eastAsia="Times New Roman" w:cs="Times New Roman"/>
          <w:color w:val="auto"/>
          <w:spacing w:val="-2"/>
          <w:sz w:val="24"/>
          <w:szCs w:val="24"/>
        </w:rPr>
        <w:t>-</w:t>
      </w:r>
      <w:r>
        <w:rPr>
          <w:rFonts w:ascii="Times New Roman" w:hAnsi="Times New Roman" w:eastAsia="Times New Roman" w:cs="Times New Roman"/>
          <w:color w:val="auto"/>
          <w:spacing w:val="-33"/>
          <w:sz w:val="24"/>
          <w:szCs w:val="24"/>
        </w:rPr>
        <w:t xml:space="preserve"> </w:t>
      </w:r>
      <w:r>
        <w:rPr>
          <w:rFonts w:ascii="Times New Roman" w:hAnsi="Times New Roman" w:eastAsia="Times New Roman" w:cs="Times New Roman"/>
          <w:color w:val="auto"/>
          <w:spacing w:val="-2"/>
          <w:sz w:val="24"/>
          <w:szCs w:val="24"/>
        </w:rPr>
        <w:t>1</w:t>
      </w:r>
      <w:r>
        <w:rPr>
          <w:color w:val="auto"/>
          <w:spacing w:val="-2"/>
          <w:sz w:val="24"/>
          <w:szCs w:val="24"/>
        </w:rPr>
        <w:t>。</w:t>
      </w:r>
    </w:p>
    <w:p w14:paraId="3C1894CF">
      <w:pPr>
        <w:pStyle w:val="9"/>
        <w:keepNext w:val="0"/>
        <w:keepLines w:val="0"/>
        <w:pageBreakBefore w:val="0"/>
        <w:widowControl/>
        <w:kinsoku/>
        <w:wordWrap/>
        <w:overflowPunct/>
        <w:topLinePunct w:val="0"/>
        <w:autoSpaceDE w:val="0"/>
        <w:autoSpaceDN w:val="0"/>
        <w:bidi w:val="0"/>
        <w:adjustRightInd w:val="0"/>
        <w:snapToGrid w:val="0"/>
        <w:spacing w:before="183" w:line="360" w:lineRule="auto"/>
        <w:ind w:left="23" w:right="11" w:firstLine="0"/>
        <w:jc w:val="both"/>
        <w:textAlignment w:val="baseline"/>
        <w:rPr>
          <w:rFonts w:hint="eastAsia" w:eastAsia="宋体"/>
          <w:color w:val="auto"/>
          <w:spacing w:val="-2"/>
          <w:sz w:val="24"/>
          <w:szCs w:val="24"/>
          <w:lang w:eastAsia="zh-CN"/>
        </w:rPr>
      </w:pP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4030345</wp:posOffset>
                </wp:positionH>
                <wp:positionV relativeFrom="paragraph">
                  <wp:posOffset>4938395</wp:posOffset>
                </wp:positionV>
                <wp:extent cx="1242695" cy="290830"/>
                <wp:effectExtent l="4445" t="4445" r="10160" b="9525"/>
                <wp:wrapNone/>
                <wp:docPr id="1" name="文本框 1"/>
                <wp:cNvGraphicFramePr/>
                <a:graphic xmlns:a="http://schemas.openxmlformats.org/drawingml/2006/main">
                  <a:graphicData uri="http://schemas.microsoft.com/office/word/2010/wordprocessingShape">
                    <wps:wsp>
                      <wps:cNvSpPr txBox="1"/>
                      <wps:spPr>
                        <a:xfrm>
                          <a:off x="5019675" y="8626475"/>
                          <a:ext cx="1242695" cy="2908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9DB3BE5">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G:废气，N：噪声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35pt;margin-top:388.85pt;height:22.9pt;width:97.85pt;z-index:251669504;mso-width-relative:page;mso-height-relative:page;" fillcolor="#FFFFFF [3201]" filled="t" stroked="t" coordsize="21600,21600" o:gfxdata="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aB0atcAAAALAQAADwAAAAAAAAABACAAAAAiAAAAZHJzL2Rvd25yZXYueG1sUEsBAhQA&#10;FAAAAAgAh07iQLOpiFNlAgAAwwQAAA4AAAAAAAAAAQAgAAAAJgEAAGRycy9lMm9Eb2MueG1sUEsF&#10;BgAAAAAGAAYAWQEAAP0FAAAAAA==&#10;">
                <v:fill on="t" focussize="0,0"/>
                <v:stroke weight="0.5pt" color="#000000 [3204]" joinstyle="round"/>
                <v:imagedata o:title=""/>
                <o:lock v:ext="edit" aspectratio="f"/>
                <v:textbox>
                  <w:txbxContent>
                    <w:p w14:paraId="19DB3BE5">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G:废气，N：噪声</w:t>
                      </w:r>
                    </w:p>
                  </w:txbxContent>
                </v:textbox>
              </v:shape>
            </w:pict>
          </mc:Fallback>
        </mc:AlternateContent>
      </w:r>
      <w:r>
        <w:rPr>
          <w:color w:val="auto"/>
        </w:rPr>
        <w:drawing>
          <wp:inline distT="0" distB="0" distL="114300" distR="114300">
            <wp:extent cx="5271770" cy="5130800"/>
            <wp:effectExtent l="0" t="0" r="0" b="0"/>
            <wp:docPr id="1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pic:cNvPicPr>
                      <a:picLocks noChangeAspect="1"/>
                    </pic:cNvPicPr>
                  </pic:nvPicPr>
                  <pic:blipFill>
                    <a:blip r:embed="rId29"/>
                    <a:srcRect t="5640" b="4472"/>
                    <a:stretch>
                      <a:fillRect/>
                    </a:stretch>
                  </pic:blipFill>
                  <pic:spPr>
                    <a:xfrm>
                      <a:off x="0" y="0"/>
                      <a:ext cx="5271770" cy="5130800"/>
                    </a:xfrm>
                    <a:prstGeom prst="rect">
                      <a:avLst/>
                    </a:prstGeom>
                    <a:noFill/>
                    <a:ln>
                      <a:noFill/>
                    </a:ln>
                  </pic:spPr>
                </pic:pic>
              </a:graphicData>
            </a:graphic>
          </wp:inline>
        </w:drawing>
      </w:r>
    </w:p>
    <w:p w14:paraId="16D38CB2">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2177"/>
        <w:textAlignment w:val="baseline"/>
        <w:rPr>
          <w:color w:val="auto"/>
        </w:rPr>
      </w:pPr>
      <w:r>
        <w:rPr>
          <w:b/>
          <w:bCs/>
          <w:color w:val="auto"/>
          <w:spacing w:val="-3"/>
        </w:rPr>
        <w:t>图</w:t>
      </w:r>
      <w:r>
        <w:rPr>
          <w:color w:val="auto"/>
          <w:spacing w:val="-41"/>
        </w:rPr>
        <w:t xml:space="preserve"> </w:t>
      </w:r>
      <w:r>
        <w:rPr>
          <w:rFonts w:ascii="Times New Roman" w:hAnsi="Times New Roman" w:eastAsia="Times New Roman" w:cs="Times New Roman"/>
          <w:b/>
          <w:bCs/>
          <w:color w:val="auto"/>
          <w:spacing w:val="-3"/>
        </w:rPr>
        <w:t>2.</w:t>
      </w:r>
      <w:r>
        <w:rPr>
          <w:rFonts w:hint="eastAsia" w:ascii="Times New Roman" w:hAnsi="Times New Roman" w:eastAsia="宋体" w:cs="Times New Roman"/>
          <w:b/>
          <w:bCs/>
          <w:color w:val="auto"/>
          <w:spacing w:val="-3"/>
          <w:lang w:val="en-US" w:eastAsia="zh-CN"/>
        </w:rPr>
        <w:t xml:space="preserve">4-1  </w:t>
      </w:r>
      <w:r>
        <w:rPr>
          <w:b/>
          <w:bCs/>
          <w:color w:val="auto"/>
          <w:spacing w:val="-3"/>
        </w:rPr>
        <w:t>项目到达货物工艺流程图</w:t>
      </w:r>
    </w:p>
    <w:p w14:paraId="036A31A4">
      <w:pPr>
        <w:pStyle w:val="9"/>
        <w:spacing w:before="184" w:line="219" w:lineRule="auto"/>
        <w:ind w:left="497"/>
        <w:rPr>
          <w:color w:val="auto"/>
          <w:sz w:val="24"/>
          <w:szCs w:val="24"/>
        </w:rPr>
      </w:pPr>
      <w:r>
        <w:rPr>
          <w:rFonts w:ascii="Times New Roman" w:hAnsi="Times New Roman" w:eastAsia="Times New Roman" w:cs="Times New Roman"/>
          <w:b/>
          <w:bCs/>
          <w:color w:val="auto"/>
          <w:spacing w:val="-5"/>
          <w:sz w:val="24"/>
          <w:szCs w:val="24"/>
        </w:rPr>
        <w:t>2</w:t>
      </w:r>
      <w:r>
        <w:rPr>
          <w:rFonts w:ascii="Times New Roman" w:hAnsi="Times New Roman" w:eastAsia="Times New Roman" w:cs="Times New Roman"/>
          <w:b/>
          <w:bCs/>
          <w:color w:val="auto"/>
          <w:spacing w:val="-33"/>
          <w:sz w:val="24"/>
          <w:szCs w:val="24"/>
        </w:rPr>
        <w:t xml:space="preserve"> </w:t>
      </w:r>
      <w:r>
        <w:rPr>
          <w:b/>
          <w:bCs/>
          <w:color w:val="auto"/>
          <w:spacing w:val="-5"/>
          <w:sz w:val="24"/>
          <w:szCs w:val="24"/>
        </w:rPr>
        <w:t>、货物发送工艺流程</w:t>
      </w:r>
    </w:p>
    <w:p w14:paraId="5378E24A">
      <w:pPr>
        <w:pStyle w:val="9"/>
        <w:spacing w:before="180" w:line="361" w:lineRule="auto"/>
        <w:ind w:left="21" w:right="12" w:firstLine="482"/>
        <w:jc w:val="both"/>
        <w:rPr>
          <w:color w:val="auto"/>
          <w:spacing w:val="-3"/>
          <w:sz w:val="24"/>
          <w:szCs w:val="24"/>
        </w:rPr>
      </w:pPr>
      <w:r>
        <w:rPr>
          <w:color w:val="auto"/>
          <w:spacing w:val="-3"/>
          <w:sz w:val="24"/>
          <w:szCs w:val="24"/>
        </w:rPr>
        <w:t>项目</w:t>
      </w:r>
      <w:r>
        <w:rPr>
          <w:rFonts w:hint="eastAsia" w:eastAsia="宋体"/>
          <w:color w:val="auto"/>
          <w:spacing w:val="-3"/>
          <w:sz w:val="24"/>
          <w:szCs w:val="24"/>
          <w:lang w:val="en-US" w:eastAsia="zh-CN"/>
        </w:rPr>
        <w:t>发送</w:t>
      </w:r>
      <w:r>
        <w:rPr>
          <w:color w:val="auto"/>
          <w:spacing w:val="-3"/>
          <w:sz w:val="24"/>
          <w:szCs w:val="24"/>
        </w:rPr>
        <w:t>货物主要为</w:t>
      </w:r>
      <w:r>
        <w:rPr>
          <w:rFonts w:hint="eastAsia"/>
          <w:color w:val="auto"/>
          <w:spacing w:val="-3"/>
          <w:sz w:val="24"/>
          <w:szCs w:val="24"/>
          <w:lang w:val="en-US" w:eastAsia="zh-CN"/>
        </w:rPr>
        <w:t>煤焦</w:t>
      </w:r>
      <w:r>
        <w:rPr>
          <w:color w:val="auto"/>
          <w:spacing w:val="-3"/>
          <w:sz w:val="24"/>
          <w:szCs w:val="24"/>
        </w:rPr>
        <w:t>。</w:t>
      </w:r>
      <w:r>
        <w:rPr>
          <w:rFonts w:hint="default" w:ascii="Times New Roman" w:hAnsi="Times New Roman" w:eastAsia="宋体" w:cs="Times New Roman"/>
          <w:b w:val="0"/>
          <w:bCs w:val="0"/>
          <w:color w:val="auto"/>
          <w:sz w:val="24"/>
          <w:szCs w:val="22"/>
          <w:lang w:val="en-US" w:eastAsia="zh-CN"/>
        </w:rPr>
        <w:t>通过集装箱运输汽车将集装箱运输至本项目（集装箱装卸作业场）位置，采用正面吊将集装箱从汽车上取下，堆在本项目堆场，</w:t>
      </w:r>
      <w:r>
        <w:rPr>
          <w:rFonts w:hint="eastAsia" w:ascii="Times New Roman" w:hAnsi="Times New Roman" w:eastAsia="宋体" w:cs="Times New Roman"/>
          <w:b w:val="0"/>
          <w:bCs w:val="0"/>
          <w:color w:val="auto"/>
          <w:sz w:val="24"/>
          <w:szCs w:val="22"/>
          <w:lang w:val="en-US" w:eastAsia="zh-CN"/>
        </w:rPr>
        <w:t>列车</w:t>
      </w:r>
      <w:r>
        <w:rPr>
          <w:rFonts w:hint="default" w:ascii="Times New Roman" w:hAnsi="Times New Roman" w:eastAsia="宋体" w:cs="Times New Roman"/>
          <w:b w:val="0"/>
          <w:bCs w:val="0"/>
          <w:color w:val="auto"/>
          <w:sz w:val="24"/>
          <w:szCs w:val="22"/>
          <w:lang w:val="en-US" w:eastAsia="zh-CN"/>
        </w:rPr>
        <w:t>车辆到达本项目装卸作业线，采用正面吊将在堆场中的集装箱装入</w:t>
      </w:r>
      <w:r>
        <w:rPr>
          <w:rFonts w:hint="eastAsia" w:ascii="Times New Roman" w:hAnsi="Times New Roman" w:eastAsia="宋体" w:cs="Times New Roman"/>
          <w:b w:val="0"/>
          <w:bCs w:val="0"/>
          <w:color w:val="auto"/>
          <w:sz w:val="24"/>
          <w:szCs w:val="22"/>
          <w:lang w:val="en-US" w:eastAsia="zh-CN"/>
        </w:rPr>
        <w:t>列车</w:t>
      </w:r>
      <w:r>
        <w:rPr>
          <w:rFonts w:hint="default" w:ascii="Times New Roman" w:hAnsi="Times New Roman" w:eastAsia="宋体" w:cs="Times New Roman"/>
          <w:b w:val="0"/>
          <w:bCs w:val="0"/>
          <w:color w:val="auto"/>
          <w:sz w:val="24"/>
          <w:szCs w:val="22"/>
          <w:lang w:val="en-US" w:eastAsia="zh-CN"/>
        </w:rPr>
        <w:t>车辆，装卸完成后牵引至沪昆铁路珠江源站，在珠江源站采用货物交接，集装箱进入铁路运输组织。</w:t>
      </w:r>
    </w:p>
    <w:p w14:paraId="2C1E44A7">
      <w:pPr>
        <w:pStyle w:val="9"/>
        <w:spacing w:before="180" w:line="361" w:lineRule="auto"/>
        <w:ind w:left="21" w:right="12" w:firstLine="482"/>
        <w:jc w:val="both"/>
        <w:rPr>
          <w:color w:val="auto"/>
          <w:spacing w:val="-2"/>
          <w:sz w:val="24"/>
          <w:szCs w:val="24"/>
        </w:rPr>
      </w:pPr>
      <w:r>
        <w:rPr>
          <w:color w:val="auto"/>
          <w:spacing w:val="-3"/>
          <w:sz w:val="24"/>
          <w:szCs w:val="24"/>
        </w:rPr>
        <w:t>发送货</w:t>
      </w:r>
      <w:r>
        <w:rPr>
          <w:color w:val="auto"/>
          <w:spacing w:val="-4"/>
          <w:sz w:val="24"/>
          <w:szCs w:val="24"/>
        </w:rPr>
        <w:t>物的装卸</w:t>
      </w:r>
      <w:r>
        <w:rPr>
          <w:color w:val="auto"/>
          <w:spacing w:val="-3"/>
          <w:sz w:val="24"/>
          <w:szCs w:val="24"/>
        </w:rPr>
        <w:t>利用叉车以及</w:t>
      </w:r>
      <w:r>
        <w:rPr>
          <w:rFonts w:hint="eastAsia"/>
          <w:color w:val="auto"/>
          <w:spacing w:val="-3"/>
          <w:sz w:val="24"/>
          <w:szCs w:val="24"/>
        </w:rPr>
        <w:t>集装箱正面吊</w:t>
      </w:r>
      <w:r>
        <w:rPr>
          <w:color w:val="auto"/>
          <w:spacing w:val="-3"/>
          <w:sz w:val="24"/>
          <w:szCs w:val="24"/>
        </w:rPr>
        <w:t>，装卸过程有噪声产生，列车外运过程有噪声和内燃机车废气产生，主要为颗粒物、</w:t>
      </w:r>
      <w:r>
        <w:rPr>
          <w:rFonts w:ascii="Times New Roman" w:hAnsi="Times New Roman" w:eastAsia="Times New Roman" w:cs="Times New Roman"/>
          <w:color w:val="auto"/>
          <w:spacing w:val="-3"/>
          <w:sz w:val="24"/>
          <w:szCs w:val="24"/>
        </w:rPr>
        <w:t>SO</w:t>
      </w:r>
      <w:r>
        <w:rPr>
          <w:rFonts w:ascii="Times New Roman" w:hAnsi="Times New Roman" w:eastAsia="Times New Roman" w:cs="Times New Roman"/>
          <w:color w:val="auto"/>
          <w:spacing w:val="-3"/>
          <w:position w:val="-1"/>
          <w:sz w:val="24"/>
          <w:szCs w:val="24"/>
          <w:vertAlign w:val="subscript"/>
        </w:rPr>
        <w:t>2</w:t>
      </w:r>
      <w:r>
        <w:rPr>
          <w:color w:val="auto"/>
          <w:spacing w:val="-3"/>
          <w:sz w:val="24"/>
          <w:szCs w:val="24"/>
        </w:rPr>
        <w:t>和</w:t>
      </w:r>
      <w:r>
        <w:rPr>
          <w:rFonts w:ascii="Times New Roman" w:hAnsi="Times New Roman" w:eastAsia="Times New Roman" w:cs="Times New Roman"/>
          <w:color w:val="auto"/>
          <w:spacing w:val="-3"/>
          <w:sz w:val="24"/>
          <w:szCs w:val="24"/>
        </w:rPr>
        <w:t>NOx</w:t>
      </w:r>
      <w:r>
        <w:rPr>
          <w:color w:val="auto"/>
          <w:spacing w:val="-3"/>
          <w:sz w:val="24"/>
          <w:szCs w:val="24"/>
        </w:rPr>
        <w:t>。发送货物运营期工艺流程见下</w:t>
      </w:r>
      <w:r>
        <w:rPr>
          <w:color w:val="auto"/>
          <w:spacing w:val="-2"/>
          <w:sz w:val="24"/>
          <w:szCs w:val="24"/>
        </w:rPr>
        <w:t>图</w:t>
      </w:r>
      <w:r>
        <w:rPr>
          <w:color w:val="auto"/>
          <w:spacing w:val="-51"/>
          <w:sz w:val="24"/>
          <w:szCs w:val="24"/>
        </w:rPr>
        <w:t xml:space="preserve"> </w:t>
      </w:r>
      <w:r>
        <w:rPr>
          <w:rFonts w:hint="eastAsia" w:ascii="Times New Roman" w:hAnsi="Times New Roman" w:eastAsia="宋体" w:cs="Times New Roman"/>
          <w:color w:val="auto"/>
          <w:spacing w:val="-2"/>
          <w:sz w:val="24"/>
          <w:szCs w:val="24"/>
          <w:lang w:val="en-US" w:eastAsia="zh-CN"/>
        </w:rPr>
        <w:t>2.4-2</w:t>
      </w:r>
      <w:r>
        <w:rPr>
          <w:color w:val="auto"/>
          <w:spacing w:val="-2"/>
          <w:sz w:val="24"/>
          <w:szCs w:val="24"/>
        </w:rPr>
        <w:t>。</w:t>
      </w:r>
    </w:p>
    <w:p w14:paraId="4CD7FD38">
      <w:pPr>
        <w:keepNext/>
        <w:keepLines w:val="0"/>
        <w:pageBreakBefore w:val="0"/>
        <w:widowControl w:val="0"/>
        <w:kinsoku/>
        <w:wordWrap/>
        <w:overflowPunct/>
        <w:topLinePunct w:val="0"/>
        <w:autoSpaceDE/>
        <w:autoSpaceDN/>
        <w:bidi w:val="0"/>
        <w:snapToGrid w:val="0"/>
        <w:ind w:left="0" w:leftChars="0" w:firstLine="0" w:firstLineChars="0"/>
        <w:jc w:val="center"/>
        <w:textAlignment w:val="auto"/>
        <w:rPr>
          <w:rFonts w:hint="eastAsia" w:ascii="Times New Roman" w:hAnsi="Times New Roman" w:eastAsia="宋体" w:cs="Times New Roman"/>
          <w:b/>
          <w:bCs/>
          <w:color w:val="auto"/>
          <w:sz w:val="21"/>
          <w:szCs w:val="21"/>
          <w:lang w:eastAsia="zh-CN"/>
        </w:rPr>
      </w:pP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3950970</wp:posOffset>
                </wp:positionH>
                <wp:positionV relativeFrom="paragraph">
                  <wp:posOffset>4405630</wp:posOffset>
                </wp:positionV>
                <wp:extent cx="1242695" cy="290830"/>
                <wp:effectExtent l="4445" t="4445" r="10160" b="9525"/>
                <wp:wrapNone/>
                <wp:docPr id="34" name="文本框 34"/>
                <wp:cNvGraphicFramePr/>
                <a:graphic xmlns:a="http://schemas.openxmlformats.org/drawingml/2006/main">
                  <a:graphicData uri="http://schemas.microsoft.com/office/word/2010/wordprocessingShape">
                    <wps:wsp>
                      <wps:cNvSpPr txBox="1"/>
                      <wps:spPr>
                        <a:xfrm>
                          <a:off x="0" y="0"/>
                          <a:ext cx="1242695" cy="2908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22F91F">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G:废气，N：噪声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1pt;margin-top:346.9pt;height:22.9pt;width:97.85pt;z-index:251670528;mso-width-relative:page;mso-height-relative:page;" fillcolor="#FFFFFF [3201]" filled="t" stroked="t" coordsize="21600,21600" o:gfxdata="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o&#10;0qnu2AAAAAsBAAAPAAAAAAAAAAEAIAAAACIAAABkcnMvZG93bnJldi54bWxQSwECFAAUAAAACACH&#10;TuJARE15L10CAAC5BAAADgAAAAAAAAABACAAAAAnAQAAZHJzL2Uyb0RvYy54bWxQSwUGAAAAAAYA&#10;BgBZAQAA9gUAAAAA&#10;">
                <v:fill on="t" focussize="0,0"/>
                <v:stroke weight="0.5pt" color="#000000 [3204]" joinstyle="round"/>
                <v:imagedata o:title=""/>
                <o:lock v:ext="edit" aspectratio="f"/>
                <v:textbox>
                  <w:txbxContent>
                    <w:p w14:paraId="5922F91F">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G:废气，N：噪声</w:t>
                      </w:r>
                    </w:p>
                  </w:txbxContent>
                </v:textbox>
              </v:shape>
            </w:pict>
          </mc:Fallback>
        </mc:AlternateContent>
      </w:r>
      <w:r>
        <w:rPr>
          <w:color w:val="auto"/>
        </w:rPr>
        <w:drawing>
          <wp:inline distT="0" distB="0" distL="114300" distR="114300">
            <wp:extent cx="5271770" cy="4893945"/>
            <wp:effectExtent l="0" t="0" r="0" b="0"/>
            <wp:docPr id="1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pic:cNvPicPr>
                      <a:picLocks noChangeAspect="1"/>
                    </pic:cNvPicPr>
                  </pic:nvPicPr>
                  <pic:blipFill>
                    <a:blip r:embed="rId30"/>
                    <a:srcRect t="5700" b="5005"/>
                    <a:stretch>
                      <a:fillRect/>
                    </a:stretch>
                  </pic:blipFill>
                  <pic:spPr>
                    <a:xfrm>
                      <a:off x="0" y="0"/>
                      <a:ext cx="5271770" cy="4893945"/>
                    </a:xfrm>
                    <a:prstGeom prst="rect">
                      <a:avLst/>
                    </a:prstGeom>
                    <a:noFill/>
                    <a:ln>
                      <a:noFill/>
                    </a:ln>
                  </pic:spPr>
                </pic:pic>
              </a:graphicData>
            </a:graphic>
          </wp:inline>
        </w:drawing>
      </w:r>
    </w:p>
    <w:p w14:paraId="3D6B4AB8">
      <w:pPr>
        <w:keepNext/>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1"/>
          <w:szCs w:val="21"/>
        </w:rPr>
        <w:t>图</w:t>
      </w:r>
      <w:r>
        <w:rPr>
          <w:rFonts w:hint="default" w:ascii="Times New Roman" w:hAnsi="Times New Roman" w:cs="Times New Roman"/>
          <w:b/>
          <w:bCs/>
          <w:color w:val="auto"/>
          <w:sz w:val="21"/>
          <w:szCs w:val="21"/>
          <w:lang w:val="en-US" w:eastAsia="zh-CN"/>
        </w:rPr>
        <w:t>2.4-</w:t>
      </w:r>
      <w:r>
        <w:rPr>
          <w:rFonts w:hint="eastAsia" w:ascii="Times New Roman" w:hAnsi="Times New Roman" w:cs="Times New Roman"/>
          <w:b/>
          <w:bCs/>
          <w:color w:val="auto"/>
          <w:sz w:val="21"/>
          <w:szCs w:val="21"/>
          <w:lang w:val="en-US" w:eastAsia="zh-CN"/>
        </w:rPr>
        <w:t>2</w:t>
      </w:r>
      <w:r>
        <w:rPr>
          <w:rFonts w:hint="default" w:ascii="Times New Roman" w:hAnsi="Times New Roman" w:cs="Times New Roman"/>
          <w:b/>
          <w:bCs/>
          <w:color w:val="auto"/>
          <w:sz w:val="21"/>
          <w:szCs w:val="21"/>
          <w:lang w:val="en-US" w:eastAsia="zh-CN"/>
        </w:rPr>
        <w:t xml:space="preserve"> </w:t>
      </w:r>
      <w:r>
        <w:rPr>
          <w:rFonts w:hint="default" w:ascii="Times New Roman" w:hAnsi="Times New Roman" w:cs="Times New Roman"/>
          <w:b/>
          <w:bCs/>
          <w:color w:val="auto"/>
          <w:sz w:val="21"/>
          <w:szCs w:val="21"/>
        </w:rPr>
        <w:t>运营期工艺流程及产污节点示意图</w:t>
      </w:r>
    </w:p>
    <w:p w14:paraId="71669A2D">
      <w:pPr>
        <w:pStyle w:val="9"/>
        <w:keepLines w:val="0"/>
        <w:pageBreakBefore w:val="0"/>
        <w:wordWrap/>
        <w:overflowPunct/>
        <w:topLinePunct w:val="0"/>
        <w:bidi w:val="0"/>
        <w:adjustRightInd/>
        <w:snapToGrid/>
        <w:spacing w:line="360" w:lineRule="auto"/>
        <w:ind w:left="504"/>
        <w:rPr>
          <w:color w:val="auto"/>
          <w:sz w:val="24"/>
          <w:szCs w:val="24"/>
        </w:rPr>
      </w:pPr>
      <w:r>
        <w:rPr>
          <w:color w:val="auto"/>
          <w:spacing w:val="-1"/>
          <w:sz w:val="24"/>
          <w:szCs w:val="24"/>
        </w:rPr>
        <w:t>项目工艺影响因素汇总情况详见下表所示：</w:t>
      </w:r>
    </w:p>
    <w:p w14:paraId="210E2C03">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运营期工艺影响因素汇总表</w:t>
      </w:r>
    </w:p>
    <w:tbl>
      <w:tblPr>
        <w:tblStyle w:val="26"/>
        <w:tblW w:w="8248"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98"/>
        <w:gridCol w:w="1713"/>
        <w:gridCol w:w="1266"/>
        <w:gridCol w:w="1815"/>
        <w:gridCol w:w="1746"/>
        <w:gridCol w:w="510"/>
      </w:tblGrid>
      <w:tr w14:paraId="5427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trPr>
        <w:tc>
          <w:tcPr>
            <w:tcW w:w="1198" w:type="dxa"/>
            <w:vAlign w:val="center"/>
          </w:tcPr>
          <w:p w14:paraId="0E4F310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b/>
                <w:bCs/>
                <w:color w:val="auto"/>
                <w:spacing w:val="6"/>
                <w:sz w:val="21"/>
                <w:szCs w:val="21"/>
              </w:rPr>
              <w:t>污染物种类</w:t>
            </w:r>
          </w:p>
        </w:tc>
        <w:tc>
          <w:tcPr>
            <w:tcW w:w="1713" w:type="dxa"/>
            <w:vAlign w:val="center"/>
          </w:tcPr>
          <w:p w14:paraId="63F1AFC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b/>
                <w:bCs/>
                <w:color w:val="auto"/>
                <w:spacing w:val="6"/>
                <w:sz w:val="21"/>
                <w:szCs w:val="21"/>
              </w:rPr>
              <w:t>污染源代码</w:t>
            </w:r>
          </w:p>
        </w:tc>
        <w:tc>
          <w:tcPr>
            <w:tcW w:w="1266" w:type="dxa"/>
            <w:vAlign w:val="center"/>
          </w:tcPr>
          <w:p w14:paraId="60410D4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b/>
                <w:bCs/>
                <w:color w:val="auto"/>
                <w:spacing w:val="5"/>
                <w:sz w:val="21"/>
                <w:szCs w:val="21"/>
              </w:rPr>
              <w:t>污染源</w:t>
            </w:r>
          </w:p>
        </w:tc>
        <w:tc>
          <w:tcPr>
            <w:tcW w:w="1815" w:type="dxa"/>
            <w:vAlign w:val="center"/>
          </w:tcPr>
          <w:p w14:paraId="36926CB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b/>
                <w:bCs/>
                <w:color w:val="auto"/>
                <w:spacing w:val="7"/>
                <w:sz w:val="21"/>
                <w:szCs w:val="21"/>
              </w:rPr>
              <w:t>污染物产生环节</w:t>
            </w:r>
          </w:p>
        </w:tc>
        <w:tc>
          <w:tcPr>
            <w:tcW w:w="1746" w:type="dxa"/>
            <w:vAlign w:val="center"/>
          </w:tcPr>
          <w:p w14:paraId="1AAF60D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b/>
                <w:bCs/>
                <w:color w:val="auto"/>
                <w:spacing w:val="6"/>
                <w:sz w:val="21"/>
                <w:szCs w:val="21"/>
              </w:rPr>
              <w:t>污染因子</w:t>
            </w:r>
          </w:p>
        </w:tc>
        <w:tc>
          <w:tcPr>
            <w:tcW w:w="510" w:type="dxa"/>
            <w:vAlign w:val="center"/>
          </w:tcPr>
          <w:p w14:paraId="17BA1D3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b/>
                <w:bCs/>
                <w:color w:val="auto"/>
                <w:spacing w:val="2"/>
                <w:sz w:val="21"/>
                <w:szCs w:val="21"/>
              </w:rPr>
              <w:t>备注</w:t>
            </w:r>
          </w:p>
        </w:tc>
      </w:tr>
      <w:tr w14:paraId="1ACB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trPr>
        <w:tc>
          <w:tcPr>
            <w:tcW w:w="1198" w:type="dxa"/>
            <w:vMerge w:val="restart"/>
            <w:vAlign w:val="center"/>
          </w:tcPr>
          <w:p w14:paraId="11D3E15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5"/>
                <w:sz w:val="21"/>
                <w:szCs w:val="21"/>
              </w:rPr>
              <w:t>废气</w:t>
            </w:r>
          </w:p>
        </w:tc>
        <w:tc>
          <w:tcPr>
            <w:tcW w:w="1713" w:type="dxa"/>
            <w:vAlign w:val="center"/>
          </w:tcPr>
          <w:p w14:paraId="17ADC54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G1</w:t>
            </w:r>
            <w:r>
              <w:rPr>
                <w:color w:val="auto"/>
                <w:sz w:val="21"/>
                <w:szCs w:val="21"/>
              </w:rPr>
              <w:t>、</w:t>
            </w:r>
            <w:r>
              <w:rPr>
                <w:rFonts w:ascii="Times New Roman" w:hAnsi="Times New Roman" w:eastAsia="Times New Roman" w:cs="Times New Roman"/>
                <w:color w:val="auto"/>
                <w:sz w:val="21"/>
                <w:szCs w:val="21"/>
              </w:rPr>
              <w:t>G6</w:t>
            </w:r>
          </w:p>
        </w:tc>
        <w:tc>
          <w:tcPr>
            <w:tcW w:w="1266" w:type="dxa"/>
            <w:vAlign w:val="center"/>
          </w:tcPr>
          <w:p w14:paraId="61540C8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8"/>
                <w:sz w:val="21"/>
                <w:szCs w:val="21"/>
              </w:rPr>
              <w:t>铁路专用线</w:t>
            </w:r>
          </w:p>
        </w:tc>
        <w:tc>
          <w:tcPr>
            <w:tcW w:w="1815" w:type="dxa"/>
            <w:vAlign w:val="center"/>
          </w:tcPr>
          <w:p w14:paraId="4761E8A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4"/>
                <w:sz w:val="21"/>
                <w:szCs w:val="21"/>
              </w:rPr>
              <w:t>内燃调机工作</w:t>
            </w:r>
          </w:p>
        </w:tc>
        <w:tc>
          <w:tcPr>
            <w:tcW w:w="1746" w:type="dxa"/>
            <w:vAlign w:val="center"/>
          </w:tcPr>
          <w:p w14:paraId="1CB012B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color w:val="auto"/>
                <w:spacing w:val="2"/>
                <w:sz w:val="21"/>
                <w:szCs w:val="21"/>
              </w:rPr>
              <w:t>颗粒物、</w:t>
            </w:r>
            <w:r>
              <w:rPr>
                <w:rFonts w:ascii="Times New Roman" w:hAnsi="Times New Roman" w:eastAsia="Times New Roman" w:cs="Times New Roman"/>
                <w:color w:val="auto"/>
                <w:sz w:val="21"/>
                <w:szCs w:val="21"/>
              </w:rPr>
              <w:t>SO</w:t>
            </w:r>
            <w:r>
              <w:rPr>
                <w:rFonts w:ascii="Times New Roman" w:hAnsi="Times New Roman" w:eastAsia="Times New Roman" w:cs="Times New Roman"/>
                <w:color w:val="auto"/>
                <w:spacing w:val="2"/>
                <w:position w:val="-1"/>
                <w:sz w:val="21"/>
                <w:szCs w:val="21"/>
                <w:vertAlign w:val="subscript"/>
              </w:rPr>
              <w:t>2</w:t>
            </w:r>
            <w:r>
              <w:rPr>
                <w:color w:val="auto"/>
                <w:spacing w:val="2"/>
                <w:sz w:val="21"/>
                <w:szCs w:val="21"/>
              </w:rPr>
              <w:t>、</w:t>
            </w:r>
            <w:r>
              <w:rPr>
                <w:rFonts w:ascii="Times New Roman" w:hAnsi="Times New Roman" w:eastAsia="Times New Roman" w:cs="Times New Roman"/>
                <w:color w:val="auto"/>
                <w:sz w:val="21"/>
                <w:szCs w:val="21"/>
              </w:rPr>
              <w:t>NO</w:t>
            </w:r>
            <w:r>
              <w:rPr>
                <w:rFonts w:ascii="Times New Roman" w:hAnsi="Times New Roman" w:eastAsia="Times New Roman" w:cs="Times New Roman"/>
                <w:color w:val="auto"/>
                <w:sz w:val="21"/>
                <w:szCs w:val="21"/>
                <w:vertAlign w:val="subscript"/>
              </w:rPr>
              <w:t>x</w:t>
            </w:r>
          </w:p>
        </w:tc>
        <w:tc>
          <w:tcPr>
            <w:tcW w:w="510" w:type="dxa"/>
            <w:vAlign w:val="center"/>
          </w:tcPr>
          <w:p w14:paraId="5AAFFDC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w:t>
            </w:r>
          </w:p>
        </w:tc>
      </w:tr>
      <w:tr w14:paraId="5FBA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8" w:hRule="atLeast"/>
        </w:trPr>
        <w:tc>
          <w:tcPr>
            <w:tcW w:w="1198" w:type="dxa"/>
            <w:vMerge w:val="continue"/>
            <w:vAlign w:val="center"/>
          </w:tcPr>
          <w:p w14:paraId="3349007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szCs w:val="21"/>
              </w:rPr>
            </w:pPr>
          </w:p>
        </w:tc>
        <w:tc>
          <w:tcPr>
            <w:tcW w:w="1713" w:type="dxa"/>
            <w:vAlign w:val="center"/>
          </w:tcPr>
          <w:p w14:paraId="614E405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G2</w:t>
            </w:r>
            <w:r>
              <w:rPr>
                <w:rFonts w:ascii="Times New Roman" w:hAnsi="Times New Roman" w:eastAsia="Times New Roman" w:cs="Times New Roman"/>
                <w:color w:val="auto"/>
                <w:spacing w:val="-27"/>
                <w:sz w:val="21"/>
                <w:szCs w:val="21"/>
              </w:rPr>
              <w:t xml:space="preserve"> </w:t>
            </w:r>
            <w:r>
              <w:rPr>
                <w:color w:val="auto"/>
                <w:sz w:val="21"/>
                <w:szCs w:val="21"/>
              </w:rPr>
              <w:t>、</w:t>
            </w:r>
            <w:r>
              <w:rPr>
                <w:rFonts w:ascii="Times New Roman" w:hAnsi="Times New Roman" w:eastAsia="Times New Roman" w:cs="Times New Roman"/>
                <w:color w:val="auto"/>
                <w:sz w:val="21"/>
                <w:szCs w:val="21"/>
              </w:rPr>
              <w:t>G3</w:t>
            </w:r>
            <w:r>
              <w:rPr>
                <w:rFonts w:ascii="Times New Roman" w:hAnsi="Times New Roman" w:eastAsia="Times New Roman" w:cs="Times New Roman"/>
                <w:color w:val="auto"/>
                <w:spacing w:val="-26"/>
                <w:sz w:val="21"/>
                <w:szCs w:val="21"/>
              </w:rPr>
              <w:t xml:space="preserve"> </w:t>
            </w:r>
            <w:r>
              <w:rPr>
                <w:color w:val="auto"/>
                <w:sz w:val="21"/>
                <w:szCs w:val="21"/>
              </w:rPr>
              <w:t>、</w:t>
            </w:r>
            <w:r>
              <w:rPr>
                <w:rFonts w:ascii="Times New Roman" w:hAnsi="Times New Roman" w:eastAsia="Times New Roman" w:cs="Times New Roman"/>
                <w:color w:val="auto"/>
                <w:sz w:val="21"/>
                <w:szCs w:val="21"/>
              </w:rPr>
              <w:t>G4</w:t>
            </w:r>
            <w:r>
              <w:rPr>
                <w:rFonts w:ascii="Times New Roman" w:hAnsi="Times New Roman" w:eastAsia="Times New Roman" w:cs="Times New Roman"/>
                <w:color w:val="auto"/>
                <w:spacing w:val="-29"/>
                <w:sz w:val="21"/>
                <w:szCs w:val="21"/>
              </w:rPr>
              <w:t xml:space="preserve"> </w:t>
            </w:r>
            <w:r>
              <w:rPr>
                <w:color w:val="auto"/>
                <w:sz w:val="21"/>
                <w:szCs w:val="21"/>
              </w:rPr>
              <w:t>、</w:t>
            </w:r>
            <w:r>
              <w:rPr>
                <w:rFonts w:ascii="Times New Roman" w:hAnsi="Times New Roman" w:eastAsia="Times New Roman" w:cs="Times New Roman"/>
                <w:color w:val="auto"/>
                <w:sz w:val="21"/>
                <w:szCs w:val="21"/>
              </w:rPr>
              <w:t>G5</w:t>
            </w:r>
          </w:p>
        </w:tc>
        <w:tc>
          <w:tcPr>
            <w:tcW w:w="1266" w:type="dxa"/>
            <w:vAlign w:val="center"/>
          </w:tcPr>
          <w:p w14:paraId="2C42F09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8"/>
                <w:sz w:val="21"/>
                <w:szCs w:val="21"/>
              </w:rPr>
              <w:t>运输道路、项</w:t>
            </w:r>
            <w:r>
              <w:rPr>
                <w:color w:val="auto"/>
                <w:spacing w:val="-16"/>
                <w:sz w:val="21"/>
                <w:szCs w:val="21"/>
              </w:rPr>
              <w:t>目区</w:t>
            </w:r>
          </w:p>
        </w:tc>
        <w:tc>
          <w:tcPr>
            <w:tcW w:w="1815" w:type="dxa"/>
            <w:vAlign w:val="center"/>
          </w:tcPr>
          <w:p w14:paraId="1BF2A74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6"/>
                <w:sz w:val="21"/>
                <w:szCs w:val="21"/>
              </w:rPr>
              <w:t>货车运输</w:t>
            </w:r>
          </w:p>
        </w:tc>
        <w:tc>
          <w:tcPr>
            <w:tcW w:w="1746" w:type="dxa"/>
            <w:vAlign w:val="center"/>
          </w:tcPr>
          <w:p w14:paraId="3C845FA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rFonts w:hint="eastAsia"/>
                <w:color w:val="auto"/>
                <w:spacing w:val="8"/>
                <w:sz w:val="21"/>
                <w:szCs w:val="21"/>
                <w:lang w:val="en-US" w:eastAsia="zh-CN"/>
              </w:rPr>
              <w:t>颗粒物、</w:t>
            </w:r>
            <w:r>
              <w:rPr>
                <w:color w:val="auto"/>
                <w:spacing w:val="8"/>
                <w:sz w:val="21"/>
                <w:szCs w:val="21"/>
              </w:rPr>
              <w:t>总烃、</w:t>
            </w:r>
            <w:r>
              <w:rPr>
                <w:rFonts w:ascii="Times New Roman" w:hAnsi="Times New Roman" w:eastAsia="Times New Roman" w:cs="Times New Roman"/>
                <w:color w:val="auto"/>
                <w:sz w:val="21"/>
                <w:szCs w:val="21"/>
              </w:rPr>
              <w:t>CO</w:t>
            </w:r>
            <w:r>
              <w:rPr>
                <w:color w:val="auto"/>
                <w:spacing w:val="8"/>
                <w:sz w:val="21"/>
                <w:szCs w:val="21"/>
              </w:rPr>
              <w:t>、</w:t>
            </w:r>
            <w:r>
              <w:rPr>
                <w:rFonts w:ascii="Times New Roman" w:hAnsi="Times New Roman" w:eastAsia="Times New Roman" w:cs="Times New Roman"/>
                <w:color w:val="auto"/>
                <w:sz w:val="21"/>
                <w:szCs w:val="21"/>
              </w:rPr>
              <w:t>NOx</w:t>
            </w:r>
          </w:p>
        </w:tc>
        <w:tc>
          <w:tcPr>
            <w:tcW w:w="510" w:type="dxa"/>
            <w:vAlign w:val="center"/>
          </w:tcPr>
          <w:p w14:paraId="42719D8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w:t>
            </w:r>
          </w:p>
        </w:tc>
      </w:tr>
    </w:tbl>
    <w:p w14:paraId="0514BF41">
      <w:pPr>
        <w:pStyle w:val="9"/>
        <w:keepNext/>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hint="default" w:ascii="Times New Roman" w:hAnsi="Times New Roman" w:eastAsia="Times New Roman" w:cs="Times New Roman"/>
          <w:b/>
          <w:bCs/>
          <w:color w:val="auto"/>
          <w:spacing w:val="-2"/>
          <w:sz w:val="24"/>
          <w:szCs w:val="24"/>
        </w:rPr>
      </w:pPr>
      <w:r>
        <w:rPr>
          <w:rFonts w:hint="default" w:ascii="Times New Roman" w:hAnsi="Times New Roman" w:eastAsia="Times New Roman" w:cs="Times New Roman"/>
          <w:b/>
          <w:bCs/>
          <w:color w:val="auto"/>
          <w:spacing w:val="-2"/>
          <w:sz w:val="24"/>
          <w:szCs w:val="24"/>
        </w:rPr>
        <w:t>2.</w:t>
      </w:r>
      <w:r>
        <w:rPr>
          <w:rFonts w:hint="eastAsia" w:ascii="Times New Roman" w:hAnsi="Times New Roman" w:eastAsia="Times New Roman"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.2.2 运营期噪声</w:t>
      </w:r>
    </w:p>
    <w:p w14:paraId="038D9803">
      <w:pPr>
        <w:pStyle w:val="9"/>
        <w:keepNext w:val="0"/>
        <w:keepLines w:val="0"/>
        <w:pageBreakBefore w:val="0"/>
        <w:widowControl/>
        <w:kinsoku/>
        <w:wordWrap/>
        <w:overflowPunct/>
        <w:topLinePunct w:val="0"/>
        <w:autoSpaceDE w:val="0"/>
        <w:autoSpaceDN w:val="0"/>
        <w:bidi w:val="0"/>
        <w:adjustRightInd/>
        <w:snapToGrid/>
        <w:spacing w:line="360" w:lineRule="auto"/>
        <w:ind w:left="0" w:firstLine="468" w:firstLineChars="200"/>
        <w:jc w:val="both"/>
        <w:textAlignment w:val="baseline"/>
        <w:rPr>
          <w:color w:val="auto"/>
          <w:sz w:val="24"/>
          <w:szCs w:val="24"/>
        </w:rPr>
      </w:pPr>
      <w:r>
        <w:rPr>
          <w:color w:val="auto"/>
          <w:spacing w:val="-3"/>
          <w:sz w:val="24"/>
          <w:szCs w:val="24"/>
        </w:rPr>
        <w:t>项目运营期铁路噪声主要是列车运行过程中机车牵引噪声，机车、</w:t>
      </w:r>
      <w:r>
        <w:rPr>
          <w:color w:val="auto"/>
          <w:spacing w:val="-4"/>
          <w:sz w:val="24"/>
          <w:szCs w:val="24"/>
        </w:rPr>
        <w:t>车辆与轨</w:t>
      </w:r>
      <w:r>
        <w:rPr>
          <w:color w:val="auto"/>
          <w:spacing w:val="-7"/>
          <w:sz w:val="24"/>
          <w:szCs w:val="24"/>
        </w:rPr>
        <w:t>道相互作用产生的轮轨噪声；机车鸣笛噪声；货车交通运输噪声；装</w:t>
      </w:r>
      <w:r>
        <w:rPr>
          <w:color w:val="auto"/>
          <w:spacing w:val="-8"/>
          <w:sz w:val="24"/>
          <w:szCs w:val="24"/>
        </w:rPr>
        <w:t>卸区噪声等。</w:t>
      </w:r>
    </w:p>
    <w:p w14:paraId="6CF9AFB0">
      <w:pPr>
        <w:pStyle w:val="9"/>
        <w:keepNext w:val="0"/>
        <w:keepLines w:val="0"/>
        <w:pageBreakBefore w:val="0"/>
        <w:widowControl/>
        <w:kinsoku/>
        <w:wordWrap/>
        <w:overflowPunct/>
        <w:topLinePunct w:val="0"/>
        <w:autoSpaceDE w:val="0"/>
        <w:autoSpaceDN w:val="0"/>
        <w:bidi w:val="0"/>
        <w:adjustRightInd/>
        <w:snapToGrid/>
        <w:spacing w:line="360" w:lineRule="auto"/>
        <w:ind w:left="0" w:firstLine="476" w:firstLineChars="200"/>
        <w:jc w:val="both"/>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1"/>
          <w:sz w:val="24"/>
          <w:szCs w:val="24"/>
        </w:rPr>
        <w:t>项目为货运列车，列车牵引采用内燃机，机车为</w:t>
      </w:r>
      <w:r>
        <w:rPr>
          <w:rFonts w:hint="default" w:ascii="Times New Roman" w:hAnsi="Times New Roman" w:eastAsia="宋体" w:cs="Times New Roman"/>
          <w:color w:val="auto"/>
          <w:spacing w:val="-1"/>
          <w:sz w:val="24"/>
          <w:szCs w:val="24"/>
          <w:lang w:val="en-US" w:eastAsia="zh-CN"/>
        </w:rPr>
        <w:t>东风5D</w:t>
      </w:r>
      <w:r>
        <w:rPr>
          <w:rFonts w:hint="eastAsia" w:ascii="Times New Roman" w:hAnsi="Times New Roman" w:eastAsia="宋体" w:cs="Times New Roman"/>
          <w:color w:val="auto"/>
          <w:spacing w:val="-1"/>
          <w:sz w:val="24"/>
          <w:szCs w:val="24"/>
          <w:lang w:val="en-US" w:eastAsia="zh-CN"/>
        </w:rPr>
        <w:t>和</w:t>
      </w:r>
      <w:r>
        <w:rPr>
          <w:rFonts w:hint="default" w:ascii="Times New Roman" w:hAnsi="Times New Roman" w:eastAsia="宋体" w:cs="Times New Roman"/>
          <w:color w:val="auto"/>
          <w:spacing w:val="-1"/>
          <w:sz w:val="24"/>
          <w:szCs w:val="24"/>
          <w:lang w:val="en-US" w:eastAsia="zh-CN"/>
        </w:rPr>
        <w:t>东风</w:t>
      </w:r>
      <w:r>
        <w:rPr>
          <w:rFonts w:hint="eastAsia" w:ascii="Times New Roman" w:hAnsi="Times New Roman" w:eastAsia="宋体" w:cs="Times New Roman"/>
          <w:color w:val="auto"/>
          <w:spacing w:val="-1"/>
          <w:sz w:val="24"/>
          <w:szCs w:val="24"/>
          <w:lang w:val="en-US" w:eastAsia="zh-CN"/>
        </w:rPr>
        <w:t>10</w:t>
      </w:r>
      <w:r>
        <w:rPr>
          <w:rFonts w:hint="default" w:ascii="Times New Roman" w:hAnsi="Times New Roman" w:eastAsia="宋体" w:cs="Times New Roman"/>
          <w:color w:val="auto"/>
          <w:spacing w:val="-1"/>
          <w:sz w:val="24"/>
          <w:szCs w:val="24"/>
          <w:lang w:val="en-US" w:eastAsia="zh-CN"/>
        </w:rPr>
        <w:t>D</w:t>
      </w:r>
      <w:r>
        <w:rPr>
          <w:rFonts w:hint="default" w:ascii="Times New Roman" w:hAnsi="Times New Roman" w:cs="Times New Roman"/>
          <w:color w:val="auto"/>
          <w:spacing w:val="-1"/>
          <w:sz w:val="24"/>
          <w:szCs w:val="24"/>
        </w:rPr>
        <w:t>系列机车，</w:t>
      </w:r>
      <w:r>
        <w:rPr>
          <w:rFonts w:hint="default" w:ascii="Times New Roman" w:hAnsi="Times New Roman" w:eastAsia="宋体" w:cs="Times New Roman"/>
          <w:color w:val="auto"/>
          <w:spacing w:val="-1"/>
          <w:sz w:val="24"/>
          <w:szCs w:val="24"/>
          <w:lang w:val="en-US" w:eastAsia="zh-CN"/>
        </w:rPr>
        <w:t>东风5D</w:t>
      </w:r>
      <w:r>
        <w:rPr>
          <w:rFonts w:hint="default" w:ascii="Times New Roman" w:hAnsi="Times New Roman" w:cs="Times New Roman"/>
          <w:color w:val="auto"/>
          <w:spacing w:val="-1"/>
          <w:sz w:val="24"/>
          <w:szCs w:val="24"/>
        </w:rPr>
        <w:t>最</w:t>
      </w:r>
      <w:r>
        <w:rPr>
          <w:rFonts w:hint="default" w:ascii="Times New Roman" w:hAnsi="Times New Roman" w:cs="Times New Roman"/>
          <w:color w:val="auto"/>
          <w:spacing w:val="-4"/>
          <w:sz w:val="24"/>
          <w:szCs w:val="24"/>
        </w:rPr>
        <w:t>高设计时速为</w:t>
      </w:r>
      <w:r>
        <w:rPr>
          <w:rFonts w:hint="eastAsia" w:ascii="Times New Roman" w:hAnsi="Times New Roman" w:eastAsia="宋体" w:cs="Times New Roman"/>
          <w:color w:val="auto"/>
          <w:spacing w:val="-4"/>
          <w:sz w:val="24"/>
          <w:szCs w:val="24"/>
          <w:lang w:val="en-US" w:eastAsia="zh-CN"/>
        </w:rPr>
        <w:t>80km/h</w:t>
      </w:r>
      <w:r>
        <w:rPr>
          <w:rFonts w:hint="default" w:ascii="Times New Roman" w:hAnsi="Times New Roman" w:cs="Times New Roman"/>
          <w:color w:val="auto"/>
          <w:spacing w:val="-4"/>
          <w:sz w:val="24"/>
          <w:szCs w:val="24"/>
        </w:rPr>
        <w:t>，项目牵引质量为</w:t>
      </w:r>
      <w:r>
        <w:rPr>
          <w:rFonts w:hint="eastAsia" w:ascii="Times New Roman" w:hAnsi="Times New Roman" w:eastAsia="宋体" w:cs="Times New Roman"/>
          <w:color w:val="auto"/>
          <w:spacing w:val="-4"/>
          <w:sz w:val="24"/>
          <w:szCs w:val="24"/>
          <w:lang w:val="en-US" w:eastAsia="zh-CN"/>
        </w:rPr>
        <w:t>3</w:t>
      </w:r>
      <w:r>
        <w:rPr>
          <w:rFonts w:hint="default" w:ascii="Times New Roman" w:hAnsi="Times New Roman" w:eastAsia="Times New Roman" w:cs="Times New Roman"/>
          <w:color w:val="auto"/>
          <w:spacing w:val="-4"/>
          <w:sz w:val="24"/>
          <w:szCs w:val="24"/>
        </w:rPr>
        <w:t>000t</w:t>
      </w:r>
      <w:r>
        <w:rPr>
          <w:rFonts w:hint="default" w:ascii="Times New Roman" w:hAnsi="Times New Roman" w:cs="Times New Roman"/>
          <w:color w:val="auto"/>
          <w:spacing w:val="-4"/>
          <w:sz w:val="24"/>
          <w:szCs w:val="24"/>
        </w:rPr>
        <w:t>，轴重</w:t>
      </w:r>
      <w:r>
        <w:rPr>
          <w:rFonts w:hint="eastAsia" w:ascii="Times New Roman" w:hAnsi="Times New Roman" w:eastAsia="宋体" w:cs="Times New Roman"/>
          <w:color w:val="auto"/>
          <w:spacing w:val="-5"/>
          <w:sz w:val="24"/>
          <w:szCs w:val="24"/>
          <w:lang w:val="en-US" w:eastAsia="zh-CN"/>
        </w:rPr>
        <w:t>21</w:t>
      </w:r>
      <w:r>
        <w:rPr>
          <w:rFonts w:hint="default" w:ascii="Times New Roman" w:hAnsi="Times New Roman" w:eastAsia="Times New Roman" w:cs="Times New Roman"/>
          <w:color w:val="auto"/>
          <w:spacing w:val="-5"/>
          <w:sz w:val="24"/>
          <w:szCs w:val="24"/>
        </w:rPr>
        <w:t>t</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1"/>
          <w:sz w:val="24"/>
          <w:szCs w:val="24"/>
          <w:lang w:val="en-US" w:eastAsia="zh-CN"/>
        </w:rPr>
        <w:t>东风</w:t>
      </w:r>
      <w:r>
        <w:rPr>
          <w:rFonts w:hint="eastAsia" w:ascii="Times New Roman" w:hAnsi="Times New Roman" w:eastAsia="宋体" w:cs="Times New Roman"/>
          <w:color w:val="auto"/>
          <w:spacing w:val="-1"/>
          <w:sz w:val="24"/>
          <w:szCs w:val="24"/>
          <w:lang w:val="en-US" w:eastAsia="zh-CN"/>
        </w:rPr>
        <w:t>10</w:t>
      </w:r>
      <w:r>
        <w:rPr>
          <w:rFonts w:hint="default" w:ascii="Times New Roman" w:hAnsi="Times New Roman" w:eastAsia="宋体" w:cs="Times New Roman"/>
          <w:color w:val="auto"/>
          <w:spacing w:val="-1"/>
          <w:sz w:val="24"/>
          <w:szCs w:val="24"/>
          <w:lang w:val="en-US" w:eastAsia="zh-CN"/>
        </w:rPr>
        <w:t>D</w:t>
      </w:r>
      <w:r>
        <w:rPr>
          <w:rFonts w:hint="default" w:ascii="Times New Roman" w:hAnsi="Times New Roman" w:cs="Times New Roman"/>
          <w:color w:val="auto"/>
          <w:spacing w:val="-1"/>
          <w:sz w:val="24"/>
          <w:szCs w:val="24"/>
        </w:rPr>
        <w:t>最</w:t>
      </w:r>
      <w:r>
        <w:rPr>
          <w:rFonts w:hint="default" w:ascii="Times New Roman" w:hAnsi="Times New Roman" w:cs="Times New Roman"/>
          <w:color w:val="auto"/>
          <w:spacing w:val="-4"/>
          <w:sz w:val="24"/>
          <w:szCs w:val="24"/>
        </w:rPr>
        <w:t>高设计时速为</w:t>
      </w:r>
      <w:r>
        <w:rPr>
          <w:rFonts w:hint="eastAsia" w:ascii="Times New Roman" w:hAnsi="Times New Roman" w:eastAsia="宋体" w:cs="Times New Roman"/>
          <w:color w:val="auto"/>
          <w:spacing w:val="-4"/>
          <w:sz w:val="24"/>
          <w:szCs w:val="24"/>
          <w:lang w:val="en-US" w:eastAsia="zh-CN"/>
        </w:rPr>
        <w:t>100km/h</w:t>
      </w:r>
      <w:r>
        <w:rPr>
          <w:rFonts w:hint="default" w:ascii="Times New Roman" w:hAnsi="Times New Roman" w:cs="Times New Roman"/>
          <w:color w:val="auto"/>
          <w:spacing w:val="-4"/>
          <w:sz w:val="24"/>
          <w:szCs w:val="24"/>
        </w:rPr>
        <w:t>，项目牵引质量为</w:t>
      </w:r>
      <w:r>
        <w:rPr>
          <w:rFonts w:hint="eastAsia" w:ascii="Times New Roman" w:hAnsi="Times New Roman" w:eastAsia="宋体" w:cs="Times New Roman"/>
          <w:color w:val="auto"/>
          <w:spacing w:val="-4"/>
          <w:sz w:val="24"/>
          <w:szCs w:val="24"/>
          <w:lang w:val="en-US" w:eastAsia="zh-CN"/>
        </w:rPr>
        <w:t>5</w:t>
      </w:r>
      <w:r>
        <w:rPr>
          <w:rFonts w:hint="default" w:ascii="Times New Roman" w:hAnsi="Times New Roman" w:eastAsia="Times New Roman" w:cs="Times New Roman"/>
          <w:color w:val="auto"/>
          <w:spacing w:val="-4"/>
          <w:sz w:val="24"/>
          <w:szCs w:val="24"/>
        </w:rPr>
        <w:t>000t</w:t>
      </w:r>
      <w:r>
        <w:rPr>
          <w:rFonts w:hint="default" w:ascii="Times New Roman" w:hAnsi="Times New Roman" w:cs="Times New Roman"/>
          <w:color w:val="auto"/>
          <w:spacing w:val="-4"/>
          <w:sz w:val="24"/>
          <w:szCs w:val="24"/>
        </w:rPr>
        <w:t>，轴重</w:t>
      </w:r>
      <w:r>
        <w:rPr>
          <w:rFonts w:hint="default" w:ascii="Times New Roman" w:hAnsi="Times New Roman" w:eastAsia="Times New Roman" w:cs="Times New Roman"/>
          <w:color w:val="auto"/>
          <w:spacing w:val="-5"/>
          <w:sz w:val="24"/>
          <w:szCs w:val="24"/>
        </w:rPr>
        <w:t>2</w:t>
      </w:r>
      <w:r>
        <w:rPr>
          <w:rFonts w:hint="eastAsia" w:ascii="Times New Roman" w:hAnsi="Times New Roman" w:eastAsia="宋体" w:cs="Times New Roman"/>
          <w:color w:val="auto"/>
          <w:spacing w:val="-5"/>
          <w:sz w:val="24"/>
          <w:szCs w:val="24"/>
          <w:lang w:val="en-US" w:eastAsia="zh-CN"/>
        </w:rPr>
        <w:t>1</w:t>
      </w:r>
      <w:r>
        <w:rPr>
          <w:rFonts w:hint="default" w:ascii="Times New Roman" w:hAnsi="Times New Roman" w:eastAsia="Times New Roman" w:cs="Times New Roman"/>
          <w:color w:val="auto"/>
          <w:spacing w:val="-5"/>
          <w:sz w:val="24"/>
          <w:szCs w:val="24"/>
        </w:rPr>
        <w:t>t</w:t>
      </w:r>
      <w:r>
        <w:rPr>
          <w:rFonts w:hint="eastAsia" w:ascii="Times New Roman" w:hAnsi="Times New Roman" w:eastAsia="宋体" w:cs="Times New Roman"/>
          <w:color w:val="auto"/>
          <w:spacing w:val="-5"/>
          <w:sz w:val="24"/>
          <w:szCs w:val="24"/>
          <w:lang w:eastAsia="zh-CN"/>
        </w:rPr>
        <w:t>，</w:t>
      </w:r>
      <w:r>
        <w:rPr>
          <w:rFonts w:hint="eastAsia" w:ascii="Times New Roman" w:hAnsi="Times New Roman" w:eastAsia="宋体" w:cs="Times New Roman"/>
          <w:color w:val="auto"/>
          <w:spacing w:val="-5"/>
          <w:sz w:val="24"/>
          <w:szCs w:val="24"/>
          <w:lang w:val="en-US" w:eastAsia="zh-CN"/>
        </w:rPr>
        <w:t>均</w:t>
      </w:r>
      <w:r>
        <w:rPr>
          <w:rFonts w:hint="default" w:ascii="Times New Roman" w:hAnsi="Times New Roman" w:cs="Times New Roman"/>
          <w:color w:val="auto"/>
          <w:spacing w:val="-3"/>
          <w:sz w:val="24"/>
          <w:szCs w:val="24"/>
        </w:rPr>
        <w:t>属于普通货物列车</w:t>
      </w:r>
      <w:r>
        <w:rPr>
          <w:rFonts w:hint="eastAsia" w:ascii="Times New Roman" w:hAnsi="Times New Roman" w:eastAsia="宋体" w:cs="Times New Roman"/>
          <w:color w:val="auto"/>
          <w:spacing w:val="-3"/>
          <w:sz w:val="24"/>
          <w:szCs w:val="24"/>
          <w:lang w:eastAsia="zh-CN"/>
        </w:rPr>
        <w:t>，</w:t>
      </w:r>
      <w:r>
        <w:rPr>
          <w:rFonts w:hint="eastAsia" w:ascii="Times New Roman" w:hAnsi="Times New Roman" w:eastAsia="宋体" w:cs="Times New Roman"/>
          <w:color w:val="auto"/>
          <w:spacing w:val="-3"/>
          <w:sz w:val="24"/>
          <w:szCs w:val="24"/>
          <w:lang w:val="en-US" w:eastAsia="zh-CN"/>
        </w:rPr>
        <w:t>根据行车要求，项目区内时速不得超过25</w:t>
      </w:r>
      <w:r>
        <w:rPr>
          <w:rFonts w:hint="eastAsia" w:ascii="Times New Roman" w:hAnsi="Times New Roman" w:eastAsia="宋体" w:cs="Times New Roman"/>
          <w:color w:val="auto"/>
          <w:spacing w:val="-4"/>
          <w:sz w:val="24"/>
          <w:szCs w:val="24"/>
          <w:lang w:val="en-US" w:eastAsia="zh-CN"/>
        </w:rPr>
        <w:t>km/h</w:t>
      </w: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参考</w:t>
      </w:r>
      <w:r>
        <w:rPr>
          <w:rFonts w:hint="default" w:ascii="Times New Roman" w:hAnsi="Times New Roman" w:cs="Times New Roman"/>
          <w:color w:val="auto"/>
          <w:spacing w:val="-3"/>
          <w:sz w:val="24"/>
          <w:szCs w:val="24"/>
        </w:rPr>
        <w:t>原铁道部《铁路建设项目环境影响评价噪声振动源强取</w:t>
      </w:r>
      <w:r>
        <w:rPr>
          <w:rFonts w:hint="default" w:ascii="Times New Roman" w:hAnsi="Times New Roman" w:cs="Times New Roman"/>
          <w:color w:val="auto"/>
          <w:spacing w:val="-1"/>
          <w:sz w:val="24"/>
          <w:szCs w:val="24"/>
        </w:rPr>
        <w:t>值和治理原则指导意见（</w:t>
      </w:r>
      <w:r>
        <w:rPr>
          <w:rFonts w:hint="default" w:ascii="Times New Roman" w:hAnsi="Times New Roman" w:eastAsia="Times New Roman" w:cs="Times New Roman"/>
          <w:color w:val="auto"/>
          <w:spacing w:val="-1"/>
          <w:sz w:val="24"/>
          <w:szCs w:val="24"/>
        </w:rPr>
        <w:t>2010</w:t>
      </w:r>
      <w:r>
        <w:rPr>
          <w:rFonts w:hint="default" w:ascii="Times New Roman" w:hAnsi="Times New Roman" w:cs="Times New Roman"/>
          <w:color w:val="auto"/>
          <w:spacing w:val="-1"/>
          <w:sz w:val="24"/>
          <w:szCs w:val="24"/>
        </w:rPr>
        <w:t>年修订稿）》（铁计函〔</w:t>
      </w:r>
      <w:r>
        <w:rPr>
          <w:rFonts w:hint="default" w:ascii="Times New Roman" w:hAnsi="Times New Roman" w:eastAsia="Times New Roman" w:cs="Times New Roman"/>
          <w:color w:val="auto"/>
          <w:spacing w:val="-1"/>
          <w:sz w:val="24"/>
          <w:szCs w:val="24"/>
        </w:rPr>
        <w:t>2010</w:t>
      </w:r>
      <w:r>
        <w:rPr>
          <w:rFonts w:hint="default" w:ascii="Times New Roman" w:hAnsi="Times New Roman" w:cs="Times New Roman"/>
          <w:color w:val="auto"/>
          <w:spacing w:val="-1"/>
          <w:sz w:val="24"/>
          <w:szCs w:val="24"/>
        </w:rPr>
        <w:t>〕</w:t>
      </w:r>
      <w:r>
        <w:rPr>
          <w:rFonts w:hint="default" w:ascii="Times New Roman" w:hAnsi="Times New Roman" w:eastAsia="Times New Roman" w:cs="Times New Roman"/>
          <w:color w:val="auto"/>
          <w:spacing w:val="-1"/>
          <w:sz w:val="24"/>
          <w:szCs w:val="24"/>
        </w:rPr>
        <w:t>44</w:t>
      </w:r>
      <w:r>
        <w:rPr>
          <w:rFonts w:hint="default" w:ascii="Times New Roman" w:hAnsi="Times New Roman" w:cs="Times New Roman"/>
          <w:color w:val="auto"/>
          <w:spacing w:val="-1"/>
          <w:sz w:val="24"/>
          <w:szCs w:val="24"/>
        </w:rPr>
        <w:t>号文</w:t>
      </w:r>
      <w:r>
        <w:rPr>
          <w:rFonts w:hint="default" w:ascii="Times New Roman" w:hAnsi="Times New Roman" w:cs="Times New Roman"/>
          <w:color w:val="auto"/>
          <w:spacing w:val="6"/>
          <w:sz w:val="24"/>
          <w:szCs w:val="24"/>
        </w:rPr>
        <w:t>），</w:t>
      </w:r>
      <w:r>
        <w:rPr>
          <w:color w:val="auto"/>
          <w:spacing w:val="-2"/>
          <w:sz w:val="24"/>
          <w:szCs w:val="24"/>
        </w:rPr>
        <w:t>根据</w:t>
      </w:r>
      <w:r>
        <w:rPr>
          <w:rFonts w:hint="eastAsia" w:eastAsia="宋体"/>
          <w:color w:val="auto"/>
          <w:spacing w:val="-2"/>
          <w:sz w:val="24"/>
          <w:szCs w:val="24"/>
          <w:lang w:val="en-US" w:eastAsia="zh-CN"/>
        </w:rPr>
        <w:t>下表最小速度</w:t>
      </w:r>
      <w:r>
        <w:rPr>
          <w:color w:val="auto"/>
          <w:spacing w:val="-2"/>
          <w:sz w:val="24"/>
          <w:szCs w:val="24"/>
        </w:rPr>
        <w:t>，</w:t>
      </w:r>
      <w:r>
        <w:rPr>
          <w:rFonts w:hint="eastAsia" w:ascii="Times New Roman" w:hAnsi="Times New Roman" w:eastAsia="宋体" w:cs="Times New Roman"/>
          <w:color w:val="auto"/>
          <w:spacing w:val="0"/>
          <w:sz w:val="24"/>
          <w:szCs w:val="24"/>
          <w:highlight w:val="none"/>
          <w:lang w:val="en-US" w:eastAsia="zh-CN"/>
        </w:rPr>
        <w:t>本铁路专用线振动源强取值75.0dB（A）</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cs="Times New Roman"/>
          <w:color w:val="auto"/>
          <w:spacing w:val="-3"/>
          <w:sz w:val="24"/>
          <w:szCs w:val="24"/>
        </w:rPr>
        <w:t>项目噪声源强见表</w:t>
      </w:r>
      <w:r>
        <w:rPr>
          <w:rFonts w:hint="default" w:ascii="Times New Roman" w:hAnsi="Times New Roman" w:eastAsia="Times New Roman" w:cs="Times New Roman"/>
          <w:color w:val="auto"/>
          <w:spacing w:val="-3"/>
          <w:sz w:val="24"/>
          <w:szCs w:val="24"/>
        </w:rPr>
        <w:t>2.</w:t>
      </w:r>
      <w:r>
        <w:rPr>
          <w:rFonts w:hint="eastAsia" w:ascii="Times New Roman" w:hAnsi="Times New Roman" w:eastAsia="宋体" w:cs="Times New Roman"/>
          <w:color w:val="auto"/>
          <w:spacing w:val="-3"/>
          <w:sz w:val="24"/>
          <w:szCs w:val="24"/>
          <w:lang w:val="en-US" w:eastAsia="zh-CN"/>
        </w:rPr>
        <w:t>4</w:t>
      </w:r>
      <w:r>
        <w:rPr>
          <w:rFonts w:hint="eastAsia" w:ascii="Times New Roman" w:hAnsi="Times New Roman" w:eastAsia="宋体" w:cs="Times New Roman"/>
          <w:color w:val="auto"/>
          <w:spacing w:val="-4"/>
          <w:sz w:val="24"/>
          <w:szCs w:val="24"/>
          <w:lang w:val="en-US" w:eastAsia="zh-CN"/>
        </w:rPr>
        <w:t>-3</w:t>
      </w:r>
      <w:r>
        <w:rPr>
          <w:rFonts w:hint="default" w:ascii="Times New Roman" w:hAnsi="Times New Roman" w:cs="Times New Roman"/>
          <w:color w:val="auto"/>
          <w:spacing w:val="-4"/>
          <w:sz w:val="24"/>
          <w:szCs w:val="24"/>
        </w:rPr>
        <w:t>、</w:t>
      </w:r>
      <w:r>
        <w:rPr>
          <w:rFonts w:hint="default" w:ascii="Times New Roman" w:hAnsi="Times New Roman" w:eastAsia="Times New Roman" w:cs="Times New Roman"/>
          <w:color w:val="auto"/>
          <w:spacing w:val="-4"/>
          <w:sz w:val="24"/>
          <w:szCs w:val="24"/>
        </w:rPr>
        <w:t>2.</w:t>
      </w:r>
      <w:r>
        <w:rPr>
          <w:rFonts w:hint="eastAsia" w:ascii="Times New Roman" w:hAnsi="Times New Roman" w:eastAsia="宋体" w:cs="Times New Roman"/>
          <w:color w:val="auto"/>
          <w:spacing w:val="-4"/>
          <w:sz w:val="24"/>
          <w:szCs w:val="24"/>
          <w:lang w:val="en-US" w:eastAsia="zh-CN"/>
        </w:rPr>
        <w:t>4-4，</w:t>
      </w:r>
      <w:r>
        <w:rPr>
          <w:rFonts w:hint="default" w:ascii="Times New Roman" w:hAnsi="Times New Roman" w:eastAsia="Times New Roman" w:cs="Times New Roman"/>
          <w:color w:val="auto"/>
          <w:spacing w:val="-4"/>
          <w:sz w:val="24"/>
          <w:szCs w:val="24"/>
        </w:rPr>
        <w:t>2.</w:t>
      </w:r>
      <w:r>
        <w:rPr>
          <w:rFonts w:hint="eastAsia" w:ascii="Times New Roman" w:hAnsi="Times New Roman" w:eastAsia="宋体" w:cs="Times New Roman"/>
          <w:color w:val="auto"/>
          <w:spacing w:val="-4"/>
          <w:sz w:val="24"/>
          <w:szCs w:val="24"/>
          <w:lang w:val="en-US" w:eastAsia="zh-CN"/>
        </w:rPr>
        <w:t>4-5</w:t>
      </w:r>
      <w:r>
        <w:rPr>
          <w:rFonts w:hint="default" w:ascii="Times New Roman" w:hAnsi="Times New Roman" w:cs="Times New Roman"/>
          <w:color w:val="auto"/>
          <w:spacing w:val="-4"/>
          <w:sz w:val="24"/>
          <w:szCs w:val="24"/>
        </w:rPr>
        <w:t>。</w:t>
      </w:r>
    </w:p>
    <w:p w14:paraId="02AFBBD4">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普通货物列车噪声源强表</w:t>
      </w:r>
    </w:p>
    <w:tbl>
      <w:tblPr>
        <w:tblStyle w:val="26"/>
        <w:tblW w:w="8237"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1"/>
        <w:gridCol w:w="904"/>
        <w:gridCol w:w="1215"/>
        <w:gridCol w:w="1215"/>
        <w:gridCol w:w="1216"/>
        <w:gridCol w:w="1216"/>
        <w:gridCol w:w="1050"/>
      </w:tblGrid>
      <w:tr w14:paraId="06536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 w:hRule="atLeast"/>
        </w:trPr>
        <w:tc>
          <w:tcPr>
            <w:tcW w:w="1421" w:type="dxa"/>
            <w:vAlign w:val="center"/>
          </w:tcPr>
          <w:p w14:paraId="2187CCE3">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color w:val="auto"/>
                <w:spacing w:val="0"/>
                <w:sz w:val="20"/>
                <w:szCs w:val="20"/>
              </w:rPr>
              <w:t>速度，</w:t>
            </w:r>
            <w:r>
              <w:rPr>
                <w:rFonts w:ascii="Times New Roman" w:hAnsi="Times New Roman" w:eastAsia="Times New Roman" w:cs="Times New Roman"/>
                <w:color w:val="auto"/>
                <w:spacing w:val="0"/>
                <w:sz w:val="20"/>
                <w:szCs w:val="20"/>
              </w:rPr>
              <w:t>km/h</w:t>
            </w:r>
          </w:p>
        </w:tc>
        <w:tc>
          <w:tcPr>
            <w:tcW w:w="904" w:type="dxa"/>
            <w:vAlign w:val="center"/>
          </w:tcPr>
          <w:p w14:paraId="7547F62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30</w:t>
            </w:r>
          </w:p>
        </w:tc>
        <w:tc>
          <w:tcPr>
            <w:tcW w:w="1215" w:type="dxa"/>
            <w:vAlign w:val="center"/>
          </w:tcPr>
          <w:p w14:paraId="4011A73C">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40</w:t>
            </w:r>
          </w:p>
        </w:tc>
        <w:tc>
          <w:tcPr>
            <w:tcW w:w="1215" w:type="dxa"/>
            <w:vAlign w:val="center"/>
          </w:tcPr>
          <w:p w14:paraId="4A64874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50</w:t>
            </w:r>
          </w:p>
        </w:tc>
        <w:tc>
          <w:tcPr>
            <w:tcW w:w="1216" w:type="dxa"/>
            <w:vAlign w:val="center"/>
          </w:tcPr>
          <w:p w14:paraId="3E1861B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60</w:t>
            </w:r>
          </w:p>
        </w:tc>
        <w:tc>
          <w:tcPr>
            <w:tcW w:w="1216" w:type="dxa"/>
            <w:vAlign w:val="center"/>
          </w:tcPr>
          <w:p w14:paraId="3A6E6A8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70</w:t>
            </w:r>
          </w:p>
        </w:tc>
        <w:tc>
          <w:tcPr>
            <w:tcW w:w="1050" w:type="dxa"/>
            <w:vAlign w:val="center"/>
          </w:tcPr>
          <w:p w14:paraId="7321EED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80</w:t>
            </w:r>
          </w:p>
        </w:tc>
      </w:tr>
      <w:tr w14:paraId="76CF8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421" w:type="dxa"/>
            <w:vAlign w:val="center"/>
          </w:tcPr>
          <w:p w14:paraId="36BCCF28">
            <w:pPr>
              <w:pStyle w:val="27"/>
              <w:keepNext w:val="0"/>
              <w:keepLines w:val="0"/>
              <w:pageBreakBefore w:val="0"/>
              <w:widowControl/>
              <w:kinsoku/>
              <w:wordWrap/>
              <w:overflowPunct/>
              <w:topLinePunct w:val="0"/>
              <w:autoSpaceDE w:val="0"/>
              <w:autoSpaceDN w:val="0"/>
              <w:bidi w:val="0"/>
              <w:adjustRightInd/>
              <w:snapToGrid/>
              <w:spacing w:line="240" w:lineRule="auto"/>
              <w:ind w:left="0" w:right="14"/>
              <w:jc w:val="center"/>
              <w:textAlignment w:val="baseline"/>
              <w:rPr>
                <w:color w:val="auto"/>
                <w:spacing w:val="0"/>
                <w:sz w:val="20"/>
                <w:szCs w:val="20"/>
              </w:rPr>
            </w:pPr>
            <w:r>
              <w:rPr>
                <w:color w:val="auto"/>
                <w:spacing w:val="0"/>
                <w:sz w:val="20"/>
                <w:szCs w:val="20"/>
              </w:rPr>
              <w:t>源强，</w:t>
            </w:r>
            <w:r>
              <w:rPr>
                <w:rFonts w:ascii="Times New Roman" w:hAnsi="Times New Roman" w:eastAsia="Times New Roman" w:cs="Times New Roman"/>
                <w:color w:val="auto"/>
                <w:spacing w:val="0"/>
                <w:sz w:val="20"/>
                <w:szCs w:val="20"/>
              </w:rPr>
              <w:t>dB</w:t>
            </w:r>
            <w:r>
              <w:rPr>
                <w:color w:val="auto"/>
                <w:spacing w:val="0"/>
                <w:sz w:val="20"/>
                <w:szCs w:val="20"/>
              </w:rPr>
              <w:t>（</w:t>
            </w:r>
            <w:r>
              <w:rPr>
                <w:rFonts w:ascii="Times New Roman" w:hAnsi="Times New Roman" w:eastAsia="Times New Roman" w:cs="Times New Roman"/>
                <w:color w:val="auto"/>
                <w:spacing w:val="0"/>
                <w:sz w:val="20"/>
                <w:szCs w:val="20"/>
              </w:rPr>
              <w:t>A</w:t>
            </w:r>
            <w:r>
              <w:rPr>
                <w:color w:val="auto"/>
                <w:spacing w:val="0"/>
                <w:sz w:val="20"/>
                <w:szCs w:val="20"/>
              </w:rPr>
              <w:t>）</w:t>
            </w:r>
          </w:p>
        </w:tc>
        <w:tc>
          <w:tcPr>
            <w:tcW w:w="904" w:type="dxa"/>
            <w:vAlign w:val="center"/>
          </w:tcPr>
          <w:p w14:paraId="6C318BF8">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75.0</w:t>
            </w:r>
          </w:p>
        </w:tc>
        <w:tc>
          <w:tcPr>
            <w:tcW w:w="1215" w:type="dxa"/>
            <w:vAlign w:val="center"/>
          </w:tcPr>
          <w:p w14:paraId="5F00DDB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76.7</w:t>
            </w:r>
          </w:p>
        </w:tc>
        <w:tc>
          <w:tcPr>
            <w:tcW w:w="1215" w:type="dxa"/>
            <w:vAlign w:val="center"/>
          </w:tcPr>
          <w:p w14:paraId="56810C2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78.2</w:t>
            </w:r>
          </w:p>
        </w:tc>
        <w:tc>
          <w:tcPr>
            <w:tcW w:w="1216" w:type="dxa"/>
            <w:vAlign w:val="center"/>
          </w:tcPr>
          <w:p w14:paraId="6224D53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79.5</w:t>
            </w:r>
          </w:p>
        </w:tc>
        <w:tc>
          <w:tcPr>
            <w:tcW w:w="1216" w:type="dxa"/>
            <w:vAlign w:val="center"/>
          </w:tcPr>
          <w:p w14:paraId="71BB238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80.8</w:t>
            </w:r>
          </w:p>
        </w:tc>
        <w:tc>
          <w:tcPr>
            <w:tcW w:w="1050" w:type="dxa"/>
            <w:vAlign w:val="center"/>
          </w:tcPr>
          <w:p w14:paraId="307CA31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81.9</w:t>
            </w:r>
          </w:p>
        </w:tc>
      </w:tr>
    </w:tbl>
    <w:p w14:paraId="2A80BA32">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运营期交通噪声源强度表</w:t>
      </w:r>
    </w:p>
    <w:tbl>
      <w:tblPr>
        <w:tblStyle w:val="26"/>
        <w:tblW w:w="82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1092"/>
        <w:gridCol w:w="674"/>
        <w:gridCol w:w="1487"/>
        <w:gridCol w:w="2750"/>
        <w:gridCol w:w="1180"/>
      </w:tblGrid>
      <w:tr w14:paraId="3F9CD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034" w:type="dxa"/>
            <w:vAlign w:val="center"/>
          </w:tcPr>
          <w:p w14:paraId="534C3A4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噪声源</w:t>
            </w:r>
          </w:p>
        </w:tc>
        <w:tc>
          <w:tcPr>
            <w:tcW w:w="1092" w:type="dxa"/>
            <w:vAlign w:val="center"/>
          </w:tcPr>
          <w:p w14:paraId="7D8EC8F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类型</w:t>
            </w:r>
          </w:p>
        </w:tc>
        <w:tc>
          <w:tcPr>
            <w:tcW w:w="674" w:type="dxa"/>
            <w:vAlign w:val="center"/>
          </w:tcPr>
          <w:p w14:paraId="7AA926D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数量</w:t>
            </w:r>
          </w:p>
        </w:tc>
        <w:tc>
          <w:tcPr>
            <w:tcW w:w="1487" w:type="dxa"/>
            <w:vAlign w:val="center"/>
          </w:tcPr>
          <w:p w14:paraId="0DC9501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产生源强dB（A）</w:t>
            </w:r>
          </w:p>
        </w:tc>
        <w:tc>
          <w:tcPr>
            <w:tcW w:w="2750" w:type="dxa"/>
            <w:vAlign w:val="center"/>
          </w:tcPr>
          <w:p w14:paraId="72DC0B9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降噪措施</w:t>
            </w:r>
          </w:p>
        </w:tc>
        <w:tc>
          <w:tcPr>
            <w:tcW w:w="1180" w:type="dxa"/>
            <w:vAlign w:val="center"/>
          </w:tcPr>
          <w:p w14:paraId="3066B8D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排放源强dB（A）</w:t>
            </w:r>
          </w:p>
        </w:tc>
      </w:tr>
      <w:tr w14:paraId="4F1B0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034" w:type="dxa"/>
            <w:vAlign w:val="center"/>
          </w:tcPr>
          <w:p w14:paraId="4B389D0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运输车辆</w:t>
            </w:r>
          </w:p>
        </w:tc>
        <w:tc>
          <w:tcPr>
            <w:tcW w:w="1092" w:type="dxa"/>
            <w:vAlign w:val="center"/>
          </w:tcPr>
          <w:p w14:paraId="6B5AD14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交通噪声</w:t>
            </w:r>
          </w:p>
        </w:tc>
        <w:tc>
          <w:tcPr>
            <w:tcW w:w="674" w:type="dxa"/>
            <w:vAlign w:val="center"/>
          </w:tcPr>
          <w:p w14:paraId="1151A0E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w:t>
            </w:r>
          </w:p>
        </w:tc>
        <w:tc>
          <w:tcPr>
            <w:tcW w:w="1487" w:type="dxa"/>
            <w:vAlign w:val="center"/>
          </w:tcPr>
          <w:p w14:paraId="2577B36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75</w:t>
            </w:r>
          </w:p>
        </w:tc>
        <w:tc>
          <w:tcPr>
            <w:tcW w:w="2750" w:type="dxa"/>
            <w:vAlign w:val="center"/>
          </w:tcPr>
          <w:p w14:paraId="42A072F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减速慢行、禁止鸣笛；绿化吸收；降噪量按10dB（A）计</w:t>
            </w:r>
          </w:p>
        </w:tc>
        <w:tc>
          <w:tcPr>
            <w:tcW w:w="1180" w:type="dxa"/>
            <w:vAlign w:val="center"/>
          </w:tcPr>
          <w:p w14:paraId="6D4EB1E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65</w:t>
            </w:r>
          </w:p>
        </w:tc>
      </w:tr>
    </w:tbl>
    <w:p w14:paraId="3F6E86A2">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运营期</w:t>
      </w:r>
      <w:r>
        <w:rPr>
          <w:rFonts w:hint="eastAsia" w:ascii="Times New Roman" w:hAnsi="Times New Roman" w:eastAsia="宋体" w:cs="Times New Roman"/>
          <w:b/>
          <w:bCs/>
          <w:caps w:val="0"/>
          <w:color w:val="auto"/>
          <w:spacing w:val="0"/>
          <w:sz w:val="21"/>
          <w:szCs w:val="21"/>
          <w:highlight w:val="none"/>
          <w:lang w:val="en-US" w:eastAsia="zh-CN"/>
        </w:rPr>
        <w:t>装卸</w:t>
      </w:r>
      <w:r>
        <w:rPr>
          <w:rFonts w:hint="default" w:ascii="Times New Roman" w:hAnsi="Times New Roman" w:eastAsia="宋体" w:cs="Times New Roman"/>
          <w:b/>
          <w:bCs/>
          <w:caps w:val="0"/>
          <w:color w:val="auto"/>
          <w:spacing w:val="0"/>
          <w:sz w:val="21"/>
          <w:szCs w:val="21"/>
          <w:highlight w:val="none"/>
          <w:lang w:val="en-US" w:eastAsia="zh-CN"/>
        </w:rPr>
        <w:t>噪声源强度表</w:t>
      </w:r>
    </w:p>
    <w:tbl>
      <w:tblPr>
        <w:tblStyle w:val="22"/>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642"/>
        <w:gridCol w:w="1356"/>
        <w:gridCol w:w="1217"/>
        <w:gridCol w:w="2126"/>
        <w:gridCol w:w="1712"/>
        <w:gridCol w:w="1365"/>
      </w:tblGrid>
      <w:tr w14:paraId="5CBC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642" w:type="dxa"/>
            <w:vMerge w:val="restart"/>
            <w:noWrap w:val="0"/>
            <w:vAlign w:val="center"/>
          </w:tcPr>
          <w:p w14:paraId="0F30D426">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序号</w:t>
            </w:r>
          </w:p>
        </w:tc>
        <w:tc>
          <w:tcPr>
            <w:tcW w:w="1356" w:type="dxa"/>
            <w:vMerge w:val="restart"/>
            <w:noWrap w:val="0"/>
            <w:vAlign w:val="center"/>
          </w:tcPr>
          <w:p w14:paraId="48BE5F59">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声源</w:t>
            </w:r>
          </w:p>
          <w:p w14:paraId="160B798A">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名称</w:t>
            </w:r>
          </w:p>
        </w:tc>
        <w:tc>
          <w:tcPr>
            <w:tcW w:w="1217" w:type="dxa"/>
            <w:vMerge w:val="restart"/>
            <w:noWrap w:val="0"/>
            <w:vAlign w:val="center"/>
          </w:tcPr>
          <w:p w14:paraId="7B5F6925">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eastAsia" w:ascii="Times New Roman" w:hAnsi="Times New Roman" w:eastAsia="宋体" w:cs="Times New Roman"/>
                <w:b/>
                <w:bCs w:val="0"/>
                <w:color w:val="auto"/>
                <w:kern w:val="2"/>
                <w:sz w:val="21"/>
                <w:szCs w:val="21"/>
                <w:lang w:val="en-US" w:eastAsia="zh-CN" w:bidi="ar-SA"/>
              </w:rPr>
              <w:t>数量（台）</w:t>
            </w:r>
          </w:p>
        </w:tc>
        <w:tc>
          <w:tcPr>
            <w:tcW w:w="2126" w:type="dxa"/>
            <w:noWrap w:val="0"/>
            <w:vAlign w:val="center"/>
          </w:tcPr>
          <w:p w14:paraId="463A6ED8">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声源源强</w:t>
            </w:r>
          </w:p>
        </w:tc>
        <w:tc>
          <w:tcPr>
            <w:tcW w:w="1712" w:type="dxa"/>
            <w:vMerge w:val="restart"/>
            <w:noWrap w:val="0"/>
            <w:vAlign w:val="center"/>
          </w:tcPr>
          <w:p w14:paraId="19AB1A86">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声源控制措施</w:t>
            </w:r>
          </w:p>
        </w:tc>
        <w:tc>
          <w:tcPr>
            <w:tcW w:w="1365" w:type="dxa"/>
            <w:vMerge w:val="restart"/>
            <w:noWrap w:val="0"/>
            <w:vAlign w:val="center"/>
          </w:tcPr>
          <w:p w14:paraId="76E4A804">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运行时段</w:t>
            </w:r>
          </w:p>
        </w:tc>
      </w:tr>
      <w:tr w14:paraId="5E23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642" w:type="dxa"/>
            <w:vMerge w:val="continue"/>
            <w:noWrap w:val="0"/>
            <w:vAlign w:val="center"/>
          </w:tcPr>
          <w:p w14:paraId="38CC1A5C">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1356" w:type="dxa"/>
            <w:vMerge w:val="continue"/>
            <w:noWrap w:val="0"/>
            <w:vAlign w:val="center"/>
          </w:tcPr>
          <w:p w14:paraId="3DF222DB">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1217" w:type="dxa"/>
            <w:vMerge w:val="continue"/>
            <w:noWrap w:val="0"/>
            <w:vAlign w:val="center"/>
          </w:tcPr>
          <w:p w14:paraId="6A973E1F">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2126" w:type="dxa"/>
            <w:noWrap w:val="0"/>
            <w:vAlign w:val="center"/>
          </w:tcPr>
          <w:p w14:paraId="3273D2DE">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声功率级/dB（A）</w:t>
            </w:r>
          </w:p>
        </w:tc>
        <w:tc>
          <w:tcPr>
            <w:tcW w:w="1712" w:type="dxa"/>
            <w:vMerge w:val="continue"/>
            <w:noWrap w:val="0"/>
            <w:vAlign w:val="center"/>
          </w:tcPr>
          <w:p w14:paraId="2EBC84F7">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1365" w:type="dxa"/>
            <w:vMerge w:val="continue"/>
            <w:noWrap w:val="0"/>
            <w:vAlign w:val="center"/>
          </w:tcPr>
          <w:p w14:paraId="6AA88D85">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r>
      <w:tr w14:paraId="73E1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146" w:hRule="atLeast"/>
          <w:jc w:val="center"/>
        </w:trPr>
        <w:tc>
          <w:tcPr>
            <w:tcW w:w="642" w:type="dxa"/>
            <w:noWrap w:val="0"/>
            <w:vAlign w:val="center"/>
          </w:tcPr>
          <w:p w14:paraId="5946CC52">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1</w:t>
            </w:r>
          </w:p>
        </w:tc>
        <w:tc>
          <w:tcPr>
            <w:tcW w:w="1356" w:type="dxa"/>
            <w:noWrap w:val="0"/>
            <w:vAlign w:val="center"/>
          </w:tcPr>
          <w:p w14:paraId="344132EF">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电动正面吊1</w:t>
            </w:r>
          </w:p>
        </w:tc>
        <w:tc>
          <w:tcPr>
            <w:tcW w:w="1217" w:type="dxa"/>
            <w:noWrap w:val="0"/>
            <w:vAlign w:val="center"/>
          </w:tcPr>
          <w:p w14:paraId="25E26E00">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1</w:t>
            </w:r>
          </w:p>
        </w:tc>
        <w:tc>
          <w:tcPr>
            <w:tcW w:w="2126" w:type="dxa"/>
            <w:noWrap w:val="0"/>
            <w:vAlign w:val="center"/>
          </w:tcPr>
          <w:p w14:paraId="366C554D">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75</w:t>
            </w:r>
          </w:p>
        </w:tc>
        <w:tc>
          <w:tcPr>
            <w:tcW w:w="1712" w:type="dxa"/>
            <w:vMerge w:val="restart"/>
            <w:noWrap w:val="0"/>
            <w:vAlign w:val="center"/>
          </w:tcPr>
          <w:p w14:paraId="3447CE2D">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绿化带、建筑物隔声</w:t>
            </w:r>
          </w:p>
        </w:tc>
        <w:tc>
          <w:tcPr>
            <w:tcW w:w="1365" w:type="dxa"/>
            <w:vMerge w:val="restart"/>
            <w:noWrap w:val="0"/>
            <w:vAlign w:val="center"/>
          </w:tcPr>
          <w:p w14:paraId="225F7307">
            <w:pPr>
              <w:pStyle w:val="25"/>
              <w:jc w:val="center"/>
              <w:rPr>
                <w:rFonts w:hint="default"/>
                <w:color w:val="auto"/>
                <w:lang w:val="en-US" w:eastAsia="zh-CN"/>
              </w:rPr>
            </w:pPr>
            <w:r>
              <w:rPr>
                <w:rFonts w:hint="eastAsia" w:ascii="Times New Roman" w:hAnsi="Times New Roman" w:eastAsia="宋体" w:cs="Times New Roman"/>
                <w:bCs/>
                <w:color w:val="auto"/>
                <w:kern w:val="2"/>
                <w:sz w:val="21"/>
                <w:szCs w:val="21"/>
                <w:lang w:val="en-US" w:eastAsia="zh-CN" w:bidi="ar-SA"/>
              </w:rPr>
              <w:t>昼间</w:t>
            </w:r>
          </w:p>
        </w:tc>
      </w:tr>
      <w:tr w14:paraId="40E3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38" w:hRule="atLeast"/>
          <w:jc w:val="center"/>
        </w:trPr>
        <w:tc>
          <w:tcPr>
            <w:tcW w:w="642" w:type="dxa"/>
            <w:noWrap w:val="0"/>
            <w:vAlign w:val="center"/>
          </w:tcPr>
          <w:p w14:paraId="1DC50D64">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2</w:t>
            </w:r>
          </w:p>
        </w:tc>
        <w:tc>
          <w:tcPr>
            <w:tcW w:w="1356" w:type="dxa"/>
            <w:noWrap w:val="0"/>
            <w:vAlign w:val="center"/>
          </w:tcPr>
          <w:p w14:paraId="45E5D2B2">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电动正面吊2</w:t>
            </w:r>
          </w:p>
        </w:tc>
        <w:tc>
          <w:tcPr>
            <w:tcW w:w="1217" w:type="dxa"/>
            <w:noWrap w:val="0"/>
            <w:vAlign w:val="center"/>
          </w:tcPr>
          <w:p w14:paraId="5A78A515">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1</w:t>
            </w:r>
          </w:p>
        </w:tc>
        <w:tc>
          <w:tcPr>
            <w:tcW w:w="2126" w:type="dxa"/>
            <w:noWrap w:val="0"/>
            <w:vAlign w:val="center"/>
          </w:tcPr>
          <w:p w14:paraId="50A9270B">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75</w:t>
            </w:r>
          </w:p>
        </w:tc>
        <w:tc>
          <w:tcPr>
            <w:tcW w:w="1712" w:type="dxa"/>
            <w:vMerge w:val="continue"/>
            <w:noWrap w:val="0"/>
            <w:vAlign w:val="center"/>
          </w:tcPr>
          <w:p w14:paraId="4C0D158C">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c>
          <w:tcPr>
            <w:tcW w:w="1365" w:type="dxa"/>
            <w:vMerge w:val="continue"/>
            <w:noWrap w:val="0"/>
            <w:vAlign w:val="center"/>
          </w:tcPr>
          <w:p w14:paraId="1F25B39F">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r>
      <w:tr w14:paraId="1C8C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0" w:hRule="atLeast"/>
          <w:jc w:val="center"/>
        </w:trPr>
        <w:tc>
          <w:tcPr>
            <w:tcW w:w="642" w:type="dxa"/>
            <w:noWrap w:val="0"/>
            <w:vAlign w:val="center"/>
          </w:tcPr>
          <w:p w14:paraId="632E0406">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3</w:t>
            </w:r>
          </w:p>
        </w:tc>
        <w:tc>
          <w:tcPr>
            <w:tcW w:w="1356" w:type="dxa"/>
            <w:noWrap w:val="0"/>
            <w:vAlign w:val="center"/>
          </w:tcPr>
          <w:p w14:paraId="142AC8F5">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 w:val="0"/>
                <w:bCs/>
                <w:color w:val="auto"/>
                <w:kern w:val="0"/>
                <w:sz w:val="21"/>
                <w:szCs w:val="21"/>
                <w:lang w:val="en-US" w:eastAsia="zh-CN" w:bidi="ar-SA"/>
              </w:rPr>
              <w:t>电动叉车</w:t>
            </w:r>
          </w:p>
        </w:tc>
        <w:tc>
          <w:tcPr>
            <w:tcW w:w="1217" w:type="dxa"/>
            <w:noWrap w:val="0"/>
            <w:vAlign w:val="center"/>
          </w:tcPr>
          <w:p w14:paraId="40BCE693">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1</w:t>
            </w:r>
          </w:p>
        </w:tc>
        <w:tc>
          <w:tcPr>
            <w:tcW w:w="2126" w:type="dxa"/>
            <w:noWrap w:val="0"/>
            <w:vAlign w:val="center"/>
          </w:tcPr>
          <w:p w14:paraId="2C084A97">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65</w:t>
            </w:r>
          </w:p>
        </w:tc>
        <w:tc>
          <w:tcPr>
            <w:tcW w:w="1712" w:type="dxa"/>
            <w:vMerge w:val="continue"/>
            <w:noWrap w:val="0"/>
            <w:vAlign w:val="center"/>
          </w:tcPr>
          <w:p w14:paraId="698B0594">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c>
          <w:tcPr>
            <w:tcW w:w="1365" w:type="dxa"/>
            <w:vMerge w:val="continue"/>
            <w:noWrap w:val="0"/>
            <w:vAlign w:val="center"/>
          </w:tcPr>
          <w:p w14:paraId="341F27D4">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r>
    </w:tbl>
    <w:p w14:paraId="5C2D7E92">
      <w:pPr>
        <w:pStyle w:val="9"/>
        <w:keepNext/>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hint="default" w:ascii="Times New Roman" w:hAnsi="Times New Roman" w:eastAsia="Times New Roman" w:cs="Times New Roman"/>
          <w:b/>
          <w:bCs/>
          <w:color w:val="auto"/>
          <w:spacing w:val="-2"/>
          <w:sz w:val="24"/>
          <w:szCs w:val="24"/>
        </w:rPr>
      </w:pPr>
      <w:r>
        <w:rPr>
          <w:rFonts w:hint="default" w:ascii="Times New Roman" w:hAnsi="Times New Roman" w:eastAsia="Times New Roman" w:cs="Times New Roman"/>
          <w:b/>
          <w:bCs/>
          <w:color w:val="auto"/>
          <w:spacing w:val="-2"/>
          <w:sz w:val="24"/>
          <w:szCs w:val="24"/>
        </w:rPr>
        <w:t>2.</w:t>
      </w:r>
      <w:r>
        <w:rPr>
          <w:rFonts w:hint="eastAsia" w:ascii="Times New Roman" w:hAnsi="Times New Roman" w:eastAsia="Times New Roman"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.2.3 运营期振动</w:t>
      </w:r>
    </w:p>
    <w:p w14:paraId="5351EF45">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铁路振动主要是在列车运行过程中轮轨相互作用、激励产生的机械振动，经过空气及大地介质传播，通过空气传播的振动即成为列车噪声中的轮轨部分；通</w:t>
      </w:r>
      <w:r>
        <w:rPr>
          <w:color w:val="auto"/>
          <w:spacing w:val="-1"/>
          <w:sz w:val="24"/>
          <w:szCs w:val="24"/>
        </w:rPr>
        <w:t>过道床、路基传播到大地中的部分以振动形式表现出来。</w:t>
      </w:r>
    </w:p>
    <w:p w14:paraId="66DF25ED">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eastAsia" w:eastAsia="宋体"/>
          <w:color w:val="auto"/>
          <w:spacing w:val="-2"/>
          <w:sz w:val="24"/>
          <w:szCs w:val="24"/>
          <w:lang w:eastAsia="zh-CN"/>
        </w:rPr>
      </w:pPr>
      <w:r>
        <w:rPr>
          <w:color w:val="auto"/>
          <w:spacing w:val="-3"/>
          <w:sz w:val="24"/>
          <w:szCs w:val="24"/>
        </w:rPr>
        <w:t>振动源强主要与轨道结构、列车运行速度、轴重、地质条件等因素有关；而列车振动扩散衰减规律则受地质、地形、地貌等条件的影响，并随着距离的增加振动逐渐降低。</w:t>
      </w:r>
      <w:r>
        <w:rPr>
          <w:rFonts w:hint="eastAsia" w:ascii="Times New Roman" w:hAnsi="Times New Roman" w:eastAsia="宋体" w:cs="Times New Roman"/>
          <w:color w:val="auto"/>
          <w:spacing w:val="-3"/>
          <w:sz w:val="24"/>
          <w:szCs w:val="24"/>
          <w:lang w:val="en-US" w:eastAsia="zh-CN"/>
        </w:rPr>
        <w:t>参考</w:t>
      </w:r>
      <w:r>
        <w:rPr>
          <w:color w:val="auto"/>
          <w:spacing w:val="-3"/>
          <w:sz w:val="24"/>
          <w:szCs w:val="24"/>
        </w:rPr>
        <w:t>原铁道部《铁路建设项目环境影响评价噪声振动源强取值和</w:t>
      </w:r>
      <w:r>
        <w:rPr>
          <w:color w:val="auto"/>
          <w:spacing w:val="-1"/>
          <w:sz w:val="24"/>
          <w:szCs w:val="24"/>
        </w:rPr>
        <w:t>治理原则指导意见（</w:t>
      </w:r>
      <w:r>
        <w:rPr>
          <w:rFonts w:ascii="Times New Roman" w:hAnsi="Times New Roman" w:eastAsia="Times New Roman" w:cs="Times New Roman"/>
          <w:color w:val="auto"/>
          <w:spacing w:val="-1"/>
          <w:sz w:val="24"/>
          <w:szCs w:val="24"/>
        </w:rPr>
        <w:t>2010</w:t>
      </w:r>
      <w:r>
        <w:rPr>
          <w:color w:val="auto"/>
          <w:spacing w:val="-1"/>
          <w:sz w:val="24"/>
          <w:szCs w:val="24"/>
        </w:rPr>
        <w:t>年修订稿）》（铁计函〔</w:t>
      </w:r>
      <w:r>
        <w:rPr>
          <w:rFonts w:ascii="Times New Roman" w:hAnsi="Times New Roman" w:eastAsia="Times New Roman" w:cs="Times New Roman"/>
          <w:color w:val="auto"/>
          <w:spacing w:val="-1"/>
          <w:sz w:val="24"/>
          <w:szCs w:val="24"/>
        </w:rPr>
        <w:t>2010</w:t>
      </w:r>
      <w:r>
        <w:rPr>
          <w:color w:val="auto"/>
          <w:spacing w:val="-1"/>
          <w:sz w:val="24"/>
          <w:szCs w:val="24"/>
        </w:rPr>
        <w:t>〕</w:t>
      </w:r>
      <w:r>
        <w:rPr>
          <w:rFonts w:ascii="Times New Roman" w:hAnsi="Times New Roman" w:eastAsia="Times New Roman" w:cs="Times New Roman"/>
          <w:color w:val="auto"/>
          <w:spacing w:val="-1"/>
          <w:sz w:val="24"/>
          <w:szCs w:val="24"/>
        </w:rPr>
        <w:t>44</w:t>
      </w:r>
      <w:r>
        <w:rPr>
          <w:color w:val="auto"/>
          <w:spacing w:val="-1"/>
          <w:sz w:val="24"/>
          <w:szCs w:val="24"/>
        </w:rPr>
        <w:t>号文</w:t>
      </w:r>
      <w:r>
        <w:rPr>
          <w:color w:val="auto"/>
          <w:spacing w:val="6"/>
          <w:sz w:val="24"/>
          <w:szCs w:val="24"/>
        </w:rPr>
        <w:t>），</w:t>
      </w:r>
      <w:r>
        <w:rPr>
          <w:color w:val="auto"/>
          <w:spacing w:val="-1"/>
          <w:sz w:val="24"/>
          <w:szCs w:val="24"/>
        </w:rPr>
        <w:t>普通货物</w:t>
      </w:r>
      <w:r>
        <w:rPr>
          <w:color w:val="auto"/>
          <w:spacing w:val="-2"/>
          <w:sz w:val="24"/>
          <w:szCs w:val="24"/>
        </w:rPr>
        <w:t>列车振动源强确定参数如下表</w:t>
      </w:r>
      <w:r>
        <w:rPr>
          <w:rFonts w:ascii="Times New Roman" w:hAnsi="Times New Roman" w:eastAsia="Times New Roman" w:cs="Times New Roman"/>
          <w:color w:val="auto"/>
          <w:spacing w:val="-2"/>
          <w:sz w:val="24"/>
          <w:szCs w:val="24"/>
        </w:rPr>
        <w:t>2.</w:t>
      </w:r>
      <w:r>
        <w:rPr>
          <w:rFonts w:hint="eastAsia" w:ascii="Times New Roman" w:hAnsi="Times New Roman" w:eastAsia="宋体" w:cs="Times New Roman"/>
          <w:color w:val="auto"/>
          <w:spacing w:val="-2"/>
          <w:sz w:val="24"/>
          <w:szCs w:val="24"/>
          <w:lang w:val="en-US" w:eastAsia="zh-CN"/>
        </w:rPr>
        <w:t>4-6</w:t>
      </w:r>
      <w:r>
        <w:rPr>
          <w:rFonts w:hint="eastAsia" w:eastAsia="宋体"/>
          <w:color w:val="auto"/>
          <w:spacing w:val="-2"/>
          <w:sz w:val="24"/>
          <w:szCs w:val="24"/>
          <w:lang w:eastAsia="zh-CN"/>
        </w:rPr>
        <w:t>：</w:t>
      </w:r>
    </w:p>
    <w:p w14:paraId="453EE363">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普通货物列车振动源强表</w:t>
      </w:r>
    </w:p>
    <w:tbl>
      <w:tblPr>
        <w:tblStyle w:val="26"/>
        <w:tblW w:w="8097"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1"/>
        <w:gridCol w:w="1608"/>
        <w:gridCol w:w="1609"/>
        <w:gridCol w:w="1609"/>
        <w:gridCol w:w="1390"/>
      </w:tblGrid>
      <w:tr w14:paraId="084CE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4" w:hRule="atLeast"/>
        </w:trPr>
        <w:tc>
          <w:tcPr>
            <w:tcW w:w="1881" w:type="dxa"/>
            <w:vAlign w:val="center"/>
          </w:tcPr>
          <w:p w14:paraId="7DEFD26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color w:val="auto"/>
                <w:spacing w:val="0"/>
                <w:sz w:val="20"/>
                <w:szCs w:val="20"/>
              </w:rPr>
              <w:t>速度，</w:t>
            </w:r>
            <w:r>
              <w:rPr>
                <w:rFonts w:ascii="Times New Roman" w:hAnsi="Times New Roman" w:eastAsia="Times New Roman" w:cs="Times New Roman"/>
                <w:color w:val="auto"/>
                <w:spacing w:val="0"/>
                <w:sz w:val="20"/>
                <w:szCs w:val="20"/>
              </w:rPr>
              <w:t>km/h</w:t>
            </w:r>
          </w:p>
        </w:tc>
        <w:tc>
          <w:tcPr>
            <w:tcW w:w="1608" w:type="dxa"/>
            <w:vAlign w:val="center"/>
          </w:tcPr>
          <w:p w14:paraId="2360ADC9">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50</w:t>
            </w:r>
          </w:p>
        </w:tc>
        <w:tc>
          <w:tcPr>
            <w:tcW w:w="1609" w:type="dxa"/>
            <w:vAlign w:val="center"/>
          </w:tcPr>
          <w:p w14:paraId="77DC7D9E">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60</w:t>
            </w:r>
          </w:p>
        </w:tc>
        <w:tc>
          <w:tcPr>
            <w:tcW w:w="1609" w:type="dxa"/>
            <w:vAlign w:val="center"/>
          </w:tcPr>
          <w:p w14:paraId="32C5969F">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70</w:t>
            </w:r>
          </w:p>
        </w:tc>
        <w:tc>
          <w:tcPr>
            <w:tcW w:w="1390" w:type="dxa"/>
            <w:vAlign w:val="center"/>
          </w:tcPr>
          <w:p w14:paraId="627392B0">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80</w:t>
            </w:r>
          </w:p>
        </w:tc>
      </w:tr>
      <w:tr w14:paraId="730F6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881" w:type="dxa"/>
            <w:vAlign w:val="center"/>
          </w:tcPr>
          <w:p w14:paraId="6627526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sz w:val="20"/>
                <w:szCs w:val="20"/>
              </w:rPr>
            </w:pPr>
            <w:r>
              <w:rPr>
                <w:color w:val="auto"/>
                <w:spacing w:val="0"/>
                <w:sz w:val="20"/>
                <w:szCs w:val="20"/>
              </w:rPr>
              <w:t>源强，</w:t>
            </w:r>
            <w:r>
              <w:rPr>
                <w:rFonts w:ascii="Times New Roman" w:hAnsi="Times New Roman" w:eastAsia="Times New Roman" w:cs="Times New Roman"/>
                <w:color w:val="auto"/>
                <w:spacing w:val="0"/>
                <w:sz w:val="20"/>
                <w:szCs w:val="20"/>
              </w:rPr>
              <w:t>dB</w:t>
            </w:r>
          </w:p>
        </w:tc>
        <w:tc>
          <w:tcPr>
            <w:tcW w:w="1608" w:type="dxa"/>
            <w:vAlign w:val="center"/>
          </w:tcPr>
          <w:p w14:paraId="69DE59F8">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78.5</w:t>
            </w:r>
          </w:p>
        </w:tc>
        <w:tc>
          <w:tcPr>
            <w:tcW w:w="1609" w:type="dxa"/>
            <w:vAlign w:val="center"/>
          </w:tcPr>
          <w:p w14:paraId="5C7BC56B">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79.0</w:t>
            </w:r>
          </w:p>
        </w:tc>
        <w:tc>
          <w:tcPr>
            <w:tcW w:w="1609" w:type="dxa"/>
            <w:vAlign w:val="center"/>
          </w:tcPr>
          <w:p w14:paraId="20F3DD35">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79.5</w:t>
            </w:r>
          </w:p>
        </w:tc>
        <w:tc>
          <w:tcPr>
            <w:tcW w:w="1390" w:type="dxa"/>
            <w:vAlign w:val="center"/>
          </w:tcPr>
          <w:p w14:paraId="1E124AD7">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80.0</w:t>
            </w:r>
          </w:p>
        </w:tc>
      </w:tr>
    </w:tbl>
    <w:p w14:paraId="5E938B5C">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rPr>
        <w:t>项目采用有缝线路，设计时速为</w:t>
      </w:r>
      <w:r>
        <w:rPr>
          <w:rFonts w:hint="eastAsia" w:ascii="Times New Roman" w:hAnsi="Times New Roman" w:eastAsia="宋体" w:cs="Times New Roman"/>
          <w:color w:val="auto"/>
          <w:spacing w:val="0"/>
          <w:sz w:val="24"/>
          <w:szCs w:val="24"/>
          <w:lang w:val="en-US" w:eastAsia="zh-CN"/>
        </w:rPr>
        <w:t>25</w:t>
      </w:r>
      <w:r>
        <w:rPr>
          <w:rFonts w:hint="default" w:ascii="Times New Roman" w:hAnsi="Times New Roman" w:eastAsia="Times New Roman" w:cs="Times New Roman"/>
          <w:color w:val="auto"/>
          <w:spacing w:val="0"/>
          <w:sz w:val="24"/>
          <w:szCs w:val="24"/>
        </w:rPr>
        <w:t>km/h</w:t>
      </w:r>
      <w:r>
        <w:rPr>
          <w:rFonts w:hint="default" w:ascii="Times New Roman" w:hAnsi="Times New Roman" w:cs="Times New Roman"/>
          <w:color w:val="auto"/>
          <w:spacing w:val="0"/>
          <w:sz w:val="24"/>
          <w:szCs w:val="24"/>
        </w:rPr>
        <w:t>，</w:t>
      </w:r>
      <w:r>
        <w:rPr>
          <w:color w:val="auto"/>
          <w:spacing w:val="-2"/>
          <w:sz w:val="24"/>
          <w:szCs w:val="24"/>
        </w:rPr>
        <w:t>根据</w:t>
      </w:r>
      <w:r>
        <w:rPr>
          <w:rFonts w:hint="eastAsia" w:eastAsia="宋体"/>
          <w:color w:val="auto"/>
          <w:spacing w:val="-2"/>
          <w:sz w:val="24"/>
          <w:szCs w:val="24"/>
          <w:lang w:val="en-US" w:eastAsia="zh-CN"/>
        </w:rPr>
        <w:t>上表最小速度</w:t>
      </w:r>
      <w:r>
        <w:rPr>
          <w:color w:val="auto"/>
          <w:spacing w:val="-2"/>
          <w:sz w:val="24"/>
          <w:szCs w:val="24"/>
        </w:rPr>
        <w:t>，</w:t>
      </w:r>
      <w:r>
        <w:rPr>
          <w:rFonts w:hint="eastAsia" w:ascii="Times New Roman" w:hAnsi="Times New Roman" w:eastAsia="宋体" w:cs="Times New Roman"/>
          <w:color w:val="auto"/>
          <w:spacing w:val="0"/>
          <w:sz w:val="24"/>
          <w:szCs w:val="24"/>
          <w:highlight w:val="none"/>
          <w:lang w:val="en-US" w:eastAsia="zh-CN"/>
        </w:rPr>
        <w:t>本铁路专用线振动源强取值78.5dB</w:t>
      </w:r>
      <w:r>
        <w:rPr>
          <w:rFonts w:hint="default" w:ascii="Times New Roman" w:hAnsi="Times New Roman" w:eastAsia="宋体" w:cs="Times New Roman"/>
          <w:color w:val="auto"/>
          <w:spacing w:val="0"/>
          <w:sz w:val="24"/>
          <w:szCs w:val="24"/>
          <w:highlight w:val="none"/>
          <w:lang w:val="en-US" w:eastAsia="zh-CN"/>
        </w:rPr>
        <w:t>。</w:t>
      </w:r>
    </w:p>
    <w:p w14:paraId="49E9B97F">
      <w:pPr>
        <w:pStyle w:val="9"/>
        <w:keepNext/>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hint="default" w:ascii="Times New Roman" w:hAnsi="Times New Roman" w:eastAsia="Times New Roman" w:cs="Times New Roman"/>
          <w:b/>
          <w:bCs/>
          <w:color w:val="auto"/>
          <w:spacing w:val="-2"/>
          <w:sz w:val="24"/>
          <w:szCs w:val="24"/>
        </w:rPr>
      </w:pPr>
      <w:r>
        <w:rPr>
          <w:rFonts w:hint="default" w:ascii="Times New Roman" w:hAnsi="Times New Roman" w:eastAsia="Times New Roman" w:cs="Times New Roman"/>
          <w:b/>
          <w:bCs/>
          <w:color w:val="auto"/>
          <w:spacing w:val="-2"/>
          <w:sz w:val="24"/>
          <w:szCs w:val="24"/>
        </w:rPr>
        <w:t>2.</w:t>
      </w:r>
      <w:r>
        <w:rPr>
          <w:rFonts w:hint="eastAsia" w:ascii="Times New Roman" w:hAnsi="Times New Roman" w:eastAsia="Times New Roman"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.2.4 运营期废气</w:t>
      </w:r>
    </w:p>
    <w:p w14:paraId="7DEE103C">
      <w:pPr>
        <w:pStyle w:val="9"/>
        <w:spacing w:before="180" w:line="359" w:lineRule="auto"/>
        <w:ind w:left="122" w:right="115" w:firstLine="481"/>
        <w:rPr>
          <w:color w:val="auto"/>
          <w:sz w:val="24"/>
          <w:szCs w:val="24"/>
        </w:rPr>
      </w:pPr>
      <w:r>
        <w:rPr>
          <w:color w:val="auto"/>
          <w:spacing w:val="-3"/>
          <w:sz w:val="24"/>
          <w:szCs w:val="24"/>
        </w:rPr>
        <w:t>本项目营运期产生的废气主要是内燃机废气、装卸扬尘、运输车辆尾气</w:t>
      </w:r>
      <w:r>
        <w:rPr>
          <w:color w:val="auto"/>
          <w:spacing w:val="-4"/>
          <w:sz w:val="24"/>
          <w:szCs w:val="24"/>
        </w:rPr>
        <w:t>以及</w:t>
      </w:r>
      <w:r>
        <w:rPr>
          <w:color w:val="auto"/>
          <w:spacing w:val="-1"/>
          <w:sz w:val="24"/>
          <w:szCs w:val="24"/>
        </w:rPr>
        <w:t>道路扬尘等</w:t>
      </w:r>
      <w:r>
        <w:rPr>
          <w:rFonts w:hint="eastAsia"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lang w:val="en-US" w:eastAsia="zh-CN"/>
        </w:rPr>
        <w:t>不设食堂无食堂油烟</w:t>
      </w:r>
      <w:r>
        <w:rPr>
          <w:color w:val="auto"/>
          <w:spacing w:val="-1"/>
          <w:sz w:val="24"/>
          <w:szCs w:val="24"/>
        </w:rPr>
        <w:t>。</w:t>
      </w:r>
    </w:p>
    <w:p w14:paraId="1E2CCEBE">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64" w:firstLineChars="200"/>
        <w:textAlignment w:val="baseline"/>
        <w:rPr>
          <w:color w:val="auto"/>
          <w:sz w:val="24"/>
          <w:szCs w:val="24"/>
        </w:rPr>
      </w:pPr>
      <w:r>
        <w:rPr>
          <w:b/>
          <w:bCs/>
          <w:color w:val="auto"/>
          <w:spacing w:val="-4"/>
          <w:sz w:val="24"/>
          <w:szCs w:val="24"/>
        </w:rPr>
        <w:t>一、内燃机废气</w:t>
      </w:r>
    </w:p>
    <w:p w14:paraId="6CA09103">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4"/>
        <w:jc w:val="both"/>
        <w:textAlignment w:val="baseline"/>
        <w:rPr>
          <w:color w:val="auto"/>
          <w:sz w:val="24"/>
          <w:szCs w:val="24"/>
        </w:rPr>
      </w:pPr>
      <w:r>
        <w:rPr>
          <w:color w:val="auto"/>
          <w:spacing w:val="-1"/>
          <w:sz w:val="24"/>
          <w:szCs w:val="24"/>
        </w:rPr>
        <w:t>列车由</w:t>
      </w:r>
      <w:r>
        <w:rPr>
          <w:rFonts w:hint="eastAsia" w:ascii="Times New Roman" w:hAnsi="Times New Roman" w:eastAsia="宋体" w:cs="Times New Roman"/>
          <w:color w:val="auto"/>
          <w:spacing w:val="-1"/>
          <w:sz w:val="24"/>
          <w:szCs w:val="24"/>
          <w:lang w:val="en-US" w:eastAsia="zh-CN"/>
        </w:rPr>
        <w:t>2</w:t>
      </w:r>
      <w:r>
        <w:rPr>
          <w:color w:val="auto"/>
          <w:spacing w:val="-1"/>
          <w:sz w:val="24"/>
          <w:szCs w:val="24"/>
        </w:rPr>
        <w:t>台内燃机牵引，大气污染源主要为牵引机车排放的尾气，属无组织排放的非连续流动源，其主要污染物</w:t>
      </w:r>
      <w:r>
        <w:rPr>
          <w:color w:val="auto"/>
          <w:spacing w:val="-2"/>
          <w:sz w:val="24"/>
          <w:szCs w:val="24"/>
        </w:rPr>
        <w:t>为烟尘、</w:t>
      </w:r>
      <w:r>
        <w:rPr>
          <w:rFonts w:ascii="Times New Roman" w:hAnsi="Times New Roman" w:eastAsia="Times New Roman" w:cs="Times New Roman"/>
          <w:color w:val="auto"/>
          <w:spacing w:val="-2"/>
          <w:sz w:val="24"/>
          <w:szCs w:val="24"/>
        </w:rPr>
        <w:t>NOx</w:t>
      </w:r>
      <w:r>
        <w:rPr>
          <w:color w:val="auto"/>
          <w:spacing w:val="-2"/>
          <w:sz w:val="24"/>
          <w:szCs w:val="24"/>
        </w:rPr>
        <w:t>、</w:t>
      </w:r>
      <w:r>
        <w:rPr>
          <w:rFonts w:ascii="Times New Roman" w:hAnsi="Times New Roman" w:eastAsia="Times New Roman" w:cs="Times New Roman"/>
          <w:color w:val="auto"/>
          <w:spacing w:val="-2"/>
          <w:sz w:val="24"/>
          <w:szCs w:val="24"/>
        </w:rPr>
        <w:t>SO</w:t>
      </w:r>
      <w:r>
        <w:rPr>
          <w:rFonts w:ascii="Times New Roman" w:hAnsi="Times New Roman" w:eastAsia="Times New Roman" w:cs="Times New Roman"/>
          <w:color w:val="auto"/>
          <w:spacing w:val="-2"/>
          <w:position w:val="-1"/>
          <w:sz w:val="24"/>
          <w:szCs w:val="24"/>
          <w:vertAlign w:val="subscript"/>
        </w:rPr>
        <w:t>2</w:t>
      </w:r>
      <w:r>
        <w:rPr>
          <w:color w:val="auto"/>
          <w:spacing w:val="-2"/>
          <w:sz w:val="24"/>
          <w:szCs w:val="24"/>
        </w:rPr>
        <w:t>。根据设</w:t>
      </w:r>
      <w:r>
        <w:rPr>
          <w:color w:val="auto"/>
          <w:spacing w:val="-1"/>
          <w:sz w:val="24"/>
          <w:szCs w:val="24"/>
        </w:rPr>
        <w:t>计列车流量和机车牵引定数，按机车污染物</w:t>
      </w:r>
      <w:r>
        <w:rPr>
          <w:color w:val="auto"/>
          <w:spacing w:val="-2"/>
          <w:sz w:val="24"/>
          <w:szCs w:val="24"/>
        </w:rPr>
        <w:t>排放系数计算流动源污染物排放量。</w:t>
      </w:r>
    </w:p>
    <w:p w14:paraId="7821CC22">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0"/>
        <w:textAlignment w:val="baseline"/>
        <w:rPr>
          <w:color w:val="auto"/>
          <w:sz w:val="24"/>
          <w:szCs w:val="24"/>
        </w:rPr>
      </w:pPr>
      <w:r>
        <w:rPr>
          <w:color w:val="auto"/>
          <w:spacing w:val="-2"/>
          <w:sz w:val="24"/>
          <w:szCs w:val="24"/>
        </w:rPr>
        <w:t>根据《交通运输类环境影响评价（下）》（</w:t>
      </w:r>
      <w:r>
        <w:rPr>
          <w:rFonts w:ascii="Times New Roman" w:hAnsi="Times New Roman" w:eastAsia="Times New Roman" w:cs="Times New Roman"/>
          <w:color w:val="auto"/>
          <w:spacing w:val="-2"/>
          <w:sz w:val="24"/>
          <w:szCs w:val="24"/>
        </w:rPr>
        <w:t>2012</w:t>
      </w:r>
      <w:r>
        <w:rPr>
          <w:color w:val="auto"/>
          <w:spacing w:val="-2"/>
          <w:sz w:val="24"/>
          <w:szCs w:val="24"/>
        </w:rPr>
        <w:t>年</w:t>
      </w:r>
      <w:r>
        <w:rPr>
          <w:rFonts w:ascii="Times New Roman" w:hAnsi="Times New Roman" w:eastAsia="Times New Roman" w:cs="Times New Roman"/>
          <w:color w:val="auto"/>
          <w:spacing w:val="-3"/>
          <w:sz w:val="24"/>
          <w:szCs w:val="24"/>
        </w:rPr>
        <w:t>10</w:t>
      </w:r>
      <w:r>
        <w:rPr>
          <w:color w:val="auto"/>
          <w:spacing w:val="-3"/>
          <w:sz w:val="24"/>
          <w:szCs w:val="24"/>
        </w:rPr>
        <w:t>月出版）中提供内燃</w:t>
      </w:r>
      <w:r>
        <w:rPr>
          <w:color w:val="auto"/>
          <w:spacing w:val="-1"/>
          <w:sz w:val="24"/>
          <w:szCs w:val="24"/>
        </w:rPr>
        <w:t>机污染物排放量计算：</w:t>
      </w:r>
    </w:p>
    <w:p w14:paraId="091146A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3392"/>
        <w:textAlignment w:val="baseline"/>
        <w:rPr>
          <w:rFonts w:ascii="Times New Roman" w:hAnsi="Times New Roman" w:eastAsia="Times New Roman" w:cs="Times New Roman"/>
          <w:i/>
          <w:iCs/>
          <w:color w:val="auto"/>
          <w:spacing w:val="5"/>
          <w:sz w:val="24"/>
          <w:szCs w:val="24"/>
        </w:rPr>
      </w:pPr>
      <w:r>
        <w:rPr>
          <w:rFonts w:ascii="Times New Roman" w:hAnsi="Times New Roman" w:eastAsia="Times New Roman" w:cs="Times New Roman"/>
          <w:i/>
          <w:iCs/>
          <w:color w:val="auto"/>
          <w:sz w:val="24"/>
          <w:szCs w:val="24"/>
        </w:rPr>
        <w:t>Qi</w:t>
      </w:r>
      <w:r>
        <w:rPr>
          <w:rFonts w:ascii="Times New Roman" w:hAnsi="Times New Roman" w:eastAsia="Times New Roman" w:cs="Times New Roman"/>
          <w:i/>
          <w:iCs/>
          <w:color w:val="auto"/>
          <w:spacing w:val="5"/>
          <w:sz w:val="24"/>
          <w:szCs w:val="24"/>
        </w:rPr>
        <w:t>=</w:t>
      </w:r>
      <w:r>
        <w:rPr>
          <w:rFonts w:ascii="Times New Roman" w:hAnsi="Times New Roman" w:eastAsia="Times New Roman" w:cs="Times New Roman"/>
          <w:i/>
          <w:iCs/>
          <w:color w:val="auto"/>
          <w:sz w:val="24"/>
          <w:szCs w:val="24"/>
        </w:rPr>
        <w:t>Ki</w:t>
      </w:r>
      <w:r>
        <w:rPr>
          <w:rFonts w:ascii="Times New Roman" w:hAnsi="Times New Roman" w:eastAsia="Times New Roman" w:cs="Times New Roman"/>
          <w:color w:val="auto"/>
          <w:spacing w:val="5"/>
          <w:sz w:val="24"/>
          <w:szCs w:val="24"/>
        </w:rPr>
        <w:t>×</w:t>
      </w:r>
      <w:r>
        <w:rPr>
          <w:rFonts w:ascii="Times New Roman" w:hAnsi="Times New Roman" w:eastAsia="Times New Roman" w:cs="Times New Roman"/>
          <w:i/>
          <w:iCs/>
          <w:color w:val="auto"/>
          <w:spacing w:val="5"/>
          <w:sz w:val="24"/>
          <w:szCs w:val="24"/>
        </w:rPr>
        <w:t>W</w:t>
      </w:r>
    </w:p>
    <w:p w14:paraId="4FE44DA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式中：</w:t>
      </w:r>
      <w:r>
        <w:rPr>
          <w:rFonts w:ascii="Times New Roman" w:hAnsi="Times New Roman" w:eastAsia="Times New Roman" w:cs="Times New Roman"/>
          <w:i/>
          <w:iCs/>
          <w:color w:val="auto"/>
          <w:spacing w:val="-1"/>
          <w:sz w:val="24"/>
          <w:szCs w:val="24"/>
        </w:rPr>
        <w:t>Qi</w:t>
      </w:r>
      <w:r>
        <w:rPr>
          <w:rFonts w:ascii="Times New Roman" w:hAnsi="Times New Roman" w:eastAsia="Times New Roman" w:cs="Times New Roman"/>
          <w:color w:val="auto"/>
          <w:spacing w:val="-1"/>
          <w:sz w:val="24"/>
          <w:szCs w:val="24"/>
        </w:rPr>
        <w:t>——</w:t>
      </w:r>
      <w:r>
        <w:rPr>
          <w:color w:val="auto"/>
          <w:spacing w:val="-1"/>
          <w:sz w:val="24"/>
          <w:szCs w:val="24"/>
        </w:rPr>
        <w:t>第</w:t>
      </w:r>
      <w:r>
        <w:rPr>
          <w:rFonts w:ascii="Times New Roman" w:hAnsi="Times New Roman" w:eastAsia="Times New Roman" w:cs="Times New Roman"/>
          <w:color w:val="auto"/>
          <w:spacing w:val="-1"/>
          <w:sz w:val="24"/>
          <w:szCs w:val="24"/>
        </w:rPr>
        <w:t>i</w:t>
      </w:r>
      <w:r>
        <w:rPr>
          <w:color w:val="auto"/>
          <w:spacing w:val="-1"/>
          <w:sz w:val="24"/>
          <w:szCs w:val="24"/>
        </w:rPr>
        <w:t>种污染物排放量，</w:t>
      </w:r>
      <w:r>
        <w:rPr>
          <w:rFonts w:ascii="Times New Roman" w:hAnsi="Times New Roman" w:eastAsia="Times New Roman" w:cs="Times New Roman"/>
          <w:color w:val="auto"/>
          <w:spacing w:val="-1"/>
          <w:sz w:val="24"/>
          <w:szCs w:val="24"/>
        </w:rPr>
        <w:t>t/</w:t>
      </w:r>
      <w:r>
        <w:rPr>
          <w:rFonts w:ascii="Times New Roman" w:hAnsi="Times New Roman" w:eastAsia="Times New Roman" w:cs="Times New Roman"/>
          <w:color w:val="auto"/>
          <w:spacing w:val="-2"/>
          <w:sz w:val="24"/>
          <w:szCs w:val="24"/>
        </w:rPr>
        <w:t>a</w:t>
      </w:r>
      <w:r>
        <w:rPr>
          <w:color w:val="auto"/>
          <w:spacing w:val="-2"/>
          <w:sz w:val="24"/>
          <w:szCs w:val="24"/>
        </w:rPr>
        <w:t>；</w:t>
      </w:r>
    </w:p>
    <w:p w14:paraId="0701378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rFonts w:ascii="Times New Roman" w:hAnsi="Times New Roman" w:eastAsia="Times New Roman" w:cs="Times New Roman"/>
          <w:i/>
          <w:iCs/>
          <w:color w:val="auto"/>
          <w:spacing w:val="-2"/>
          <w:sz w:val="24"/>
          <w:szCs w:val="24"/>
        </w:rPr>
        <w:t>W</w:t>
      </w:r>
      <w:r>
        <w:rPr>
          <w:rFonts w:ascii="Times New Roman" w:hAnsi="Times New Roman" w:eastAsia="Times New Roman" w:cs="Times New Roman"/>
          <w:color w:val="auto"/>
          <w:spacing w:val="-2"/>
          <w:sz w:val="24"/>
          <w:szCs w:val="24"/>
        </w:rPr>
        <w:t>——</w:t>
      </w:r>
      <w:r>
        <w:rPr>
          <w:color w:val="auto"/>
          <w:spacing w:val="-2"/>
          <w:sz w:val="24"/>
          <w:szCs w:val="24"/>
        </w:rPr>
        <w:t>内燃调机车燃料消耗量，</w:t>
      </w:r>
      <w:r>
        <w:rPr>
          <w:rFonts w:ascii="Times New Roman" w:hAnsi="Times New Roman" w:eastAsia="Times New Roman" w:cs="Times New Roman"/>
          <w:color w:val="auto"/>
          <w:spacing w:val="-2"/>
          <w:sz w:val="24"/>
          <w:szCs w:val="24"/>
        </w:rPr>
        <w:t>t/a</w:t>
      </w:r>
      <w:r>
        <w:rPr>
          <w:color w:val="auto"/>
          <w:spacing w:val="-2"/>
          <w:sz w:val="24"/>
          <w:szCs w:val="24"/>
        </w:rPr>
        <w:t>；</w:t>
      </w:r>
    </w:p>
    <w:p w14:paraId="7079DDC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rFonts w:ascii="Times New Roman" w:hAnsi="Times New Roman" w:eastAsia="Times New Roman" w:cs="Times New Roman"/>
          <w:i/>
          <w:iCs/>
          <w:color w:val="auto"/>
          <w:spacing w:val="-1"/>
          <w:sz w:val="24"/>
          <w:szCs w:val="24"/>
        </w:rPr>
        <w:t>Ki</w:t>
      </w:r>
      <w:r>
        <w:rPr>
          <w:rFonts w:ascii="Times New Roman" w:hAnsi="Times New Roman" w:eastAsia="Times New Roman" w:cs="Times New Roman"/>
          <w:color w:val="auto"/>
          <w:spacing w:val="-1"/>
          <w:sz w:val="24"/>
          <w:szCs w:val="24"/>
        </w:rPr>
        <w:t>——</w:t>
      </w:r>
      <w:r>
        <w:rPr>
          <w:color w:val="auto"/>
          <w:spacing w:val="-1"/>
          <w:sz w:val="24"/>
          <w:szCs w:val="24"/>
        </w:rPr>
        <w:t>内燃机车第</w:t>
      </w:r>
      <w:r>
        <w:rPr>
          <w:rFonts w:ascii="Times New Roman" w:hAnsi="Times New Roman" w:eastAsia="Times New Roman" w:cs="Times New Roman"/>
          <w:color w:val="auto"/>
          <w:spacing w:val="-1"/>
          <w:sz w:val="24"/>
          <w:szCs w:val="24"/>
        </w:rPr>
        <w:t>i</w:t>
      </w:r>
      <w:r>
        <w:rPr>
          <w:color w:val="auto"/>
          <w:spacing w:val="-1"/>
          <w:sz w:val="24"/>
          <w:szCs w:val="24"/>
        </w:rPr>
        <w:t>种污染物排放系数；</w:t>
      </w:r>
    </w:p>
    <w:p w14:paraId="6591661A">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内燃机车污染物排放系数表</w:t>
      </w:r>
    </w:p>
    <w:tbl>
      <w:tblPr>
        <w:tblStyle w:val="26"/>
        <w:tblW w:w="7523" w:type="dxa"/>
        <w:tblInd w:w="4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9"/>
        <w:gridCol w:w="1919"/>
        <w:gridCol w:w="1878"/>
        <w:gridCol w:w="1987"/>
      </w:tblGrid>
      <w:tr w14:paraId="24F69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739" w:type="dxa"/>
            <w:vAlign w:val="center"/>
          </w:tcPr>
          <w:p w14:paraId="084CEC9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项目</w:t>
            </w:r>
          </w:p>
        </w:tc>
        <w:tc>
          <w:tcPr>
            <w:tcW w:w="1919" w:type="dxa"/>
            <w:vAlign w:val="center"/>
          </w:tcPr>
          <w:p w14:paraId="6655019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烟尘（颗粒物）</w:t>
            </w:r>
          </w:p>
        </w:tc>
        <w:tc>
          <w:tcPr>
            <w:tcW w:w="1878" w:type="dxa"/>
            <w:vAlign w:val="center"/>
          </w:tcPr>
          <w:p w14:paraId="09A44E4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SO</w:t>
            </w:r>
            <w:r>
              <w:rPr>
                <w:rFonts w:hint="default" w:ascii="Times New Roman" w:hAnsi="Times New Roman" w:eastAsia="宋体" w:cs="Times New Roman"/>
                <w:color w:val="auto"/>
                <w:spacing w:val="0"/>
                <w:sz w:val="21"/>
                <w:szCs w:val="21"/>
                <w:vertAlign w:val="subscript"/>
              </w:rPr>
              <w:t>2</w:t>
            </w:r>
          </w:p>
        </w:tc>
        <w:tc>
          <w:tcPr>
            <w:tcW w:w="1987" w:type="dxa"/>
            <w:vAlign w:val="center"/>
          </w:tcPr>
          <w:p w14:paraId="7D23D50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NOx</w:t>
            </w:r>
          </w:p>
        </w:tc>
      </w:tr>
      <w:tr w14:paraId="37870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739" w:type="dxa"/>
            <w:vAlign w:val="center"/>
          </w:tcPr>
          <w:p w14:paraId="33DA6DA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内燃机车</w:t>
            </w:r>
          </w:p>
        </w:tc>
        <w:tc>
          <w:tcPr>
            <w:tcW w:w="1919" w:type="dxa"/>
            <w:vAlign w:val="center"/>
          </w:tcPr>
          <w:p w14:paraId="355E3FC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15.2‰</w:t>
            </w:r>
          </w:p>
        </w:tc>
        <w:tc>
          <w:tcPr>
            <w:tcW w:w="1878" w:type="dxa"/>
            <w:vAlign w:val="center"/>
          </w:tcPr>
          <w:p w14:paraId="05E4776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23.2‰</w:t>
            </w:r>
          </w:p>
        </w:tc>
        <w:tc>
          <w:tcPr>
            <w:tcW w:w="1987" w:type="dxa"/>
            <w:vAlign w:val="center"/>
          </w:tcPr>
          <w:p w14:paraId="5D152DA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19‰</w:t>
            </w:r>
          </w:p>
        </w:tc>
      </w:tr>
    </w:tbl>
    <w:p w14:paraId="520398A5">
      <w:pPr>
        <w:pStyle w:val="9"/>
        <w:keepNext w:val="0"/>
        <w:keepLines w:val="0"/>
        <w:pageBreakBefore w:val="0"/>
        <w:widowControl/>
        <w:kinsoku/>
        <w:wordWrap/>
        <w:overflowPunct/>
        <w:topLinePunct w:val="0"/>
        <w:autoSpaceDE w:val="0"/>
        <w:autoSpaceDN w:val="0"/>
        <w:bidi w:val="0"/>
        <w:adjustRightInd/>
        <w:spacing w:line="360" w:lineRule="auto"/>
        <w:ind w:left="0" w:right="0" w:firstLine="476" w:firstLineChars="200"/>
        <w:textAlignment w:val="baseline"/>
        <w:rPr>
          <w:color w:val="auto"/>
          <w:sz w:val="24"/>
          <w:szCs w:val="24"/>
        </w:rPr>
      </w:pPr>
      <w:r>
        <w:rPr>
          <w:color w:val="auto"/>
          <w:spacing w:val="-1"/>
          <w:sz w:val="24"/>
          <w:szCs w:val="24"/>
        </w:rPr>
        <w:t>机车的耗油量按下列计算公式：</w:t>
      </w:r>
    </w:p>
    <w:p w14:paraId="43395034">
      <w:pPr>
        <w:keepNext w:val="0"/>
        <w:keepLines w:val="0"/>
        <w:pageBreakBefore w:val="0"/>
        <w:widowControl/>
        <w:kinsoku/>
        <w:wordWrap/>
        <w:overflowPunct/>
        <w:topLinePunct w:val="0"/>
        <w:autoSpaceDE w:val="0"/>
        <w:autoSpaceDN w:val="0"/>
        <w:bidi w:val="0"/>
        <w:adjustRightInd/>
        <w:spacing w:line="360" w:lineRule="auto"/>
        <w:ind w:left="0" w:right="0" w:firstLine="468" w:firstLineChars="200"/>
        <w:jc w:val="center"/>
        <w:textAlignment w:val="baseline"/>
        <w:rPr>
          <w:rFonts w:hint="default" w:ascii="Times New Roman" w:hAnsi="Times New Roman" w:eastAsia="宋体" w:cs="Times New Roman"/>
          <w:color w:val="auto"/>
          <w:sz w:val="24"/>
          <w:szCs w:val="24"/>
          <w:lang w:val="en-US" w:eastAsia="zh-CN"/>
        </w:rPr>
      </w:pPr>
      <w:r>
        <w:rPr>
          <w:rFonts w:ascii="Times New Roman" w:hAnsi="Times New Roman" w:eastAsia="Times New Roman" w:cs="Times New Roman"/>
          <w:i/>
          <w:iCs/>
          <w:color w:val="auto"/>
          <w:spacing w:val="-3"/>
          <w:position w:val="1"/>
          <w:sz w:val="24"/>
          <w:szCs w:val="24"/>
        </w:rPr>
        <w:t>W=G</w:t>
      </w:r>
      <w:r>
        <w:rPr>
          <w:rFonts w:ascii="Times New Roman" w:hAnsi="Times New Roman" w:eastAsia="Times New Roman" w:cs="Times New Roman"/>
          <w:color w:val="auto"/>
          <w:spacing w:val="-3"/>
          <w:position w:val="1"/>
          <w:sz w:val="24"/>
          <w:szCs w:val="24"/>
        </w:rPr>
        <w:t>×</w:t>
      </w:r>
      <w:r>
        <w:rPr>
          <w:rFonts w:ascii="Times New Roman" w:hAnsi="Times New Roman" w:eastAsia="Times New Roman" w:cs="Times New Roman"/>
          <w:i/>
          <w:iCs/>
          <w:color w:val="auto"/>
          <w:spacing w:val="-3"/>
          <w:position w:val="1"/>
          <w:sz w:val="24"/>
          <w:szCs w:val="24"/>
        </w:rPr>
        <w:t>E</w:t>
      </w:r>
      <w:r>
        <w:rPr>
          <w:rFonts w:ascii="Times New Roman" w:hAnsi="Times New Roman" w:eastAsia="Times New Roman" w:cs="Times New Roman"/>
          <w:color w:val="auto"/>
          <w:spacing w:val="-3"/>
          <w:position w:val="1"/>
          <w:sz w:val="24"/>
          <w:szCs w:val="24"/>
        </w:rPr>
        <w:t>×</w:t>
      </w:r>
      <w:r>
        <w:rPr>
          <w:rFonts w:ascii="Times New Roman" w:hAnsi="Times New Roman" w:eastAsia="Times New Roman" w:cs="Times New Roman"/>
          <w:i/>
          <w:iCs/>
          <w:color w:val="auto"/>
          <w:spacing w:val="-3"/>
          <w:position w:val="1"/>
          <w:sz w:val="24"/>
          <w:szCs w:val="24"/>
        </w:rPr>
        <w:t>L</w:t>
      </w:r>
      <w:r>
        <w:rPr>
          <w:rFonts w:ascii="Times New Roman" w:hAnsi="Times New Roman" w:eastAsia="Times New Roman" w:cs="Times New Roman"/>
          <w:color w:val="auto"/>
          <w:spacing w:val="-3"/>
          <w:position w:val="1"/>
          <w:sz w:val="24"/>
          <w:szCs w:val="24"/>
        </w:rPr>
        <w:t>×</w:t>
      </w:r>
      <w:r>
        <w:rPr>
          <w:rFonts w:ascii="Times New Roman" w:hAnsi="Times New Roman" w:eastAsia="Times New Roman" w:cs="Times New Roman"/>
          <w:i/>
          <w:iCs/>
          <w:color w:val="auto"/>
          <w:spacing w:val="-3"/>
          <w:position w:val="1"/>
          <w:sz w:val="24"/>
          <w:szCs w:val="24"/>
        </w:rPr>
        <w:t>N</w:t>
      </w:r>
      <w:r>
        <w:rPr>
          <w:rFonts w:ascii="Times New Roman" w:hAnsi="Times New Roman" w:eastAsia="Times New Roman" w:cs="Times New Roman"/>
          <w:color w:val="auto"/>
          <w:spacing w:val="-3"/>
          <w:position w:val="1"/>
          <w:sz w:val="24"/>
          <w:szCs w:val="24"/>
        </w:rPr>
        <w:t>×10</w:t>
      </w:r>
      <w:r>
        <w:rPr>
          <w:rFonts w:hint="eastAsia" w:ascii="Times New Roman" w:hAnsi="Times New Roman" w:eastAsia="宋体" w:cs="Times New Roman"/>
          <w:color w:val="auto"/>
          <w:spacing w:val="-3"/>
          <w:position w:val="1"/>
          <w:sz w:val="24"/>
          <w:szCs w:val="24"/>
          <w:vertAlign w:val="superscript"/>
          <w:lang w:val="en-US" w:eastAsia="zh-CN"/>
        </w:rPr>
        <w:t>-3</w:t>
      </w:r>
    </w:p>
    <w:p w14:paraId="4B42C4A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G——内燃机车牵引定数（t），工程牵引定数</w:t>
      </w:r>
      <w:r>
        <w:rPr>
          <w:rFonts w:hint="eastAsia" w:ascii="Times New Roman" w:hAnsi="Times New Roman" w:eastAsia="宋体" w:cs="Times New Roman"/>
          <w:color w:val="auto"/>
          <w:spacing w:val="-1"/>
          <w:sz w:val="24"/>
          <w:szCs w:val="24"/>
          <w:lang w:val="en-US" w:eastAsia="zh-CN"/>
        </w:rPr>
        <w:t>8</w:t>
      </w:r>
      <w:r>
        <w:rPr>
          <w:rFonts w:hint="default" w:ascii="Times New Roman" w:hAnsi="Times New Roman" w:cs="Times New Roman"/>
          <w:color w:val="auto"/>
          <w:spacing w:val="-1"/>
          <w:sz w:val="24"/>
          <w:szCs w:val="24"/>
        </w:rPr>
        <w:t>000t</w:t>
      </w:r>
      <w:r>
        <w:rPr>
          <w:rFonts w:hint="eastAsia" w:ascii="Times New Roman" w:hAnsi="Times New Roman" w:eastAsia="宋体" w:cs="Times New Roman"/>
          <w:color w:val="auto"/>
          <w:spacing w:val="-1"/>
          <w:sz w:val="24"/>
          <w:szCs w:val="24"/>
          <w:lang w:eastAsia="zh-CN"/>
        </w:rPr>
        <w:t>（</w:t>
      </w:r>
      <w:r>
        <w:rPr>
          <w:rFonts w:hint="eastAsia" w:ascii="Times New Roman" w:hAnsi="Times New Roman" w:eastAsia="宋体" w:cs="Times New Roman"/>
          <w:color w:val="auto"/>
          <w:spacing w:val="-1"/>
          <w:sz w:val="24"/>
          <w:szCs w:val="24"/>
          <w:lang w:val="en-US" w:eastAsia="zh-CN"/>
        </w:rPr>
        <w:t>2辆内燃机车</w:t>
      </w:r>
      <w:r>
        <w:rPr>
          <w:rFonts w:hint="eastAsia" w:ascii="Times New Roman" w:hAnsi="Times New Roman" w:eastAsia="宋体" w:cs="Times New Roman"/>
          <w:color w:val="auto"/>
          <w:spacing w:val="-1"/>
          <w:sz w:val="24"/>
          <w:szCs w:val="24"/>
          <w:lang w:eastAsia="zh-CN"/>
        </w:rPr>
        <w:t>）</w:t>
      </w:r>
      <w:r>
        <w:rPr>
          <w:rFonts w:hint="default" w:ascii="Times New Roman" w:hAnsi="Times New Roman" w:cs="Times New Roman"/>
          <w:color w:val="auto"/>
          <w:spacing w:val="-1"/>
          <w:sz w:val="24"/>
          <w:szCs w:val="24"/>
        </w:rPr>
        <w:t>；</w:t>
      </w:r>
    </w:p>
    <w:p w14:paraId="49F497A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L——机车走行距离（km），装卸线有效长</w:t>
      </w:r>
      <w:r>
        <w:rPr>
          <w:rFonts w:hint="eastAsia" w:ascii="Times New Roman" w:hAnsi="Times New Roman" w:eastAsia="宋体" w:cs="Times New Roman"/>
          <w:color w:val="auto"/>
          <w:spacing w:val="-1"/>
          <w:sz w:val="24"/>
          <w:szCs w:val="24"/>
          <w:lang w:val="en-US" w:eastAsia="zh-CN"/>
        </w:rPr>
        <w:t>0.565</w:t>
      </w:r>
      <w:r>
        <w:rPr>
          <w:rFonts w:hint="default" w:ascii="Times New Roman" w:hAnsi="Times New Roman" w:cs="Times New Roman"/>
          <w:color w:val="auto"/>
          <w:spacing w:val="-1"/>
          <w:sz w:val="24"/>
          <w:szCs w:val="24"/>
        </w:rPr>
        <w:t>km；</w:t>
      </w:r>
    </w:p>
    <w:p w14:paraId="30EF6C1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E——单列内燃机车单位能耗（kg/10</w:t>
      </w:r>
      <w:r>
        <w:rPr>
          <w:rFonts w:hint="default" w:ascii="Times New Roman" w:hAnsi="Times New Roman" w:cs="Times New Roman"/>
          <w:color w:val="auto"/>
          <w:spacing w:val="-1"/>
          <w:sz w:val="24"/>
          <w:szCs w:val="24"/>
          <w:vertAlign w:val="superscript"/>
        </w:rPr>
        <w:t>4</w:t>
      </w:r>
      <w:r>
        <w:rPr>
          <w:rFonts w:hint="default" w:ascii="Times New Roman" w:hAnsi="Times New Roman" w:cs="Times New Roman"/>
          <w:color w:val="auto"/>
          <w:spacing w:val="-1"/>
          <w:sz w:val="24"/>
          <w:szCs w:val="24"/>
        </w:rPr>
        <w:t>t·km），</w:t>
      </w:r>
      <w:r>
        <w:rPr>
          <w:rFonts w:hint="eastAsia" w:ascii="Times New Roman" w:hAnsi="Times New Roman" w:eastAsia="宋体" w:cs="Times New Roman"/>
          <w:color w:val="auto"/>
          <w:spacing w:val="-1"/>
          <w:sz w:val="24"/>
          <w:szCs w:val="24"/>
          <w:lang w:val="en-US" w:eastAsia="zh-CN"/>
        </w:rPr>
        <w:t>DF</w:t>
      </w:r>
      <w:r>
        <w:rPr>
          <w:rFonts w:hint="eastAsia" w:ascii="Times New Roman" w:hAnsi="Times New Roman" w:eastAsia="宋体" w:cs="Times New Roman"/>
          <w:color w:val="auto"/>
          <w:spacing w:val="-1"/>
          <w:sz w:val="24"/>
          <w:szCs w:val="24"/>
          <w:vertAlign w:val="subscript"/>
          <w:lang w:val="en-US" w:eastAsia="zh-CN"/>
        </w:rPr>
        <w:t>5D</w:t>
      </w:r>
      <w:r>
        <w:rPr>
          <w:rFonts w:hint="eastAsia" w:ascii="Times New Roman" w:hAnsi="Times New Roman" w:eastAsia="宋体" w:cs="Times New Roman"/>
          <w:color w:val="auto"/>
          <w:spacing w:val="-1"/>
          <w:sz w:val="24"/>
          <w:szCs w:val="24"/>
          <w:lang w:val="en-US" w:eastAsia="zh-CN"/>
        </w:rPr>
        <w:t>、DF</w:t>
      </w:r>
      <w:r>
        <w:rPr>
          <w:rFonts w:hint="eastAsia" w:ascii="Times New Roman" w:hAnsi="Times New Roman" w:eastAsia="宋体" w:cs="Times New Roman"/>
          <w:color w:val="auto"/>
          <w:spacing w:val="-1"/>
          <w:sz w:val="24"/>
          <w:szCs w:val="24"/>
          <w:vertAlign w:val="subscript"/>
          <w:lang w:val="en-US" w:eastAsia="zh-CN"/>
        </w:rPr>
        <w:t>10D</w:t>
      </w:r>
      <w:r>
        <w:rPr>
          <w:rFonts w:hint="default" w:ascii="Times New Roman" w:hAnsi="Times New Roman" w:cs="Times New Roman"/>
          <w:color w:val="auto"/>
          <w:spacing w:val="-1"/>
          <w:sz w:val="24"/>
          <w:szCs w:val="24"/>
        </w:rPr>
        <w:t>内燃机车单位能耗</w:t>
      </w:r>
      <w:r>
        <w:rPr>
          <w:rFonts w:hint="eastAsia" w:ascii="Times New Roman" w:hAnsi="Times New Roman" w:eastAsia="宋体" w:cs="Times New Roman"/>
          <w:color w:val="auto"/>
          <w:spacing w:val="-1"/>
          <w:sz w:val="24"/>
          <w:szCs w:val="24"/>
          <w:lang w:val="en-US" w:eastAsia="zh-CN"/>
        </w:rPr>
        <w:t>15</w:t>
      </w:r>
      <w:r>
        <w:rPr>
          <w:rFonts w:hint="default" w:ascii="Times New Roman" w:hAnsi="Times New Roman" w:cs="Times New Roman"/>
          <w:color w:val="auto"/>
          <w:spacing w:val="-1"/>
          <w:sz w:val="24"/>
          <w:szCs w:val="24"/>
        </w:rPr>
        <w:t>kg/10</w:t>
      </w:r>
      <w:r>
        <w:rPr>
          <w:rFonts w:hint="default" w:ascii="Times New Roman" w:hAnsi="Times New Roman" w:cs="Times New Roman"/>
          <w:color w:val="auto"/>
          <w:spacing w:val="-1"/>
          <w:sz w:val="24"/>
          <w:szCs w:val="24"/>
          <w:vertAlign w:val="superscript"/>
        </w:rPr>
        <w:t>4</w:t>
      </w:r>
      <w:r>
        <w:rPr>
          <w:rFonts w:hint="default" w:ascii="Times New Roman" w:hAnsi="Times New Roman" w:cs="Times New Roman"/>
          <w:color w:val="auto"/>
          <w:spacing w:val="-1"/>
          <w:sz w:val="24"/>
          <w:szCs w:val="24"/>
        </w:rPr>
        <w:t>t·km；</w:t>
      </w:r>
    </w:p>
    <w:p w14:paraId="540B2DA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N——内燃机车列数（列/日），为</w:t>
      </w:r>
      <w:r>
        <w:rPr>
          <w:rFonts w:hint="eastAsia" w:ascii="Times New Roman" w:hAnsi="Times New Roman" w:eastAsia="宋体" w:cs="Times New Roman"/>
          <w:color w:val="auto"/>
          <w:spacing w:val="-1"/>
          <w:sz w:val="24"/>
          <w:szCs w:val="24"/>
          <w:lang w:val="en-US" w:eastAsia="zh-CN"/>
        </w:rPr>
        <w:t>19</w:t>
      </w:r>
      <w:r>
        <w:rPr>
          <w:rFonts w:hint="default" w:ascii="Times New Roman" w:hAnsi="Times New Roman" w:cs="Times New Roman"/>
          <w:color w:val="auto"/>
          <w:spacing w:val="-1"/>
          <w:sz w:val="24"/>
          <w:szCs w:val="24"/>
        </w:rPr>
        <w:t>列/日，年运行</w:t>
      </w:r>
      <w:r>
        <w:rPr>
          <w:rFonts w:hint="eastAsia" w:ascii="Times New Roman" w:hAnsi="Times New Roman" w:eastAsia="宋体" w:cs="Times New Roman"/>
          <w:color w:val="auto"/>
          <w:spacing w:val="-1"/>
          <w:sz w:val="24"/>
          <w:szCs w:val="24"/>
          <w:lang w:val="en-US" w:eastAsia="zh-CN"/>
        </w:rPr>
        <w:t>330</w:t>
      </w:r>
      <w:r>
        <w:rPr>
          <w:rFonts w:hint="default" w:ascii="Times New Roman" w:hAnsi="Times New Roman" w:cs="Times New Roman"/>
          <w:color w:val="auto"/>
          <w:spacing w:val="-1"/>
          <w:sz w:val="24"/>
          <w:szCs w:val="24"/>
        </w:rPr>
        <w:t>天。</w:t>
      </w:r>
    </w:p>
    <w:p w14:paraId="677D68A3">
      <w:pPr>
        <w:pStyle w:val="9"/>
        <w:keepNext w:val="0"/>
        <w:keepLines w:val="0"/>
        <w:pageBreakBefore w:val="0"/>
        <w:widowControl/>
        <w:kinsoku/>
        <w:wordWrap/>
        <w:overflowPunct/>
        <w:topLinePunct w:val="0"/>
        <w:autoSpaceDE w:val="0"/>
        <w:autoSpaceDN w:val="0"/>
        <w:bidi w:val="0"/>
        <w:adjustRightInd/>
        <w:spacing w:line="360" w:lineRule="auto"/>
        <w:ind w:left="0" w:right="0" w:firstLine="472" w:firstLineChars="200"/>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则根据计算，项目燃料的消耗量W：</w:t>
      </w:r>
      <w:r>
        <w:rPr>
          <w:rFonts w:hint="eastAsia" w:ascii="Times New Roman" w:hAnsi="Times New Roman" w:eastAsia="宋体" w:cs="Times New Roman"/>
          <w:color w:val="auto"/>
          <w:spacing w:val="-2"/>
          <w:sz w:val="24"/>
          <w:szCs w:val="24"/>
          <w:lang w:val="en-US" w:eastAsia="zh-CN"/>
        </w:rPr>
        <w:t>0.129</w:t>
      </w:r>
      <w:r>
        <w:rPr>
          <w:rFonts w:hint="default" w:ascii="Times New Roman" w:hAnsi="Times New Roman" w:cs="Times New Roman"/>
          <w:color w:val="auto"/>
          <w:spacing w:val="-2"/>
          <w:sz w:val="24"/>
          <w:szCs w:val="24"/>
        </w:rPr>
        <w:t>t/d、</w:t>
      </w:r>
      <w:r>
        <w:rPr>
          <w:rFonts w:hint="eastAsia" w:ascii="Times New Roman" w:hAnsi="Times New Roman" w:eastAsia="宋体" w:cs="Times New Roman"/>
          <w:color w:val="auto"/>
          <w:spacing w:val="-2"/>
          <w:sz w:val="24"/>
          <w:szCs w:val="24"/>
          <w:lang w:val="en-US" w:eastAsia="zh-CN"/>
        </w:rPr>
        <w:t>42.511</w:t>
      </w:r>
      <w:r>
        <w:rPr>
          <w:rFonts w:hint="default" w:ascii="Times New Roman" w:hAnsi="Times New Roman" w:cs="Times New Roman"/>
          <w:color w:val="auto"/>
          <w:spacing w:val="-2"/>
          <w:sz w:val="24"/>
          <w:szCs w:val="24"/>
        </w:rPr>
        <w:t>t/a；</w:t>
      </w:r>
    </w:p>
    <w:p w14:paraId="6E7316EB">
      <w:pPr>
        <w:pStyle w:val="9"/>
        <w:keepNext w:val="0"/>
        <w:keepLines w:val="0"/>
        <w:pageBreakBefore w:val="0"/>
        <w:widowControl/>
        <w:kinsoku/>
        <w:wordWrap/>
        <w:overflowPunct/>
        <w:topLinePunct w:val="0"/>
        <w:autoSpaceDE w:val="0"/>
        <w:autoSpaceDN w:val="0"/>
        <w:bidi w:val="0"/>
        <w:adjustRightInd/>
        <w:spacing w:line="360" w:lineRule="auto"/>
        <w:ind w:left="0" w:right="0" w:firstLine="472" w:firstLineChars="200"/>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内燃机运行时间按</w:t>
      </w:r>
      <w:r>
        <w:rPr>
          <w:rFonts w:hint="eastAsia" w:ascii="Times New Roman" w:hAnsi="Times New Roman" w:eastAsia="宋体" w:cs="Times New Roman"/>
          <w:color w:val="auto"/>
          <w:spacing w:val="-2"/>
          <w:sz w:val="24"/>
          <w:szCs w:val="24"/>
          <w:lang w:val="en-US" w:eastAsia="zh-CN"/>
        </w:rPr>
        <w:t>8</w:t>
      </w:r>
      <w:r>
        <w:rPr>
          <w:rFonts w:hint="default" w:ascii="Times New Roman" w:hAnsi="Times New Roman" w:cs="Times New Roman"/>
          <w:color w:val="auto"/>
          <w:spacing w:val="-2"/>
          <w:sz w:val="24"/>
          <w:szCs w:val="24"/>
        </w:rPr>
        <w:t>h/d计，则本项目内燃机车污染物排放量详见下表2.</w:t>
      </w:r>
      <w:r>
        <w:rPr>
          <w:rFonts w:hint="eastAsia" w:ascii="Times New Roman" w:hAnsi="Times New Roman" w:eastAsia="宋体" w:cs="Times New Roman"/>
          <w:color w:val="auto"/>
          <w:spacing w:val="-2"/>
          <w:sz w:val="24"/>
          <w:szCs w:val="24"/>
          <w:lang w:val="en-US" w:eastAsia="zh-CN"/>
        </w:rPr>
        <w:t>4-8</w:t>
      </w:r>
      <w:r>
        <w:rPr>
          <w:rFonts w:hint="default" w:ascii="Times New Roman" w:hAnsi="Times New Roman" w:cs="Times New Roman"/>
          <w:color w:val="auto"/>
          <w:spacing w:val="-2"/>
          <w:sz w:val="24"/>
          <w:szCs w:val="24"/>
        </w:rPr>
        <w:t>。</w:t>
      </w:r>
    </w:p>
    <w:p w14:paraId="19A5560E">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项目内燃机车大气污染物排放量  单位：t/a</w:t>
      </w:r>
    </w:p>
    <w:tbl>
      <w:tblPr>
        <w:tblStyle w:val="26"/>
        <w:tblW w:w="8059"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1"/>
        <w:gridCol w:w="2502"/>
        <w:gridCol w:w="1524"/>
        <w:gridCol w:w="1662"/>
      </w:tblGrid>
      <w:tr w14:paraId="654EE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2371" w:type="dxa"/>
            <w:tcBorders>
              <w:top w:val="single" w:color="auto" w:sz="4" w:space="0"/>
              <w:left w:val="single" w:color="auto" w:sz="4" w:space="0"/>
              <w:bottom w:val="single" w:color="auto" w:sz="4" w:space="0"/>
              <w:right w:val="single" w:color="auto" w:sz="4" w:space="0"/>
            </w:tcBorders>
            <w:vAlign w:val="center"/>
          </w:tcPr>
          <w:p w14:paraId="7FECA965">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3"/>
                <w:sz w:val="21"/>
                <w:szCs w:val="21"/>
              </w:rPr>
              <w:t>项目</w:t>
            </w:r>
          </w:p>
        </w:tc>
        <w:tc>
          <w:tcPr>
            <w:tcW w:w="2502" w:type="dxa"/>
            <w:tcBorders>
              <w:top w:val="single" w:color="auto" w:sz="4" w:space="0"/>
              <w:left w:val="single" w:color="auto" w:sz="4" w:space="0"/>
              <w:bottom w:val="single" w:color="auto" w:sz="4" w:space="0"/>
              <w:right w:val="single" w:color="auto" w:sz="4" w:space="0"/>
            </w:tcBorders>
            <w:vAlign w:val="center"/>
          </w:tcPr>
          <w:p w14:paraId="21FF845C">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4"/>
                <w:sz w:val="21"/>
                <w:szCs w:val="21"/>
              </w:rPr>
              <w:t>烟尘（颗粒物）</w:t>
            </w:r>
          </w:p>
        </w:tc>
        <w:tc>
          <w:tcPr>
            <w:tcW w:w="1524" w:type="dxa"/>
            <w:tcBorders>
              <w:top w:val="single" w:color="auto" w:sz="4" w:space="0"/>
              <w:left w:val="single" w:color="auto" w:sz="4" w:space="0"/>
              <w:bottom w:val="single" w:color="auto" w:sz="4" w:space="0"/>
              <w:right w:val="single" w:color="auto" w:sz="4" w:space="0"/>
            </w:tcBorders>
            <w:vAlign w:val="center"/>
          </w:tcPr>
          <w:p w14:paraId="4C67AB4A">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SO</w:t>
            </w:r>
            <w:r>
              <w:rPr>
                <w:rFonts w:ascii="Times New Roman" w:hAnsi="Times New Roman" w:eastAsia="Times New Roman" w:cs="Times New Roman"/>
                <w:color w:val="auto"/>
                <w:spacing w:val="3"/>
                <w:position w:val="-1"/>
                <w:sz w:val="21"/>
                <w:szCs w:val="21"/>
                <w:vertAlign w:val="subscript"/>
              </w:rPr>
              <w:t>2</w:t>
            </w:r>
          </w:p>
        </w:tc>
        <w:tc>
          <w:tcPr>
            <w:tcW w:w="1662" w:type="dxa"/>
            <w:tcBorders>
              <w:top w:val="single" w:color="auto" w:sz="4" w:space="0"/>
              <w:left w:val="single" w:color="auto" w:sz="4" w:space="0"/>
              <w:bottom w:val="single" w:color="auto" w:sz="4" w:space="0"/>
              <w:right w:val="single" w:color="auto" w:sz="4" w:space="0"/>
            </w:tcBorders>
            <w:vAlign w:val="center"/>
          </w:tcPr>
          <w:p w14:paraId="3A39DE1E">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NOx</w:t>
            </w:r>
          </w:p>
        </w:tc>
      </w:tr>
      <w:tr w14:paraId="1B33D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371" w:type="dxa"/>
            <w:tcBorders>
              <w:top w:val="single" w:color="auto" w:sz="4" w:space="0"/>
              <w:left w:val="single" w:color="auto" w:sz="4" w:space="0"/>
              <w:bottom w:val="single" w:color="auto" w:sz="4" w:space="0"/>
              <w:right w:val="single" w:color="auto" w:sz="4" w:space="0"/>
            </w:tcBorders>
            <w:vAlign w:val="center"/>
          </w:tcPr>
          <w:p w14:paraId="36D8F220">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5"/>
                <w:sz w:val="21"/>
                <w:szCs w:val="21"/>
              </w:rPr>
              <w:t>排放量（</w:t>
            </w:r>
            <w:r>
              <w:rPr>
                <w:rFonts w:ascii="Times New Roman" w:hAnsi="Times New Roman" w:eastAsia="Times New Roman" w:cs="Times New Roman"/>
                <w:color w:val="auto"/>
                <w:spacing w:val="5"/>
                <w:sz w:val="21"/>
                <w:szCs w:val="21"/>
              </w:rPr>
              <w:t>t/d</w:t>
            </w:r>
            <w:r>
              <w:rPr>
                <w:color w:val="auto"/>
                <w:spacing w:val="5"/>
                <w:sz w:val="21"/>
                <w:szCs w:val="21"/>
              </w:rPr>
              <w:t>）</w:t>
            </w:r>
          </w:p>
        </w:tc>
        <w:tc>
          <w:tcPr>
            <w:tcW w:w="2502" w:type="dxa"/>
            <w:tcBorders>
              <w:top w:val="single" w:color="auto" w:sz="4" w:space="0"/>
              <w:left w:val="single" w:color="auto" w:sz="4" w:space="0"/>
              <w:bottom w:val="single" w:color="auto" w:sz="4" w:space="0"/>
              <w:right w:val="single" w:color="auto" w:sz="4" w:space="0"/>
            </w:tcBorders>
            <w:vAlign w:val="center"/>
          </w:tcPr>
          <w:p w14:paraId="6732E5BB">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0.0020 </w:t>
            </w:r>
          </w:p>
        </w:tc>
        <w:tc>
          <w:tcPr>
            <w:tcW w:w="1524" w:type="dxa"/>
            <w:tcBorders>
              <w:top w:val="single" w:color="auto" w:sz="4" w:space="0"/>
              <w:left w:val="single" w:color="auto" w:sz="4" w:space="0"/>
              <w:bottom w:val="single" w:color="auto" w:sz="4" w:space="0"/>
              <w:right w:val="single" w:color="auto" w:sz="4" w:space="0"/>
            </w:tcBorders>
            <w:vAlign w:val="center"/>
          </w:tcPr>
          <w:p w14:paraId="32B6272F">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0.0030 </w:t>
            </w:r>
          </w:p>
        </w:tc>
        <w:tc>
          <w:tcPr>
            <w:tcW w:w="1662" w:type="dxa"/>
            <w:tcBorders>
              <w:top w:val="single" w:color="auto" w:sz="4" w:space="0"/>
              <w:left w:val="single" w:color="auto" w:sz="4" w:space="0"/>
              <w:bottom w:val="single" w:color="auto" w:sz="4" w:space="0"/>
              <w:right w:val="single" w:color="auto" w:sz="4" w:space="0"/>
            </w:tcBorders>
            <w:vAlign w:val="center"/>
          </w:tcPr>
          <w:p w14:paraId="46919169">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0.0024 </w:t>
            </w:r>
          </w:p>
        </w:tc>
      </w:tr>
      <w:tr w14:paraId="59607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371" w:type="dxa"/>
            <w:tcBorders>
              <w:top w:val="single" w:color="auto" w:sz="4" w:space="0"/>
              <w:left w:val="single" w:color="auto" w:sz="4" w:space="0"/>
              <w:bottom w:val="single" w:color="auto" w:sz="4" w:space="0"/>
              <w:right w:val="single" w:color="auto" w:sz="4" w:space="0"/>
            </w:tcBorders>
            <w:vAlign w:val="center"/>
          </w:tcPr>
          <w:p w14:paraId="32B9EF52">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4"/>
                <w:sz w:val="21"/>
                <w:szCs w:val="21"/>
              </w:rPr>
              <w:t>排放量（</w:t>
            </w:r>
            <w:r>
              <w:rPr>
                <w:rFonts w:ascii="Times New Roman" w:hAnsi="Times New Roman" w:eastAsia="Times New Roman" w:cs="Times New Roman"/>
                <w:color w:val="auto"/>
                <w:spacing w:val="4"/>
                <w:sz w:val="21"/>
                <w:szCs w:val="21"/>
              </w:rPr>
              <w:t>t/a</w:t>
            </w:r>
            <w:r>
              <w:rPr>
                <w:color w:val="auto"/>
                <w:spacing w:val="4"/>
                <w:sz w:val="21"/>
                <w:szCs w:val="21"/>
              </w:rPr>
              <w:t>）</w:t>
            </w:r>
          </w:p>
        </w:tc>
        <w:tc>
          <w:tcPr>
            <w:tcW w:w="2502" w:type="dxa"/>
            <w:tcBorders>
              <w:top w:val="single" w:color="auto" w:sz="4" w:space="0"/>
              <w:left w:val="single" w:color="auto" w:sz="4" w:space="0"/>
              <w:bottom w:val="single" w:color="auto" w:sz="4" w:space="0"/>
              <w:right w:val="single" w:color="auto" w:sz="4" w:space="0"/>
            </w:tcBorders>
            <w:vAlign w:val="center"/>
          </w:tcPr>
          <w:p w14:paraId="6471A5FA">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0.6462 </w:t>
            </w:r>
          </w:p>
        </w:tc>
        <w:tc>
          <w:tcPr>
            <w:tcW w:w="1524" w:type="dxa"/>
            <w:tcBorders>
              <w:top w:val="single" w:color="auto" w:sz="4" w:space="0"/>
              <w:left w:val="single" w:color="auto" w:sz="4" w:space="0"/>
              <w:bottom w:val="single" w:color="auto" w:sz="4" w:space="0"/>
              <w:right w:val="single" w:color="auto" w:sz="4" w:space="0"/>
            </w:tcBorders>
            <w:vAlign w:val="center"/>
          </w:tcPr>
          <w:p w14:paraId="65CA271B">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0.9862 </w:t>
            </w:r>
          </w:p>
        </w:tc>
        <w:tc>
          <w:tcPr>
            <w:tcW w:w="1662" w:type="dxa"/>
            <w:tcBorders>
              <w:top w:val="single" w:color="auto" w:sz="4" w:space="0"/>
              <w:left w:val="single" w:color="auto" w:sz="4" w:space="0"/>
              <w:bottom w:val="single" w:color="auto" w:sz="4" w:space="0"/>
              <w:right w:val="single" w:color="auto" w:sz="4" w:space="0"/>
            </w:tcBorders>
            <w:vAlign w:val="center"/>
          </w:tcPr>
          <w:p w14:paraId="0305E71F">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0.8077 </w:t>
            </w:r>
          </w:p>
        </w:tc>
      </w:tr>
      <w:tr w14:paraId="4C0BD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371" w:type="dxa"/>
            <w:tcBorders>
              <w:top w:val="single" w:color="auto" w:sz="4" w:space="0"/>
              <w:left w:val="single" w:color="auto" w:sz="4" w:space="0"/>
              <w:bottom w:val="single" w:color="auto" w:sz="4" w:space="0"/>
              <w:right w:val="single" w:color="auto" w:sz="4" w:space="0"/>
            </w:tcBorders>
            <w:vAlign w:val="center"/>
          </w:tcPr>
          <w:p w14:paraId="1D5E7A57">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z w:val="21"/>
                <w:szCs w:val="21"/>
              </w:rPr>
            </w:pPr>
            <w:r>
              <w:rPr>
                <w:color w:val="auto"/>
                <w:spacing w:val="7"/>
                <w:sz w:val="21"/>
                <w:szCs w:val="21"/>
              </w:rPr>
              <w:t>排放速率</w:t>
            </w:r>
            <w:r>
              <w:rPr>
                <w:color w:val="auto"/>
                <w:spacing w:val="2"/>
                <w:sz w:val="21"/>
                <w:szCs w:val="21"/>
              </w:rPr>
              <w:t>（</w:t>
            </w:r>
            <w:r>
              <w:rPr>
                <w:rFonts w:ascii="Times New Roman" w:hAnsi="Times New Roman" w:eastAsia="Times New Roman" w:cs="Times New Roman"/>
                <w:color w:val="auto"/>
                <w:sz w:val="21"/>
                <w:szCs w:val="21"/>
              </w:rPr>
              <w:t>kg</w:t>
            </w:r>
            <w:r>
              <w:rPr>
                <w:rFonts w:ascii="Times New Roman" w:hAnsi="Times New Roman" w:eastAsia="Times New Roman" w:cs="Times New Roman"/>
                <w:color w:val="auto"/>
                <w:spacing w:val="2"/>
                <w:sz w:val="21"/>
                <w:szCs w:val="21"/>
              </w:rPr>
              <w:t>/h</w:t>
            </w:r>
            <w:r>
              <w:rPr>
                <w:color w:val="auto"/>
                <w:spacing w:val="2"/>
                <w:sz w:val="21"/>
                <w:szCs w:val="21"/>
              </w:rPr>
              <w:t>）</w:t>
            </w:r>
          </w:p>
        </w:tc>
        <w:tc>
          <w:tcPr>
            <w:tcW w:w="2502" w:type="dxa"/>
            <w:tcBorders>
              <w:top w:val="single" w:color="auto" w:sz="4" w:space="0"/>
              <w:left w:val="single" w:color="auto" w:sz="4" w:space="0"/>
              <w:bottom w:val="single" w:color="auto" w:sz="4" w:space="0"/>
              <w:right w:val="single" w:color="auto" w:sz="4" w:space="0"/>
            </w:tcBorders>
            <w:vAlign w:val="center"/>
          </w:tcPr>
          <w:p w14:paraId="52722834">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0.2448 </w:t>
            </w:r>
          </w:p>
        </w:tc>
        <w:tc>
          <w:tcPr>
            <w:tcW w:w="1524" w:type="dxa"/>
            <w:tcBorders>
              <w:top w:val="single" w:color="auto" w:sz="4" w:space="0"/>
              <w:left w:val="single" w:color="auto" w:sz="4" w:space="0"/>
              <w:bottom w:val="single" w:color="auto" w:sz="4" w:space="0"/>
              <w:right w:val="single" w:color="auto" w:sz="4" w:space="0"/>
            </w:tcBorders>
            <w:vAlign w:val="center"/>
          </w:tcPr>
          <w:p w14:paraId="05BA7555">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0.3736 </w:t>
            </w:r>
          </w:p>
        </w:tc>
        <w:tc>
          <w:tcPr>
            <w:tcW w:w="1662" w:type="dxa"/>
            <w:tcBorders>
              <w:top w:val="single" w:color="auto" w:sz="4" w:space="0"/>
              <w:left w:val="single" w:color="auto" w:sz="4" w:space="0"/>
              <w:bottom w:val="single" w:color="auto" w:sz="4" w:space="0"/>
              <w:right w:val="single" w:color="auto" w:sz="4" w:space="0"/>
            </w:tcBorders>
            <w:vAlign w:val="center"/>
          </w:tcPr>
          <w:p w14:paraId="1A79ED0D">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0.3059 </w:t>
            </w:r>
          </w:p>
        </w:tc>
      </w:tr>
    </w:tbl>
    <w:p w14:paraId="332150AB">
      <w:pPr>
        <w:pStyle w:val="9"/>
        <w:keepNext w:val="0"/>
        <w:keepLines w:val="0"/>
        <w:pageBreakBefore w:val="0"/>
        <w:widowControl/>
        <w:kinsoku/>
        <w:wordWrap/>
        <w:overflowPunct/>
        <w:topLinePunct w:val="0"/>
        <w:autoSpaceDE w:val="0"/>
        <w:autoSpaceDN w:val="0"/>
        <w:bidi w:val="0"/>
        <w:adjustRightInd w:val="0"/>
        <w:snapToGrid w:val="0"/>
        <w:spacing w:line="336" w:lineRule="auto"/>
        <w:ind w:left="119" w:right="113" w:firstLine="482"/>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项目内燃机车排放废气颗粒物</w:t>
      </w: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0.6462</w:t>
      </w:r>
      <w:r>
        <w:rPr>
          <w:rFonts w:hint="default" w:ascii="Times New Roman" w:hAnsi="Times New Roman" w:cs="Times New Roman"/>
          <w:color w:val="auto"/>
          <w:spacing w:val="-2"/>
          <w:sz w:val="24"/>
          <w:szCs w:val="24"/>
        </w:rPr>
        <w:t>t/a；SO</w:t>
      </w:r>
      <w:r>
        <w:rPr>
          <w:rFonts w:hint="default" w:ascii="Times New Roman" w:hAnsi="Times New Roman" w:cs="Times New Roman"/>
          <w:color w:val="auto"/>
          <w:spacing w:val="-2"/>
          <w:sz w:val="24"/>
          <w:szCs w:val="24"/>
          <w:vertAlign w:val="subscript"/>
        </w:rPr>
        <w:t>2</w:t>
      </w:r>
      <w:r>
        <w:rPr>
          <w:rFonts w:hint="eastAsia" w:ascii="Times New Roman" w:hAnsi="Times New Roman" w:eastAsia="宋体" w:cs="Times New Roman"/>
          <w:color w:val="auto"/>
          <w:spacing w:val="-2"/>
          <w:sz w:val="24"/>
          <w:szCs w:val="24"/>
          <w:vertAlign w:val="baseline"/>
          <w:lang w:val="en-US" w:eastAsia="zh-CN"/>
        </w:rPr>
        <w:t>：0.9862</w:t>
      </w:r>
      <w:r>
        <w:rPr>
          <w:rFonts w:hint="default" w:ascii="Times New Roman" w:hAnsi="Times New Roman" w:cs="Times New Roman"/>
          <w:color w:val="auto"/>
          <w:spacing w:val="-2"/>
          <w:sz w:val="24"/>
          <w:szCs w:val="24"/>
        </w:rPr>
        <w:t>t/a；NOx</w:t>
      </w:r>
      <w:r>
        <w:rPr>
          <w:rFonts w:hint="eastAsia" w:ascii="Times New Roman" w:hAnsi="Times New Roman" w:eastAsia="宋体" w:cs="Times New Roman"/>
          <w:color w:val="auto"/>
          <w:spacing w:val="-2"/>
          <w:sz w:val="24"/>
          <w:szCs w:val="24"/>
          <w:lang w:val="en-US" w:eastAsia="zh-CN"/>
        </w:rPr>
        <w:t>：0.8077</w:t>
      </w:r>
      <w:r>
        <w:rPr>
          <w:rFonts w:hint="default" w:ascii="Times New Roman" w:hAnsi="Times New Roman" w:cs="Times New Roman"/>
          <w:color w:val="auto"/>
          <w:spacing w:val="-2"/>
          <w:sz w:val="24"/>
          <w:szCs w:val="24"/>
        </w:rPr>
        <w:t>t/a。</w:t>
      </w:r>
    </w:p>
    <w:p w14:paraId="4ACEAD3C">
      <w:pPr>
        <w:pStyle w:val="9"/>
        <w:spacing w:before="30" w:line="220" w:lineRule="auto"/>
        <w:ind w:left="504"/>
        <w:rPr>
          <w:color w:val="auto"/>
          <w:sz w:val="24"/>
          <w:szCs w:val="24"/>
        </w:rPr>
      </w:pPr>
      <w:r>
        <w:rPr>
          <w:b/>
          <w:bCs/>
          <w:color w:val="auto"/>
          <w:spacing w:val="-4"/>
          <w:sz w:val="24"/>
          <w:szCs w:val="24"/>
        </w:rPr>
        <w:t>二、装卸扬尘</w:t>
      </w:r>
    </w:p>
    <w:p w14:paraId="6FAB2D84">
      <w:pPr>
        <w:pStyle w:val="9"/>
        <w:keepNext w:val="0"/>
        <w:keepLines w:val="0"/>
        <w:pageBreakBefore w:val="0"/>
        <w:widowControl/>
        <w:kinsoku/>
        <w:wordWrap/>
        <w:overflowPunct/>
        <w:topLinePunct w:val="0"/>
        <w:autoSpaceDE w:val="0"/>
        <w:autoSpaceDN w:val="0"/>
        <w:bidi w:val="0"/>
        <w:adjustRightInd w:val="0"/>
        <w:snapToGrid w:val="0"/>
        <w:spacing w:before="182" w:line="360" w:lineRule="auto"/>
        <w:ind w:left="17" w:right="96" w:firstLine="482"/>
        <w:jc w:val="both"/>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3"/>
          <w:sz w:val="24"/>
          <w:szCs w:val="24"/>
        </w:rPr>
        <w:t>货物集装箱到达项目区后暂存至集装箱堆场，不会产生扬尘。转为路运时货车直接拉运集装箱，不会产生装卸货扬尘，本次环评不做定量分析。</w:t>
      </w:r>
    </w:p>
    <w:p w14:paraId="5A5E8E75">
      <w:pPr>
        <w:pStyle w:val="9"/>
        <w:spacing w:before="1" w:line="219" w:lineRule="auto"/>
        <w:ind w:left="500"/>
        <w:rPr>
          <w:color w:val="auto"/>
          <w:sz w:val="24"/>
          <w:szCs w:val="24"/>
        </w:rPr>
      </w:pPr>
      <w:r>
        <w:rPr>
          <w:b/>
          <w:bCs/>
          <w:color w:val="auto"/>
          <w:spacing w:val="-4"/>
          <w:sz w:val="24"/>
          <w:szCs w:val="24"/>
        </w:rPr>
        <w:t>三、运输车辆尾气</w:t>
      </w:r>
    </w:p>
    <w:p w14:paraId="6BE67521">
      <w:pPr>
        <w:pStyle w:val="9"/>
        <w:keepNext w:val="0"/>
        <w:keepLines w:val="0"/>
        <w:pageBreakBefore w:val="0"/>
        <w:widowControl/>
        <w:kinsoku/>
        <w:wordWrap/>
        <w:overflowPunct/>
        <w:topLinePunct w:val="0"/>
        <w:autoSpaceDE w:val="0"/>
        <w:autoSpaceDN w:val="0"/>
        <w:bidi w:val="0"/>
        <w:adjustRightInd w:val="0"/>
        <w:snapToGrid w:val="0"/>
        <w:spacing w:before="194" w:line="359" w:lineRule="auto"/>
        <w:ind w:left="62" w:firstLine="484"/>
        <w:jc w:val="both"/>
        <w:textAlignment w:val="baseline"/>
        <w:rPr>
          <w:color w:val="auto"/>
          <w:sz w:val="24"/>
          <w:szCs w:val="24"/>
        </w:rPr>
      </w:pPr>
      <w:r>
        <w:rPr>
          <w:color w:val="auto"/>
          <w:spacing w:val="-8"/>
          <w:sz w:val="24"/>
          <w:szCs w:val="24"/>
        </w:rPr>
        <w:t>货车运送货物在项目内会产生一定的汽车尾气。车辆在项目内行驶时，</w:t>
      </w:r>
      <w:r>
        <w:rPr>
          <w:color w:val="auto"/>
          <w:spacing w:val="-3"/>
          <w:sz w:val="24"/>
          <w:szCs w:val="24"/>
        </w:rPr>
        <w:t>刹车、怠速及启动时废气污染物排放量大，对区域环境空气有一定的影响。汽车</w:t>
      </w:r>
      <w:r>
        <w:rPr>
          <w:color w:val="auto"/>
          <w:sz w:val="24"/>
          <w:szCs w:val="24"/>
        </w:rPr>
        <w:t>废气中主要污染因子为总烃、</w:t>
      </w:r>
      <w:r>
        <w:rPr>
          <w:rFonts w:ascii="Times New Roman" w:hAnsi="Times New Roman" w:eastAsia="Times New Roman" w:cs="Times New Roman"/>
          <w:color w:val="auto"/>
          <w:sz w:val="24"/>
          <w:szCs w:val="24"/>
        </w:rPr>
        <w:t>CO</w:t>
      </w:r>
      <w:r>
        <w:rPr>
          <w:color w:val="auto"/>
          <w:sz w:val="24"/>
          <w:szCs w:val="24"/>
        </w:rPr>
        <w:t>、</w:t>
      </w:r>
      <w:r>
        <w:rPr>
          <w:rFonts w:ascii="Times New Roman" w:hAnsi="Times New Roman" w:eastAsia="Times New Roman" w:cs="Times New Roman"/>
          <w:color w:val="auto"/>
          <w:sz w:val="24"/>
          <w:szCs w:val="24"/>
        </w:rPr>
        <w:t>NO</w:t>
      </w:r>
      <w:r>
        <w:rPr>
          <w:rFonts w:ascii="Times New Roman" w:hAnsi="Times New Roman" w:eastAsia="Times New Roman" w:cs="Times New Roman"/>
          <w:color w:val="auto"/>
          <w:position w:val="-1"/>
          <w:sz w:val="24"/>
          <w:szCs w:val="24"/>
          <w:vertAlign w:val="subscript"/>
        </w:rPr>
        <w:t>X</w:t>
      </w:r>
      <w:r>
        <w:rPr>
          <w:color w:val="auto"/>
          <w:sz w:val="24"/>
          <w:szCs w:val="24"/>
        </w:rPr>
        <w:t>等。汽车废气的排放量与车型、</w:t>
      </w:r>
      <w:r>
        <w:rPr>
          <w:color w:val="auto"/>
          <w:spacing w:val="-1"/>
          <w:sz w:val="24"/>
          <w:szCs w:val="24"/>
        </w:rPr>
        <w:t>车况和车辆数等有关，呈无组织排放。</w:t>
      </w:r>
    </w:p>
    <w:p w14:paraId="35CF997A">
      <w:pPr>
        <w:pStyle w:val="9"/>
        <w:keepNext w:val="0"/>
        <w:keepLines w:val="0"/>
        <w:pageBreakBefore w:val="0"/>
        <w:widowControl/>
        <w:kinsoku/>
        <w:wordWrap/>
        <w:overflowPunct/>
        <w:topLinePunct w:val="0"/>
        <w:autoSpaceDE w:val="0"/>
        <w:autoSpaceDN w:val="0"/>
        <w:bidi w:val="0"/>
        <w:adjustRightInd w:val="0"/>
        <w:snapToGrid w:val="0"/>
        <w:spacing w:before="2" w:line="358" w:lineRule="auto"/>
        <w:ind w:left="62" w:right="62"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项目货物运量为</w:t>
      </w:r>
      <w:r>
        <w:rPr>
          <w:rFonts w:hint="default" w:ascii="Times New Roman" w:hAnsi="Times New Roman" w:eastAsia="宋体" w:cs="Times New Roman"/>
          <w:color w:val="auto"/>
          <w:spacing w:val="0"/>
          <w:sz w:val="24"/>
          <w:szCs w:val="24"/>
          <w:lang w:val="en-US" w:eastAsia="zh-CN"/>
        </w:rPr>
        <w:t>250</w:t>
      </w:r>
      <w:r>
        <w:rPr>
          <w:rFonts w:hint="default" w:ascii="Times New Roman" w:hAnsi="Times New Roman" w:cs="Times New Roman"/>
          <w:color w:val="auto"/>
          <w:spacing w:val="0"/>
          <w:sz w:val="24"/>
          <w:szCs w:val="24"/>
        </w:rPr>
        <w:t>万吨，其中到达量</w:t>
      </w:r>
      <w:r>
        <w:rPr>
          <w:rFonts w:hint="default" w:ascii="Times New Roman" w:hAnsi="Times New Roman" w:eastAsia="宋体" w:cs="Times New Roman"/>
          <w:color w:val="auto"/>
          <w:spacing w:val="0"/>
          <w:sz w:val="24"/>
          <w:szCs w:val="24"/>
          <w:lang w:val="en-US" w:eastAsia="zh-CN"/>
        </w:rPr>
        <w:t>120</w:t>
      </w:r>
      <w:r>
        <w:rPr>
          <w:rFonts w:hint="default" w:ascii="Times New Roman" w:hAnsi="Times New Roman" w:cs="Times New Roman"/>
          <w:color w:val="auto"/>
          <w:spacing w:val="0"/>
          <w:sz w:val="24"/>
          <w:szCs w:val="24"/>
        </w:rPr>
        <w:t>万吨，发送运量为</w:t>
      </w:r>
      <w:r>
        <w:rPr>
          <w:rFonts w:hint="default" w:ascii="Times New Roman" w:hAnsi="Times New Roman" w:eastAsia="宋体" w:cs="Times New Roman"/>
          <w:color w:val="auto"/>
          <w:spacing w:val="0"/>
          <w:sz w:val="24"/>
          <w:szCs w:val="24"/>
          <w:lang w:val="en-US" w:eastAsia="zh-CN"/>
        </w:rPr>
        <w:t>130</w:t>
      </w:r>
      <w:r>
        <w:rPr>
          <w:rFonts w:hint="default" w:ascii="Times New Roman" w:hAnsi="Times New Roman" w:cs="Times New Roman"/>
          <w:color w:val="auto"/>
          <w:spacing w:val="0"/>
          <w:sz w:val="24"/>
          <w:szCs w:val="24"/>
        </w:rPr>
        <w:t>万吨。</w:t>
      </w:r>
    </w:p>
    <w:p w14:paraId="7A538947">
      <w:pPr>
        <w:pStyle w:val="9"/>
        <w:keepNext w:val="0"/>
        <w:keepLines w:val="0"/>
        <w:pageBreakBefore w:val="0"/>
        <w:widowControl/>
        <w:kinsoku/>
        <w:wordWrap/>
        <w:overflowPunct/>
        <w:topLinePunct w:val="0"/>
        <w:autoSpaceDE w:val="0"/>
        <w:autoSpaceDN w:val="0"/>
        <w:bidi w:val="0"/>
        <w:adjustRightInd w:val="0"/>
        <w:snapToGrid w:val="0"/>
        <w:spacing w:before="2" w:line="359" w:lineRule="auto"/>
        <w:ind w:left="63" w:right="61" w:firstLine="480"/>
        <w:jc w:val="both"/>
        <w:textAlignment w:val="baseline"/>
        <w:rPr>
          <w:color w:val="auto"/>
          <w:sz w:val="24"/>
          <w:szCs w:val="24"/>
        </w:rPr>
      </w:pPr>
      <w:r>
        <w:rPr>
          <w:color w:val="auto"/>
          <w:spacing w:val="-4"/>
          <w:sz w:val="24"/>
          <w:szCs w:val="24"/>
        </w:rPr>
        <w:t>根据可研，</w:t>
      </w:r>
      <w:r>
        <w:rPr>
          <w:rFonts w:hint="eastAsia" w:ascii="Times New Roman" w:hAnsi="Times New Roman" w:eastAsia="宋体" w:cs="Times New Roman"/>
          <w:color w:val="auto"/>
          <w:spacing w:val="-4"/>
          <w:sz w:val="24"/>
          <w:szCs w:val="24"/>
          <w:lang w:val="en-US" w:eastAsia="zh-CN"/>
        </w:rPr>
        <w:t>本项目</w:t>
      </w:r>
      <w:r>
        <w:rPr>
          <w:color w:val="auto"/>
          <w:spacing w:val="-4"/>
          <w:sz w:val="24"/>
          <w:szCs w:val="24"/>
        </w:rPr>
        <w:t>货车</w:t>
      </w:r>
      <w:r>
        <w:rPr>
          <w:color w:val="auto"/>
          <w:spacing w:val="-5"/>
          <w:sz w:val="24"/>
          <w:szCs w:val="24"/>
        </w:rPr>
        <w:t>平均载</w:t>
      </w:r>
      <w:r>
        <w:rPr>
          <w:color w:val="auto"/>
          <w:spacing w:val="-4"/>
          <w:sz w:val="24"/>
          <w:szCs w:val="24"/>
        </w:rPr>
        <w:t>重</w:t>
      </w:r>
      <w:r>
        <w:rPr>
          <w:rFonts w:ascii="Times New Roman" w:hAnsi="Times New Roman" w:eastAsia="Times New Roman" w:cs="Times New Roman"/>
          <w:color w:val="auto"/>
          <w:spacing w:val="-4"/>
          <w:sz w:val="24"/>
          <w:szCs w:val="24"/>
        </w:rPr>
        <w:t>63.3t/</w:t>
      </w:r>
      <w:r>
        <w:rPr>
          <w:color w:val="auto"/>
          <w:spacing w:val="-4"/>
          <w:sz w:val="24"/>
          <w:szCs w:val="24"/>
        </w:rPr>
        <w:t>辆。则运输次数为</w:t>
      </w:r>
      <w:r>
        <w:rPr>
          <w:rFonts w:hint="eastAsia" w:ascii="Times New Roman" w:hAnsi="Times New Roman" w:eastAsia="宋体" w:cs="Times New Roman"/>
          <w:color w:val="auto"/>
          <w:spacing w:val="-4"/>
          <w:sz w:val="24"/>
          <w:szCs w:val="24"/>
          <w:lang w:val="en-US" w:eastAsia="zh-CN"/>
        </w:rPr>
        <w:t>39494</w:t>
      </w:r>
      <w:r>
        <w:rPr>
          <w:color w:val="auto"/>
          <w:spacing w:val="-4"/>
          <w:sz w:val="24"/>
          <w:szCs w:val="24"/>
        </w:rPr>
        <w:t>次</w:t>
      </w:r>
      <w:r>
        <w:rPr>
          <w:rFonts w:ascii="Times New Roman" w:hAnsi="Times New Roman" w:eastAsia="Times New Roman" w:cs="Times New Roman"/>
          <w:color w:val="auto"/>
          <w:spacing w:val="-4"/>
          <w:sz w:val="24"/>
          <w:szCs w:val="24"/>
        </w:rPr>
        <w:t>/</w:t>
      </w:r>
      <w:r>
        <w:rPr>
          <w:color w:val="auto"/>
          <w:spacing w:val="-4"/>
          <w:sz w:val="24"/>
          <w:szCs w:val="24"/>
        </w:rPr>
        <w:t>年</w:t>
      </w:r>
      <w:r>
        <w:rPr>
          <w:color w:val="auto"/>
          <w:spacing w:val="4"/>
          <w:sz w:val="24"/>
          <w:szCs w:val="24"/>
        </w:rPr>
        <w:t>；</w:t>
      </w:r>
      <w:r>
        <w:rPr>
          <w:color w:val="auto"/>
          <w:spacing w:val="-1"/>
          <w:sz w:val="24"/>
          <w:szCs w:val="24"/>
        </w:rPr>
        <w:t>车辆在项目内来回行驶的距离按平均</w:t>
      </w:r>
      <w:r>
        <w:rPr>
          <w:rFonts w:ascii="Times New Roman" w:hAnsi="Times New Roman" w:eastAsia="Times New Roman" w:cs="Times New Roman"/>
          <w:color w:val="auto"/>
          <w:spacing w:val="-1"/>
          <w:sz w:val="24"/>
          <w:szCs w:val="24"/>
        </w:rPr>
        <w:t>1km</w:t>
      </w:r>
      <w:r>
        <w:rPr>
          <w:rFonts w:ascii="Times New Roman" w:hAnsi="Times New Roman" w:eastAsia="Times New Roman" w:cs="Times New Roman"/>
          <w:color w:val="auto"/>
          <w:spacing w:val="-2"/>
          <w:sz w:val="24"/>
          <w:szCs w:val="24"/>
        </w:rPr>
        <w:t>/</w:t>
      </w:r>
      <w:r>
        <w:rPr>
          <w:color w:val="auto"/>
          <w:spacing w:val="-2"/>
          <w:sz w:val="24"/>
          <w:szCs w:val="24"/>
        </w:rPr>
        <w:t>（辆</w:t>
      </w:r>
      <w:r>
        <w:rPr>
          <w:rFonts w:ascii="Times New Roman" w:hAnsi="Times New Roman" w:eastAsia="Times New Roman" w:cs="Times New Roman"/>
          <w:color w:val="auto"/>
          <w:spacing w:val="-2"/>
          <w:sz w:val="24"/>
          <w:szCs w:val="24"/>
        </w:rPr>
        <w:t>·</w:t>
      </w:r>
      <w:r>
        <w:rPr>
          <w:color w:val="auto"/>
          <w:spacing w:val="-2"/>
          <w:sz w:val="24"/>
          <w:szCs w:val="24"/>
        </w:rPr>
        <w:t>次）计，则项目汽车尾气</w:t>
      </w:r>
      <w:r>
        <w:rPr>
          <w:color w:val="auto"/>
          <w:spacing w:val="-1"/>
          <w:sz w:val="24"/>
          <w:szCs w:val="24"/>
        </w:rPr>
        <w:t>排放情况见表</w:t>
      </w:r>
      <w:r>
        <w:rPr>
          <w:rFonts w:ascii="Times New Roman" w:hAnsi="Times New Roman" w:eastAsia="Times New Roman" w:cs="Times New Roman"/>
          <w:color w:val="auto"/>
          <w:spacing w:val="-1"/>
          <w:sz w:val="24"/>
          <w:szCs w:val="24"/>
        </w:rPr>
        <w:t>2.</w:t>
      </w:r>
      <w:r>
        <w:rPr>
          <w:rFonts w:hint="eastAsia" w:ascii="Times New Roman" w:hAnsi="Times New Roman" w:eastAsia="宋体" w:cs="Times New Roman"/>
          <w:color w:val="auto"/>
          <w:spacing w:val="-1"/>
          <w:sz w:val="24"/>
          <w:szCs w:val="24"/>
          <w:lang w:val="en-US" w:eastAsia="zh-CN"/>
        </w:rPr>
        <w:t>4-9</w:t>
      </w:r>
      <w:r>
        <w:rPr>
          <w:color w:val="auto"/>
          <w:spacing w:val="-1"/>
          <w:sz w:val="24"/>
          <w:szCs w:val="24"/>
        </w:rPr>
        <w:t>。</w:t>
      </w:r>
    </w:p>
    <w:p w14:paraId="0E35C00A">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项目区汽车尾气排放估算</w:t>
      </w:r>
    </w:p>
    <w:tbl>
      <w:tblPr>
        <w:tblStyle w:val="26"/>
        <w:tblW w:w="8414"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67"/>
        <w:gridCol w:w="2122"/>
        <w:gridCol w:w="1482"/>
        <w:gridCol w:w="1543"/>
      </w:tblGrid>
      <w:tr w14:paraId="6F93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 w:hRule="atLeast"/>
        </w:trPr>
        <w:tc>
          <w:tcPr>
            <w:tcW w:w="3267" w:type="dxa"/>
            <w:vAlign w:val="center"/>
          </w:tcPr>
          <w:p w14:paraId="5451157E">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2"/>
                <w:sz w:val="21"/>
                <w:szCs w:val="21"/>
              </w:rPr>
              <w:t>项目</w:t>
            </w:r>
          </w:p>
        </w:tc>
        <w:tc>
          <w:tcPr>
            <w:tcW w:w="2122" w:type="dxa"/>
            <w:vAlign w:val="center"/>
          </w:tcPr>
          <w:p w14:paraId="04E7C797">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b/>
                <w:bCs/>
                <w:color w:val="auto"/>
                <w:spacing w:val="1"/>
                <w:sz w:val="21"/>
                <w:szCs w:val="21"/>
              </w:rPr>
              <w:t>总烃</w:t>
            </w:r>
          </w:p>
        </w:tc>
        <w:tc>
          <w:tcPr>
            <w:tcW w:w="1482" w:type="dxa"/>
            <w:vAlign w:val="center"/>
          </w:tcPr>
          <w:p w14:paraId="4BFB1E3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b/>
                <w:bCs/>
                <w:color w:val="auto"/>
                <w:spacing w:val="2"/>
                <w:sz w:val="21"/>
                <w:szCs w:val="21"/>
              </w:rPr>
              <w:t>CO</w:t>
            </w:r>
          </w:p>
        </w:tc>
        <w:tc>
          <w:tcPr>
            <w:tcW w:w="1543" w:type="dxa"/>
            <w:vAlign w:val="center"/>
          </w:tcPr>
          <w:p w14:paraId="4444814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1"/>
                <w:szCs w:val="21"/>
              </w:rPr>
            </w:pPr>
            <w:r>
              <w:rPr>
                <w:rFonts w:ascii="Times New Roman" w:hAnsi="Times New Roman" w:eastAsia="Times New Roman" w:cs="Times New Roman"/>
                <w:b/>
                <w:bCs/>
                <w:color w:val="auto"/>
                <w:spacing w:val="4"/>
                <w:sz w:val="21"/>
                <w:szCs w:val="21"/>
              </w:rPr>
              <w:t>NO</w:t>
            </w:r>
            <w:r>
              <w:rPr>
                <w:rFonts w:ascii="Times New Roman" w:hAnsi="Times New Roman" w:eastAsia="Times New Roman" w:cs="Times New Roman"/>
                <w:b/>
                <w:bCs/>
                <w:color w:val="auto"/>
                <w:spacing w:val="4"/>
                <w:position w:val="-1"/>
                <w:sz w:val="21"/>
                <w:szCs w:val="21"/>
              </w:rPr>
              <w:t>x</w:t>
            </w:r>
          </w:p>
        </w:tc>
      </w:tr>
      <w:tr w14:paraId="148E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3267" w:type="dxa"/>
            <w:vAlign w:val="center"/>
          </w:tcPr>
          <w:p w14:paraId="45D04E7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单车排放（</w:t>
            </w:r>
            <w:r>
              <w:rPr>
                <w:rFonts w:ascii="Times New Roman" w:hAnsi="Times New Roman" w:eastAsia="Times New Roman" w:cs="Times New Roman"/>
                <w:color w:val="auto"/>
                <w:spacing w:val="7"/>
                <w:sz w:val="21"/>
                <w:szCs w:val="21"/>
              </w:rPr>
              <w:t>g/</w:t>
            </w:r>
            <w:r>
              <w:rPr>
                <w:rFonts w:ascii="Times New Roman" w:hAnsi="Times New Roman" w:eastAsia="Times New Roman" w:cs="Times New Roman"/>
                <w:color w:val="auto"/>
                <w:sz w:val="21"/>
                <w:szCs w:val="21"/>
              </w:rPr>
              <w:t>km</w:t>
            </w:r>
            <w:r>
              <w:rPr>
                <w:color w:val="auto"/>
                <w:spacing w:val="7"/>
                <w:sz w:val="21"/>
                <w:szCs w:val="21"/>
              </w:rPr>
              <w:t>）</w:t>
            </w:r>
          </w:p>
        </w:tc>
        <w:tc>
          <w:tcPr>
            <w:tcW w:w="2122" w:type="dxa"/>
            <w:vAlign w:val="center"/>
          </w:tcPr>
          <w:p w14:paraId="7C2487FC">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1.34</w:t>
            </w:r>
          </w:p>
        </w:tc>
        <w:tc>
          <w:tcPr>
            <w:tcW w:w="1482" w:type="dxa"/>
            <w:vAlign w:val="center"/>
          </w:tcPr>
          <w:p w14:paraId="3D701D0F">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8.15</w:t>
            </w:r>
          </w:p>
        </w:tc>
        <w:tc>
          <w:tcPr>
            <w:tcW w:w="1543" w:type="dxa"/>
            <w:vAlign w:val="center"/>
          </w:tcPr>
          <w:p w14:paraId="7D9CBF09">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13.4</w:t>
            </w:r>
          </w:p>
        </w:tc>
      </w:tr>
      <w:tr w14:paraId="2DFD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3267" w:type="dxa"/>
            <w:vAlign w:val="center"/>
          </w:tcPr>
          <w:p w14:paraId="2A55730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7"/>
                <w:sz w:val="21"/>
                <w:szCs w:val="21"/>
              </w:rPr>
              <w:t>运输车次</w:t>
            </w:r>
            <w:r>
              <w:rPr>
                <w:rFonts w:ascii="Times New Roman" w:hAnsi="Times New Roman" w:eastAsia="Times New Roman" w:cs="Times New Roman"/>
                <w:color w:val="auto"/>
                <w:spacing w:val="7"/>
                <w:sz w:val="21"/>
                <w:szCs w:val="21"/>
              </w:rPr>
              <w:t>/</w:t>
            </w:r>
            <w:r>
              <w:rPr>
                <w:color w:val="auto"/>
                <w:spacing w:val="7"/>
                <w:sz w:val="21"/>
                <w:szCs w:val="21"/>
              </w:rPr>
              <w:t>年</w:t>
            </w:r>
          </w:p>
        </w:tc>
        <w:tc>
          <w:tcPr>
            <w:tcW w:w="5147" w:type="dxa"/>
            <w:gridSpan w:val="3"/>
            <w:vAlign w:val="center"/>
          </w:tcPr>
          <w:p w14:paraId="037A6ABC">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39494</w:t>
            </w:r>
          </w:p>
        </w:tc>
      </w:tr>
      <w:tr w14:paraId="10A8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3267" w:type="dxa"/>
            <w:vAlign w:val="center"/>
          </w:tcPr>
          <w:p w14:paraId="0A74DB9F">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8"/>
                <w:sz w:val="21"/>
                <w:szCs w:val="21"/>
              </w:rPr>
              <w:t>平均行驶距离（</w:t>
            </w:r>
            <w:r>
              <w:rPr>
                <w:rFonts w:ascii="Times New Roman" w:hAnsi="Times New Roman" w:eastAsia="Times New Roman" w:cs="Times New Roman"/>
                <w:color w:val="auto"/>
                <w:sz w:val="21"/>
                <w:szCs w:val="21"/>
              </w:rPr>
              <w:t>km</w:t>
            </w:r>
            <w:r>
              <w:rPr>
                <w:rFonts w:ascii="Times New Roman" w:hAnsi="Times New Roman" w:eastAsia="Times New Roman" w:cs="Times New Roman"/>
                <w:color w:val="auto"/>
                <w:spacing w:val="8"/>
                <w:sz w:val="21"/>
                <w:szCs w:val="21"/>
              </w:rPr>
              <w:t>/</w:t>
            </w:r>
            <w:r>
              <w:rPr>
                <w:color w:val="auto"/>
                <w:spacing w:val="8"/>
                <w:sz w:val="21"/>
                <w:szCs w:val="21"/>
              </w:rPr>
              <w:t>车次）</w:t>
            </w:r>
          </w:p>
        </w:tc>
        <w:tc>
          <w:tcPr>
            <w:tcW w:w="5147" w:type="dxa"/>
            <w:gridSpan w:val="3"/>
            <w:vAlign w:val="center"/>
          </w:tcPr>
          <w:p w14:paraId="1858CD5F">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1</w:t>
            </w:r>
          </w:p>
        </w:tc>
      </w:tr>
      <w:tr w14:paraId="3476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3267" w:type="dxa"/>
            <w:vAlign w:val="center"/>
          </w:tcPr>
          <w:p w14:paraId="260D13A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1"/>
                <w:szCs w:val="21"/>
              </w:rPr>
            </w:pPr>
            <w:r>
              <w:rPr>
                <w:color w:val="auto"/>
                <w:spacing w:val="5"/>
                <w:sz w:val="21"/>
                <w:szCs w:val="21"/>
              </w:rPr>
              <w:t>总排放量（</w:t>
            </w:r>
            <w:r>
              <w:rPr>
                <w:rFonts w:ascii="Times New Roman" w:hAnsi="Times New Roman" w:eastAsia="Times New Roman" w:cs="Times New Roman"/>
                <w:color w:val="auto"/>
                <w:spacing w:val="5"/>
                <w:sz w:val="21"/>
                <w:szCs w:val="21"/>
              </w:rPr>
              <w:t>t/a</w:t>
            </w:r>
            <w:r>
              <w:rPr>
                <w:color w:val="auto"/>
                <w:spacing w:val="5"/>
                <w:sz w:val="21"/>
                <w:szCs w:val="21"/>
              </w:rPr>
              <w:t>）</w:t>
            </w:r>
          </w:p>
        </w:tc>
        <w:tc>
          <w:tcPr>
            <w:tcW w:w="2122" w:type="dxa"/>
            <w:vAlign w:val="center"/>
          </w:tcPr>
          <w:p w14:paraId="3FB24E18">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0.053 </w:t>
            </w:r>
          </w:p>
        </w:tc>
        <w:tc>
          <w:tcPr>
            <w:tcW w:w="1482" w:type="dxa"/>
            <w:vAlign w:val="center"/>
          </w:tcPr>
          <w:p w14:paraId="70909C66">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0.322 </w:t>
            </w:r>
          </w:p>
        </w:tc>
        <w:tc>
          <w:tcPr>
            <w:tcW w:w="1543" w:type="dxa"/>
            <w:vAlign w:val="center"/>
          </w:tcPr>
          <w:p w14:paraId="30404806">
            <w:pPr>
              <w:keepNext w:val="0"/>
              <w:keepLines w:val="0"/>
              <w:widowControl/>
              <w:suppressLineNumbers w:val="0"/>
              <w:jc w:val="center"/>
              <w:textAlignment w:val="center"/>
              <w:rPr>
                <w:rFonts w:ascii="Times New Roman" w:hAnsi="Times New Roman" w:eastAsia="Times New Roman"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0.529 </w:t>
            </w:r>
          </w:p>
        </w:tc>
      </w:tr>
    </w:tbl>
    <w:p w14:paraId="35081C94">
      <w:pPr>
        <w:pStyle w:val="9"/>
        <w:spacing w:before="36" w:line="219" w:lineRule="auto"/>
        <w:ind w:left="566"/>
        <w:rPr>
          <w:color w:val="auto"/>
          <w:sz w:val="24"/>
          <w:szCs w:val="24"/>
        </w:rPr>
      </w:pPr>
      <w:r>
        <w:rPr>
          <w:b/>
          <w:bCs/>
          <w:color w:val="auto"/>
          <w:spacing w:val="-8"/>
          <w:sz w:val="24"/>
          <w:szCs w:val="24"/>
        </w:rPr>
        <w:t>四、道路扬尘</w:t>
      </w:r>
    </w:p>
    <w:p w14:paraId="6DA91404">
      <w:pPr>
        <w:pStyle w:val="9"/>
        <w:spacing w:before="181" w:line="349" w:lineRule="auto"/>
        <w:ind w:left="63" w:right="61" w:firstLine="483"/>
        <w:jc w:val="both"/>
        <w:rPr>
          <w:color w:val="auto"/>
          <w:sz w:val="24"/>
          <w:szCs w:val="24"/>
        </w:rPr>
      </w:pPr>
      <w:r>
        <w:rPr>
          <w:color w:val="auto"/>
          <w:spacing w:val="-3"/>
          <w:sz w:val="24"/>
          <w:szCs w:val="24"/>
        </w:rPr>
        <w:t>项目货物运输将会对项目</w:t>
      </w:r>
      <w:r>
        <w:rPr>
          <w:rFonts w:hint="eastAsia" w:eastAsia="宋体"/>
          <w:color w:val="auto"/>
          <w:spacing w:val="-3"/>
          <w:sz w:val="24"/>
          <w:szCs w:val="24"/>
          <w:lang w:val="en-US" w:eastAsia="zh-CN"/>
        </w:rPr>
        <w:t>场内运输</w:t>
      </w:r>
      <w:r>
        <w:rPr>
          <w:color w:val="auto"/>
          <w:spacing w:val="-3"/>
          <w:sz w:val="24"/>
          <w:szCs w:val="24"/>
        </w:rPr>
        <w:t>道路</w:t>
      </w:r>
      <w:r>
        <w:rPr>
          <w:rFonts w:hint="eastAsia" w:eastAsia="宋体"/>
          <w:color w:val="auto"/>
          <w:spacing w:val="-3"/>
          <w:sz w:val="24"/>
          <w:szCs w:val="24"/>
          <w:lang w:val="en-US" w:eastAsia="zh-CN"/>
        </w:rPr>
        <w:t>及内部</w:t>
      </w:r>
      <w:r>
        <w:rPr>
          <w:color w:val="auto"/>
          <w:spacing w:val="-3"/>
          <w:sz w:val="24"/>
          <w:szCs w:val="24"/>
        </w:rPr>
        <w:t>周围环境产生一定的影响</w:t>
      </w:r>
      <w:r>
        <w:rPr>
          <w:rFonts w:hint="eastAsia" w:eastAsia="宋体"/>
          <w:color w:val="auto"/>
          <w:spacing w:val="-3"/>
          <w:sz w:val="24"/>
          <w:szCs w:val="24"/>
          <w:lang w:eastAsia="zh-CN"/>
        </w:rPr>
        <w:t>。</w:t>
      </w:r>
      <w:r>
        <w:rPr>
          <w:color w:val="auto"/>
          <w:spacing w:val="-2"/>
          <w:sz w:val="24"/>
          <w:szCs w:val="24"/>
        </w:rPr>
        <w:t>货物运输尤其是在旱季，会产生间断的粉尘</w:t>
      </w:r>
      <w:r>
        <w:rPr>
          <w:color w:val="auto"/>
          <w:spacing w:val="-3"/>
          <w:sz w:val="24"/>
          <w:szCs w:val="24"/>
        </w:rPr>
        <w:t>。货物</w:t>
      </w:r>
      <w:r>
        <w:rPr>
          <w:color w:val="auto"/>
          <w:sz w:val="24"/>
          <w:szCs w:val="24"/>
        </w:rPr>
        <w:t>运输过程中产生的粉尘量主要由运输量以及运输距离</w:t>
      </w:r>
      <w:r>
        <w:rPr>
          <w:color w:val="auto"/>
          <w:spacing w:val="-1"/>
          <w:sz w:val="24"/>
          <w:szCs w:val="24"/>
        </w:rPr>
        <w:t>确定，可以按下式计算：</w:t>
      </w:r>
    </w:p>
    <w:p w14:paraId="3C1A271F">
      <w:pPr>
        <w:pStyle w:val="9"/>
        <w:spacing w:line="341" w:lineRule="exact"/>
        <w:ind w:left="2036"/>
        <w:rPr>
          <w:rFonts w:ascii="Times New Roman" w:hAnsi="Times New Roman" w:eastAsia="Times New Roman" w:cs="Times New Roman"/>
          <w:color w:val="auto"/>
          <w:sz w:val="24"/>
          <w:szCs w:val="24"/>
        </w:rPr>
      </w:pPr>
      <w:r>
        <w:rPr>
          <w:rFonts w:ascii="Times New Roman" w:hAnsi="Times New Roman" w:eastAsia="Times New Roman" w:cs="Times New Roman"/>
          <w:i/>
          <w:iCs/>
          <w:color w:val="auto"/>
          <w:spacing w:val="-5"/>
          <w:position w:val="3"/>
          <w:sz w:val="24"/>
          <w:szCs w:val="24"/>
        </w:rPr>
        <w:t>Q</w:t>
      </w:r>
      <w:r>
        <w:rPr>
          <w:rFonts w:ascii="Times New Roman" w:hAnsi="Times New Roman" w:eastAsia="Times New Roman" w:cs="Times New Roman"/>
          <w:i/>
          <w:iCs/>
          <w:color w:val="auto"/>
          <w:spacing w:val="-5"/>
          <w:position w:val="1"/>
          <w:sz w:val="24"/>
          <w:szCs w:val="24"/>
        </w:rPr>
        <w:t>P</w:t>
      </w:r>
      <w:r>
        <w:rPr>
          <w:rFonts w:ascii="Times New Roman" w:hAnsi="Times New Roman" w:eastAsia="Times New Roman" w:cs="Times New Roman"/>
          <w:i/>
          <w:iCs/>
          <w:color w:val="auto"/>
          <w:spacing w:val="-9"/>
          <w:position w:val="1"/>
          <w:sz w:val="24"/>
          <w:szCs w:val="24"/>
        </w:rPr>
        <w:t xml:space="preserve"> </w:t>
      </w:r>
      <w:r>
        <w:rPr>
          <w:rFonts w:ascii="Times New Roman" w:hAnsi="Times New Roman" w:eastAsia="Times New Roman" w:cs="Times New Roman"/>
          <w:i/>
          <w:iCs/>
          <w:color w:val="auto"/>
          <w:spacing w:val="-5"/>
          <w:position w:val="3"/>
          <w:sz w:val="24"/>
          <w:szCs w:val="24"/>
        </w:rPr>
        <w:t>=0.123×</w:t>
      </w:r>
      <w:r>
        <w:rPr>
          <w:i/>
          <w:iCs/>
          <w:color w:val="auto"/>
          <w:spacing w:val="-5"/>
          <w:position w:val="3"/>
          <w:sz w:val="24"/>
          <w:szCs w:val="24"/>
        </w:rPr>
        <w:t>（</w:t>
      </w:r>
      <w:r>
        <w:rPr>
          <w:rFonts w:ascii="Times New Roman" w:hAnsi="Times New Roman" w:eastAsia="Times New Roman" w:cs="Times New Roman"/>
          <w:i/>
          <w:iCs/>
          <w:color w:val="auto"/>
          <w:spacing w:val="-5"/>
          <w:position w:val="3"/>
          <w:sz w:val="24"/>
          <w:szCs w:val="24"/>
        </w:rPr>
        <w:t>V/5</w:t>
      </w:r>
      <w:r>
        <w:rPr>
          <w:i/>
          <w:iCs/>
          <w:color w:val="auto"/>
          <w:spacing w:val="-5"/>
          <w:position w:val="3"/>
          <w:sz w:val="24"/>
          <w:szCs w:val="24"/>
        </w:rPr>
        <w:t>）</w:t>
      </w:r>
      <w:r>
        <w:rPr>
          <w:rFonts w:ascii="Times New Roman" w:hAnsi="Times New Roman" w:eastAsia="Times New Roman" w:cs="Times New Roman"/>
          <w:i/>
          <w:iCs/>
          <w:color w:val="auto"/>
          <w:spacing w:val="-5"/>
          <w:position w:val="3"/>
          <w:sz w:val="24"/>
          <w:szCs w:val="24"/>
        </w:rPr>
        <w:t>×</w:t>
      </w:r>
      <w:r>
        <w:rPr>
          <w:i/>
          <w:iCs/>
          <w:color w:val="auto"/>
          <w:spacing w:val="-5"/>
          <w:position w:val="3"/>
          <w:sz w:val="24"/>
          <w:szCs w:val="24"/>
        </w:rPr>
        <w:t>（</w:t>
      </w:r>
      <w:r>
        <w:rPr>
          <w:rFonts w:ascii="Times New Roman" w:hAnsi="Times New Roman" w:eastAsia="Times New Roman" w:cs="Times New Roman"/>
          <w:i/>
          <w:iCs/>
          <w:color w:val="auto"/>
          <w:spacing w:val="-5"/>
          <w:position w:val="3"/>
          <w:sz w:val="24"/>
          <w:szCs w:val="24"/>
        </w:rPr>
        <w:t>M/6.8</w:t>
      </w:r>
      <w:r>
        <w:rPr>
          <w:i/>
          <w:iCs/>
          <w:color w:val="auto"/>
          <w:spacing w:val="-5"/>
          <w:position w:val="3"/>
          <w:sz w:val="24"/>
          <w:szCs w:val="24"/>
        </w:rPr>
        <w:t>）</w:t>
      </w:r>
      <w:r>
        <w:rPr>
          <w:rFonts w:ascii="Times New Roman" w:hAnsi="Times New Roman" w:eastAsia="Times New Roman" w:cs="Times New Roman"/>
          <w:i/>
          <w:iCs/>
          <w:color w:val="auto"/>
          <w:spacing w:val="-5"/>
          <w:position w:val="10"/>
          <w:sz w:val="24"/>
          <w:szCs w:val="24"/>
        </w:rPr>
        <w:t>0.85</w:t>
      </w:r>
      <w:r>
        <w:rPr>
          <w:rFonts w:ascii="Times New Roman" w:hAnsi="Times New Roman" w:eastAsia="Times New Roman" w:cs="Times New Roman"/>
          <w:i/>
          <w:iCs/>
          <w:color w:val="auto"/>
          <w:spacing w:val="-5"/>
          <w:position w:val="3"/>
          <w:sz w:val="24"/>
          <w:szCs w:val="24"/>
        </w:rPr>
        <w:t>×</w:t>
      </w:r>
      <w:r>
        <w:rPr>
          <w:i/>
          <w:iCs/>
          <w:color w:val="auto"/>
          <w:spacing w:val="-5"/>
          <w:position w:val="3"/>
          <w:sz w:val="24"/>
          <w:szCs w:val="24"/>
        </w:rPr>
        <w:t>（</w:t>
      </w:r>
      <w:r>
        <w:rPr>
          <w:rFonts w:ascii="Times New Roman" w:hAnsi="Times New Roman" w:eastAsia="Times New Roman" w:cs="Times New Roman"/>
          <w:i/>
          <w:iCs/>
          <w:color w:val="auto"/>
          <w:spacing w:val="-5"/>
          <w:position w:val="3"/>
          <w:sz w:val="24"/>
          <w:szCs w:val="24"/>
        </w:rPr>
        <w:t>P/0.5</w:t>
      </w:r>
      <w:r>
        <w:rPr>
          <w:i/>
          <w:iCs/>
          <w:color w:val="auto"/>
          <w:spacing w:val="-5"/>
          <w:position w:val="3"/>
          <w:sz w:val="24"/>
          <w:szCs w:val="24"/>
        </w:rPr>
        <w:t>）</w:t>
      </w:r>
      <w:r>
        <w:rPr>
          <w:rFonts w:ascii="Times New Roman" w:hAnsi="Times New Roman" w:eastAsia="Times New Roman" w:cs="Times New Roman"/>
          <w:i/>
          <w:iCs/>
          <w:color w:val="auto"/>
          <w:spacing w:val="-5"/>
          <w:position w:val="10"/>
          <w:sz w:val="24"/>
          <w:szCs w:val="24"/>
        </w:rPr>
        <w:t>0.72</w:t>
      </w:r>
    </w:p>
    <w:p w14:paraId="4C870083">
      <w:pPr>
        <w:spacing w:before="108" w:line="319" w:lineRule="exact"/>
        <w:ind w:left="1985"/>
        <w:rPr>
          <w:rFonts w:ascii="Times New Roman" w:hAnsi="Times New Roman" w:eastAsia="Times New Roman" w:cs="Times New Roman"/>
          <w:color w:val="auto"/>
          <w:sz w:val="24"/>
          <w:szCs w:val="24"/>
        </w:rPr>
      </w:pPr>
      <w:r>
        <w:rPr>
          <w:rFonts w:ascii="Times New Roman" w:hAnsi="Times New Roman" w:eastAsia="Times New Roman" w:cs="Times New Roman"/>
          <w:i/>
          <w:iCs/>
          <w:color w:val="auto"/>
          <w:spacing w:val="-3"/>
          <w:position w:val="4"/>
          <w:sz w:val="24"/>
          <w:szCs w:val="24"/>
        </w:rPr>
        <w:t>Q</w:t>
      </w:r>
      <w:r>
        <w:rPr>
          <w:rFonts w:ascii="Times New Roman" w:hAnsi="Times New Roman" w:eastAsia="Times New Roman" w:cs="Times New Roman"/>
          <w:i/>
          <w:iCs/>
          <w:color w:val="auto"/>
          <w:spacing w:val="-3"/>
          <w:position w:val="3"/>
          <w:sz w:val="24"/>
          <w:szCs w:val="24"/>
        </w:rPr>
        <w:t>P</w:t>
      </w:r>
      <w:r>
        <w:rPr>
          <w:rFonts w:ascii="Times New Roman" w:hAnsi="Times New Roman" w:eastAsia="Times New Roman" w:cs="Times New Roman"/>
          <w:i/>
          <w:iCs/>
          <w:color w:val="auto"/>
          <w:spacing w:val="-3"/>
          <w:position w:val="11"/>
          <w:sz w:val="24"/>
          <w:szCs w:val="24"/>
        </w:rPr>
        <w:t>1</w:t>
      </w:r>
      <w:r>
        <w:rPr>
          <w:rFonts w:ascii="Times New Roman" w:hAnsi="Times New Roman" w:eastAsia="Times New Roman" w:cs="Times New Roman"/>
          <w:i/>
          <w:iCs/>
          <w:color w:val="auto"/>
          <w:spacing w:val="-15"/>
          <w:position w:val="11"/>
          <w:sz w:val="24"/>
          <w:szCs w:val="24"/>
        </w:rPr>
        <w:t xml:space="preserve"> </w:t>
      </w:r>
      <w:r>
        <w:rPr>
          <w:rFonts w:ascii="Times New Roman" w:hAnsi="Times New Roman" w:eastAsia="Times New Roman" w:cs="Times New Roman"/>
          <w:i/>
          <w:iCs/>
          <w:color w:val="auto"/>
          <w:spacing w:val="-3"/>
          <w:position w:val="4"/>
          <w:sz w:val="24"/>
          <w:szCs w:val="24"/>
        </w:rPr>
        <w:t>=Q</w:t>
      </w:r>
      <w:r>
        <w:rPr>
          <w:rFonts w:ascii="Times New Roman" w:hAnsi="Times New Roman" w:eastAsia="Times New Roman" w:cs="Times New Roman"/>
          <w:i/>
          <w:iCs/>
          <w:color w:val="auto"/>
          <w:spacing w:val="-3"/>
          <w:position w:val="3"/>
          <w:sz w:val="24"/>
          <w:szCs w:val="24"/>
        </w:rPr>
        <w:t xml:space="preserve">P </w:t>
      </w:r>
      <w:r>
        <w:rPr>
          <w:rFonts w:ascii="Times New Roman" w:hAnsi="Times New Roman" w:eastAsia="Times New Roman" w:cs="Times New Roman"/>
          <w:i/>
          <w:iCs/>
          <w:color w:val="auto"/>
          <w:spacing w:val="-3"/>
          <w:position w:val="4"/>
          <w:sz w:val="24"/>
          <w:szCs w:val="24"/>
        </w:rPr>
        <w:t>×L×Q/M</w:t>
      </w:r>
    </w:p>
    <w:p w14:paraId="45E59FB5">
      <w:pPr>
        <w:pStyle w:val="9"/>
        <w:spacing w:before="153" w:line="212" w:lineRule="auto"/>
        <w:ind w:left="548"/>
        <w:rPr>
          <w:color w:val="auto"/>
          <w:sz w:val="24"/>
          <w:szCs w:val="24"/>
        </w:rPr>
      </w:pPr>
      <w:r>
        <w:rPr>
          <w:color w:val="auto"/>
          <w:spacing w:val="-1"/>
          <w:sz w:val="24"/>
          <w:szCs w:val="24"/>
        </w:rPr>
        <w:t>式中：</w:t>
      </w:r>
      <w:r>
        <w:rPr>
          <w:rFonts w:ascii="Times New Roman" w:hAnsi="Times New Roman" w:eastAsia="Times New Roman" w:cs="Times New Roman"/>
          <w:i/>
          <w:iCs/>
          <w:color w:val="auto"/>
          <w:spacing w:val="-1"/>
          <w:sz w:val="24"/>
          <w:szCs w:val="24"/>
        </w:rPr>
        <w:t>Q</w:t>
      </w:r>
      <w:r>
        <w:rPr>
          <w:rFonts w:ascii="Times New Roman" w:hAnsi="Times New Roman" w:eastAsia="Times New Roman" w:cs="Times New Roman"/>
          <w:i/>
          <w:iCs/>
          <w:color w:val="auto"/>
          <w:spacing w:val="-1"/>
          <w:position w:val="-1"/>
          <w:sz w:val="24"/>
          <w:szCs w:val="24"/>
        </w:rPr>
        <w:t>P</w:t>
      </w:r>
      <w:r>
        <w:rPr>
          <w:rFonts w:ascii="Times New Roman" w:hAnsi="Times New Roman" w:eastAsia="Times New Roman" w:cs="Times New Roman"/>
          <w:color w:val="auto"/>
          <w:spacing w:val="-1"/>
          <w:sz w:val="24"/>
          <w:szCs w:val="24"/>
        </w:rPr>
        <w:t>——</w:t>
      </w:r>
      <w:r>
        <w:rPr>
          <w:color w:val="auto"/>
          <w:spacing w:val="-1"/>
          <w:sz w:val="24"/>
          <w:szCs w:val="24"/>
        </w:rPr>
        <w:t>道路扬尘量（</w:t>
      </w:r>
      <w:r>
        <w:rPr>
          <w:rFonts w:ascii="Times New Roman" w:hAnsi="Times New Roman" w:eastAsia="Times New Roman" w:cs="Times New Roman"/>
          <w:color w:val="auto"/>
          <w:spacing w:val="-1"/>
          <w:sz w:val="24"/>
          <w:szCs w:val="24"/>
        </w:rPr>
        <w:t>kg/km·</w:t>
      </w:r>
      <w:r>
        <w:rPr>
          <w:color w:val="auto"/>
          <w:spacing w:val="-1"/>
          <w:sz w:val="24"/>
          <w:szCs w:val="24"/>
        </w:rPr>
        <w:t>辆</w:t>
      </w:r>
      <w:r>
        <w:rPr>
          <w:color w:val="auto"/>
          <w:spacing w:val="3"/>
          <w:sz w:val="24"/>
          <w:szCs w:val="24"/>
        </w:rPr>
        <w:t>）；</w:t>
      </w:r>
    </w:p>
    <w:p w14:paraId="272C75BC">
      <w:pPr>
        <w:pStyle w:val="9"/>
        <w:spacing w:before="192" w:line="210" w:lineRule="auto"/>
        <w:ind w:left="1265"/>
        <w:rPr>
          <w:color w:val="auto"/>
          <w:sz w:val="24"/>
          <w:szCs w:val="24"/>
        </w:rPr>
      </w:pPr>
      <w:r>
        <w:rPr>
          <w:rFonts w:ascii="Times New Roman" w:hAnsi="Times New Roman" w:eastAsia="Times New Roman" w:cs="Times New Roman"/>
          <w:i/>
          <w:iCs/>
          <w:color w:val="auto"/>
          <w:spacing w:val="-1"/>
          <w:sz w:val="24"/>
          <w:szCs w:val="24"/>
        </w:rPr>
        <w:t>Q</w:t>
      </w:r>
      <w:r>
        <w:rPr>
          <w:rFonts w:ascii="Times New Roman" w:hAnsi="Times New Roman" w:eastAsia="Times New Roman" w:cs="Times New Roman"/>
          <w:i/>
          <w:iCs/>
          <w:color w:val="auto"/>
          <w:spacing w:val="-1"/>
          <w:position w:val="-1"/>
          <w:sz w:val="24"/>
          <w:szCs w:val="24"/>
        </w:rPr>
        <w:t>P</w:t>
      </w:r>
      <w:r>
        <w:rPr>
          <w:rFonts w:ascii="Times New Roman" w:hAnsi="Times New Roman" w:eastAsia="Times New Roman" w:cs="Times New Roman"/>
          <w:i/>
          <w:iCs/>
          <w:color w:val="auto"/>
          <w:spacing w:val="-1"/>
          <w:position w:val="7"/>
          <w:sz w:val="24"/>
          <w:szCs w:val="24"/>
        </w:rPr>
        <w:t>1</w:t>
      </w:r>
      <w:r>
        <w:rPr>
          <w:rFonts w:ascii="Times New Roman" w:hAnsi="Times New Roman" w:eastAsia="Times New Roman" w:cs="Times New Roman"/>
          <w:color w:val="auto"/>
          <w:spacing w:val="-1"/>
          <w:sz w:val="24"/>
          <w:szCs w:val="24"/>
        </w:rPr>
        <w:t>——</w:t>
      </w:r>
      <w:r>
        <w:rPr>
          <w:color w:val="auto"/>
          <w:spacing w:val="-1"/>
          <w:sz w:val="24"/>
          <w:szCs w:val="24"/>
        </w:rPr>
        <w:t>总扬尘量（</w:t>
      </w:r>
      <w:r>
        <w:rPr>
          <w:rFonts w:ascii="Times New Roman" w:hAnsi="Times New Roman" w:eastAsia="Times New Roman" w:cs="Times New Roman"/>
          <w:color w:val="auto"/>
          <w:spacing w:val="-1"/>
          <w:sz w:val="24"/>
          <w:szCs w:val="24"/>
        </w:rPr>
        <w:t>kg/a</w:t>
      </w:r>
      <w:r>
        <w:rPr>
          <w:color w:val="auto"/>
          <w:spacing w:val="1"/>
          <w:sz w:val="24"/>
          <w:szCs w:val="24"/>
        </w:rPr>
        <w:t>）；</w:t>
      </w:r>
    </w:p>
    <w:p w14:paraId="2E69208C">
      <w:pPr>
        <w:pStyle w:val="9"/>
        <w:spacing w:before="193" w:line="219" w:lineRule="auto"/>
        <w:ind w:left="1284"/>
        <w:rPr>
          <w:color w:val="auto"/>
          <w:sz w:val="24"/>
          <w:szCs w:val="24"/>
        </w:rPr>
      </w:pPr>
      <w:r>
        <w:rPr>
          <w:rFonts w:ascii="Times New Roman" w:hAnsi="Times New Roman" w:eastAsia="Times New Roman" w:cs="Times New Roman"/>
          <w:i/>
          <w:iCs/>
          <w:color w:val="auto"/>
          <w:spacing w:val="-3"/>
          <w:sz w:val="24"/>
          <w:szCs w:val="24"/>
        </w:rPr>
        <w:t>V</w:t>
      </w:r>
      <w:r>
        <w:rPr>
          <w:rFonts w:ascii="Times New Roman" w:hAnsi="Times New Roman" w:eastAsia="Times New Roman" w:cs="Times New Roman"/>
          <w:color w:val="auto"/>
          <w:spacing w:val="-3"/>
          <w:sz w:val="24"/>
          <w:szCs w:val="24"/>
        </w:rPr>
        <w:t>——</w:t>
      </w:r>
      <w:r>
        <w:rPr>
          <w:color w:val="auto"/>
          <w:spacing w:val="-3"/>
          <w:sz w:val="24"/>
          <w:szCs w:val="24"/>
        </w:rPr>
        <w:t>车辆速度（</w:t>
      </w:r>
      <w:r>
        <w:rPr>
          <w:rFonts w:ascii="Times New Roman" w:hAnsi="Times New Roman" w:eastAsia="Times New Roman" w:cs="Times New Roman"/>
          <w:color w:val="auto"/>
          <w:spacing w:val="-3"/>
          <w:sz w:val="24"/>
          <w:szCs w:val="24"/>
        </w:rPr>
        <w:t>km/h</w:t>
      </w:r>
      <w:r>
        <w:rPr>
          <w:color w:val="auto"/>
          <w:spacing w:val="1"/>
          <w:sz w:val="24"/>
          <w:szCs w:val="24"/>
        </w:rPr>
        <w:t>）；</w:t>
      </w:r>
    </w:p>
    <w:p w14:paraId="7F545A77">
      <w:pPr>
        <w:pStyle w:val="9"/>
        <w:spacing w:before="183" w:line="219" w:lineRule="auto"/>
        <w:ind w:left="1246"/>
        <w:rPr>
          <w:color w:val="auto"/>
          <w:sz w:val="24"/>
          <w:szCs w:val="24"/>
        </w:rPr>
      </w:pPr>
      <w:r>
        <w:rPr>
          <w:rFonts w:ascii="Times New Roman" w:hAnsi="Times New Roman" w:eastAsia="Times New Roman" w:cs="Times New Roman"/>
          <w:i/>
          <w:iCs/>
          <w:color w:val="auto"/>
          <w:sz w:val="24"/>
          <w:szCs w:val="24"/>
        </w:rPr>
        <w:t>M</w:t>
      </w:r>
      <w:r>
        <w:rPr>
          <w:rFonts w:ascii="Times New Roman" w:hAnsi="Times New Roman" w:eastAsia="Times New Roman" w:cs="Times New Roman"/>
          <w:color w:val="auto"/>
          <w:sz w:val="24"/>
          <w:szCs w:val="24"/>
        </w:rPr>
        <w:t>——</w:t>
      </w:r>
      <w:r>
        <w:rPr>
          <w:color w:val="auto"/>
          <w:sz w:val="24"/>
          <w:szCs w:val="24"/>
        </w:rPr>
        <w:t>车辆载重（</w:t>
      </w:r>
      <w:r>
        <w:rPr>
          <w:rFonts w:ascii="Times New Roman" w:hAnsi="Times New Roman" w:eastAsia="Times New Roman" w:cs="Times New Roman"/>
          <w:color w:val="auto"/>
          <w:sz w:val="24"/>
          <w:szCs w:val="24"/>
        </w:rPr>
        <w:t>t/</w:t>
      </w:r>
      <w:r>
        <w:rPr>
          <w:color w:val="auto"/>
          <w:sz w:val="24"/>
          <w:szCs w:val="24"/>
        </w:rPr>
        <w:t>辆</w:t>
      </w:r>
      <w:r>
        <w:rPr>
          <w:color w:val="auto"/>
          <w:spacing w:val="2"/>
          <w:sz w:val="24"/>
          <w:szCs w:val="24"/>
        </w:rPr>
        <w:t>）；</w:t>
      </w:r>
    </w:p>
    <w:p w14:paraId="3222F9A8">
      <w:pPr>
        <w:pStyle w:val="9"/>
        <w:spacing w:before="193" w:line="204" w:lineRule="auto"/>
        <w:ind w:left="1206"/>
        <w:rPr>
          <w:color w:val="auto"/>
          <w:sz w:val="24"/>
          <w:szCs w:val="24"/>
        </w:rPr>
      </w:pPr>
      <w:r>
        <w:rPr>
          <w:rFonts w:ascii="Times New Roman" w:hAnsi="Times New Roman" w:eastAsia="Times New Roman" w:cs="Times New Roman"/>
          <w:i/>
          <w:iCs/>
          <w:color w:val="auto"/>
          <w:sz w:val="24"/>
          <w:szCs w:val="24"/>
        </w:rPr>
        <w:t>P</w:t>
      </w:r>
      <w:r>
        <w:rPr>
          <w:rFonts w:ascii="Times New Roman" w:hAnsi="Times New Roman" w:eastAsia="Times New Roman" w:cs="Times New Roman"/>
          <w:color w:val="auto"/>
          <w:sz w:val="24"/>
          <w:szCs w:val="24"/>
        </w:rPr>
        <w:t>——</w:t>
      </w:r>
      <w:r>
        <w:rPr>
          <w:color w:val="auto"/>
          <w:sz w:val="24"/>
          <w:szCs w:val="24"/>
        </w:rPr>
        <w:t>道路灰尘覆盖量（</w:t>
      </w:r>
      <w:r>
        <w:rPr>
          <w:rFonts w:ascii="Times New Roman" w:hAnsi="Times New Roman" w:eastAsia="Times New Roman" w:cs="Times New Roman"/>
          <w:color w:val="auto"/>
          <w:sz w:val="24"/>
          <w:szCs w:val="24"/>
        </w:rPr>
        <w:t>kg/m</w:t>
      </w:r>
      <w:r>
        <w:rPr>
          <w:rFonts w:hint="eastAsia" w:ascii="Times New Roman" w:hAnsi="Times New Roman" w:eastAsia="宋体" w:cs="Times New Roman"/>
          <w:color w:val="auto"/>
          <w:sz w:val="24"/>
          <w:szCs w:val="24"/>
          <w:vertAlign w:val="superscript"/>
          <w:lang w:val="en-US" w:eastAsia="zh-CN"/>
        </w:rPr>
        <w:t>2</w:t>
      </w:r>
      <w:r>
        <w:rPr>
          <w:color w:val="auto"/>
          <w:spacing w:val="2"/>
          <w:position w:val="1"/>
          <w:sz w:val="24"/>
          <w:szCs w:val="24"/>
        </w:rPr>
        <w:t>）</w:t>
      </w:r>
      <w:r>
        <w:rPr>
          <w:color w:val="auto"/>
          <w:spacing w:val="2"/>
          <w:sz w:val="24"/>
          <w:szCs w:val="24"/>
        </w:rPr>
        <w:t>；</w:t>
      </w:r>
    </w:p>
    <w:p w14:paraId="2456B4BE">
      <w:pPr>
        <w:pStyle w:val="9"/>
        <w:spacing w:before="190" w:line="219" w:lineRule="auto"/>
        <w:ind w:left="1204"/>
        <w:rPr>
          <w:color w:val="auto"/>
          <w:sz w:val="24"/>
          <w:szCs w:val="24"/>
        </w:rPr>
      </w:pPr>
      <w:r>
        <w:rPr>
          <w:rFonts w:ascii="Times New Roman" w:hAnsi="Times New Roman" w:eastAsia="Times New Roman" w:cs="Times New Roman"/>
          <w:i/>
          <w:iCs/>
          <w:color w:val="auto"/>
          <w:sz w:val="24"/>
          <w:szCs w:val="24"/>
        </w:rPr>
        <w:t>L</w:t>
      </w:r>
      <w:r>
        <w:rPr>
          <w:rFonts w:ascii="Times New Roman" w:hAnsi="Times New Roman" w:eastAsia="Times New Roman" w:cs="Times New Roman"/>
          <w:color w:val="auto"/>
          <w:sz w:val="24"/>
          <w:szCs w:val="24"/>
        </w:rPr>
        <w:t>——</w:t>
      </w:r>
      <w:r>
        <w:rPr>
          <w:color w:val="auto"/>
          <w:sz w:val="24"/>
          <w:szCs w:val="24"/>
        </w:rPr>
        <w:t>运输距离（</w:t>
      </w:r>
      <w:r>
        <w:rPr>
          <w:rFonts w:ascii="Times New Roman" w:hAnsi="Times New Roman" w:eastAsia="Times New Roman" w:cs="Times New Roman"/>
          <w:color w:val="auto"/>
          <w:sz w:val="24"/>
          <w:szCs w:val="24"/>
        </w:rPr>
        <w:t>km</w:t>
      </w:r>
      <w:r>
        <w:rPr>
          <w:color w:val="auto"/>
          <w:spacing w:val="2"/>
          <w:sz w:val="24"/>
          <w:szCs w:val="24"/>
        </w:rPr>
        <w:t>）；</w:t>
      </w:r>
    </w:p>
    <w:p w14:paraId="0523E74F">
      <w:pPr>
        <w:pStyle w:val="9"/>
        <w:keepNext w:val="0"/>
        <w:keepLines w:val="0"/>
        <w:pageBreakBefore w:val="0"/>
        <w:widowControl/>
        <w:wordWrap/>
        <w:overflowPunct/>
        <w:topLinePunct w:val="0"/>
        <w:autoSpaceDE w:val="0"/>
        <w:autoSpaceDN w:val="0"/>
        <w:bidi w:val="0"/>
        <w:adjustRightInd/>
        <w:snapToGrid/>
        <w:spacing w:line="360" w:lineRule="auto"/>
        <w:ind w:left="0"/>
        <w:textAlignment w:val="baseline"/>
        <w:rPr>
          <w:color w:val="auto"/>
          <w:sz w:val="24"/>
          <w:szCs w:val="24"/>
        </w:rPr>
      </w:pPr>
      <w:r>
        <w:rPr>
          <w:rFonts w:ascii="Times New Roman" w:hAnsi="Times New Roman" w:eastAsia="Times New Roman" w:cs="Times New Roman"/>
          <w:i/>
          <w:iCs/>
          <w:color w:val="auto"/>
          <w:spacing w:val="-1"/>
          <w:sz w:val="24"/>
          <w:szCs w:val="24"/>
        </w:rPr>
        <w:t>Q</w:t>
      </w:r>
      <w:r>
        <w:rPr>
          <w:rFonts w:ascii="Times New Roman" w:hAnsi="Times New Roman" w:eastAsia="Times New Roman" w:cs="Times New Roman"/>
          <w:color w:val="auto"/>
          <w:spacing w:val="-1"/>
          <w:sz w:val="24"/>
          <w:szCs w:val="24"/>
        </w:rPr>
        <w:t>——</w:t>
      </w:r>
      <w:r>
        <w:rPr>
          <w:color w:val="auto"/>
          <w:spacing w:val="-1"/>
          <w:sz w:val="24"/>
          <w:szCs w:val="24"/>
        </w:rPr>
        <w:t>运输量（</w:t>
      </w:r>
      <w:r>
        <w:rPr>
          <w:rFonts w:ascii="Times New Roman" w:hAnsi="Times New Roman" w:eastAsia="Times New Roman" w:cs="Times New Roman"/>
          <w:color w:val="auto"/>
          <w:spacing w:val="-1"/>
          <w:sz w:val="24"/>
          <w:szCs w:val="24"/>
        </w:rPr>
        <w:t>t/a</w:t>
      </w:r>
      <w:r>
        <w:rPr>
          <w:color w:val="auto"/>
          <w:spacing w:val="-1"/>
          <w:sz w:val="24"/>
          <w:szCs w:val="24"/>
        </w:rPr>
        <w:t>）。</w:t>
      </w:r>
    </w:p>
    <w:p w14:paraId="7CE60AB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8"/>
        <w:jc w:val="both"/>
        <w:textAlignment w:val="baseline"/>
        <w:rPr>
          <w:color w:val="auto"/>
          <w:sz w:val="24"/>
          <w:szCs w:val="24"/>
        </w:rPr>
      </w:pPr>
      <w:r>
        <w:rPr>
          <w:color w:val="auto"/>
          <w:spacing w:val="-2"/>
          <w:sz w:val="24"/>
          <w:szCs w:val="24"/>
        </w:rPr>
        <w:t>项目货车运输量</w:t>
      </w:r>
      <w:r>
        <w:rPr>
          <w:rFonts w:ascii="Times New Roman" w:hAnsi="Times New Roman" w:eastAsia="Times New Roman" w:cs="Times New Roman"/>
          <w:color w:val="auto"/>
          <w:spacing w:val="-2"/>
          <w:sz w:val="24"/>
          <w:szCs w:val="24"/>
        </w:rPr>
        <w:t>Q</w:t>
      </w:r>
      <w:r>
        <w:rPr>
          <w:color w:val="auto"/>
          <w:spacing w:val="-2"/>
          <w:sz w:val="24"/>
          <w:szCs w:val="24"/>
        </w:rPr>
        <w:t>为</w:t>
      </w:r>
      <w:r>
        <w:rPr>
          <w:rFonts w:hint="eastAsia" w:ascii="Times New Roman" w:hAnsi="Times New Roman" w:eastAsia="宋体" w:cs="Times New Roman"/>
          <w:color w:val="auto"/>
          <w:spacing w:val="-2"/>
          <w:sz w:val="24"/>
          <w:szCs w:val="24"/>
          <w:lang w:val="en-US" w:eastAsia="zh-CN"/>
        </w:rPr>
        <w:t>250</w:t>
      </w:r>
      <w:r>
        <w:rPr>
          <w:color w:val="auto"/>
          <w:spacing w:val="-2"/>
          <w:sz w:val="24"/>
          <w:szCs w:val="24"/>
        </w:rPr>
        <w:t>万</w:t>
      </w:r>
      <w:r>
        <w:rPr>
          <w:rFonts w:ascii="Times New Roman" w:hAnsi="Times New Roman" w:eastAsia="Times New Roman" w:cs="Times New Roman"/>
          <w:color w:val="auto"/>
          <w:spacing w:val="-2"/>
          <w:sz w:val="24"/>
          <w:szCs w:val="24"/>
        </w:rPr>
        <w:t>t/a</w:t>
      </w:r>
      <w:r>
        <w:rPr>
          <w:color w:val="auto"/>
          <w:spacing w:val="-3"/>
          <w:sz w:val="24"/>
          <w:szCs w:val="24"/>
        </w:rPr>
        <w:t>；该条道路来回运</w:t>
      </w:r>
      <w:r>
        <w:rPr>
          <w:color w:val="auto"/>
          <w:spacing w:val="-1"/>
          <w:sz w:val="24"/>
          <w:szCs w:val="24"/>
        </w:rPr>
        <w:t>输距离</w:t>
      </w:r>
      <w:r>
        <w:rPr>
          <w:rFonts w:ascii="Times New Roman" w:hAnsi="Times New Roman" w:eastAsia="Times New Roman" w:cs="Times New Roman"/>
          <w:color w:val="auto"/>
          <w:spacing w:val="-1"/>
          <w:sz w:val="24"/>
          <w:szCs w:val="24"/>
        </w:rPr>
        <w:t>L</w:t>
      </w:r>
      <w:r>
        <w:rPr>
          <w:color w:val="auto"/>
          <w:spacing w:val="-1"/>
          <w:sz w:val="24"/>
          <w:szCs w:val="24"/>
        </w:rPr>
        <w:t>约为</w:t>
      </w:r>
      <w:r>
        <w:rPr>
          <w:rFonts w:ascii="Times New Roman" w:hAnsi="Times New Roman" w:eastAsia="Times New Roman" w:cs="Times New Roman"/>
          <w:color w:val="auto"/>
          <w:spacing w:val="-1"/>
          <w:sz w:val="24"/>
          <w:szCs w:val="24"/>
        </w:rPr>
        <w:t>1km</w:t>
      </w:r>
      <w:r>
        <w:rPr>
          <w:color w:val="auto"/>
          <w:spacing w:val="-1"/>
          <w:sz w:val="24"/>
          <w:szCs w:val="24"/>
        </w:rPr>
        <w:t>，采用货车平均</w:t>
      </w:r>
      <w:r>
        <w:rPr>
          <w:color w:val="auto"/>
          <w:sz w:val="24"/>
          <w:szCs w:val="24"/>
        </w:rPr>
        <w:t>载重</w:t>
      </w:r>
      <w:r>
        <w:rPr>
          <w:rFonts w:ascii="Times New Roman" w:hAnsi="Times New Roman" w:eastAsia="Times New Roman" w:cs="Times New Roman"/>
          <w:color w:val="auto"/>
          <w:sz w:val="24"/>
          <w:szCs w:val="24"/>
        </w:rPr>
        <w:t>M</w:t>
      </w:r>
      <w:r>
        <w:rPr>
          <w:color w:val="auto"/>
          <w:sz w:val="24"/>
          <w:szCs w:val="24"/>
        </w:rPr>
        <w:t>为</w:t>
      </w:r>
      <w:r>
        <w:rPr>
          <w:rFonts w:ascii="Times New Roman" w:hAnsi="Times New Roman" w:eastAsia="Times New Roman" w:cs="Times New Roman"/>
          <w:color w:val="auto"/>
          <w:sz w:val="24"/>
          <w:szCs w:val="24"/>
        </w:rPr>
        <w:t>63.3t/</w:t>
      </w:r>
      <w:r>
        <w:rPr>
          <w:color w:val="auto"/>
          <w:sz w:val="24"/>
          <w:szCs w:val="24"/>
        </w:rPr>
        <w:t>辆，运输车辆时速</w:t>
      </w:r>
      <w:r>
        <w:rPr>
          <w:rFonts w:ascii="Times New Roman" w:hAnsi="Times New Roman" w:eastAsia="Times New Roman" w:cs="Times New Roman"/>
          <w:color w:val="auto"/>
          <w:sz w:val="24"/>
          <w:szCs w:val="24"/>
        </w:rPr>
        <w:t>V</w:t>
      </w:r>
      <w:r>
        <w:rPr>
          <w:color w:val="auto"/>
          <w:sz w:val="24"/>
          <w:szCs w:val="24"/>
        </w:rPr>
        <w:t>约为</w:t>
      </w:r>
      <w:r>
        <w:rPr>
          <w:rFonts w:ascii="Times New Roman" w:hAnsi="Times New Roman" w:eastAsia="Times New Roman" w:cs="Times New Roman"/>
          <w:color w:val="auto"/>
          <w:sz w:val="24"/>
          <w:szCs w:val="24"/>
        </w:rPr>
        <w:t>10km</w:t>
      </w:r>
      <w:r>
        <w:rPr>
          <w:rFonts w:hint="eastAsia" w:ascii="Times New Roman" w:hAnsi="Times New Roman" w:eastAsia="宋体" w:cs="Times New Roman"/>
          <w:color w:val="auto"/>
          <w:sz w:val="24"/>
          <w:szCs w:val="24"/>
          <w:lang w:val="en-US" w:eastAsia="zh-CN"/>
        </w:rPr>
        <w:t>/h</w:t>
      </w:r>
      <w:r>
        <w:rPr>
          <w:color w:val="auto"/>
          <w:spacing w:val="-1"/>
          <w:sz w:val="24"/>
          <w:szCs w:val="24"/>
        </w:rPr>
        <w:t>，</w:t>
      </w:r>
      <w:r>
        <w:rPr>
          <w:color w:val="auto"/>
          <w:spacing w:val="2"/>
          <w:sz w:val="24"/>
          <w:szCs w:val="24"/>
        </w:rPr>
        <w:t>路面主要为混凝土，则道路灰尘覆盖量</w:t>
      </w:r>
      <w:r>
        <w:rPr>
          <w:rFonts w:ascii="Times New Roman" w:hAnsi="Times New Roman" w:eastAsia="Times New Roman" w:cs="Times New Roman"/>
          <w:color w:val="auto"/>
          <w:spacing w:val="2"/>
          <w:sz w:val="24"/>
          <w:szCs w:val="24"/>
        </w:rPr>
        <w:t>P</w:t>
      </w:r>
      <w:r>
        <w:rPr>
          <w:color w:val="auto"/>
          <w:spacing w:val="2"/>
          <w:sz w:val="24"/>
          <w:szCs w:val="24"/>
        </w:rPr>
        <w:t>取</w:t>
      </w:r>
      <w:r>
        <w:rPr>
          <w:rFonts w:ascii="Times New Roman" w:hAnsi="Times New Roman" w:eastAsia="Times New Roman" w:cs="Times New Roman"/>
          <w:color w:val="auto"/>
          <w:spacing w:val="2"/>
          <w:sz w:val="24"/>
          <w:szCs w:val="24"/>
        </w:rPr>
        <w:t>0.2</w:t>
      </w:r>
      <w:r>
        <w:rPr>
          <w:rFonts w:ascii="Times New Roman" w:hAnsi="Times New Roman" w:eastAsia="Times New Roman" w:cs="Times New Roman"/>
          <w:color w:val="auto"/>
          <w:sz w:val="24"/>
          <w:szCs w:val="24"/>
        </w:rPr>
        <w:t>kg</w:t>
      </w:r>
      <w:r>
        <w:rPr>
          <w:rFonts w:ascii="Times New Roman" w:hAnsi="Times New Roman" w:eastAsia="Times New Roman" w:cs="Times New Roman"/>
          <w:color w:val="auto"/>
          <w:spacing w:val="2"/>
          <w:sz w:val="24"/>
          <w:szCs w:val="24"/>
        </w:rPr>
        <w:t>/m</w:t>
      </w:r>
      <w:r>
        <w:rPr>
          <w:rFonts w:hint="eastAsia" w:ascii="Times New Roman" w:hAnsi="Times New Roman" w:eastAsia="宋体" w:cs="Times New Roman"/>
          <w:color w:val="auto"/>
          <w:spacing w:val="2"/>
          <w:sz w:val="24"/>
          <w:szCs w:val="24"/>
          <w:vertAlign w:val="superscript"/>
          <w:lang w:val="en-US" w:eastAsia="zh-CN"/>
        </w:rPr>
        <w:t>2</w:t>
      </w:r>
      <w:r>
        <w:rPr>
          <w:color w:val="auto"/>
          <w:spacing w:val="2"/>
          <w:sz w:val="24"/>
          <w:szCs w:val="24"/>
        </w:rPr>
        <w:t>。</w:t>
      </w:r>
      <w:r>
        <w:rPr>
          <w:color w:val="auto"/>
          <w:spacing w:val="3"/>
          <w:sz w:val="24"/>
          <w:szCs w:val="24"/>
        </w:rPr>
        <w:t>因此，项目运输期间道路起尘量</w:t>
      </w:r>
      <w:r>
        <w:rPr>
          <w:rFonts w:ascii="Times New Roman" w:hAnsi="Times New Roman" w:eastAsia="Times New Roman" w:cs="Times New Roman"/>
          <w:color w:val="auto"/>
          <w:sz w:val="24"/>
          <w:szCs w:val="24"/>
        </w:rPr>
        <w:t>Q</w:t>
      </w:r>
      <w:r>
        <w:rPr>
          <w:rFonts w:ascii="Times New Roman" w:hAnsi="Times New Roman" w:eastAsia="Times New Roman" w:cs="Times New Roman"/>
          <w:color w:val="auto"/>
          <w:position w:val="-1"/>
          <w:sz w:val="24"/>
          <w:szCs w:val="24"/>
        </w:rPr>
        <w:t>P</w:t>
      </w:r>
      <w:r>
        <w:rPr>
          <w:color w:val="auto"/>
          <w:spacing w:val="3"/>
          <w:sz w:val="24"/>
          <w:szCs w:val="24"/>
        </w:rPr>
        <w:t>为</w:t>
      </w:r>
      <w:r>
        <w:rPr>
          <w:rFonts w:ascii="Times New Roman" w:hAnsi="Times New Roman" w:eastAsia="Times New Roman" w:cs="Times New Roman"/>
          <w:color w:val="auto"/>
          <w:spacing w:val="3"/>
          <w:sz w:val="24"/>
          <w:szCs w:val="24"/>
        </w:rPr>
        <w:t>0.847</w:t>
      </w:r>
      <w:r>
        <w:rPr>
          <w:rFonts w:ascii="Times New Roman" w:hAnsi="Times New Roman" w:eastAsia="Times New Roman" w:cs="Times New Roman"/>
          <w:color w:val="auto"/>
          <w:sz w:val="24"/>
          <w:szCs w:val="24"/>
        </w:rPr>
        <w:t>kg</w:t>
      </w:r>
      <w:r>
        <w:rPr>
          <w:rFonts w:ascii="Times New Roman" w:hAnsi="Times New Roman" w:eastAsia="Times New Roman" w:cs="Times New Roman"/>
          <w:color w:val="auto"/>
          <w:spacing w:val="3"/>
          <w:sz w:val="24"/>
          <w:szCs w:val="24"/>
        </w:rPr>
        <w:t>/</w:t>
      </w:r>
      <w:r>
        <w:rPr>
          <w:rFonts w:ascii="Times New Roman" w:hAnsi="Times New Roman" w:eastAsia="Times New Roman" w:cs="Times New Roman"/>
          <w:color w:val="auto"/>
          <w:sz w:val="24"/>
          <w:szCs w:val="24"/>
        </w:rPr>
        <w:t>km</w:t>
      </w:r>
      <w:r>
        <w:rPr>
          <w:rFonts w:ascii="Times New Roman" w:hAnsi="Times New Roman" w:eastAsia="Times New Roman" w:cs="Times New Roman"/>
          <w:color w:val="auto"/>
          <w:spacing w:val="3"/>
          <w:sz w:val="24"/>
          <w:szCs w:val="24"/>
        </w:rPr>
        <w:t>·</w:t>
      </w:r>
      <w:r>
        <w:rPr>
          <w:color w:val="auto"/>
          <w:spacing w:val="3"/>
          <w:sz w:val="24"/>
          <w:szCs w:val="24"/>
        </w:rPr>
        <w:t>辆，道</w:t>
      </w:r>
      <w:r>
        <w:rPr>
          <w:color w:val="auto"/>
          <w:spacing w:val="2"/>
          <w:sz w:val="24"/>
          <w:szCs w:val="24"/>
        </w:rPr>
        <w:t>路运输车辆扬尘总量为</w:t>
      </w:r>
      <w:r>
        <w:rPr>
          <w:rFonts w:hint="eastAsia" w:ascii="Times New Roman" w:hAnsi="Times New Roman" w:eastAsia="宋体" w:cs="Times New Roman"/>
          <w:color w:val="auto"/>
          <w:spacing w:val="-3"/>
          <w:sz w:val="24"/>
          <w:szCs w:val="24"/>
          <w:lang w:val="en-US" w:eastAsia="zh-CN"/>
        </w:rPr>
        <w:t>33.459</w:t>
      </w:r>
      <w:r>
        <w:rPr>
          <w:rFonts w:ascii="Times New Roman" w:hAnsi="Times New Roman" w:eastAsia="Times New Roman" w:cs="Times New Roman"/>
          <w:color w:val="auto"/>
          <w:spacing w:val="-3"/>
          <w:sz w:val="24"/>
          <w:szCs w:val="24"/>
        </w:rPr>
        <w:t>kg/d</w:t>
      </w:r>
      <w:r>
        <w:rPr>
          <w:color w:val="auto"/>
          <w:spacing w:val="-3"/>
          <w:sz w:val="24"/>
          <w:szCs w:val="24"/>
        </w:rPr>
        <w:t>，</w:t>
      </w:r>
      <w:r>
        <w:rPr>
          <w:rFonts w:hint="eastAsia" w:ascii="Times New Roman" w:hAnsi="Times New Roman" w:eastAsia="宋体" w:cs="Times New Roman"/>
          <w:color w:val="auto"/>
          <w:spacing w:val="-3"/>
          <w:sz w:val="24"/>
          <w:szCs w:val="24"/>
          <w:lang w:val="en-US" w:eastAsia="zh-CN"/>
        </w:rPr>
        <w:t>11.041</w:t>
      </w:r>
      <w:r>
        <w:rPr>
          <w:rFonts w:ascii="Times New Roman" w:hAnsi="Times New Roman" w:eastAsia="Times New Roman" w:cs="Times New Roman"/>
          <w:color w:val="auto"/>
          <w:spacing w:val="-3"/>
          <w:sz w:val="24"/>
          <w:szCs w:val="24"/>
        </w:rPr>
        <w:t>t/a</w:t>
      </w:r>
      <w:r>
        <w:rPr>
          <w:color w:val="auto"/>
          <w:spacing w:val="-3"/>
          <w:sz w:val="24"/>
          <w:szCs w:val="24"/>
        </w:rPr>
        <w:t>（</w:t>
      </w:r>
      <w:r>
        <w:rPr>
          <w:color w:val="auto"/>
          <w:spacing w:val="-4"/>
          <w:sz w:val="24"/>
          <w:szCs w:val="24"/>
        </w:rPr>
        <w:t>按</w:t>
      </w:r>
      <w:r>
        <w:rPr>
          <w:rFonts w:hint="eastAsia" w:ascii="Times New Roman" w:hAnsi="Times New Roman" w:eastAsia="宋体" w:cs="Times New Roman"/>
          <w:color w:val="auto"/>
          <w:spacing w:val="-4"/>
          <w:sz w:val="24"/>
          <w:szCs w:val="24"/>
          <w:lang w:val="en-US" w:eastAsia="zh-CN"/>
        </w:rPr>
        <w:t>330</w:t>
      </w:r>
      <w:r>
        <w:rPr>
          <w:color w:val="auto"/>
          <w:spacing w:val="-4"/>
          <w:sz w:val="24"/>
          <w:szCs w:val="24"/>
        </w:rPr>
        <w:t>天计</w:t>
      </w:r>
      <w:r>
        <w:rPr>
          <w:color w:val="auto"/>
          <w:spacing w:val="-22"/>
          <w:sz w:val="24"/>
          <w:szCs w:val="24"/>
        </w:rPr>
        <w:t>）</w:t>
      </w:r>
      <w:r>
        <w:rPr>
          <w:color w:val="auto"/>
          <w:spacing w:val="-2"/>
          <w:sz w:val="24"/>
          <w:szCs w:val="24"/>
        </w:rPr>
        <w:t>。</w:t>
      </w:r>
    </w:p>
    <w:p w14:paraId="69B3703D">
      <w:pPr>
        <w:pStyle w:val="9"/>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1"/>
          <w:sz w:val="24"/>
          <w:szCs w:val="24"/>
        </w:rPr>
        <w:t>运输道路晴天早、晚各洒水降尘</w:t>
      </w:r>
      <w:r>
        <w:rPr>
          <w:rFonts w:hint="default" w:ascii="Times New Roman" w:hAnsi="Times New Roman" w:eastAsia="Times New Roman" w:cs="Times New Roman"/>
          <w:color w:val="auto"/>
          <w:spacing w:val="1"/>
          <w:sz w:val="24"/>
          <w:szCs w:val="24"/>
        </w:rPr>
        <w:t>1</w:t>
      </w:r>
      <w:r>
        <w:rPr>
          <w:rFonts w:hint="default" w:ascii="Times New Roman" w:hAnsi="Times New Roman" w:cs="Times New Roman"/>
          <w:color w:val="auto"/>
          <w:spacing w:val="1"/>
          <w:sz w:val="24"/>
          <w:szCs w:val="24"/>
        </w:rPr>
        <w:t>次，并由专</w:t>
      </w:r>
      <w:r>
        <w:rPr>
          <w:rFonts w:hint="default" w:ascii="Times New Roman" w:hAnsi="Times New Roman" w:cs="Times New Roman"/>
          <w:color w:val="auto"/>
          <w:sz w:val="24"/>
          <w:szCs w:val="24"/>
        </w:rPr>
        <w:t>人定期清扫道路。根据《扬尘</w:t>
      </w:r>
      <w:r>
        <w:rPr>
          <w:rFonts w:hint="default" w:ascii="Times New Roman" w:hAnsi="Times New Roman" w:cs="Times New Roman"/>
          <w:color w:val="auto"/>
          <w:spacing w:val="-1"/>
          <w:sz w:val="24"/>
          <w:szCs w:val="24"/>
        </w:rPr>
        <w:t>源颗粒物排放清单编制技术指南（试行）》，对于铺装道路，</w:t>
      </w:r>
      <w:r>
        <w:rPr>
          <w:rFonts w:hint="default" w:ascii="Times New Roman" w:hAnsi="Times New Roman" w:cs="Times New Roman"/>
          <w:color w:val="auto"/>
          <w:spacing w:val="-2"/>
          <w:sz w:val="24"/>
          <w:szCs w:val="24"/>
        </w:rPr>
        <w:t>洒水</w:t>
      </w:r>
      <w:r>
        <w:rPr>
          <w:rFonts w:hint="default" w:ascii="Times New Roman" w:hAnsi="Times New Roman" w:eastAsia="Times New Roman" w:cs="Times New Roman"/>
          <w:color w:val="auto"/>
          <w:spacing w:val="-2"/>
          <w:sz w:val="24"/>
          <w:szCs w:val="24"/>
        </w:rPr>
        <w:t>2</w:t>
      </w:r>
      <w:r>
        <w:rPr>
          <w:rFonts w:hint="default" w:ascii="Times New Roman" w:hAnsi="Times New Roman" w:cs="Times New Roman"/>
          <w:color w:val="auto"/>
          <w:spacing w:val="-2"/>
          <w:sz w:val="24"/>
          <w:szCs w:val="24"/>
        </w:rPr>
        <w:t>次</w:t>
      </w:r>
      <w:r>
        <w:rPr>
          <w:rFonts w:hint="default" w:ascii="Times New Roman" w:hAnsi="Times New Roman" w:eastAsia="Times New Roman" w:cs="Times New Roman"/>
          <w:color w:val="auto"/>
          <w:spacing w:val="-2"/>
          <w:sz w:val="24"/>
          <w:szCs w:val="24"/>
        </w:rPr>
        <w:t>/</w:t>
      </w:r>
      <w:r>
        <w:rPr>
          <w:rFonts w:hint="default" w:ascii="Times New Roman" w:hAnsi="Times New Roman" w:cs="Times New Roman"/>
          <w:color w:val="auto"/>
          <w:spacing w:val="-2"/>
          <w:sz w:val="24"/>
          <w:szCs w:val="24"/>
        </w:rPr>
        <w:t>天可抑制</w:t>
      </w:r>
      <w:r>
        <w:rPr>
          <w:rFonts w:hint="default" w:ascii="Times New Roman" w:hAnsi="Times New Roman" w:eastAsia="Times New Roman" w:cs="Times New Roman"/>
          <w:color w:val="auto"/>
          <w:spacing w:val="-8"/>
          <w:sz w:val="24"/>
          <w:szCs w:val="24"/>
        </w:rPr>
        <w:t>66%</w:t>
      </w:r>
      <w:r>
        <w:rPr>
          <w:rFonts w:hint="default" w:ascii="Times New Roman" w:hAnsi="Times New Roman" w:cs="Times New Roman"/>
          <w:color w:val="auto"/>
          <w:spacing w:val="-8"/>
          <w:sz w:val="24"/>
          <w:szCs w:val="24"/>
        </w:rPr>
        <w:t>左右的粉尘，则项目运输粉尘排放量为</w:t>
      </w:r>
      <w:r>
        <w:rPr>
          <w:rFonts w:hint="default" w:ascii="Times New Roman" w:hAnsi="Times New Roman" w:eastAsia="宋体" w:cs="Times New Roman"/>
          <w:color w:val="auto"/>
          <w:spacing w:val="-8"/>
          <w:sz w:val="24"/>
          <w:szCs w:val="24"/>
          <w:lang w:val="en-US" w:eastAsia="zh-CN"/>
        </w:rPr>
        <w:t>11.376</w:t>
      </w:r>
      <w:r>
        <w:rPr>
          <w:rFonts w:hint="default" w:ascii="Times New Roman" w:hAnsi="Times New Roman" w:eastAsia="Times New Roman" w:cs="Times New Roman"/>
          <w:color w:val="auto"/>
          <w:spacing w:val="-8"/>
          <w:sz w:val="24"/>
          <w:szCs w:val="24"/>
        </w:rPr>
        <w:t>kg/d</w:t>
      </w:r>
      <w:r>
        <w:rPr>
          <w:rFonts w:hint="default" w:ascii="Times New Roman" w:hAnsi="Times New Roman" w:cs="Times New Roman"/>
          <w:color w:val="auto"/>
          <w:spacing w:val="-8"/>
          <w:sz w:val="24"/>
          <w:szCs w:val="24"/>
        </w:rPr>
        <w:t>，</w:t>
      </w:r>
      <w:r>
        <w:rPr>
          <w:rFonts w:hint="default" w:ascii="Times New Roman" w:hAnsi="Times New Roman" w:eastAsia="宋体" w:cs="Times New Roman"/>
          <w:color w:val="auto"/>
          <w:spacing w:val="-9"/>
          <w:sz w:val="24"/>
          <w:szCs w:val="24"/>
          <w:lang w:val="en-US" w:eastAsia="zh-CN"/>
        </w:rPr>
        <w:t>3.754</w:t>
      </w:r>
      <w:r>
        <w:rPr>
          <w:rFonts w:hint="default" w:ascii="Times New Roman" w:hAnsi="Times New Roman" w:eastAsia="Times New Roman" w:cs="Times New Roman"/>
          <w:color w:val="auto"/>
          <w:spacing w:val="-9"/>
          <w:sz w:val="24"/>
          <w:szCs w:val="24"/>
        </w:rPr>
        <w:t>t/a</w:t>
      </w:r>
      <w:r>
        <w:rPr>
          <w:rFonts w:hint="default" w:ascii="Times New Roman" w:hAnsi="Times New Roman" w:cs="Times New Roman"/>
          <w:color w:val="auto"/>
          <w:spacing w:val="-9"/>
          <w:sz w:val="24"/>
          <w:szCs w:val="24"/>
        </w:rPr>
        <w:t>（按</w:t>
      </w:r>
      <w:r>
        <w:rPr>
          <w:rFonts w:hint="default" w:ascii="Times New Roman" w:hAnsi="Times New Roman" w:eastAsia="宋体" w:cs="Times New Roman"/>
          <w:color w:val="auto"/>
          <w:spacing w:val="-9"/>
          <w:sz w:val="24"/>
          <w:szCs w:val="24"/>
          <w:lang w:val="en-US" w:eastAsia="zh-CN"/>
        </w:rPr>
        <w:t>330</w:t>
      </w:r>
      <w:r>
        <w:rPr>
          <w:rFonts w:hint="default" w:ascii="Times New Roman" w:hAnsi="Times New Roman" w:cs="Times New Roman"/>
          <w:color w:val="auto"/>
          <w:spacing w:val="-9"/>
          <w:sz w:val="24"/>
          <w:szCs w:val="24"/>
        </w:rPr>
        <w:t>天计</w:t>
      </w:r>
      <w:r>
        <w:rPr>
          <w:rFonts w:hint="default" w:ascii="Times New Roman" w:hAnsi="Times New Roman" w:cs="Times New Roman"/>
          <w:color w:val="auto"/>
          <w:spacing w:val="-53"/>
          <w:w w:val="84"/>
          <w:sz w:val="24"/>
          <w:szCs w:val="24"/>
        </w:rPr>
        <w:t>）</w:t>
      </w:r>
      <w:r>
        <w:rPr>
          <w:rFonts w:hint="default" w:ascii="Times New Roman" w:hAnsi="Times New Roman" w:cs="Times New Roman"/>
          <w:color w:val="auto"/>
          <w:spacing w:val="-2"/>
          <w:sz w:val="24"/>
          <w:szCs w:val="24"/>
        </w:rPr>
        <w:t>。</w:t>
      </w:r>
    </w:p>
    <w:p w14:paraId="69ADEE34">
      <w:pPr>
        <w:pStyle w:val="9"/>
        <w:spacing w:before="12" w:line="220" w:lineRule="auto"/>
        <w:ind w:left="502"/>
        <w:rPr>
          <w:color w:val="auto"/>
          <w:sz w:val="24"/>
          <w:szCs w:val="24"/>
        </w:rPr>
      </w:pPr>
      <w:r>
        <w:rPr>
          <w:b/>
          <w:bCs/>
          <w:color w:val="auto"/>
          <w:spacing w:val="-3"/>
          <w:sz w:val="24"/>
          <w:szCs w:val="24"/>
        </w:rPr>
        <w:t>六、项目废气正常排放情况</w:t>
      </w:r>
    </w:p>
    <w:p w14:paraId="072215BE">
      <w:pPr>
        <w:pStyle w:val="9"/>
        <w:spacing w:before="182" w:line="219" w:lineRule="auto"/>
        <w:ind w:left="501"/>
        <w:rPr>
          <w:color w:val="auto"/>
          <w:spacing w:val="-1"/>
          <w:sz w:val="24"/>
          <w:szCs w:val="24"/>
        </w:rPr>
        <w:sectPr>
          <w:headerReference r:id="rId10" w:type="default"/>
          <w:pgSz w:w="11907" w:h="16840"/>
          <w:pgMar w:top="1440" w:right="1800" w:bottom="1440" w:left="1800" w:header="1134" w:footer="1134" w:gutter="0"/>
          <w:pgBorders w:zOrder="back">
            <w:top w:val="none" w:sz="0" w:space="0"/>
            <w:left w:val="none" w:sz="0" w:space="0"/>
            <w:bottom w:val="none" w:sz="0" w:space="0"/>
            <w:right w:val="none" w:sz="0" w:space="0"/>
          </w:pgBorders>
          <w:pgNumType w:fmt="decimal"/>
          <w:cols w:space="720" w:num="1"/>
          <w:rtlGutter w:val="0"/>
          <w:docGrid w:linePitch="312" w:charSpace="0"/>
        </w:sectPr>
      </w:pPr>
    </w:p>
    <w:p w14:paraId="3368FE00">
      <w:pPr>
        <w:pStyle w:val="9"/>
        <w:spacing w:before="182" w:line="219" w:lineRule="auto"/>
        <w:ind w:left="501"/>
        <w:rPr>
          <w:color w:val="auto"/>
          <w:sz w:val="24"/>
          <w:szCs w:val="24"/>
        </w:rPr>
      </w:pPr>
      <w:r>
        <w:rPr>
          <w:color w:val="auto"/>
          <w:spacing w:val="-1"/>
          <w:sz w:val="24"/>
          <w:szCs w:val="24"/>
        </w:rPr>
        <w:t>本项目运营期废气正常排放情况详见下表</w:t>
      </w:r>
      <w:r>
        <w:rPr>
          <w:rFonts w:ascii="Times New Roman" w:hAnsi="Times New Roman" w:eastAsia="Times New Roman" w:cs="Times New Roman"/>
          <w:color w:val="auto"/>
          <w:spacing w:val="-1"/>
          <w:sz w:val="24"/>
          <w:szCs w:val="24"/>
        </w:rPr>
        <w:t>2.</w:t>
      </w:r>
      <w:r>
        <w:rPr>
          <w:rFonts w:hint="eastAsia" w:ascii="Times New Roman" w:hAnsi="Times New Roman" w:eastAsia="宋体" w:cs="Times New Roman"/>
          <w:color w:val="auto"/>
          <w:spacing w:val="-1"/>
          <w:sz w:val="24"/>
          <w:szCs w:val="24"/>
          <w:lang w:val="en-US" w:eastAsia="zh-CN"/>
        </w:rPr>
        <w:t>4-10</w:t>
      </w:r>
      <w:r>
        <w:rPr>
          <w:color w:val="auto"/>
          <w:spacing w:val="-1"/>
          <w:sz w:val="24"/>
          <w:szCs w:val="24"/>
        </w:rPr>
        <w:t>。</w:t>
      </w:r>
    </w:p>
    <w:p w14:paraId="26AC4021">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本项目废气排放情况一览表</w:t>
      </w:r>
    </w:p>
    <w:tbl>
      <w:tblPr>
        <w:tblStyle w:val="26"/>
        <w:tblW w:w="13756"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3"/>
        <w:gridCol w:w="1101"/>
        <w:gridCol w:w="1008"/>
        <w:gridCol w:w="1120"/>
        <w:gridCol w:w="1033"/>
        <w:gridCol w:w="1098"/>
        <w:gridCol w:w="1947"/>
        <w:gridCol w:w="931"/>
        <w:gridCol w:w="940"/>
        <w:gridCol w:w="894"/>
        <w:gridCol w:w="1094"/>
        <w:gridCol w:w="925"/>
        <w:gridCol w:w="1052"/>
      </w:tblGrid>
      <w:tr w14:paraId="7C80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1714" w:type="dxa"/>
            <w:gridSpan w:val="2"/>
            <w:vMerge w:val="restart"/>
            <w:vAlign w:val="center"/>
          </w:tcPr>
          <w:p w14:paraId="3E9A3A0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废气排放源</w:t>
            </w:r>
          </w:p>
        </w:tc>
        <w:tc>
          <w:tcPr>
            <w:tcW w:w="1008" w:type="dxa"/>
            <w:vMerge w:val="restart"/>
            <w:vAlign w:val="center"/>
          </w:tcPr>
          <w:p w14:paraId="055E721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污染物</w:t>
            </w:r>
          </w:p>
        </w:tc>
        <w:tc>
          <w:tcPr>
            <w:tcW w:w="3251" w:type="dxa"/>
            <w:gridSpan w:val="3"/>
            <w:vAlign w:val="center"/>
          </w:tcPr>
          <w:p w14:paraId="4629EB7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产生情况</w:t>
            </w:r>
          </w:p>
        </w:tc>
        <w:tc>
          <w:tcPr>
            <w:tcW w:w="1947" w:type="dxa"/>
            <w:vMerge w:val="restart"/>
            <w:vAlign w:val="center"/>
          </w:tcPr>
          <w:p w14:paraId="33EEFA0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治理措施</w:t>
            </w:r>
          </w:p>
        </w:tc>
        <w:tc>
          <w:tcPr>
            <w:tcW w:w="931" w:type="dxa"/>
            <w:vMerge w:val="restart"/>
            <w:vAlign w:val="center"/>
          </w:tcPr>
          <w:p w14:paraId="7C47DAE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处理效率</w:t>
            </w:r>
          </w:p>
        </w:tc>
        <w:tc>
          <w:tcPr>
            <w:tcW w:w="2928" w:type="dxa"/>
            <w:gridSpan w:val="3"/>
            <w:vAlign w:val="center"/>
          </w:tcPr>
          <w:p w14:paraId="7D50948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排放情况</w:t>
            </w:r>
          </w:p>
        </w:tc>
        <w:tc>
          <w:tcPr>
            <w:tcW w:w="1977" w:type="dxa"/>
            <w:gridSpan w:val="2"/>
            <w:vAlign w:val="center"/>
          </w:tcPr>
          <w:p w14:paraId="77A012C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排放标准</w:t>
            </w:r>
          </w:p>
        </w:tc>
      </w:tr>
      <w:tr w14:paraId="2C24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1714" w:type="dxa"/>
            <w:gridSpan w:val="2"/>
            <w:vMerge w:val="continue"/>
            <w:vAlign w:val="center"/>
          </w:tcPr>
          <w:p w14:paraId="3005CF6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008" w:type="dxa"/>
            <w:vMerge w:val="continue"/>
            <w:vAlign w:val="center"/>
          </w:tcPr>
          <w:p w14:paraId="0902E50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20" w:type="dxa"/>
            <w:vAlign w:val="center"/>
          </w:tcPr>
          <w:p w14:paraId="68CC71C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产生量（</w:t>
            </w:r>
            <w:r>
              <w:rPr>
                <w:rFonts w:ascii="Times New Roman" w:hAnsi="Times New Roman" w:eastAsia="Times New Roman" w:cs="Times New Roman"/>
                <w:b/>
                <w:bCs/>
                <w:color w:val="auto"/>
                <w:spacing w:val="0"/>
                <w:sz w:val="21"/>
                <w:szCs w:val="21"/>
              </w:rPr>
              <w:t>t/a</w:t>
            </w:r>
            <w:r>
              <w:rPr>
                <w:b/>
                <w:bCs/>
                <w:color w:val="auto"/>
                <w:spacing w:val="0"/>
                <w:sz w:val="21"/>
                <w:szCs w:val="21"/>
              </w:rPr>
              <w:t>）</w:t>
            </w:r>
          </w:p>
        </w:tc>
        <w:tc>
          <w:tcPr>
            <w:tcW w:w="1033" w:type="dxa"/>
            <w:vAlign w:val="center"/>
          </w:tcPr>
          <w:p w14:paraId="55CDAA4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速率（</w:t>
            </w:r>
            <w:r>
              <w:rPr>
                <w:rFonts w:ascii="Times New Roman" w:hAnsi="Times New Roman" w:eastAsia="Times New Roman" w:cs="Times New Roman"/>
                <w:b/>
                <w:bCs/>
                <w:color w:val="auto"/>
                <w:spacing w:val="0"/>
                <w:sz w:val="21"/>
                <w:szCs w:val="21"/>
              </w:rPr>
              <w:t>kg/h</w:t>
            </w:r>
            <w:r>
              <w:rPr>
                <w:b/>
                <w:bCs/>
                <w:color w:val="auto"/>
                <w:spacing w:val="0"/>
                <w:sz w:val="21"/>
                <w:szCs w:val="21"/>
              </w:rPr>
              <w:t>）</w:t>
            </w:r>
          </w:p>
        </w:tc>
        <w:tc>
          <w:tcPr>
            <w:tcW w:w="1098" w:type="dxa"/>
            <w:vAlign w:val="center"/>
          </w:tcPr>
          <w:p w14:paraId="7AE1CDA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浓度</w:t>
            </w:r>
          </w:p>
          <w:p w14:paraId="45665D7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w:t>
            </w:r>
            <w:r>
              <w:rPr>
                <w:rFonts w:ascii="Times New Roman" w:hAnsi="Times New Roman" w:eastAsia="Times New Roman" w:cs="Times New Roman"/>
                <w:b/>
                <w:bCs/>
                <w:color w:val="auto"/>
                <w:spacing w:val="0"/>
                <w:sz w:val="21"/>
                <w:szCs w:val="21"/>
              </w:rPr>
              <w:t>mg/m</w:t>
            </w:r>
            <w:r>
              <w:rPr>
                <w:rFonts w:ascii="Times New Roman" w:hAnsi="Times New Roman" w:eastAsia="Times New Roman" w:cs="Times New Roman"/>
                <w:b/>
                <w:bCs/>
                <w:color w:val="auto"/>
                <w:spacing w:val="0"/>
                <w:sz w:val="21"/>
                <w:szCs w:val="21"/>
                <w:vertAlign w:val="superscript"/>
              </w:rPr>
              <w:t>3</w:t>
            </w:r>
            <w:r>
              <w:rPr>
                <w:b/>
                <w:bCs/>
                <w:color w:val="auto"/>
                <w:spacing w:val="0"/>
                <w:sz w:val="21"/>
                <w:szCs w:val="21"/>
              </w:rPr>
              <w:t>）</w:t>
            </w:r>
          </w:p>
        </w:tc>
        <w:tc>
          <w:tcPr>
            <w:tcW w:w="1947" w:type="dxa"/>
            <w:vMerge w:val="continue"/>
            <w:vAlign w:val="center"/>
          </w:tcPr>
          <w:p w14:paraId="6B80F14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31" w:type="dxa"/>
            <w:vMerge w:val="continue"/>
            <w:vAlign w:val="center"/>
          </w:tcPr>
          <w:p w14:paraId="245A199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40" w:type="dxa"/>
            <w:vAlign w:val="center"/>
          </w:tcPr>
          <w:p w14:paraId="6E1B5DC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排放量（</w:t>
            </w:r>
            <w:r>
              <w:rPr>
                <w:rFonts w:ascii="Times New Roman" w:hAnsi="Times New Roman" w:eastAsia="Times New Roman" w:cs="Times New Roman"/>
                <w:b/>
                <w:bCs/>
                <w:color w:val="auto"/>
                <w:spacing w:val="0"/>
                <w:sz w:val="21"/>
                <w:szCs w:val="21"/>
              </w:rPr>
              <w:t>t/a</w:t>
            </w:r>
            <w:r>
              <w:rPr>
                <w:b/>
                <w:bCs/>
                <w:color w:val="auto"/>
                <w:spacing w:val="0"/>
                <w:sz w:val="21"/>
                <w:szCs w:val="21"/>
              </w:rPr>
              <w:t>）</w:t>
            </w:r>
          </w:p>
        </w:tc>
        <w:tc>
          <w:tcPr>
            <w:tcW w:w="894" w:type="dxa"/>
            <w:vAlign w:val="center"/>
          </w:tcPr>
          <w:p w14:paraId="6AB0229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速率（</w:t>
            </w:r>
            <w:r>
              <w:rPr>
                <w:rFonts w:ascii="Times New Roman" w:hAnsi="Times New Roman" w:eastAsia="Times New Roman" w:cs="Times New Roman"/>
                <w:b/>
                <w:bCs/>
                <w:color w:val="auto"/>
                <w:spacing w:val="0"/>
                <w:sz w:val="21"/>
                <w:szCs w:val="21"/>
              </w:rPr>
              <w:t>kg/h</w:t>
            </w:r>
            <w:r>
              <w:rPr>
                <w:b/>
                <w:bCs/>
                <w:color w:val="auto"/>
                <w:spacing w:val="0"/>
                <w:sz w:val="21"/>
                <w:szCs w:val="21"/>
              </w:rPr>
              <w:t>）</w:t>
            </w:r>
          </w:p>
        </w:tc>
        <w:tc>
          <w:tcPr>
            <w:tcW w:w="1094" w:type="dxa"/>
            <w:vAlign w:val="center"/>
          </w:tcPr>
          <w:p w14:paraId="5153F5D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浓度</w:t>
            </w:r>
          </w:p>
          <w:p w14:paraId="4648AC7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w:t>
            </w:r>
            <w:r>
              <w:rPr>
                <w:rFonts w:ascii="Times New Roman" w:hAnsi="Times New Roman" w:eastAsia="Times New Roman" w:cs="Times New Roman"/>
                <w:b/>
                <w:bCs/>
                <w:color w:val="auto"/>
                <w:spacing w:val="0"/>
                <w:sz w:val="21"/>
                <w:szCs w:val="21"/>
              </w:rPr>
              <w:t>mg/m</w:t>
            </w:r>
            <w:r>
              <w:rPr>
                <w:rFonts w:ascii="Times New Roman" w:hAnsi="Times New Roman" w:eastAsia="Times New Roman" w:cs="Times New Roman"/>
                <w:b/>
                <w:bCs/>
                <w:color w:val="auto"/>
                <w:spacing w:val="0"/>
                <w:sz w:val="21"/>
                <w:szCs w:val="21"/>
                <w:vertAlign w:val="superscript"/>
              </w:rPr>
              <w:t>3</w:t>
            </w:r>
            <w:r>
              <w:rPr>
                <w:b/>
                <w:bCs/>
                <w:color w:val="auto"/>
                <w:spacing w:val="0"/>
                <w:sz w:val="21"/>
                <w:szCs w:val="21"/>
              </w:rPr>
              <w:t>）</w:t>
            </w:r>
          </w:p>
        </w:tc>
        <w:tc>
          <w:tcPr>
            <w:tcW w:w="925" w:type="dxa"/>
            <w:vAlign w:val="center"/>
          </w:tcPr>
          <w:p w14:paraId="386CDF1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速率（</w:t>
            </w:r>
            <w:r>
              <w:rPr>
                <w:rFonts w:ascii="Times New Roman" w:hAnsi="Times New Roman" w:eastAsia="Times New Roman" w:cs="Times New Roman"/>
                <w:b/>
                <w:bCs/>
                <w:color w:val="auto"/>
                <w:spacing w:val="0"/>
                <w:sz w:val="21"/>
                <w:szCs w:val="21"/>
              </w:rPr>
              <w:t>kg/h</w:t>
            </w:r>
            <w:r>
              <w:rPr>
                <w:b/>
                <w:bCs/>
                <w:color w:val="auto"/>
                <w:spacing w:val="0"/>
                <w:sz w:val="21"/>
                <w:szCs w:val="21"/>
              </w:rPr>
              <w:t>）</w:t>
            </w:r>
          </w:p>
        </w:tc>
        <w:tc>
          <w:tcPr>
            <w:tcW w:w="1052" w:type="dxa"/>
            <w:vAlign w:val="center"/>
          </w:tcPr>
          <w:p w14:paraId="2B97E00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浓度</w:t>
            </w:r>
          </w:p>
          <w:p w14:paraId="174F4FB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w:t>
            </w:r>
            <w:r>
              <w:rPr>
                <w:rFonts w:ascii="Times New Roman" w:hAnsi="Times New Roman" w:eastAsia="Times New Roman" w:cs="Times New Roman"/>
                <w:b/>
                <w:bCs/>
                <w:color w:val="auto"/>
                <w:spacing w:val="0"/>
                <w:sz w:val="21"/>
                <w:szCs w:val="21"/>
              </w:rPr>
              <w:t>mg/m</w:t>
            </w:r>
            <w:r>
              <w:rPr>
                <w:rFonts w:ascii="Times New Roman" w:hAnsi="Times New Roman" w:eastAsia="Times New Roman" w:cs="Times New Roman"/>
                <w:b/>
                <w:bCs/>
                <w:color w:val="auto"/>
                <w:spacing w:val="0"/>
                <w:sz w:val="21"/>
                <w:szCs w:val="21"/>
                <w:vertAlign w:val="superscript"/>
              </w:rPr>
              <w:t>3</w:t>
            </w:r>
            <w:r>
              <w:rPr>
                <w:b/>
                <w:bCs/>
                <w:color w:val="auto"/>
                <w:spacing w:val="0"/>
                <w:sz w:val="21"/>
                <w:szCs w:val="21"/>
              </w:rPr>
              <w:t>）</w:t>
            </w:r>
          </w:p>
        </w:tc>
      </w:tr>
      <w:tr w14:paraId="6272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rPr>
        <w:tc>
          <w:tcPr>
            <w:tcW w:w="613" w:type="dxa"/>
            <w:vMerge w:val="restart"/>
            <w:textDirection w:val="tbRlV"/>
            <w:vAlign w:val="center"/>
          </w:tcPr>
          <w:p w14:paraId="1F32FE2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无组织</w:t>
            </w:r>
          </w:p>
        </w:tc>
        <w:tc>
          <w:tcPr>
            <w:tcW w:w="1101" w:type="dxa"/>
            <w:vMerge w:val="restart"/>
            <w:vAlign w:val="center"/>
          </w:tcPr>
          <w:p w14:paraId="2339D0B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内燃机废气</w:t>
            </w:r>
          </w:p>
        </w:tc>
        <w:tc>
          <w:tcPr>
            <w:tcW w:w="1008" w:type="dxa"/>
            <w:vAlign w:val="center"/>
          </w:tcPr>
          <w:p w14:paraId="5B56E5F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颗粒物</w:t>
            </w:r>
          </w:p>
        </w:tc>
        <w:tc>
          <w:tcPr>
            <w:tcW w:w="1120" w:type="dxa"/>
            <w:vAlign w:val="center"/>
          </w:tcPr>
          <w:p w14:paraId="1C6F309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0.6462 </w:t>
            </w:r>
          </w:p>
        </w:tc>
        <w:tc>
          <w:tcPr>
            <w:tcW w:w="1033" w:type="dxa"/>
            <w:vAlign w:val="center"/>
          </w:tcPr>
          <w:p w14:paraId="02BBCABF">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0.2448 </w:t>
            </w:r>
          </w:p>
        </w:tc>
        <w:tc>
          <w:tcPr>
            <w:tcW w:w="1098" w:type="dxa"/>
            <w:vAlign w:val="center"/>
          </w:tcPr>
          <w:p w14:paraId="27CD4AF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947" w:type="dxa"/>
            <w:vMerge w:val="restart"/>
            <w:vAlign w:val="center"/>
          </w:tcPr>
          <w:p w14:paraId="320FE6F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自然排放、大气稀释扩散、绿化吸收等。</w:t>
            </w:r>
          </w:p>
        </w:tc>
        <w:tc>
          <w:tcPr>
            <w:tcW w:w="931" w:type="dxa"/>
            <w:vMerge w:val="restart"/>
            <w:vAlign w:val="center"/>
          </w:tcPr>
          <w:p w14:paraId="332FF82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0%</w:t>
            </w:r>
          </w:p>
        </w:tc>
        <w:tc>
          <w:tcPr>
            <w:tcW w:w="940" w:type="dxa"/>
            <w:vAlign w:val="center"/>
          </w:tcPr>
          <w:p w14:paraId="70DEA973">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0.6462 </w:t>
            </w:r>
          </w:p>
        </w:tc>
        <w:tc>
          <w:tcPr>
            <w:tcW w:w="894" w:type="dxa"/>
            <w:vAlign w:val="center"/>
          </w:tcPr>
          <w:p w14:paraId="461AC402">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0.2448 </w:t>
            </w:r>
          </w:p>
        </w:tc>
        <w:tc>
          <w:tcPr>
            <w:tcW w:w="1094" w:type="dxa"/>
            <w:vAlign w:val="center"/>
          </w:tcPr>
          <w:p w14:paraId="6345111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25" w:type="dxa"/>
            <w:vAlign w:val="center"/>
          </w:tcPr>
          <w:p w14:paraId="10E44BA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6F58D09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1.0</w:t>
            </w:r>
          </w:p>
        </w:tc>
      </w:tr>
      <w:tr w14:paraId="09A3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trPr>
        <w:tc>
          <w:tcPr>
            <w:tcW w:w="613" w:type="dxa"/>
            <w:vMerge w:val="continue"/>
            <w:textDirection w:val="tbRlV"/>
            <w:vAlign w:val="center"/>
          </w:tcPr>
          <w:p w14:paraId="50DDC15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01" w:type="dxa"/>
            <w:vMerge w:val="continue"/>
            <w:vAlign w:val="center"/>
          </w:tcPr>
          <w:p w14:paraId="1659C1C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008" w:type="dxa"/>
            <w:vAlign w:val="center"/>
          </w:tcPr>
          <w:p w14:paraId="3E84D40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SO</w:t>
            </w:r>
            <w:r>
              <w:rPr>
                <w:rFonts w:ascii="Times New Roman" w:hAnsi="Times New Roman" w:eastAsia="Times New Roman" w:cs="Times New Roman"/>
                <w:color w:val="auto"/>
                <w:spacing w:val="0"/>
                <w:position w:val="-1"/>
                <w:sz w:val="21"/>
                <w:szCs w:val="21"/>
                <w:vertAlign w:val="subscript"/>
              </w:rPr>
              <w:t>2</w:t>
            </w:r>
          </w:p>
        </w:tc>
        <w:tc>
          <w:tcPr>
            <w:tcW w:w="1120" w:type="dxa"/>
            <w:vAlign w:val="center"/>
          </w:tcPr>
          <w:p w14:paraId="25D3B94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0.9862 </w:t>
            </w:r>
          </w:p>
        </w:tc>
        <w:tc>
          <w:tcPr>
            <w:tcW w:w="1033" w:type="dxa"/>
            <w:vAlign w:val="center"/>
          </w:tcPr>
          <w:p w14:paraId="7A08A54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0.3736 </w:t>
            </w:r>
          </w:p>
        </w:tc>
        <w:tc>
          <w:tcPr>
            <w:tcW w:w="1098" w:type="dxa"/>
            <w:vAlign w:val="center"/>
          </w:tcPr>
          <w:p w14:paraId="20F1636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947" w:type="dxa"/>
            <w:vMerge w:val="continue"/>
            <w:vAlign w:val="center"/>
          </w:tcPr>
          <w:p w14:paraId="0046B2C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31" w:type="dxa"/>
            <w:vMerge w:val="continue"/>
            <w:vAlign w:val="center"/>
          </w:tcPr>
          <w:p w14:paraId="72D6E2B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40" w:type="dxa"/>
            <w:vAlign w:val="center"/>
          </w:tcPr>
          <w:p w14:paraId="0A5B8C65">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0.9862 </w:t>
            </w:r>
          </w:p>
        </w:tc>
        <w:tc>
          <w:tcPr>
            <w:tcW w:w="894" w:type="dxa"/>
            <w:vAlign w:val="center"/>
          </w:tcPr>
          <w:p w14:paraId="579097EC">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0.3736 </w:t>
            </w:r>
          </w:p>
        </w:tc>
        <w:tc>
          <w:tcPr>
            <w:tcW w:w="1094" w:type="dxa"/>
            <w:vAlign w:val="center"/>
          </w:tcPr>
          <w:p w14:paraId="0EABE75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25" w:type="dxa"/>
            <w:vAlign w:val="center"/>
          </w:tcPr>
          <w:p w14:paraId="56E2B25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5D722E7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0.4</w:t>
            </w:r>
          </w:p>
        </w:tc>
      </w:tr>
      <w:tr w14:paraId="3924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trPr>
        <w:tc>
          <w:tcPr>
            <w:tcW w:w="613" w:type="dxa"/>
            <w:vMerge w:val="continue"/>
            <w:textDirection w:val="tbRlV"/>
            <w:vAlign w:val="center"/>
          </w:tcPr>
          <w:p w14:paraId="7539197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01" w:type="dxa"/>
            <w:vMerge w:val="continue"/>
            <w:vAlign w:val="center"/>
          </w:tcPr>
          <w:p w14:paraId="62CB11E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008" w:type="dxa"/>
            <w:vAlign w:val="center"/>
          </w:tcPr>
          <w:p w14:paraId="0852255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NOx</w:t>
            </w:r>
          </w:p>
        </w:tc>
        <w:tc>
          <w:tcPr>
            <w:tcW w:w="1120" w:type="dxa"/>
            <w:vAlign w:val="center"/>
          </w:tcPr>
          <w:p w14:paraId="5C8B21CE">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0.8077 </w:t>
            </w:r>
          </w:p>
        </w:tc>
        <w:tc>
          <w:tcPr>
            <w:tcW w:w="1033" w:type="dxa"/>
            <w:vAlign w:val="center"/>
          </w:tcPr>
          <w:p w14:paraId="31B2EB89">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0.3059 </w:t>
            </w:r>
          </w:p>
        </w:tc>
        <w:tc>
          <w:tcPr>
            <w:tcW w:w="1098" w:type="dxa"/>
            <w:vAlign w:val="center"/>
          </w:tcPr>
          <w:p w14:paraId="09716AB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947" w:type="dxa"/>
            <w:vMerge w:val="continue"/>
            <w:vAlign w:val="center"/>
          </w:tcPr>
          <w:p w14:paraId="314ED22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31" w:type="dxa"/>
            <w:vMerge w:val="continue"/>
            <w:vAlign w:val="center"/>
          </w:tcPr>
          <w:p w14:paraId="2AFAC82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40" w:type="dxa"/>
            <w:vAlign w:val="center"/>
          </w:tcPr>
          <w:p w14:paraId="277B8C54">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0.8077 </w:t>
            </w:r>
          </w:p>
        </w:tc>
        <w:tc>
          <w:tcPr>
            <w:tcW w:w="894" w:type="dxa"/>
            <w:vAlign w:val="center"/>
          </w:tcPr>
          <w:p w14:paraId="26C5DF7A">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0.3059 </w:t>
            </w:r>
          </w:p>
        </w:tc>
        <w:tc>
          <w:tcPr>
            <w:tcW w:w="1094" w:type="dxa"/>
            <w:vAlign w:val="center"/>
          </w:tcPr>
          <w:p w14:paraId="1704641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25" w:type="dxa"/>
            <w:vAlign w:val="center"/>
          </w:tcPr>
          <w:p w14:paraId="0DC4080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67B5ACF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0.12</w:t>
            </w:r>
          </w:p>
        </w:tc>
      </w:tr>
      <w:tr w14:paraId="3C18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613" w:type="dxa"/>
            <w:vMerge w:val="continue"/>
            <w:textDirection w:val="tbRlV"/>
            <w:vAlign w:val="center"/>
          </w:tcPr>
          <w:p w14:paraId="50B5AB7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01" w:type="dxa"/>
            <w:vAlign w:val="center"/>
          </w:tcPr>
          <w:p w14:paraId="0830CB1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装卸扬尘</w:t>
            </w:r>
          </w:p>
        </w:tc>
        <w:tc>
          <w:tcPr>
            <w:tcW w:w="1008" w:type="dxa"/>
            <w:vAlign w:val="center"/>
          </w:tcPr>
          <w:p w14:paraId="4EAD209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sz w:val="21"/>
                <w:szCs w:val="21"/>
                <w:lang w:eastAsia="zh-CN"/>
              </w:rPr>
            </w:pPr>
            <w:r>
              <w:rPr>
                <w:rFonts w:hint="eastAsia"/>
                <w:color w:val="auto"/>
                <w:spacing w:val="0"/>
                <w:sz w:val="21"/>
                <w:szCs w:val="21"/>
                <w:lang w:val="en-US" w:eastAsia="zh-CN"/>
              </w:rPr>
              <w:t>扬尘</w:t>
            </w:r>
          </w:p>
        </w:tc>
        <w:tc>
          <w:tcPr>
            <w:tcW w:w="3251" w:type="dxa"/>
            <w:gridSpan w:val="3"/>
            <w:vAlign w:val="center"/>
          </w:tcPr>
          <w:p w14:paraId="36538E7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少量</w:t>
            </w:r>
          </w:p>
        </w:tc>
        <w:tc>
          <w:tcPr>
            <w:tcW w:w="1947" w:type="dxa"/>
            <w:vAlign w:val="center"/>
          </w:tcPr>
          <w:p w14:paraId="5F7C4B7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自然通风、大气稀释扩散。</w:t>
            </w:r>
          </w:p>
        </w:tc>
        <w:tc>
          <w:tcPr>
            <w:tcW w:w="931" w:type="dxa"/>
            <w:vAlign w:val="center"/>
          </w:tcPr>
          <w:p w14:paraId="42704A0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2928" w:type="dxa"/>
            <w:gridSpan w:val="3"/>
            <w:vAlign w:val="center"/>
          </w:tcPr>
          <w:p w14:paraId="2A7308B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少量</w:t>
            </w:r>
          </w:p>
        </w:tc>
        <w:tc>
          <w:tcPr>
            <w:tcW w:w="925" w:type="dxa"/>
            <w:vAlign w:val="center"/>
          </w:tcPr>
          <w:p w14:paraId="5D55C35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49CCBA5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r>
      <w:tr w14:paraId="7F3B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trPr>
        <w:tc>
          <w:tcPr>
            <w:tcW w:w="613" w:type="dxa"/>
            <w:vMerge w:val="continue"/>
            <w:textDirection w:val="tbRlV"/>
            <w:vAlign w:val="center"/>
          </w:tcPr>
          <w:p w14:paraId="1EDD816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01" w:type="dxa"/>
            <w:vMerge w:val="restart"/>
            <w:vAlign w:val="center"/>
          </w:tcPr>
          <w:p w14:paraId="2047F02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汽车尾气</w:t>
            </w:r>
          </w:p>
        </w:tc>
        <w:tc>
          <w:tcPr>
            <w:tcW w:w="1008" w:type="dxa"/>
            <w:vAlign w:val="center"/>
          </w:tcPr>
          <w:p w14:paraId="6154A99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总烃</w:t>
            </w:r>
          </w:p>
        </w:tc>
        <w:tc>
          <w:tcPr>
            <w:tcW w:w="1120" w:type="dxa"/>
            <w:vAlign w:val="center"/>
          </w:tcPr>
          <w:p w14:paraId="7C0277F6">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0.0529</w:t>
            </w:r>
          </w:p>
        </w:tc>
        <w:tc>
          <w:tcPr>
            <w:tcW w:w="1033" w:type="dxa"/>
            <w:vAlign w:val="center"/>
          </w:tcPr>
          <w:p w14:paraId="10CF1CE9">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1098" w:type="dxa"/>
            <w:vAlign w:val="center"/>
          </w:tcPr>
          <w:p w14:paraId="1A9C399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947" w:type="dxa"/>
            <w:vMerge w:val="restart"/>
            <w:vAlign w:val="center"/>
          </w:tcPr>
          <w:p w14:paraId="0AD7334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减速慢行、绿化吸收、大气扩散等。</w:t>
            </w:r>
          </w:p>
        </w:tc>
        <w:tc>
          <w:tcPr>
            <w:tcW w:w="931" w:type="dxa"/>
            <w:vMerge w:val="restart"/>
            <w:vAlign w:val="center"/>
          </w:tcPr>
          <w:p w14:paraId="234F3BA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40" w:type="dxa"/>
            <w:vAlign w:val="center"/>
          </w:tcPr>
          <w:p w14:paraId="2FCB0D7F">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0.0529</w:t>
            </w:r>
          </w:p>
        </w:tc>
        <w:tc>
          <w:tcPr>
            <w:tcW w:w="894" w:type="dxa"/>
            <w:vAlign w:val="center"/>
          </w:tcPr>
          <w:p w14:paraId="52D5927F">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1094" w:type="dxa"/>
            <w:vAlign w:val="center"/>
          </w:tcPr>
          <w:p w14:paraId="71C6BEA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25" w:type="dxa"/>
            <w:vAlign w:val="center"/>
          </w:tcPr>
          <w:p w14:paraId="69C5231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02F38D3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r>
      <w:tr w14:paraId="40C2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trPr>
        <w:tc>
          <w:tcPr>
            <w:tcW w:w="613" w:type="dxa"/>
            <w:vMerge w:val="continue"/>
            <w:textDirection w:val="tbRlV"/>
            <w:vAlign w:val="center"/>
          </w:tcPr>
          <w:p w14:paraId="1E2EEBA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01" w:type="dxa"/>
            <w:vMerge w:val="continue"/>
            <w:vAlign w:val="center"/>
          </w:tcPr>
          <w:p w14:paraId="1CA0CD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008" w:type="dxa"/>
            <w:vAlign w:val="center"/>
          </w:tcPr>
          <w:p w14:paraId="201EC6E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CO</w:t>
            </w:r>
          </w:p>
        </w:tc>
        <w:tc>
          <w:tcPr>
            <w:tcW w:w="1120" w:type="dxa"/>
            <w:vAlign w:val="center"/>
          </w:tcPr>
          <w:p w14:paraId="0CF14D1D">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0.3219</w:t>
            </w:r>
          </w:p>
        </w:tc>
        <w:tc>
          <w:tcPr>
            <w:tcW w:w="1033" w:type="dxa"/>
            <w:vAlign w:val="center"/>
          </w:tcPr>
          <w:p w14:paraId="22EAFC2E">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1098" w:type="dxa"/>
            <w:vAlign w:val="center"/>
          </w:tcPr>
          <w:p w14:paraId="1549788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947" w:type="dxa"/>
            <w:vMerge w:val="continue"/>
            <w:vAlign w:val="center"/>
          </w:tcPr>
          <w:p w14:paraId="4D4746E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31" w:type="dxa"/>
            <w:vMerge w:val="continue"/>
            <w:vAlign w:val="center"/>
          </w:tcPr>
          <w:p w14:paraId="170C141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40" w:type="dxa"/>
            <w:vAlign w:val="center"/>
          </w:tcPr>
          <w:p w14:paraId="163958AB">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0.3219</w:t>
            </w:r>
          </w:p>
        </w:tc>
        <w:tc>
          <w:tcPr>
            <w:tcW w:w="894" w:type="dxa"/>
            <w:vAlign w:val="center"/>
          </w:tcPr>
          <w:p w14:paraId="31F19B71">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1094" w:type="dxa"/>
            <w:vAlign w:val="center"/>
          </w:tcPr>
          <w:p w14:paraId="622ABEA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25" w:type="dxa"/>
            <w:vAlign w:val="center"/>
          </w:tcPr>
          <w:p w14:paraId="577490E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014CF1F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r>
      <w:tr w14:paraId="17E3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613" w:type="dxa"/>
            <w:vMerge w:val="continue"/>
            <w:textDirection w:val="tbRlV"/>
            <w:vAlign w:val="center"/>
          </w:tcPr>
          <w:p w14:paraId="6708145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01" w:type="dxa"/>
            <w:vMerge w:val="continue"/>
            <w:vAlign w:val="center"/>
          </w:tcPr>
          <w:p w14:paraId="621548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008" w:type="dxa"/>
            <w:vAlign w:val="center"/>
          </w:tcPr>
          <w:p w14:paraId="46BEA9F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NOx</w:t>
            </w:r>
          </w:p>
        </w:tc>
        <w:tc>
          <w:tcPr>
            <w:tcW w:w="1120" w:type="dxa"/>
            <w:vAlign w:val="center"/>
          </w:tcPr>
          <w:p w14:paraId="771D7BCE">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0.5292</w:t>
            </w:r>
          </w:p>
        </w:tc>
        <w:tc>
          <w:tcPr>
            <w:tcW w:w="1033" w:type="dxa"/>
            <w:vAlign w:val="center"/>
          </w:tcPr>
          <w:p w14:paraId="17B9764C">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1098" w:type="dxa"/>
            <w:vAlign w:val="center"/>
          </w:tcPr>
          <w:p w14:paraId="7E65F54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947" w:type="dxa"/>
            <w:vMerge w:val="continue"/>
            <w:vAlign w:val="center"/>
          </w:tcPr>
          <w:p w14:paraId="1CF4315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31" w:type="dxa"/>
            <w:vMerge w:val="continue"/>
            <w:vAlign w:val="center"/>
          </w:tcPr>
          <w:p w14:paraId="340B9DB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940" w:type="dxa"/>
            <w:vAlign w:val="center"/>
          </w:tcPr>
          <w:p w14:paraId="484E901C">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0.5292</w:t>
            </w:r>
          </w:p>
        </w:tc>
        <w:tc>
          <w:tcPr>
            <w:tcW w:w="894" w:type="dxa"/>
            <w:vAlign w:val="center"/>
          </w:tcPr>
          <w:p w14:paraId="2B38F163">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1094" w:type="dxa"/>
            <w:vAlign w:val="center"/>
          </w:tcPr>
          <w:p w14:paraId="0E7FAC1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25" w:type="dxa"/>
            <w:vAlign w:val="center"/>
          </w:tcPr>
          <w:p w14:paraId="1C31371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4244A87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r>
      <w:tr w14:paraId="3E72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4" w:hRule="atLeast"/>
        </w:trPr>
        <w:tc>
          <w:tcPr>
            <w:tcW w:w="613" w:type="dxa"/>
            <w:vMerge w:val="continue"/>
            <w:textDirection w:val="tbRlV"/>
            <w:vAlign w:val="center"/>
          </w:tcPr>
          <w:p w14:paraId="1A03753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101" w:type="dxa"/>
            <w:vAlign w:val="center"/>
          </w:tcPr>
          <w:p w14:paraId="07D6A73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道路扬尘</w:t>
            </w:r>
          </w:p>
        </w:tc>
        <w:tc>
          <w:tcPr>
            <w:tcW w:w="1008" w:type="dxa"/>
            <w:vAlign w:val="center"/>
          </w:tcPr>
          <w:p w14:paraId="086EB8E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TSP</w:t>
            </w:r>
          </w:p>
        </w:tc>
        <w:tc>
          <w:tcPr>
            <w:tcW w:w="1120" w:type="dxa"/>
            <w:vAlign w:val="center"/>
          </w:tcPr>
          <w:p w14:paraId="1F2865A2">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11.0410</w:t>
            </w:r>
          </w:p>
        </w:tc>
        <w:tc>
          <w:tcPr>
            <w:tcW w:w="1033" w:type="dxa"/>
            <w:vAlign w:val="center"/>
          </w:tcPr>
          <w:p w14:paraId="691D45A6">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1.3941</w:t>
            </w:r>
          </w:p>
        </w:tc>
        <w:tc>
          <w:tcPr>
            <w:tcW w:w="1098" w:type="dxa"/>
            <w:vAlign w:val="center"/>
          </w:tcPr>
          <w:p w14:paraId="2BC5E84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947" w:type="dxa"/>
            <w:vAlign w:val="center"/>
          </w:tcPr>
          <w:p w14:paraId="6324DF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早、晚各洒水降尘</w:t>
            </w:r>
            <w:r>
              <w:rPr>
                <w:rFonts w:ascii="Times New Roman" w:hAnsi="Times New Roman" w:eastAsia="Times New Roman" w:cs="Times New Roman"/>
                <w:color w:val="auto"/>
                <w:spacing w:val="0"/>
                <w:sz w:val="21"/>
                <w:szCs w:val="21"/>
              </w:rPr>
              <w:t>1</w:t>
            </w:r>
            <w:r>
              <w:rPr>
                <w:color w:val="auto"/>
                <w:spacing w:val="0"/>
                <w:sz w:val="21"/>
                <w:szCs w:val="21"/>
              </w:rPr>
              <w:t>次、定期清扫道路、减速慢行等。</w:t>
            </w:r>
          </w:p>
        </w:tc>
        <w:tc>
          <w:tcPr>
            <w:tcW w:w="931" w:type="dxa"/>
            <w:vAlign w:val="center"/>
          </w:tcPr>
          <w:p w14:paraId="391F4CF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66%</w:t>
            </w:r>
          </w:p>
        </w:tc>
        <w:tc>
          <w:tcPr>
            <w:tcW w:w="940" w:type="dxa"/>
            <w:vAlign w:val="center"/>
          </w:tcPr>
          <w:p w14:paraId="433E8136">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3.7540</w:t>
            </w:r>
          </w:p>
        </w:tc>
        <w:tc>
          <w:tcPr>
            <w:tcW w:w="894" w:type="dxa"/>
            <w:vAlign w:val="center"/>
          </w:tcPr>
          <w:p w14:paraId="2575D823">
            <w:pPr>
              <w:keepNext w:val="0"/>
              <w:keepLines w:val="0"/>
              <w:widowControl/>
              <w:suppressLineNumbers w:val="0"/>
              <w:jc w:val="center"/>
              <w:textAlignment w:val="center"/>
              <w:rPr>
                <w:rFonts w:ascii="Times New Roman" w:hAnsi="Times New Roman" w:eastAsia="Times New Roman" w:cs="Times New Roman"/>
                <w:color w:val="auto"/>
                <w:spacing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0.4740</w:t>
            </w:r>
          </w:p>
        </w:tc>
        <w:tc>
          <w:tcPr>
            <w:tcW w:w="1094" w:type="dxa"/>
            <w:vAlign w:val="center"/>
          </w:tcPr>
          <w:p w14:paraId="2B82DA7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925" w:type="dxa"/>
            <w:vAlign w:val="center"/>
          </w:tcPr>
          <w:p w14:paraId="62591EE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w:t>
            </w:r>
          </w:p>
        </w:tc>
        <w:tc>
          <w:tcPr>
            <w:tcW w:w="1052" w:type="dxa"/>
            <w:vAlign w:val="center"/>
          </w:tcPr>
          <w:p w14:paraId="7601F10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1.0</w:t>
            </w:r>
          </w:p>
        </w:tc>
      </w:tr>
    </w:tbl>
    <w:p w14:paraId="40C7C0A9">
      <w:pPr>
        <w:pStyle w:val="9"/>
        <w:spacing w:before="193" w:line="219" w:lineRule="auto"/>
        <w:ind w:left="17"/>
        <w:outlineLvl w:val="4"/>
        <w:rPr>
          <w:rFonts w:ascii="Times New Roman" w:hAnsi="Times New Roman" w:eastAsia="Times New Roman" w:cs="Times New Roman"/>
          <w:b/>
          <w:bCs/>
          <w:color w:val="auto"/>
          <w:spacing w:val="-2"/>
          <w:sz w:val="24"/>
          <w:szCs w:val="24"/>
        </w:rPr>
        <w:sectPr>
          <w:pgSz w:w="16840" w:h="11907" w:orient="landscape"/>
          <w:pgMar w:top="1800" w:right="1440" w:bottom="1800" w:left="1440" w:header="1134" w:footer="1134" w:gutter="0"/>
          <w:pgBorders w:zOrder="back">
            <w:top w:val="none" w:sz="0" w:space="0"/>
            <w:left w:val="none" w:sz="0" w:space="0"/>
            <w:bottom w:val="none" w:sz="0" w:space="0"/>
            <w:right w:val="none" w:sz="0" w:space="0"/>
          </w:pgBorders>
          <w:pgNumType w:fmt="decimal"/>
          <w:cols w:space="720" w:num="1"/>
          <w:rtlGutter w:val="0"/>
          <w:docGrid w:linePitch="312" w:charSpace="0"/>
        </w:sectPr>
      </w:pPr>
    </w:p>
    <w:p w14:paraId="7CC990D3">
      <w:pPr>
        <w:pStyle w:val="9"/>
        <w:keepNext/>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hint="default" w:ascii="Times New Roman" w:hAnsi="Times New Roman" w:eastAsia="Times New Roman" w:cs="Times New Roman"/>
          <w:b/>
          <w:bCs/>
          <w:color w:val="auto"/>
          <w:spacing w:val="-2"/>
          <w:sz w:val="24"/>
          <w:szCs w:val="24"/>
        </w:rPr>
      </w:pPr>
      <w:r>
        <w:rPr>
          <w:rFonts w:hint="default" w:ascii="Times New Roman" w:hAnsi="Times New Roman" w:eastAsia="Times New Roman" w:cs="Times New Roman"/>
          <w:b/>
          <w:bCs/>
          <w:color w:val="auto"/>
          <w:spacing w:val="-2"/>
          <w:sz w:val="24"/>
          <w:szCs w:val="24"/>
        </w:rPr>
        <w:t>2.</w:t>
      </w:r>
      <w:r>
        <w:rPr>
          <w:rFonts w:hint="eastAsia" w:ascii="Times New Roman" w:hAnsi="Times New Roman" w:eastAsia="Times New Roman"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.2.5 运营期废水</w:t>
      </w:r>
    </w:p>
    <w:p w14:paraId="40413AF6">
      <w:pPr>
        <w:pStyle w:val="9"/>
        <w:keepLines w:val="0"/>
        <w:pageBreakBefore w:val="0"/>
        <w:wordWrap/>
        <w:overflowPunct/>
        <w:topLinePunct w:val="0"/>
        <w:bidi w:val="0"/>
        <w:adjustRightInd/>
        <w:snapToGrid/>
        <w:spacing w:line="360" w:lineRule="auto"/>
        <w:ind w:left="0" w:firstLine="464" w:firstLineChars="200"/>
        <w:rPr>
          <w:color w:val="auto"/>
          <w:sz w:val="24"/>
          <w:szCs w:val="24"/>
        </w:rPr>
      </w:pPr>
      <w:r>
        <w:rPr>
          <w:b/>
          <w:bCs/>
          <w:color w:val="auto"/>
          <w:spacing w:val="-4"/>
          <w:sz w:val="24"/>
          <w:szCs w:val="24"/>
        </w:rPr>
        <w:t>一、废水产生情况</w:t>
      </w:r>
    </w:p>
    <w:p w14:paraId="02780B88">
      <w:pPr>
        <w:keepLines w:val="0"/>
        <w:pageBreakBefore w:val="0"/>
        <w:wordWrap/>
        <w:overflowPunct/>
        <w:topLinePunct w:val="0"/>
        <w:bidi w:val="0"/>
        <w:adjustRightInd/>
        <w:snapToGrid/>
        <w:spacing w:line="360" w:lineRule="auto"/>
        <w:ind w:lef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szCs w:val="24"/>
          <w:lang w:val="en-US" w:eastAsia="zh-CN" w:bidi="ar"/>
        </w:rPr>
        <w:t>本项目运营期用水</w:t>
      </w:r>
      <w:r>
        <w:rPr>
          <w:rFonts w:hint="default" w:ascii="Times New Roman" w:hAnsi="Times New Roman" w:eastAsia="宋体" w:cs="Times New Roman"/>
          <w:color w:val="auto"/>
          <w:sz w:val="24"/>
          <w:szCs w:val="24"/>
        </w:rPr>
        <w:t>主要为办公生活用水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洒水降尘用水和绿化用水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highlight w:val="none"/>
        </w:rPr>
        <w:t>产生废水主要为</w:t>
      </w:r>
      <w:r>
        <w:rPr>
          <w:rFonts w:hint="default" w:ascii="Times New Roman" w:hAnsi="Times New Roman" w:eastAsia="宋体" w:cs="Times New Roman"/>
          <w:color w:val="auto"/>
          <w:sz w:val="24"/>
          <w:highlight w:val="none"/>
          <w:lang w:val="en-US" w:eastAsia="zh-CN"/>
        </w:rPr>
        <w:t>办公</w:t>
      </w:r>
      <w:r>
        <w:rPr>
          <w:rFonts w:hint="default" w:ascii="Times New Roman" w:hAnsi="Times New Roman" w:eastAsia="宋体" w:cs="Times New Roman"/>
          <w:color w:val="auto"/>
          <w:sz w:val="24"/>
          <w:highlight w:val="none"/>
        </w:rPr>
        <w:t>生活</w:t>
      </w:r>
      <w:r>
        <w:rPr>
          <w:rFonts w:hint="default" w:ascii="Times New Roman" w:hAnsi="Times New Roman" w:eastAsia="宋体" w:cs="Times New Roman"/>
          <w:color w:val="auto"/>
          <w:sz w:val="24"/>
          <w:highlight w:val="none"/>
          <w:lang w:val="en-US" w:eastAsia="zh-CN"/>
        </w:rPr>
        <w:t>废水</w:t>
      </w:r>
      <w:r>
        <w:rPr>
          <w:rFonts w:hint="default" w:ascii="Times New Roman" w:hAnsi="Times New Roman" w:eastAsia="宋体" w:cs="Times New Roman"/>
          <w:color w:val="auto"/>
          <w:sz w:val="24"/>
          <w:highlight w:val="none"/>
        </w:rPr>
        <w:t>。</w:t>
      </w:r>
    </w:p>
    <w:p w14:paraId="33773343">
      <w:pPr>
        <w:keepNext/>
        <w:keepLines w:val="0"/>
        <w:pageBreakBefore w:val="0"/>
        <w:widowControl w:val="0"/>
        <w:kinsoku/>
        <w:wordWrap/>
        <w:overflowPunct/>
        <w:topLinePunct w:val="0"/>
        <w:autoSpaceDE/>
        <w:autoSpaceDN/>
        <w:bidi w:val="0"/>
        <w:adjustRightInd/>
        <w:snapToGrid/>
        <w:spacing w:line="360" w:lineRule="auto"/>
        <w:ind w:left="0" w:firstLine="482" w:firstLineChars="200"/>
        <w:jc w:val="both"/>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（1）办公生活用水</w:t>
      </w:r>
    </w:p>
    <w:p w14:paraId="6EBA33BE">
      <w:pPr>
        <w:keepNext w:val="0"/>
        <w:keepLines w:val="0"/>
        <w:pageBreakBefore w:val="0"/>
        <w:widowControl/>
        <w:suppressLineNumbers w:val="0"/>
        <w:wordWrap/>
        <w:overflowPunct/>
        <w:topLinePunct w:val="0"/>
        <w:bidi w:val="0"/>
        <w:spacing w:line="360" w:lineRule="auto"/>
        <w:ind w:firstLine="480" w:firstLineChars="20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Cs/>
          <w:color w:val="auto"/>
          <w:sz w:val="24"/>
          <w:szCs w:val="22"/>
          <w:highlight w:val="none"/>
          <w:lang w:val="en-US" w:eastAsia="zh-CN"/>
        </w:rPr>
        <w:t>本</w:t>
      </w:r>
      <w:r>
        <w:rPr>
          <w:rFonts w:hint="default" w:ascii="Times New Roman" w:hAnsi="Times New Roman" w:eastAsia="宋体" w:cs="Times New Roman"/>
          <w:bCs/>
          <w:color w:val="auto"/>
          <w:sz w:val="24"/>
          <w:szCs w:val="22"/>
          <w:highlight w:val="none"/>
        </w:rPr>
        <w:t>项目员工</w:t>
      </w:r>
      <w:r>
        <w:rPr>
          <w:rFonts w:hint="default" w:ascii="Times New Roman" w:hAnsi="Times New Roman" w:eastAsia="宋体" w:cs="Times New Roman"/>
          <w:bCs/>
          <w:color w:val="auto"/>
          <w:sz w:val="24"/>
          <w:szCs w:val="22"/>
          <w:highlight w:val="none"/>
          <w:lang w:val="en-US" w:eastAsia="zh-CN"/>
        </w:rPr>
        <w:t>约30人，均不</w:t>
      </w:r>
      <w:r>
        <w:rPr>
          <w:rFonts w:hint="default" w:ascii="Times New Roman" w:hAnsi="Times New Roman" w:eastAsia="宋体" w:cs="Times New Roman"/>
          <w:bCs/>
          <w:color w:val="auto"/>
          <w:sz w:val="24"/>
          <w:szCs w:val="22"/>
          <w:highlight w:val="none"/>
          <w:lang w:eastAsia="zh-CN"/>
        </w:rPr>
        <w:t>在项目区</w:t>
      </w:r>
      <w:r>
        <w:rPr>
          <w:rFonts w:hint="default" w:ascii="Times New Roman" w:hAnsi="Times New Roman" w:eastAsia="宋体" w:cs="Times New Roman"/>
          <w:bCs/>
          <w:color w:val="auto"/>
          <w:sz w:val="24"/>
          <w:szCs w:val="22"/>
          <w:highlight w:val="none"/>
          <w:lang w:val="en-US" w:eastAsia="zh-CN"/>
        </w:rPr>
        <w:t>内</w:t>
      </w:r>
      <w:r>
        <w:rPr>
          <w:rFonts w:hint="default" w:ascii="Times New Roman" w:hAnsi="Times New Roman" w:eastAsia="宋体" w:cs="Times New Roman"/>
          <w:bCs/>
          <w:color w:val="auto"/>
          <w:sz w:val="24"/>
          <w:szCs w:val="22"/>
          <w:highlight w:val="none"/>
          <w:lang w:eastAsia="zh-CN"/>
        </w:rPr>
        <w:t>食宿</w:t>
      </w:r>
      <w:r>
        <w:rPr>
          <w:rFonts w:hint="default" w:ascii="Times New Roman" w:hAnsi="Times New Roman" w:eastAsia="宋体" w:cs="Times New Roman"/>
          <w:bCs/>
          <w:color w:val="auto"/>
          <w:sz w:val="24"/>
          <w:szCs w:val="22"/>
          <w:highlight w:val="none"/>
          <w:lang w:val="en-US" w:eastAsia="zh-CN"/>
        </w:rPr>
        <w:t>，用水主要为洗手、冲厕等，</w:t>
      </w:r>
      <w:r>
        <w:rPr>
          <w:rFonts w:hint="eastAsia" w:ascii="Times New Roman" w:hAnsi="Times New Roman" w:eastAsia="宋体" w:cs="Times New Roman"/>
          <w:color w:val="auto"/>
          <w:sz w:val="24"/>
          <w:lang w:val="en-US" w:eastAsia="zh-CN"/>
        </w:rPr>
        <w:t>参考</w:t>
      </w:r>
      <w:r>
        <w:rPr>
          <w:rFonts w:hint="default" w:ascii="Times New Roman" w:hAnsi="Times New Roman" w:eastAsia="宋体" w:cs="Times New Roman"/>
          <w:color w:val="auto"/>
          <w:sz w:val="24"/>
        </w:rPr>
        <w:t>《云南省地方标准用水定额》（DB53/T168-</w:t>
      </w:r>
      <w:r>
        <w:rPr>
          <w:rFonts w:hint="eastAsia" w:ascii="Times New Roman" w:hAnsi="Times New Roman" w:eastAsia="宋体" w:cs="Times New Roman"/>
          <w:color w:val="auto"/>
          <w:sz w:val="24"/>
          <w:lang w:val="en-US" w:eastAsia="zh-CN"/>
        </w:rPr>
        <w:t>2026</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按照员工2次公厕及洗手计算，</w:t>
      </w:r>
      <w:r>
        <w:rPr>
          <w:rFonts w:hint="default" w:ascii="Times New Roman" w:hAnsi="Times New Roman" w:eastAsia="宋体" w:cs="Times New Roman"/>
          <w:color w:val="auto"/>
          <w:sz w:val="24"/>
          <w:lang w:val="en-US" w:eastAsia="zh-CN"/>
        </w:rPr>
        <w:t>员工办公</w:t>
      </w:r>
      <w:r>
        <w:rPr>
          <w:rFonts w:hint="default" w:ascii="Times New Roman" w:hAnsi="Times New Roman" w:eastAsia="宋体" w:cs="Times New Roman"/>
          <w:color w:val="auto"/>
          <w:sz w:val="24"/>
        </w:rPr>
        <w:t>生活用水量</w:t>
      </w:r>
      <w:r>
        <w:rPr>
          <w:rFonts w:hint="default" w:ascii="Times New Roman" w:hAnsi="Times New Roman" w:eastAsia="宋体" w:cs="Times New Roman"/>
          <w:color w:val="auto"/>
          <w:sz w:val="24"/>
          <w:lang w:val="en-US" w:eastAsia="zh-CN"/>
        </w:rPr>
        <w:t>按2</w:t>
      </w:r>
      <w:r>
        <w:rPr>
          <w:rFonts w:hint="default" w:ascii="Times New Roman" w:hAnsi="Times New Roman" w:eastAsia="宋体" w:cs="Times New Roman"/>
          <w:color w:val="auto"/>
          <w:sz w:val="24"/>
        </w:rPr>
        <w:t>0L/（人·d）</w:t>
      </w:r>
      <w:r>
        <w:rPr>
          <w:rFonts w:hint="default" w:ascii="Times New Roman" w:hAnsi="Times New Roman" w:eastAsia="宋体" w:cs="Times New Roman"/>
          <w:color w:val="auto"/>
          <w:sz w:val="24"/>
          <w:lang w:val="en-US" w:eastAsia="zh-CN"/>
        </w:rPr>
        <w:t>计</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则员工办公</w:t>
      </w:r>
      <w:r>
        <w:rPr>
          <w:rFonts w:hint="default" w:ascii="Times New Roman" w:hAnsi="Times New Roman" w:eastAsia="宋体" w:cs="Times New Roman"/>
          <w:color w:val="auto"/>
          <w:sz w:val="24"/>
        </w:rPr>
        <w:t>生活用水量约</w:t>
      </w:r>
      <w:r>
        <w:rPr>
          <w:rFonts w:hint="default" w:ascii="Times New Roman" w:hAnsi="Times New Roman" w:eastAsia="宋体" w:cs="Times New Roman"/>
          <w:color w:val="auto"/>
          <w:sz w:val="24"/>
          <w:lang w:val="en-US" w:eastAsia="zh-CN"/>
        </w:rPr>
        <w:t>0.6</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/d，</w:t>
      </w:r>
      <w:r>
        <w:rPr>
          <w:rFonts w:hint="default" w:ascii="Times New Roman" w:hAnsi="Times New Roman" w:eastAsia="宋体" w:cs="Times New Roman"/>
          <w:color w:val="auto"/>
          <w:sz w:val="24"/>
          <w:lang w:val="en-US" w:eastAsia="zh-CN"/>
        </w:rPr>
        <w:t>219</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/a</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bCs/>
          <w:color w:val="auto"/>
          <w:sz w:val="24"/>
        </w:rPr>
        <w:t>废水量按用水量的</w:t>
      </w:r>
      <w:r>
        <w:rPr>
          <w:rFonts w:hint="default" w:ascii="Times New Roman" w:hAnsi="Times New Roman" w:eastAsia="宋体" w:cs="Times New Roman"/>
          <w:bCs/>
          <w:color w:val="auto"/>
          <w:sz w:val="24"/>
          <w:lang w:val="en-US" w:eastAsia="zh-CN"/>
        </w:rPr>
        <w:t>9</w:t>
      </w:r>
      <w:r>
        <w:rPr>
          <w:rFonts w:hint="default" w:ascii="Times New Roman" w:hAnsi="Times New Roman" w:eastAsia="宋体" w:cs="Times New Roman"/>
          <w:bCs/>
          <w:color w:val="auto"/>
          <w:sz w:val="24"/>
        </w:rPr>
        <w:t>0％计，则</w:t>
      </w:r>
      <w:r>
        <w:rPr>
          <w:rFonts w:hint="default" w:ascii="Times New Roman" w:hAnsi="Times New Roman" w:eastAsia="宋体" w:cs="Times New Roman"/>
          <w:color w:val="auto"/>
          <w:sz w:val="24"/>
        </w:rPr>
        <w:t>员工</w:t>
      </w:r>
      <w:r>
        <w:rPr>
          <w:rFonts w:hint="default" w:ascii="Times New Roman" w:hAnsi="Times New Roman" w:eastAsia="宋体" w:cs="Times New Roman"/>
          <w:color w:val="auto"/>
          <w:sz w:val="24"/>
          <w:lang w:val="en-US" w:eastAsia="zh-CN"/>
        </w:rPr>
        <w:t>办公</w:t>
      </w:r>
      <w:r>
        <w:rPr>
          <w:rFonts w:hint="default" w:ascii="Times New Roman" w:hAnsi="Times New Roman" w:eastAsia="宋体" w:cs="Times New Roman"/>
          <w:color w:val="auto"/>
          <w:sz w:val="24"/>
        </w:rPr>
        <w:t>生活废水量</w:t>
      </w:r>
      <w:r>
        <w:rPr>
          <w:rFonts w:hint="default" w:ascii="Times New Roman" w:hAnsi="Times New Roman" w:eastAsia="宋体" w:cs="Times New Roman"/>
          <w:bCs/>
          <w:color w:val="auto"/>
          <w:sz w:val="24"/>
        </w:rPr>
        <w:t>约</w:t>
      </w:r>
      <w:r>
        <w:rPr>
          <w:rFonts w:hint="default" w:ascii="Times New Roman" w:hAnsi="Times New Roman" w:eastAsia="宋体" w:cs="Times New Roman"/>
          <w:bCs/>
          <w:color w:val="auto"/>
          <w:sz w:val="24"/>
          <w:lang w:val="en-US" w:eastAsia="zh-CN"/>
        </w:rPr>
        <w:t>0.54</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/d，197.1m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/a，</w:t>
      </w:r>
      <w:r>
        <w:rPr>
          <w:rFonts w:hint="default" w:ascii="Times New Roman" w:hAnsi="Times New Roman" w:eastAsia="宋体" w:cs="Times New Roman"/>
          <w:color w:val="auto"/>
          <w:sz w:val="24"/>
          <w:lang w:val="en-US" w:eastAsia="zh-CN"/>
        </w:rPr>
        <w:t>废水中主要污染物为COD、BOD</w:t>
      </w:r>
      <w:r>
        <w:rPr>
          <w:rFonts w:hint="default" w:ascii="Times New Roman" w:hAnsi="Times New Roman" w:eastAsia="宋体" w:cs="Times New Roman"/>
          <w:color w:val="auto"/>
          <w:sz w:val="24"/>
          <w:vertAlign w:val="subscript"/>
          <w:lang w:val="en-US" w:eastAsia="zh-CN"/>
        </w:rPr>
        <w:t>5</w:t>
      </w:r>
      <w:r>
        <w:rPr>
          <w:rFonts w:hint="default" w:ascii="Times New Roman" w:hAnsi="Times New Roman" w:eastAsia="宋体" w:cs="Times New Roman"/>
          <w:color w:val="auto"/>
          <w:sz w:val="24"/>
          <w:lang w:val="en-US" w:eastAsia="zh-CN"/>
        </w:rPr>
        <w:t>、SS、NH</w:t>
      </w:r>
      <w:r>
        <w:rPr>
          <w:rFonts w:hint="default" w:ascii="Times New Roman" w:hAnsi="Times New Roman" w:eastAsia="宋体" w:cs="Times New Roman"/>
          <w:color w:val="auto"/>
          <w:sz w:val="24"/>
          <w:vertAlign w:val="subscript"/>
          <w:lang w:val="en-US" w:eastAsia="zh-CN"/>
        </w:rPr>
        <w:t>3</w:t>
      </w:r>
      <w:r>
        <w:rPr>
          <w:rFonts w:hint="default" w:ascii="Times New Roman" w:hAnsi="Times New Roman" w:eastAsia="宋体" w:cs="Times New Roman"/>
          <w:color w:val="auto"/>
          <w:sz w:val="24"/>
          <w:lang w:val="en-US" w:eastAsia="zh-CN"/>
        </w:rPr>
        <w:t>-N等，</w:t>
      </w:r>
      <w:r>
        <w:rPr>
          <w:rFonts w:hint="eastAsia" w:ascii="Times New Roman" w:hAnsi="Times New Roman" w:eastAsia="宋体" w:cs="Times New Roman"/>
          <w:color w:val="auto"/>
          <w:sz w:val="24"/>
          <w:lang w:val="en-US" w:eastAsia="zh-CN"/>
        </w:rPr>
        <w:t>排入</w:t>
      </w:r>
      <w:r>
        <w:rPr>
          <w:rFonts w:hint="default" w:ascii="Times New Roman" w:hAnsi="Times New Roman" w:eastAsia="宋体" w:cs="Times New Roman"/>
          <w:color w:val="auto"/>
          <w:sz w:val="24"/>
          <w:lang w:val="en-US" w:eastAsia="zh-CN"/>
        </w:rPr>
        <w:t>化粪池处理</w:t>
      </w:r>
      <w:r>
        <w:rPr>
          <w:rFonts w:hint="eastAsia" w:cs="Times New Roman"/>
          <w:color w:val="auto"/>
          <w:sz w:val="24"/>
          <w:lang w:val="en-US" w:eastAsia="zh-CN"/>
        </w:rPr>
        <w:t>后委托环卫部门清运处置</w:t>
      </w:r>
      <w:r>
        <w:rPr>
          <w:rFonts w:hint="default" w:ascii="Times New Roman" w:hAnsi="Times New Roman" w:eastAsia="宋体" w:cs="Times New Roman"/>
          <w:b w:val="0"/>
          <w:bCs w:val="0"/>
          <w:color w:val="auto"/>
          <w:sz w:val="24"/>
          <w:szCs w:val="24"/>
          <w:lang w:val="en-US" w:eastAsia="zh-CN"/>
        </w:rPr>
        <w:t>。</w:t>
      </w:r>
    </w:p>
    <w:p w14:paraId="0693B2AA">
      <w:pPr>
        <w:keepNext w:val="0"/>
        <w:keepLines w:val="0"/>
        <w:widowControl/>
        <w:suppressLineNumbers w:val="0"/>
        <w:spacing w:line="360" w:lineRule="auto"/>
        <w:ind w:firstLine="482" w:firstLineChars="200"/>
        <w:jc w:val="both"/>
        <w:rPr>
          <w:rFonts w:hint="default" w:ascii="Times New Roman" w:hAnsi="Times New Roman" w:eastAsia="宋体" w:cs="Times New Roman"/>
          <w:b/>
          <w:bCs w:val="0"/>
          <w:color w:val="auto"/>
          <w:sz w:val="24"/>
          <w:szCs w:val="22"/>
          <w:highlight w:val="none"/>
          <w:lang w:val="en-US" w:eastAsia="zh-CN"/>
        </w:rPr>
      </w:pPr>
      <w:r>
        <w:rPr>
          <w:rFonts w:hint="default" w:ascii="Times New Roman" w:hAnsi="Times New Roman" w:eastAsia="宋体" w:cs="Times New Roman"/>
          <w:b/>
          <w:bCs w:val="0"/>
          <w:color w:val="auto"/>
          <w:sz w:val="24"/>
          <w:szCs w:val="22"/>
          <w:highlight w:val="none"/>
          <w:lang w:eastAsia="zh-CN"/>
        </w:rPr>
        <w:t>（</w:t>
      </w:r>
      <w:r>
        <w:rPr>
          <w:rFonts w:hint="default" w:ascii="Times New Roman" w:hAnsi="Times New Roman" w:eastAsia="宋体" w:cs="Times New Roman"/>
          <w:b/>
          <w:bCs w:val="0"/>
          <w:color w:val="auto"/>
          <w:sz w:val="24"/>
          <w:szCs w:val="22"/>
          <w:highlight w:val="none"/>
          <w:lang w:val="en-US" w:eastAsia="zh-CN"/>
        </w:rPr>
        <w:t>2</w:t>
      </w:r>
      <w:r>
        <w:rPr>
          <w:rFonts w:hint="default" w:ascii="Times New Roman" w:hAnsi="Times New Roman" w:eastAsia="宋体" w:cs="Times New Roman"/>
          <w:b/>
          <w:bCs w:val="0"/>
          <w:color w:val="auto"/>
          <w:sz w:val="24"/>
          <w:szCs w:val="22"/>
          <w:highlight w:val="none"/>
          <w:lang w:eastAsia="zh-CN"/>
        </w:rPr>
        <w:t>）</w:t>
      </w:r>
      <w:r>
        <w:rPr>
          <w:rFonts w:hint="default" w:ascii="Times New Roman" w:hAnsi="Times New Roman" w:eastAsia="宋体" w:cs="Times New Roman"/>
          <w:b/>
          <w:bCs w:val="0"/>
          <w:color w:val="auto"/>
          <w:sz w:val="24"/>
          <w:szCs w:val="22"/>
          <w:highlight w:val="none"/>
          <w:lang w:val="en-US" w:eastAsia="zh-CN"/>
        </w:rPr>
        <w:t>洒水降尘用水</w:t>
      </w:r>
    </w:p>
    <w:p w14:paraId="40C33B3E">
      <w:pPr>
        <w:keepNext w:val="0"/>
        <w:keepLines w:val="0"/>
        <w:widowControl/>
        <w:suppressLineNumbers w:val="0"/>
        <w:spacing w:line="360" w:lineRule="auto"/>
        <w:ind w:firstLine="480" w:firstLineChars="200"/>
        <w:jc w:val="both"/>
        <w:rPr>
          <w:rFonts w:hint="default" w:ascii="Times New Roman" w:hAnsi="Times New Roman" w:eastAsia="宋体" w:cs="Times New Roman"/>
          <w:bCs/>
          <w:color w:val="auto"/>
          <w:sz w:val="24"/>
          <w:szCs w:val="22"/>
          <w:highlight w:val="none"/>
          <w:lang w:eastAsia="zh-CN"/>
        </w:rPr>
      </w:pPr>
      <w:r>
        <w:rPr>
          <w:rFonts w:hint="default" w:ascii="Times New Roman" w:hAnsi="Times New Roman" w:eastAsia="宋体" w:cs="Times New Roman"/>
          <w:bCs/>
          <w:color w:val="auto"/>
          <w:sz w:val="24"/>
          <w:szCs w:val="22"/>
          <w:highlight w:val="none"/>
          <w:lang w:eastAsia="zh-CN"/>
        </w:rPr>
        <w:t>为了最大程度控制运输产生的扬尘，项目</w:t>
      </w:r>
      <w:r>
        <w:rPr>
          <w:rFonts w:hint="default" w:ascii="Times New Roman" w:hAnsi="Times New Roman" w:eastAsia="宋体" w:cs="Times New Roman"/>
          <w:bCs/>
          <w:color w:val="auto"/>
          <w:sz w:val="24"/>
          <w:szCs w:val="22"/>
          <w:highlight w:val="none"/>
          <w:lang w:val="en-US" w:eastAsia="zh-CN"/>
        </w:rPr>
        <w:t>在</w:t>
      </w:r>
      <w:r>
        <w:rPr>
          <w:rFonts w:hint="default" w:ascii="Times New Roman" w:hAnsi="Times New Roman" w:eastAsia="宋体" w:cs="Times New Roman"/>
          <w:color w:val="auto"/>
          <w:sz w:val="24"/>
        </w:rPr>
        <w:t>晴天时</w:t>
      </w:r>
      <w:r>
        <w:rPr>
          <w:rFonts w:hint="default" w:ascii="Times New Roman" w:hAnsi="Times New Roman" w:eastAsia="宋体" w:cs="Times New Roman"/>
          <w:bCs/>
          <w:color w:val="auto"/>
          <w:sz w:val="24"/>
          <w:szCs w:val="22"/>
          <w:highlight w:val="none"/>
          <w:lang w:eastAsia="zh-CN"/>
        </w:rPr>
        <w:t>需对</w:t>
      </w:r>
      <w:r>
        <w:rPr>
          <w:rFonts w:hint="eastAsia" w:cs="Times New Roman"/>
          <w:bCs/>
          <w:color w:val="auto"/>
          <w:sz w:val="24"/>
          <w:szCs w:val="22"/>
          <w:highlight w:val="none"/>
          <w:lang w:val="en-US" w:eastAsia="zh-CN"/>
        </w:rPr>
        <w:t>运输</w:t>
      </w:r>
      <w:r>
        <w:rPr>
          <w:rFonts w:hint="default" w:ascii="Times New Roman" w:hAnsi="Times New Roman" w:eastAsia="宋体" w:cs="Times New Roman"/>
          <w:bCs/>
          <w:color w:val="auto"/>
          <w:sz w:val="24"/>
          <w:szCs w:val="22"/>
          <w:highlight w:val="none"/>
          <w:lang w:eastAsia="zh-CN"/>
        </w:rPr>
        <w:t>道路进行洒水</w:t>
      </w:r>
      <w:r>
        <w:rPr>
          <w:rFonts w:hint="default" w:ascii="Times New Roman" w:hAnsi="Times New Roman" w:eastAsia="宋体" w:cs="Times New Roman"/>
          <w:bCs/>
          <w:color w:val="auto"/>
          <w:sz w:val="24"/>
          <w:szCs w:val="22"/>
          <w:highlight w:val="none"/>
          <w:lang w:val="en-US" w:eastAsia="zh-CN"/>
        </w:rPr>
        <w:t>降尘</w:t>
      </w:r>
      <w:r>
        <w:rPr>
          <w:rFonts w:hint="default" w:ascii="Times New Roman" w:hAnsi="Times New Roman" w:eastAsia="宋体" w:cs="Times New Roman"/>
          <w:bCs/>
          <w:color w:val="auto"/>
          <w:sz w:val="24"/>
          <w:szCs w:val="22"/>
          <w:highlight w:val="none"/>
          <w:lang w:eastAsia="zh-CN"/>
        </w:rPr>
        <w:t>，</w:t>
      </w:r>
      <w:r>
        <w:rPr>
          <w:rFonts w:hint="default" w:ascii="Times New Roman" w:hAnsi="Times New Roman" w:eastAsia="宋体" w:cs="Times New Roman"/>
          <w:color w:val="auto"/>
          <w:sz w:val="24"/>
        </w:rPr>
        <w:t>雨天不需要洒水抑尘，洒水降尘</w:t>
      </w:r>
      <w:r>
        <w:rPr>
          <w:rFonts w:hint="default" w:ascii="Times New Roman" w:hAnsi="Times New Roman" w:eastAsia="宋体" w:cs="Times New Roman"/>
          <w:color w:val="auto"/>
          <w:sz w:val="24"/>
          <w:lang w:eastAsia="zh-CN"/>
        </w:rPr>
        <w:t>总</w:t>
      </w:r>
      <w:r>
        <w:rPr>
          <w:rFonts w:hint="default" w:ascii="Times New Roman" w:hAnsi="Times New Roman" w:eastAsia="宋体" w:cs="Times New Roman"/>
          <w:color w:val="auto"/>
          <w:sz w:val="24"/>
        </w:rPr>
        <w:t>面积</w:t>
      </w:r>
      <w:r>
        <w:rPr>
          <w:rFonts w:hint="default" w:ascii="Times New Roman" w:hAnsi="Times New Roman" w:eastAsia="宋体" w:cs="Times New Roman"/>
          <w:color w:val="auto"/>
          <w:sz w:val="24"/>
          <w:lang w:val="en-US" w:eastAsia="zh-CN"/>
        </w:rPr>
        <w:t>为4500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highlight w:val="none"/>
        </w:rPr>
        <w:t>根据</w:t>
      </w:r>
      <w:r>
        <w:rPr>
          <w:rFonts w:hint="default" w:ascii="Times New Roman" w:hAnsi="Times New Roman" w:eastAsia="宋体" w:cs="Times New Roman"/>
          <w:caps w:val="0"/>
          <w:snapToGrid w:val="0"/>
          <w:color w:val="auto"/>
          <w:spacing w:val="0"/>
          <w:w w:val="100"/>
          <w:position w:val="0"/>
          <w:sz w:val="24"/>
          <w:szCs w:val="24"/>
          <w:highlight w:val="none"/>
        </w:rPr>
        <w:t>《云南省地方标准用水定额》（DB53/T 168-</w:t>
      </w:r>
      <w:r>
        <w:rPr>
          <w:rFonts w:hint="eastAsia" w:ascii="Times New Roman" w:hAnsi="Times New Roman" w:eastAsia="宋体" w:cs="Times New Roman"/>
          <w:color w:val="auto"/>
          <w:sz w:val="24"/>
          <w:lang w:val="en-US" w:eastAsia="zh-CN"/>
        </w:rPr>
        <w:t>2026</w:t>
      </w:r>
      <w:r>
        <w:rPr>
          <w:rFonts w:hint="default" w:ascii="Times New Roman" w:hAnsi="Times New Roman" w:eastAsia="宋体" w:cs="Times New Roman"/>
          <w:caps w:val="0"/>
          <w:snapToGrid w:val="0"/>
          <w:color w:val="auto"/>
          <w:spacing w:val="0"/>
          <w:w w:val="100"/>
          <w:position w:val="0"/>
          <w:sz w:val="24"/>
          <w:szCs w:val="24"/>
          <w:highlight w:val="none"/>
        </w:rPr>
        <w:t>）</w:t>
      </w:r>
      <w:r>
        <w:rPr>
          <w:rFonts w:hint="default" w:ascii="Times New Roman" w:hAnsi="Times New Roman" w:eastAsia="宋体" w:cs="Times New Roman"/>
          <w:color w:val="auto"/>
          <w:sz w:val="24"/>
          <w:highlight w:val="none"/>
        </w:rPr>
        <w:t>中场地浇洒</w:t>
      </w:r>
      <w:r>
        <w:rPr>
          <w:rFonts w:hint="default" w:ascii="Times New Roman" w:hAnsi="Times New Roman" w:eastAsia="宋体" w:cs="Times New Roman"/>
          <w:color w:val="auto"/>
          <w:sz w:val="24"/>
          <w:lang w:eastAsia="zh-CN"/>
        </w:rPr>
        <w:t>用水量按</w:t>
      </w:r>
      <w:r>
        <w:rPr>
          <w:rFonts w:hint="default" w:ascii="Times New Roman" w:hAnsi="Times New Roman" w:eastAsia="宋体" w:cs="Times New Roman"/>
          <w:color w:val="auto"/>
          <w:sz w:val="24"/>
          <w:highlight w:val="none"/>
        </w:rPr>
        <w:t>2L/（m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rPr>
        <w:t>次）</w:t>
      </w:r>
      <w:r>
        <w:rPr>
          <w:rFonts w:hint="default" w:ascii="Times New Roman" w:hAnsi="Times New Roman" w:eastAsia="宋体" w:cs="Times New Roman"/>
          <w:color w:val="auto"/>
          <w:sz w:val="24"/>
          <w:lang w:val="en-US" w:eastAsia="zh-CN"/>
        </w:rPr>
        <w:t>计</w:t>
      </w:r>
      <w:r>
        <w:rPr>
          <w:rFonts w:hint="default" w:ascii="Times New Roman" w:hAnsi="Times New Roman" w:eastAsia="宋体" w:cs="Times New Roman"/>
          <w:color w:val="auto"/>
          <w:sz w:val="24"/>
        </w:rPr>
        <w:t>，每天</w:t>
      </w:r>
      <w:r>
        <w:rPr>
          <w:rFonts w:hint="default" w:ascii="Times New Roman" w:hAnsi="Times New Roman" w:eastAsia="宋体" w:cs="Times New Roman"/>
          <w:color w:val="auto"/>
          <w:sz w:val="24"/>
          <w:highlight w:val="none"/>
          <w:lang w:val="en-US" w:eastAsia="zh-CN"/>
        </w:rPr>
        <w:t>洒1</w:t>
      </w:r>
      <w:r>
        <w:rPr>
          <w:rFonts w:hint="default" w:ascii="Times New Roman" w:hAnsi="Times New Roman" w:eastAsia="宋体" w:cs="Times New Roman"/>
          <w:color w:val="auto"/>
          <w:sz w:val="24"/>
          <w:highlight w:val="none"/>
        </w:rPr>
        <w:t>次，</w:t>
      </w:r>
      <w:r>
        <w:rPr>
          <w:rFonts w:hint="default" w:ascii="Times New Roman" w:hAnsi="Times New Roman" w:eastAsia="宋体" w:cs="Times New Roman"/>
          <w:color w:val="auto"/>
          <w:kern w:val="0"/>
          <w:sz w:val="24"/>
          <w:lang w:eastAsia="zh-CN"/>
        </w:rPr>
        <w:t>通过查阅</w:t>
      </w:r>
      <w:r>
        <w:rPr>
          <w:rFonts w:hint="default" w:ascii="Times New Roman" w:hAnsi="Times New Roman" w:eastAsia="宋体" w:cs="Times New Roman"/>
          <w:color w:val="auto"/>
          <w:kern w:val="0"/>
          <w:sz w:val="24"/>
          <w:lang w:val="en-US" w:eastAsia="zh-CN"/>
        </w:rPr>
        <w:t>沾益区</w:t>
      </w:r>
      <w:r>
        <w:rPr>
          <w:rFonts w:hint="default" w:ascii="Times New Roman" w:hAnsi="Times New Roman" w:eastAsia="宋体" w:cs="Times New Roman"/>
          <w:color w:val="auto"/>
          <w:kern w:val="0"/>
          <w:sz w:val="24"/>
          <w:lang w:eastAsia="zh-CN"/>
        </w:rPr>
        <w:t>多年气象参数，</w:t>
      </w:r>
      <w:r>
        <w:rPr>
          <w:rFonts w:hint="default" w:ascii="Times New Roman" w:hAnsi="Times New Roman" w:eastAsia="宋体" w:cs="Times New Roman"/>
          <w:color w:val="auto"/>
          <w:kern w:val="0"/>
          <w:sz w:val="24"/>
          <w:lang w:val="en-US" w:eastAsia="zh-CN"/>
        </w:rPr>
        <w:t>沾益区</w:t>
      </w:r>
      <w:r>
        <w:rPr>
          <w:rFonts w:hint="default" w:ascii="Times New Roman" w:hAnsi="Times New Roman" w:eastAsia="宋体" w:cs="Times New Roman"/>
          <w:bCs/>
          <w:color w:val="auto"/>
          <w:sz w:val="24"/>
          <w:szCs w:val="24"/>
          <w:lang w:eastAsia="zh-CN"/>
        </w:rPr>
        <w:t>年均</w:t>
      </w:r>
      <w:r>
        <w:rPr>
          <w:rFonts w:hint="default" w:ascii="Times New Roman" w:hAnsi="Times New Roman" w:eastAsia="宋体" w:cs="Times New Roman"/>
          <w:bCs/>
          <w:color w:val="auto"/>
          <w:sz w:val="24"/>
          <w:lang w:eastAsia="zh-CN"/>
        </w:rPr>
        <w:t>晴天</w:t>
      </w:r>
      <w:r>
        <w:rPr>
          <w:rFonts w:hint="default" w:ascii="Times New Roman" w:hAnsi="Times New Roman" w:eastAsia="宋体" w:cs="Times New Roman"/>
          <w:bCs/>
          <w:color w:val="auto"/>
          <w:sz w:val="24"/>
        </w:rPr>
        <w:t>约</w:t>
      </w:r>
      <w:r>
        <w:rPr>
          <w:rFonts w:hint="default" w:ascii="Times New Roman" w:hAnsi="Times New Roman" w:eastAsia="宋体" w:cs="Times New Roman"/>
          <w:bCs/>
          <w:color w:val="auto"/>
          <w:sz w:val="24"/>
          <w:lang w:val="en-US" w:eastAsia="zh-CN"/>
        </w:rPr>
        <w:t>210</w:t>
      </w:r>
      <w:r>
        <w:rPr>
          <w:rFonts w:hint="default" w:ascii="Times New Roman" w:hAnsi="Times New Roman" w:eastAsia="宋体" w:cs="Times New Roman"/>
          <w:bCs/>
          <w:color w:val="auto"/>
          <w:sz w:val="24"/>
        </w:rPr>
        <w:t>天</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color w:val="auto"/>
          <w:sz w:val="24"/>
          <w:szCs w:val="24"/>
          <w:lang w:eastAsia="zh-CN"/>
        </w:rPr>
        <w:t>则晴天</w:t>
      </w:r>
      <w:r>
        <w:rPr>
          <w:rFonts w:hint="default" w:ascii="Times New Roman" w:hAnsi="Times New Roman" w:eastAsia="宋体" w:cs="Times New Roman"/>
          <w:color w:val="auto"/>
          <w:sz w:val="24"/>
          <w:szCs w:val="24"/>
          <w:highlight w:val="none"/>
        </w:rPr>
        <w:t>洒水</w:t>
      </w:r>
      <w:r>
        <w:rPr>
          <w:rFonts w:hint="default" w:ascii="Times New Roman" w:hAnsi="Times New Roman" w:eastAsia="宋体" w:cs="Times New Roman"/>
          <w:color w:val="auto"/>
          <w:sz w:val="24"/>
          <w:szCs w:val="24"/>
        </w:rPr>
        <w:t>降尘用水量</w:t>
      </w:r>
      <w:r>
        <w:rPr>
          <w:rFonts w:hint="default" w:ascii="Times New Roman" w:hAnsi="Times New Roman" w:eastAsia="宋体" w:cs="Times New Roman"/>
          <w:color w:val="auto"/>
          <w:sz w:val="24"/>
          <w:szCs w:val="24"/>
          <w:lang w:eastAsia="zh-CN"/>
        </w:rPr>
        <w:t>约</w:t>
      </w:r>
      <w:r>
        <w:rPr>
          <w:rFonts w:hint="default"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/d，</w:t>
      </w:r>
      <w:r>
        <w:rPr>
          <w:rFonts w:hint="default" w:ascii="Times New Roman" w:hAnsi="Times New Roman" w:eastAsia="宋体" w:cs="Times New Roman"/>
          <w:color w:val="auto"/>
          <w:sz w:val="24"/>
          <w:szCs w:val="24"/>
          <w:lang w:val="en-US" w:eastAsia="zh-CN"/>
        </w:rPr>
        <w:t>1890</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/a</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color w:val="auto"/>
          <w:sz w:val="24"/>
          <w:szCs w:val="24"/>
        </w:rPr>
        <w:t>洒水降尘用水</w:t>
      </w:r>
      <w:r>
        <w:rPr>
          <w:rFonts w:hint="default" w:ascii="Times New Roman" w:hAnsi="Times New Roman" w:eastAsia="宋体" w:cs="Times New Roman"/>
          <w:color w:val="auto"/>
          <w:sz w:val="24"/>
          <w:lang w:eastAsia="zh-CN"/>
        </w:rPr>
        <w:t>全部蒸发</w:t>
      </w:r>
      <w:r>
        <w:rPr>
          <w:rFonts w:hint="default" w:ascii="Times New Roman" w:hAnsi="Times New Roman" w:eastAsia="宋体" w:cs="Times New Roman"/>
          <w:color w:val="auto"/>
          <w:sz w:val="24"/>
          <w:lang w:val="en-US" w:eastAsia="zh-CN"/>
        </w:rPr>
        <w:t>或下渗</w:t>
      </w:r>
      <w:r>
        <w:rPr>
          <w:rFonts w:hint="default" w:ascii="Times New Roman" w:hAnsi="Times New Roman" w:eastAsia="宋体" w:cs="Times New Roman"/>
          <w:color w:val="auto"/>
          <w:sz w:val="24"/>
          <w:lang w:eastAsia="zh-CN"/>
        </w:rPr>
        <w:t>，无废水产生。</w:t>
      </w:r>
    </w:p>
    <w:p w14:paraId="29809D55">
      <w:pPr>
        <w:adjustRightInd/>
        <w:snapToGrid/>
        <w:spacing w:line="360" w:lineRule="auto"/>
        <w:ind w:firstLine="482" w:firstLineChars="200"/>
        <w:jc w:val="both"/>
        <w:outlineLvl w:val="9"/>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绿化用水</w:t>
      </w:r>
    </w:p>
    <w:p w14:paraId="08B1E008">
      <w:pPr>
        <w:spacing w:line="360" w:lineRule="auto"/>
        <w:ind w:firstLine="480" w:firstLineChars="200"/>
        <w:jc w:val="both"/>
        <w:outlineLvl w:val="9"/>
        <w:rPr>
          <w:rFonts w:hint="default" w:ascii="Times New Roman" w:hAnsi="Times New Roman" w:eastAsia="宋体" w:cs="Times New Roman"/>
          <w:bCs/>
          <w:color w:val="auto"/>
          <w:sz w:val="24"/>
          <w:highlight w:val="none"/>
        </w:rPr>
      </w:pPr>
      <w:r>
        <w:rPr>
          <w:rFonts w:hint="default" w:ascii="Times New Roman" w:hAnsi="Times New Roman" w:eastAsia="宋体" w:cs="Times New Roman"/>
          <w:color w:val="auto"/>
          <w:sz w:val="24"/>
          <w:szCs w:val="24"/>
          <w:highlight w:val="none"/>
          <w:shd w:val="clear" w:color="auto" w:fill="auto"/>
          <w:lang w:eastAsia="zh-CN"/>
        </w:rPr>
        <w:t>本</w:t>
      </w:r>
      <w:r>
        <w:rPr>
          <w:rFonts w:hint="default" w:ascii="Times New Roman" w:hAnsi="Times New Roman" w:eastAsia="宋体" w:cs="Times New Roman"/>
          <w:color w:val="auto"/>
          <w:sz w:val="24"/>
          <w:szCs w:val="24"/>
          <w:highlight w:val="none"/>
          <w:shd w:val="clear" w:color="auto" w:fill="auto"/>
        </w:rPr>
        <w:t>项目</w:t>
      </w:r>
      <w:r>
        <w:rPr>
          <w:rFonts w:hint="default" w:ascii="Times New Roman" w:hAnsi="Times New Roman" w:eastAsia="宋体" w:cs="Times New Roman"/>
          <w:color w:val="auto"/>
          <w:sz w:val="24"/>
          <w:szCs w:val="24"/>
          <w:highlight w:val="none"/>
          <w:lang w:val="en-US" w:eastAsia="zh-CN"/>
        </w:rPr>
        <w:t>绿化面积6537.27</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lang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Cs/>
          <w:color w:val="auto"/>
          <w:sz w:val="24"/>
          <w:highlight w:val="none"/>
          <w:lang w:eastAsia="zh-CN"/>
        </w:rPr>
        <w:t>晴天每天浇一次水，</w:t>
      </w:r>
      <w:r>
        <w:rPr>
          <w:rFonts w:hint="default" w:ascii="Times New Roman" w:hAnsi="Times New Roman" w:eastAsia="宋体" w:cs="Times New Roman"/>
          <w:color w:val="auto"/>
          <w:sz w:val="24"/>
          <w:highlight w:val="none"/>
        </w:rPr>
        <w:t>根据《云南省地方标准用水定额》（</w:t>
      </w:r>
      <w:r>
        <w:rPr>
          <w:rFonts w:hint="default" w:ascii="Times New Roman" w:hAnsi="Times New Roman" w:eastAsia="宋体" w:cs="Times New Roman"/>
          <w:caps w:val="0"/>
          <w:snapToGrid w:val="0"/>
          <w:color w:val="auto"/>
          <w:spacing w:val="0"/>
          <w:w w:val="100"/>
          <w:position w:val="0"/>
          <w:sz w:val="24"/>
          <w:szCs w:val="24"/>
          <w:highlight w:val="none"/>
        </w:rPr>
        <w:t>DB53/T 168-</w:t>
      </w:r>
      <w:r>
        <w:rPr>
          <w:rFonts w:hint="eastAsia" w:ascii="Times New Roman" w:hAnsi="Times New Roman" w:eastAsia="宋体" w:cs="Times New Roman"/>
          <w:color w:val="auto"/>
          <w:sz w:val="24"/>
          <w:lang w:val="en-US" w:eastAsia="zh-CN"/>
        </w:rPr>
        <w:t>2026</w:t>
      </w:r>
      <w:r>
        <w:rPr>
          <w:rFonts w:hint="default" w:ascii="Times New Roman" w:hAnsi="Times New Roman" w:eastAsia="宋体" w:cs="Times New Roman"/>
          <w:color w:val="auto"/>
          <w:sz w:val="24"/>
          <w:highlight w:val="none"/>
        </w:rPr>
        <w:t>）标准，</w:t>
      </w:r>
      <w:r>
        <w:rPr>
          <w:rFonts w:hint="default" w:ascii="Times New Roman" w:hAnsi="Times New Roman" w:eastAsia="宋体" w:cs="Times New Roman"/>
          <w:color w:val="auto"/>
          <w:kern w:val="0"/>
          <w:sz w:val="24"/>
          <w:highlight w:val="none"/>
        </w:rPr>
        <w:t>晴天绿化用水量以</w:t>
      </w:r>
      <w:r>
        <w:rPr>
          <w:rFonts w:hint="eastAsia" w:ascii="Times New Roman" w:hAnsi="Times New Roman" w:eastAsia="宋体" w:cs="Times New Roman"/>
          <w:color w:val="auto"/>
          <w:kern w:val="0"/>
          <w:sz w:val="24"/>
          <w:highlight w:val="none"/>
          <w:lang w:val="en-US" w:eastAsia="zh-CN"/>
        </w:rPr>
        <w:t>2.6</w:t>
      </w:r>
      <w:r>
        <w:rPr>
          <w:rFonts w:hint="default" w:ascii="Times New Roman" w:hAnsi="Times New Roman" w:eastAsia="宋体" w:cs="Times New Roman"/>
          <w:color w:val="auto"/>
          <w:kern w:val="0"/>
          <w:sz w:val="24"/>
          <w:highlight w:val="none"/>
        </w:rPr>
        <w:t>L/</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m</w:t>
      </w:r>
      <w:r>
        <w:rPr>
          <w:rFonts w:hint="default" w:ascii="Times New Roman" w:hAnsi="Times New Roman" w:eastAsia="宋体" w:cs="Times New Roman"/>
          <w:color w:val="auto"/>
          <w:kern w:val="0"/>
          <w:sz w:val="24"/>
          <w:highlight w:val="none"/>
          <w:vertAlign w:val="superscript"/>
        </w:rPr>
        <w:t>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次</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kern w:val="0"/>
          <w:sz w:val="24"/>
          <w:highlight w:val="none"/>
        </w:rPr>
        <w:t>计，</w:t>
      </w:r>
      <w:r>
        <w:rPr>
          <w:rFonts w:hint="default" w:ascii="Times New Roman" w:hAnsi="Times New Roman" w:eastAsia="宋体" w:cs="Times New Roman"/>
          <w:color w:val="auto"/>
          <w:kern w:val="0"/>
          <w:sz w:val="24"/>
          <w:highlight w:val="none"/>
          <w:lang w:val="en-US" w:eastAsia="zh-CN"/>
        </w:rPr>
        <w:t>根据</w:t>
      </w:r>
      <w:r>
        <w:rPr>
          <w:rFonts w:hint="default" w:ascii="Times New Roman" w:hAnsi="Times New Roman" w:eastAsia="宋体" w:cs="Times New Roman"/>
          <w:color w:val="auto"/>
          <w:kern w:val="0"/>
          <w:sz w:val="24"/>
          <w:highlight w:val="none"/>
          <w:lang w:eastAsia="zh-CN"/>
        </w:rPr>
        <w:t>查阅</w:t>
      </w:r>
      <w:r>
        <w:rPr>
          <w:rFonts w:hint="default" w:ascii="Times New Roman" w:hAnsi="Times New Roman" w:eastAsia="宋体" w:cs="Times New Roman"/>
          <w:color w:val="auto"/>
          <w:kern w:val="0"/>
          <w:sz w:val="24"/>
          <w:highlight w:val="none"/>
          <w:lang w:val="en-US" w:eastAsia="zh-CN"/>
        </w:rPr>
        <w:t>沾益区</w:t>
      </w:r>
      <w:r>
        <w:rPr>
          <w:rFonts w:hint="default" w:ascii="Times New Roman" w:hAnsi="Times New Roman" w:eastAsia="宋体" w:cs="Times New Roman"/>
          <w:color w:val="auto"/>
          <w:kern w:val="0"/>
          <w:sz w:val="24"/>
          <w:highlight w:val="none"/>
          <w:lang w:eastAsia="zh-CN"/>
        </w:rPr>
        <w:t>多年气象参数，</w:t>
      </w:r>
      <w:r>
        <w:rPr>
          <w:rFonts w:hint="default" w:ascii="Times New Roman" w:hAnsi="Times New Roman" w:eastAsia="宋体" w:cs="Times New Roman"/>
          <w:color w:val="auto"/>
          <w:kern w:val="0"/>
          <w:sz w:val="24"/>
          <w:highlight w:val="none"/>
          <w:lang w:val="en-US" w:eastAsia="zh-CN"/>
        </w:rPr>
        <w:t>沾益区</w:t>
      </w:r>
      <w:r>
        <w:rPr>
          <w:rFonts w:hint="default" w:ascii="Times New Roman" w:hAnsi="Times New Roman" w:eastAsia="宋体" w:cs="Times New Roman"/>
          <w:bCs/>
          <w:color w:val="auto"/>
          <w:sz w:val="24"/>
          <w:szCs w:val="24"/>
          <w:highlight w:val="none"/>
          <w:lang w:eastAsia="zh-CN"/>
        </w:rPr>
        <w:t>年均雨天</w:t>
      </w:r>
      <w:r>
        <w:rPr>
          <w:rFonts w:hint="default" w:ascii="Times New Roman" w:hAnsi="Times New Roman" w:eastAsia="宋体" w:cs="Times New Roman"/>
          <w:bCs/>
          <w:color w:val="auto"/>
          <w:sz w:val="24"/>
          <w:highlight w:val="none"/>
        </w:rPr>
        <w:t>约</w:t>
      </w:r>
      <w:r>
        <w:rPr>
          <w:rFonts w:hint="default" w:ascii="Times New Roman" w:hAnsi="Times New Roman" w:eastAsia="宋体" w:cs="Times New Roman"/>
          <w:bCs/>
          <w:color w:val="auto"/>
          <w:sz w:val="24"/>
          <w:highlight w:val="none"/>
          <w:lang w:val="en-US" w:eastAsia="zh-CN"/>
        </w:rPr>
        <w:t>155</w:t>
      </w:r>
      <w:r>
        <w:rPr>
          <w:rFonts w:hint="default" w:ascii="Times New Roman" w:hAnsi="Times New Roman" w:eastAsia="宋体" w:cs="Times New Roman"/>
          <w:bCs/>
          <w:color w:val="auto"/>
          <w:sz w:val="24"/>
          <w:highlight w:val="none"/>
        </w:rPr>
        <w:t>天，</w:t>
      </w:r>
      <w:r>
        <w:rPr>
          <w:rFonts w:hint="default" w:ascii="Times New Roman" w:hAnsi="Times New Roman" w:eastAsia="宋体" w:cs="Times New Roman"/>
          <w:bCs/>
          <w:color w:val="auto"/>
          <w:sz w:val="24"/>
          <w:highlight w:val="none"/>
          <w:lang w:eastAsia="zh-CN"/>
        </w:rPr>
        <w:t>晴天</w:t>
      </w:r>
      <w:r>
        <w:rPr>
          <w:rFonts w:hint="default" w:ascii="Times New Roman" w:hAnsi="Times New Roman" w:eastAsia="宋体" w:cs="Times New Roman"/>
          <w:bCs/>
          <w:color w:val="auto"/>
          <w:sz w:val="24"/>
          <w:highlight w:val="none"/>
        </w:rPr>
        <w:t>约</w:t>
      </w:r>
      <w:r>
        <w:rPr>
          <w:rFonts w:hint="default" w:ascii="Times New Roman" w:hAnsi="Times New Roman" w:eastAsia="宋体" w:cs="Times New Roman"/>
          <w:bCs/>
          <w:color w:val="auto"/>
          <w:sz w:val="24"/>
          <w:highlight w:val="none"/>
          <w:lang w:val="en-US" w:eastAsia="zh-CN"/>
        </w:rPr>
        <w:t>210</w:t>
      </w:r>
      <w:r>
        <w:rPr>
          <w:rFonts w:hint="default" w:ascii="Times New Roman" w:hAnsi="Times New Roman" w:eastAsia="宋体" w:cs="Times New Roman"/>
          <w:bCs/>
          <w:color w:val="auto"/>
          <w:sz w:val="24"/>
          <w:highlight w:val="none"/>
        </w:rPr>
        <w:t>天</w:t>
      </w:r>
      <w:r>
        <w:rPr>
          <w:rFonts w:hint="default" w:ascii="Times New Roman" w:hAnsi="Times New Roman" w:eastAsia="宋体" w:cs="Times New Roman"/>
          <w:bCs/>
          <w:color w:val="auto"/>
          <w:sz w:val="24"/>
          <w:highlight w:val="none"/>
          <w:lang w:eastAsia="zh-CN"/>
        </w:rPr>
        <w:t>，则本</w:t>
      </w:r>
      <w:r>
        <w:rPr>
          <w:rFonts w:hint="default" w:ascii="Times New Roman" w:hAnsi="Times New Roman" w:eastAsia="宋体" w:cs="Times New Roman"/>
          <w:bCs/>
          <w:color w:val="auto"/>
          <w:sz w:val="24"/>
          <w:highlight w:val="none"/>
        </w:rPr>
        <w:t>项目</w:t>
      </w:r>
      <w:r>
        <w:rPr>
          <w:rFonts w:hint="default" w:ascii="Times New Roman" w:hAnsi="Times New Roman" w:eastAsia="宋体" w:cs="Times New Roman"/>
          <w:bCs/>
          <w:color w:val="auto"/>
          <w:sz w:val="24"/>
          <w:highlight w:val="none"/>
          <w:lang w:val="en-US" w:eastAsia="zh-CN"/>
        </w:rPr>
        <w:t>晴天</w:t>
      </w:r>
      <w:r>
        <w:rPr>
          <w:rFonts w:hint="default" w:ascii="Times New Roman" w:hAnsi="Times New Roman" w:eastAsia="宋体" w:cs="Times New Roman"/>
          <w:bCs/>
          <w:color w:val="auto"/>
          <w:sz w:val="24"/>
          <w:highlight w:val="none"/>
        </w:rPr>
        <w:t>绿化用水</w:t>
      </w:r>
      <w:r>
        <w:rPr>
          <w:rFonts w:hint="default" w:ascii="Times New Roman" w:hAnsi="Times New Roman" w:eastAsia="宋体" w:cs="Times New Roman"/>
          <w:bCs/>
          <w:color w:val="auto"/>
          <w:sz w:val="24"/>
          <w:highlight w:val="none"/>
          <w:lang w:val="en-US" w:eastAsia="zh-CN"/>
        </w:rPr>
        <w:t>量</w:t>
      </w:r>
      <w:r>
        <w:rPr>
          <w:rFonts w:hint="default" w:ascii="Times New Roman" w:hAnsi="Times New Roman" w:eastAsia="宋体" w:cs="Times New Roman"/>
          <w:bCs/>
          <w:color w:val="auto"/>
          <w:sz w:val="24"/>
          <w:highlight w:val="none"/>
          <w:lang w:eastAsia="zh-CN"/>
        </w:rPr>
        <w:t>约</w:t>
      </w:r>
      <w:r>
        <w:rPr>
          <w:rFonts w:hint="eastAsia" w:ascii="Times New Roman" w:hAnsi="Times New Roman" w:eastAsia="宋体" w:cs="Times New Roman"/>
          <w:bCs/>
          <w:color w:val="auto"/>
          <w:sz w:val="24"/>
          <w:highlight w:val="none"/>
          <w:lang w:val="en-US" w:eastAsia="zh-CN"/>
        </w:rPr>
        <w:t>16.70</w:t>
      </w:r>
      <w:r>
        <w:rPr>
          <w:rFonts w:hint="default" w:ascii="Times New Roman" w:hAnsi="Times New Roman" w:eastAsia="宋体" w:cs="Times New Roman"/>
          <w:bCs/>
          <w:color w:val="auto"/>
          <w:sz w:val="24"/>
          <w:highlight w:val="none"/>
        </w:rPr>
        <w:t>m³/d，</w:t>
      </w:r>
      <w:r>
        <w:rPr>
          <w:rFonts w:hint="eastAsia" w:ascii="Times New Roman" w:hAnsi="Times New Roman" w:eastAsia="宋体" w:cs="Times New Roman"/>
          <w:bCs/>
          <w:color w:val="auto"/>
          <w:sz w:val="24"/>
          <w:highlight w:val="none"/>
          <w:lang w:val="en-US" w:eastAsia="zh-CN"/>
        </w:rPr>
        <w:t>3507</w:t>
      </w:r>
      <w:r>
        <w:rPr>
          <w:rFonts w:hint="default" w:ascii="Times New Roman" w:hAnsi="Times New Roman" w:eastAsia="宋体" w:cs="Times New Roman"/>
          <w:bCs/>
          <w:color w:val="auto"/>
          <w:sz w:val="24"/>
          <w:highlight w:val="none"/>
        </w:rPr>
        <w:t>m³/a，绿化用水全部消耗，无废水产生。</w:t>
      </w:r>
    </w:p>
    <w:p w14:paraId="6D5D37F2">
      <w:pPr>
        <w:adjustRightInd/>
        <w:snapToGrid/>
        <w:spacing w:line="360" w:lineRule="auto"/>
        <w:ind w:firstLine="482" w:firstLineChars="200"/>
        <w:jc w:val="both"/>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szCs w:val="24"/>
          <w:highlight w:val="none"/>
        </w:rPr>
        <w:t>初期雨水</w:t>
      </w:r>
    </w:p>
    <w:p w14:paraId="0EED3DD1">
      <w:pPr>
        <w:adjustRightInd/>
        <w:snapToGrid/>
        <w:spacing w:line="360" w:lineRule="auto"/>
        <w:ind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本项目运营期项目区在雨季雨水的冲刷下会有一定量的地表径流产生，</w:t>
      </w:r>
      <w:r>
        <w:rPr>
          <w:rFonts w:hint="default" w:ascii="Times New Roman" w:hAnsi="Times New Roman" w:eastAsia="宋体" w:cs="Times New Roman"/>
          <w:color w:val="auto"/>
          <w:sz w:val="24"/>
        </w:rPr>
        <w:t>雨水中还有较多泥沙和污染物，在雨水冲刷作用下，随雨水直接进入地表水体，将一定程度对水体造成污染。所以</w:t>
      </w:r>
      <w:r>
        <w:rPr>
          <w:rFonts w:hint="default" w:ascii="Times New Roman" w:hAnsi="Times New Roman" w:eastAsia="宋体" w:cs="Times New Roman"/>
          <w:color w:val="auto"/>
          <w:sz w:val="24"/>
          <w:szCs w:val="24"/>
          <w:highlight w:val="none"/>
          <w:lang w:val="en-US" w:eastAsia="zh-CN"/>
        </w:rPr>
        <w:t>在项目区周围设置雨水沟、</w:t>
      </w:r>
      <w:r>
        <w:rPr>
          <w:rFonts w:hint="eastAsia" w:cs="Times New Roman"/>
          <w:color w:val="auto"/>
          <w:kern w:val="1"/>
          <w:sz w:val="24"/>
          <w:szCs w:val="24"/>
          <w:highlight w:val="none"/>
          <w:lang w:eastAsia="zh-CN"/>
        </w:rPr>
        <w:t>初期雨水收集池</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初期雨水</w:t>
      </w:r>
      <w:r>
        <w:rPr>
          <w:rFonts w:hint="default" w:ascii="Times New Roman" w:hAnsi="Times New Roman" w:eastAsia="宋体" w:cs="Times New Roman"/>
          <w:color w:val="auto"/>
          <w:sz w:val="24"/>
          <w:szCs w:val="24"/>
          <w:highlight w:val="none"/>
          <w:lang w:val="en-US" w:eastAsia="zh-CN"/>
        </w:rPr>
        <w:t>经雨水沟收集排</w:t>
      </w:r>
      <w:r>
        <w:rPr>
          <w:rFonts w:hint="eastAsia" w:cs="Times New Roman"/>
          <w:color w:val="auto"/>
          <w:kern w:val="1"/>
          <w:sz w:val="24"/>
          <w:szCs w:val="24"/>
          <w:highlight w:val="none"/>
          <w:lang w:eastAsia="zh-CN"/>
        </w:rPr>
        <w:t>初期雨水收集池</w:t>
      </w:r>
      <w:r>
        <w:rPr>
          <w:rFonts w:hint="default" w:ascii="Times New Roman" w:hAnsi="Times New Roman" w:eastAsia="宋体" w:cs="Times New Roman"/>
          <w:color w:val="auto"/>
          <w:sz w:val="24"/>
          <w:szCs w:val="24"/>
          <w:highlight w:val="none"/>
          <w:lang w:val="en-US" w:eastAsia="zh-CN"/>
        </w:rPr>
        <w:t>处理。</w:t>
      </w:r>
    </w:p>
    <w:p w14:paraId="00572F95">
      <w:pPr>
        <w:spacing w:line="360" w:lineRule="auto"/>
        <w:ind w:firstLine="480" w:firstLineChars="200"/>
        <w:jc w:val="both"/>
        <w:rPr>
          <w:rFonts w:hint="default" w:ascii="Times New Roman" w:hAnsi="Times New Roman" w:eastAsia="宋体" w:cs="Times New Roman"/>
          <w:color w:val="auto"/>
          <w:kern w:val="1"/>
          <w:sz w:val="24"/>
          <w:szCs w:val="24"/>
          <w:highlight w:val="none"/>
        </w:rPr>
      </w:pPr>
      <w:r>
        <w:rPr>
          <w:rFonts w:hint="default" w:ascii="Times New Roman" w:hAnsi="Times New Roman" w:eastAsia="宋体" w:cs="Times New Roman"/>
          <w:color w:val="auto"/>
          <w:kern w:val="1"/>
          <w:sz w:val="24"/>
          <w:szCs w:val="24"/>
          <w:highlight w:val="none"/>
        </w:rPr>
        <w:t>雨天</w:t>
      </w:r>
      <w:r>
        <w:rPr>
          <w:rFonts w:hint="default" w:ascii="Times New Roman" w:hAnsi="Times New Roman" w:eastAsia="宋体" w:cs="Times New Roman"/>
          <w:color w:val="auto"/>
          <w:kern w:val="1"/>
          <w:sz w:val="24"/>
          <w:szCs w:val="24"/>
          <w:highlight w:val="none"/>
          <w:lang w:eastAsia="zh-CN"/>
        </w:rPr>
        <w:t>项目</w:t>
      </w:r>
      <w:r>
        <w:rPr>
          <w:rFonts w:hint="default" w:ascii="Times New Roman" w:hAnsi="Times New Roman" w:eastAsia="宋体" w:cs="Times New Roman"/>
          <w:color w:val="auto"/>
          <w:kern w:val="1"/>
          <w:sz w:val="24"/>
          <w:szCs w:val="24"/>
          <w:highlight w:val="none"/>
        </w:rPr>
        <w:t>区降水产生量与</w:t>
      </w:r>
      <w:r>
        <w:rPr>
          <w:rFonts w:hint="default" w:ascii="Times New Roman" w:hAnsi="Times New Roman" w:eastAsia="宋体" w:cs="Times New Roman"/>
          <w:color w:val="auto"/>
          <w:sz w:val="24"/>
          <w:szCs w:val="24"/>
          <w:highlight w:val="none"/>
          <w:lang w:val="en-US" w:eastAsia="zh-CN"/>
        </w:rPr>
        <w:t>项目区</w:t>
      </w:r>
      <w:r>
        <w:rPr>
          <w:rFonts w:hint="default" w:ascii="Times New Roman" w:hAnsi="Times New Roman" w:eastAsia="宋体" w:cs="Times New Roman"/>
          <w:color w:val="auto"/>
          <w:kern w:val="1"/>
          <w:sz w:val="24"/>
          <w:szCs w:val="24"/>
          <w:highlight w:val="none"/>
        </w:rPr>
        <w:t>面积和当地的降雨强度有关，</w:t>
      </w:r>
      <w:r>
        <w:rPr>
          <w:rFonts w:hint="default" w:ascii="Times New Roman" w:hAnsi="Times New Roman" w:eastAsia="宋体" w:cs="Times New Roman"/>
          <w:color w:val="auto"/>
          <w:kern w:val="0"/>
          <w:sz w:val="24"/>
          <w:highlight w:val="none"/>
          <w:lang w:val="en-US" w:eastAsia="zh-CN"/>
        </w:rPr>
        <w:t>根据</w:t>
      </w:r>
      <w:r>
        <w:rPr>
          <w:rFonts w:hint="default" w:ascii="Times New Roman" w:hAnsi="Times New Roman" w:eastAsia="宋体" w:cs="Times New Roman"/>
          <w:color w:val="auto"/>
          <w:kern w:val="0"/>
          <w:sz w:val="24"/>
          <w:highlight w:val="none"/>
          <w:lang w:eastAsia="zh-CN"/>
        </w:rPr>
        <w:t>查阅</w:t>
      </w:r>
      <w:r>
        <w:rPr>
          <w:rFonts w:hint="default" w:ascii="Times New Roman" w:hAnsi="Times New Roman" w:eastAsia="宋体" w:cs="Times New Roman"/>
          <w:color w:val="auto"/>
          <w:kern w:val="0"/>
          <w:sz w:val="24"/>
          <w:highlight w:val="none"/>
          <w:lang w:val="en-US" w:eastAsia="zh-CN"/>
        </w:rPr>
        <w:t>沾益区</w:t>
      </w:r>
      <w:r>
        <w:rPr>
          <w:rFonts w:hint="default" w:ascii="Times New Roman" w:hAnsi="Times New Roman" w:eastAsia="宋体" w:cs="Times New Roman"/>
          <w:color w:val="auto"/>
          <w:kern w:val="0"/>
          <w:sz w:val="24"/>
          <w:highlight w:val="none"/>
          <w:lang w:eastAsia="zh-CN"/>
        </w:rPr>
        <w:t>多年气象参数，</w:t>
      </w:r>
      <w:r>
        <w:rPr>
          <w:rFonts w:hint="default" w:ascii="Times New Roman" w:hAnsi="Times New Roman" w:eastAsia="宋体" w:cs="Times New Roman"/>
          <w:color w:val="auto"/>
          <w:kern w:val="0"/>
          <w:sz w:val="24"/>
          <w:highlight w:val="none"/>
          <w:lang w:val="en-US" w:eastAsia="zh-CN"/>
        </w:rPr>
        <w:t>沾益区</w:t>
      </w:r>
      <w:r>
        <w:rPr>
          <w:rFonts w:hint="default" w:ascii="Times New Roman" w:hAnsi="Times New Roman" w:eastAsia="宋体" w:cs="Times New Roman"/>
          <w:bCs/>
          <w:color w:val="auto"/>
          <w:sz w:val="24"/>
          <w:szCs w:val="24"/>
          <w:highlight w:val="none"/>
          <w:lang w:eastAsia="zh-CN"/>
        </w:rPr>
        <w:t>年均雨天</w:t>
      </w:r>
      <w:r>
        <w:rPr>
          <w:rFonts w:hint="default" w:ascii="Times New Roman" w:hAnsi="Times New Roman" w:eastAsia="宋体" w:cs="Times New Roman"/>
          <w:bCs/>
          <w:color w:val="auto"/>
          <w:sz w:val="24"/>
          <w:highlight w:val="none"/>
        </w:rPr>
        <w:t>约</w:t>
      </w:r>
      <w:r>
        <w:rPr>
          <w:rFonts w:hint="default" w:ascii="Times New Roman" w:hAnsi="Times New Roman" w:eastAsia="宋体" w:cs="Times New Roman"/>
          <w:bCs/>
          <w:color w:val="auto"/>
          <w:sz w:val="24"/>
          <w:highlight w:val="none"/>
          <w:lang w:val="en-US" w:eastAsia="zh-CN"/>
        </w:rPr>
        <w:t>155</w:t>
      </w:r>
      <w:r>
        <w:rPr>
          <w:rFonts w:hint="default" w:ascii="Times New Roman" w:hAnsi="Times New Roman" w:eastAsia="宋体" w:cs="Times New Roman"/>
          <w:bCs/>
          <w:color w:val="auto"/>
          <w:sz w:val="24"/>
          <w:highlight w:val="none"/>
        </w:rPr>
        <w:t>天</w:t>
      </w:r>
      <w:r>
        <w:rPr>
          <w:rFonts w:hint="default" w:ascii="Times New Roman" w:hAnsi="Times New Roman" w:cs="Times New Roman"/>
          <w:bCs/>
          <w:color w:val="auto"/>
          <w:sz w:val="24"/>
          <w:highlight w:val="none"/>
          <w:lang w:eastAsia="zh-CN"/>
        </w:rPr>
        <w:t>，</w:t>
      </w:r>
      <w:r>
        <w:rPr>
          <w:rFonts w:hint="default" w:ascii="Times New Roman" w:hAnsi="Times New Roman" w:eastAsia="宋体" w:cs="Times New Roman"/>
          <w:color w:val="auto"/>
          <w:kern w:val="0"/>
          <w:sz w:val="24"/>
          <w:szCs w:val="24"/>
          <w:highlight w:val="none"/>
          <w:lang w:val="en-US" w:eastAsia="zh-CN" w:bidi="ar"/>
        </w:rPr>
        <w:t>项目汇水面积约</w:t>
      </w:r>
      <w:r>
        <w:rPr>
          <w:rFonts w:hint="default" w:ascii="Times New Roman" w:hAnsi="Times New Roman" w:cs="Times New Roman"/>
          <w:color w:val="auto"/>
          <w:sz w:val="24"/>
          <w:szCs w:val="24"/>
          <w:lang w:val="en-US" w:eastAsia="zh-CN"/>
        </w:rPr>
        <w:t>9.9</w:t>
      </w:r>
      <w:r>
        <w:rPr>
          <w:rFonts w:hint="default" w:ascii="Times New Roman" w:hAnsi="Times New Roman" w:eastAsia="宋体" w:cs="Times New Roman"/>
          <w:color w:val="auto"/>
          <w:kern w:val="0"/>
          <w:sz w:val="24"/>
          <w:szCs w:val="24"/>
          <w:highlight w:val="none"/>
          <w:lang w:val="en-US" w:eastAsia="zh-CN" w:bidi="ar"/>
        </w:rPr>
        <w:t>hm</w:t>
      </w:r>
      <w:r>
        <w:rPr>
          <w:rFonts w:hint="default" w:ascii="Times New Roman" w:hAnsi="Times New Roman" w:eastAsia="宋体" w:cs="Times New Roman"/>
          <w:color w:val="auto"/>
          <w:kern w:val="0"/>
          <w:sz w:val="24"/>
          <w:szCs w:val="24"/>
          <w:highlight w:val="none"/>
          <w:vertAlign w:val="super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w:t>
      </w:r>
    </w:p>
    <w:p w14:paraId="2ABB7BAF">
      <w:pPr>
        <w:spacing w:line="360" w:lineRule="auto"/>
        <w:ind w:firstLine="480" w:firstLineChars="200"/>
        <w:jc w:val="both"/>
        <w:rPr>
          <w:rFonts w:hint="default" w:ascii="Times New Roman" w:hAnsi="Times New Roman" w:eastAsia="宋体" w:cs="Times New Roman"/>
          <w:color w:val="auto"/>
          <w:kern w:val="1"/>
          <w:sz w:val="24"/>
          <w:szCs w:val="24"/>
          <w:highlight w:val="none"/>
          <w:lang w:eastAsia="zh-CN"/>
        </w:rPr>
      </w:pPr>
      <w:r>
        <w:rPr>
          <w:rFonts w:hint="default" w:ascii="Times New Roman" w:hAnsi="Times New Roman" w:eastAsia="宋体" w:cs="Times New Roman"/>
          <w:color w:val="auto"/>
          <w:kern w:val="1"/>
          <w:sz w:val="24"/>
          <w:szCs w:val="24"/>
          <w:highlight w:val="none"/>
        </w:rPr>
        <w:t>根据设计要求，</w:t>
      </w:r>
      <w:r>
        <w:rPr>
          <w:rFonts w:hint="eastAsia" w:cs="Times New Roman"/>
          <w:color w:val="auto"/>
          <w:kern w:val="1"/>
          <w:sz w:val="24"/>
          <w:szCs w:val="24"/>
          <w:highlight w:val="none"/>
          <w:lang w:eastAsia="zh-CN"/>
        </w:rPr>
        <w:t>初期雨水收集池</w:t>
      </w:r>
      <w:r>
        <w:rPr>
          <w:rFonts w:hint="default" w:ascii="Times New Roman" w:hAnsi="Times New Roman" w:eastAsia="宋体" w:cs="Times New Roman"/>
          <w:color w:val="auto"/>
          <w:kern w:val="1"/>
          <w:sz w:val="24"/>
          <w:szCs w:val="24"/>
          <w:highlight w:val="none"/>
        </w:rPr>
        <w:t>按初期雨水量进行设计，考虑前期15min的降雨量。查阅GB50014-20</w:t>
      </w:r>
      <w:r>
        <w:rPr>
          <w:rFonts w:hint="default" w:ascii="Times New Roman" w:hAnsi="Times New Roman" w:eastAsia="宋体" w:cs="Times New Roman"/>
          <w:color w:val="auto"/>
          <w:kern w:val="1"/>
          <w:sz w:val="24"/>
          <w:szCs w:val="24"/>
          <w:highlight w:val="none"/>
          <w:lang w:val="en-US" w:eastAsia="zh-CN"/>
        </w:rPr>
        <w:t>21</w:t>
      </w:r>
      <w:r>
        <w:rPr>
          <w:rFonts w:hint="default" w:ascii="Times New Roman" w:hAnsi="Times New Roman" w:eastAsia="宋体" w:cs="Times New Roman"/>
          <w:color w:val="auto"/>
          <w:kern w:val="1"/>
          <w:sz w:val="24"/>
          <w:szCs w:val="24"/>
          <w:highlight w:val="none"/>
        </w:rPr>
        <w:t>《室外排水设计规范》，项目地面</w:t>
      </w:r>
      <w:r>
        <w:rPr>
          <w:rFonts w:hint="default" w:ascii="Times New Roman" w:hAnsi="Times New Roman" w:eastAsia="宋体" w:cs="Times New Roman"/>
          <w:color w:val="auto"/>
          <w:kern w:val="1"/>
          <w:sz w:val="24"/>
          <w:szCs w:val="24"/>
          <w:highlight w:val="none"/>
          <w:lang w:val="en-US" w:eastAsia="zh-CN"/>
        </w:rPr>
        <w:t>为混凝土路面</w:t>
      </w:r>
      <w:r>
        <w:rPr>
          <w:rFonts w:hint="default" w:ascii="Times New Roman" w:hAnsi="Times New Roman" w:eastAsia="宋体" w:cs="Times New Roman"/>
          <w:color w:val="auto"/>
          <w:kern w:val="1"/>
          <w:sz w:val="24"/>
          <w:szCs w:val="24"/>
          <w:highlight w:val="none"/>
        </w:rPr>
        <w:t>径流系数取</w:t>
      </w:r>
      <w:r>
        <w:rPr>
          <w:rFonts w:hint="default" w:ascii="Times New Roman" w:hAnsi="Times New Roman" w:eastAsia="宋体" w:cs="Times New Roman"/>
          <w:iCs/>
          <w:color w:val="auto"/>
          <w:sz w:val="24"/>
          <w:szCs w:val="24"/>
          <w:highlight w:val="none"/>
        </w:rPr>
        <w:t>0.</w:t>
      </w:r>
      <w:r>
        <w:rPr>
          <w:rFonts w:hint="default" w:ascii="Times New Roman" w:hAnsi="Times New Roman" w:eastAsia="宋体" w:cs="Times New Roman"/>
          <w:iCs/>
          <w:color w:val="auto"/>
          <w:sz w:val="24"/>
          <w:szCs w:val="24"/>
          <w:highlight w:val="none"/>
          <w:lang w:val="en-US" w:eastAsia="zh-CN"/>
        </w:rPr>
        <w:t>9</w:t>
      </w:r>
      <w:r>
        <w:rPr>
          <w:rFonts w:hint="default" w:ascii="Times New Roman" w:hAnsi="Times New Roman" w:eastAsia="宋体" w:cs="Times New Roman"/>
          <w:color w:val="auto"/>
          <w:kern w:val="0"/>
          <w:sz w:val="24"/>
          <w:szCs w:val="24"/>
          <w:highlight w:val="none"/>
          <w:lang w:val="en-US" w:eastAsia="zh-CN" w:bidi="ar"/>
        </w:rPr>
        <w:t>。</w:t>
      </w:r>
    </w:p>
    <w:p w14:paraId="0E3C1FCE">
      <w:pPr>
        <w:widowControl w:val="0"/>
        <w:spacing w:beforeLines="0" w:afterLines="0" w:line="360" w:lineRule="auto"/>
        <w:ind w:right="96" w:firstLine="480" w:firstLineChars="200"/>
        <w:jc w:val="both"/>
        <w:rPr>
          <w:rFonts w:hint="default" w:ascii="Times New Roman" w:hAnsi="Times New Roman" w:eastAsia="宋体" w:cs="Times New Roman"/>
          <w:caps w:val="0"/>
          <w:snapToGrid w:val="0"/>
          <w:color w:val="auto"/>
          <w:spacing w:val="0"/>
          <w:w w:val="100"/>
          <w:kern w:val="2"/>
          <w:position w:val="0"/>
          <w:sz w:val="24"/>
          <w:szCs w:val="24"/>
          <w:lang w:val="en-US" w:eastAsia="zh-CN" w:bidi="ar-SA"/>
        </w:rPr>
      </w:pP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 xml:space="preserve">暴雨强度公式参照沾益暴雨强度公式进行计算： </w:t>
      </w:r>
    </w:p>
    <w:p w14:paraId="60F4F446">
      <w:pPr>
        <w:widowControl w:val="0"/>
        <w:spacing w:beforeLines="0" w:afterLines="0" w:line="360" w:lineRule="auto"/>
        <w:ind w:left="108" w:right="96" w:firstLine="480" w:firstLineChars="200"/>
        <w:jc w:val="center"/>
        <w:rPr>
          <w:rFonts w:hint="default" w:ascii="Times New Roman" w:hAnsi="Times New Roman" w:eastAsia="宋体" w:cs="Times New Roman"/>
          <w:caps w:val="0"/>
          <w:snapToGrid w:val="0"/>
          <w:color w:val="auto"/>
          <w:spacing w:val="0"/>
          <w:w w:val="100"/>
          <w:kern w:val="2"/>
          <w:position w:val="0"/>
          <w:sz w:val="24"/>
          <w:szCs w:val="24"/>
          <w:vertAlign w:val="superscript"/>
          <w:lang w:val="en-US" w:eastAsia="zh-CN" w:bidi="ar-SA"/>
        </w:rPr>
      </w:pP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q=2355</w:t>
      </w:r>
      <w:r>
        <w:rPr>
          <w:rFonts w:hint="eastAsia" w:cs="Times New Roman"/>
          <w:caps w:val="0"/>
          <w:snapToGrid w:val="0"/>
          <w:color w:val="auto"/>
          <w:spacing w:val="0"/>
          <w:w w:val="100"/>
          <w:kern w:val="2"/>
          <w:position w:val="0"/>
          <w:sz w:val="24"/>
          <w:szCs w:val="24"/>
          <w:lang w:val="en-US" w:eastAsia="zh-CN" w:bidi="ar-SA"/>
        </w:rPr>
        <w:t>(</w:t>
      </w: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1+0.654lgP</w:t>
      </w:r>
      <w:r>
        <w:rPr>
          <w:rFonts w:hint="eastAsia" w:cs="Times New Roman"/>
          <w:caps w:val="0"/>
          <w:snapToGrid w:val="0"/>
          <w:color w:val="auto"/>
          <w:spacing w:val="0"/>
          <w:w w:val="100"/>
          <w:kern w:val="2"/>
          <w:position w:val="0"/>
          <w:sz w:val="24"/>
          <w:szCs w:val="24"/>
          <w:lang w:val="en-US" w:eastAsia="zh-CN" w:bidi="ar-SA"/>
        </w:rPr>
        <w:t>)</w:t>
      </w: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w:t>
      </w:r>
      <w:r>
        <w:rPr>
          <w:rFonts w:hint="eastAsia" w:cs="Times New Roman"/>
          <w:caps w:val="0"/>
          <w:snapToGrid w:val="0"/>
          <w:color w:val="auto"/>
          <w:spacing w:val="0"/>
          <w:w w:val="100"/>
          <w:kern w:val="2"/>
          <w:position w:val="0"/>
          <w:sz w:val="24"/>
          <w:szCs w:val="24"/>
          <w:lang w:val="en-US" w:eastAsia="zh-CN" w:bidi="ar-SA"/>
        </w:rPr>
        <w:t>(</w:t>
      </w: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t+9.4P</w:t>
      </w:r>
      <w:r>
        <w:rPr>
          <w:rFonts w:hint="default" w:ascii="Times New Roman" w:hAnsi="Times New Roman" w:eastAsia="宋体" w:cs="Times New Roman"/>
          <w:caps w:val="0"/>
          <w:snapToGrid w:val="0"/>
          <w:color w:val="auto"/>
          <w:spacing w:val="0"/>
          <w:w w:val="100"/>
          <w:kern w:val="2"/>
          <w:position w:val="0"/>
          <w:sz w:val="24"/>
          <w:szCs w:val="24"/>
          <w:vertAlign w:val="superscript"/>
          <w:lang w:val="en-US" w:eastAsia="zh-CN" w:bidi="ar-SA"/>
        </w:rPr>
        <w:t>0.157</w:t>
      </w:r>
      <w:r>
        <w:rPr>
          <w:rFonts w:hint="eastAsia" w:cs="Times New Roman"/>
          <w:caps w:val="0"/>
          <w:snapToGrid w:val="0"/>
          <w:color w:val="auto"/>
          <w:spacing w:val="0"/>
          <w:w w:val="100"/>
          <w:kern w:val="2"/>
          <w:position w:val="0"/>
          <w:sz w:val="24"/>
          <w:szCs w:val="24"/>
          <w:vertAlign w:val="baseline"/>
          <w:lang w:val="en-US" w:eastAsia="zh-CN" w:bidi="ar-SA"/>
        </w:rPr>
        <w:t>)</w:t>
      </w:r>
      <w:r>
        <w:rPr>
          <w:rFonts w:hint="default" w:ascii="Times New Roman" w:hAnsi="Times New Roman" w:eastAsia="宋体" w:cs="Times New Roman"/>
          <w:caps w:val="0"/>
          <w:snapToGrid w:val="0"/>
          <w:color w:val="auto"/>
          <w:spacing w:val="0"/>
          <w:w w:val="100"/>
          <w:kern w:val="2"/>
          <w:position w:val="0"/>
          <w:sz w:val="24"/>
          <w:szCs w:val="24"/>
          <w:vertAlign w:val="superscript"/>
          <w:lang w:val="en-US" w:eastAsia="zh-CN" w:bidi="ar-SA"/>
        </w:rPr>
        <w:t>0.806</w:t>
      </w:r>
    </w:p>
    <w:p w14:paraId="2076DABE">
      <w:pPr>
        <w:widowControl w:val="0"/>
        <w:spacing w:beforeLines="0" w:afterLines="0" w:line="360" w:lineRule="auto"/>
        <w:ind w:left="108" w:right="96" w:firstLine="480" w:firstLineChars="200"/>
        <w:jc w:val="both"/>
        <w:rPr>
          <w:rFonts w:hint="default" w:ascii="Times New Roman" w:hAnsi="Times New Roman" w:eastAsia="宋体" w:cs="Times New Roman"/>
          <w:caps w:val="0"/>
          <w:snapToGrid w:val="0"/>
          <w:color w:val="auto"/>
          <w:spacing w:val="0"/>
          <w:w w:val="100"/>
          <w:kern w:val="2"/>
          <w:position w:val="0"/>
          <w:sz w:val="24"/>
          <w:szCs w:val="24"/>
          <w:lang w:val="en-US" w:eastAsia="zh-CN" w:bidi="ar-SA"/>
        </w:rPr>
      </w:pP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式中：P—设计降雨重现期（年），采用2年；</w:t>
      </w:r>
    </w:p>
    <w:p w14:paraId="035092FA">
      <w:pPr>
        <w:widowControl w:val="0"/>
        <w:spacing w:beforeLines="0" w:afterLines="0" w:line="360" w:lineRule="auto"/>
        <w:ind w:right="96" w:firstLine="1440" w:firstLineChars="600"/>
        <w:jc w:val="both"/>
        <w:rPr>
          <w:rFonts w:hint="default" w:ascii="Times New Roman" w:hAnsi="Times New Roman" w:eastAsia="宋体" w:cs="Times New Roman"/>
          <w:caps w:val="0"/>
          <w:snapToGrid w:val="0"/>
          <w:color w:val="auto"/>
          <w:spacing w:val="0"/>
          <w:w w:val="100"/>
          <w:kern w:val="2"/>
          <w:position w:val="0"/>
          <w:sz w:val="24"/>
          <w:szCs w:val="24"/>
          <w:lang w:val="en-US" w:eastAsia="zh-CN" w:bidi="ar-SA"/>
        </w:rPr>
      </w:pP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t—降雨历时（以15min计）；</w:t>
      </w:r>
    </w:p>
    <w:p w14:paraId="0C03A1E7">
      <w:pPr>
        <w:widowControl w:val="0"/>
        <w:spacing w:beforeLines="0" w:afterLines="0" w:line="360" w:lineRule="auto"/>
        <w:ind w:right="96" w:firstLine="1440" w:firstLineChars="600"/>
        <w:jc w:val="both"/>
        <w:rPr>
          <w:rFonts w:hint="default" w:ascii="Times New Roman" w:hAnsi="Times New Roman" w:eastAsia="宋体" w:cs="Times New Roman"/>
          <w:caps w:val="0"/>
          <w:snapToGrid w:val="0"/>
          <w:color w:val="auto"/>
          <w:spacing w:val="0"/>
          <w:w w:val="100"/>
          <w:kern w:val="2"/>
          <w:position w:val="0"/>
          <w:sz w:val="24"/>
          <w:szCs w:val="24"/>
          <w:lang w:val="en-US" w:eastAsia="zh-CN" w:bidi="ar-SA"/>
        </w:rPr>
      </w:pP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q—暴雨强度，L/s•hm</w:t>
      </w:r>
      <w:r>
        <w:rPr>
          <w:rFonts w:hint="default" w:ascii="Times New Roman" w:hAnsi="Times New Roman" w:eastAsia="宋体" w:cs="Times New Roman"/>
          <w:caps w:val="0"/>
          <w:snapToGrid w:val="0"/>
          <w:color w:val="auto"/>
          <w:spacing w:val="0"/>
          <w:w w:val="100"/>
          <w:kern w:val="2"/>
          <w:position w:val="0"/>
          <w:sz w:val="24"/>
          <w:szCs w:val="24"/>
          <w:vertAlign w:val="superscript"/>
          <w:lang w:val="en-US" w:eastAsia="zh-CN" w:bidi="ar-SA"/>
        </w:rPr>
        <w:t>2</w:t>
      </w: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w:t>
      </w:r>
    </w:p>
    <w:p w14:paraId="308745E9">
      <w:pPr>
        <w:spacing w:line="360" w:lineRule="auto"/>
        <w:ind w:firstLine="480" w:firstLineChars="200"/>
        <w:jc w:val="both"/>
        <w:rPr>
          <w:rFonts w:hint="default" w:ascii="Times New Roman" w:hAnsi="Times New Roman" w:eastAsia="宋体" w:cs="Times New Roman"/>
          <w:caps w:val="0"/>
          <w:snapToGrid w:val="0"/>
          <w:color w:val="auto"/>
          <w:spacing w:val="0"/>
          <w:w w:val="100"/>
          <w:kern w:val="2"/>
          <w:position w:val="0"/>
          <w:sz w:val="24"/>
          <w:szCs w:val="24"/>
          <w:lang w:val="en-US" w:eastAsia="zh-CN" w:bidi="ar-SA"/>
        </w:rPr>
      </w:pP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雨水流量按下式计算：</w:t>
      </w:r>
    </w:p>
    <w:p w14:paraId="224AF9F4">
      <w:pPr>
        <w:spacing w:line="360" w:lineRule="auto"/>
        <w:ind w:firstLine="480" w:firstLineChars="200"/>
        <w:jc w:val="both"/>
        <w:rPr>
          <w:rFonts w:hint="default" w:ascii="Times New Roman" w:hAnsi="Times New Roman" w:eastAsia="宋体" w:cs="Times New Roman"/>
          <w:color w:val="auto"/>
          <w:kern w:val="1"/>
          <w:position w:val="-14"/>
          <w:sz w:val="24"/>
          <w:szCs w:val="24"/>
          <w:highlight w:val="none"/>
        </w:rPr>
      </w:pPr>
      <w:r>
        <w:rPr>
          <w:rFonts w:hint="default" w:ascii="Times New Roman" w:hAnsi="Times New Roman" w:eastAsia="宋体" w:cs="Times New Roman"/>
          <w:caps w:val="0"/>
          <w:snapToGrid w:val="0"/>
          <w:color w:val="auto"/>
          <w:spacing w:val="0"/>
          <w:w w:val="100"/>
          <w:kern w:val="2"/>
          <w:position w:val="0"/>
          <w:sz w:val="24"/>
          <w:szCs w:val="24"/>
          <w:lang w:val="en-US" w:eastAsia="zh-CN" w:bidi="ar-SA"/>
        </w:rPr>
        <w:t xml:space="preserve">        </w:t>
      </w:r>
      <w:r>
        <w:rPr>
          <w:rFonts w:hint="default" w:ascii="Times New Roman" w:hAnsi="Times New Roman" w:eastAsia="宋体" w:cs="Times New Roman"/>
          <w:color w:val="auto"/>
          <w:sz w:val="24"/>
          <w:szCs w:val="24"/>
          <w:highlight w:val="none"/>
        </w:rPr>
        <w:drawing>
          <wp:inline distT="0" distB="0" distL="114300" distR="114300">
            <wp:extent cx="1000125" cy="266700"/>
            <wp:effectExtent l="0" t="0" r="9525" b="0"/>
            <wp:docPr id="49"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93"/>
                    <pic:cNvPicPr>
                      <a:picLocks noChangeAspect="1"/>
                    </pic:cNvPicPr>
                  </pic:nvPicPr>
                  <pic:blipFill>
                    <a:blip r:embed="rId31"/>
                    <a:stretch>
                      <a:fillRect/>
                    </a:stretch>
                  </pic:blipFill>
                  <pic:spPr>
                    <a:xfrm>
                      <a:off x="0" y="0"/>
                      <a:ext cx="1000125" cy="266700"/>
                    </a:xfrm>
                    <a:prstGeom prst="rect">
                      <a:avLst/>
                    </a:prstGeom>
                    <a:noFill/>
                    <a:ln>
                      <a:noFill/>
                    </a:ln>
                  </pic:spPr>
                </pic:pic>
              </a:graphicData>
            </a:graphic>
          </wp:inline>
        </w:drawing>
      </w:r>
    </w:p>
    <w:p w14:paraId="0AA55DD7">
      <w:pPr>
        <w:adjustRightInd/>
        <w:snapToGrid/>
        <w:spacing w:line="360" w:lineRule="auto"/>
        <w:ind w:firstLine="480" w:firstLineChars="200"/>
        <w:jc w:val="both"/>
        <w:rPr>
          <w:rFonts w:hint="default" w:ascii="Times New Roman" w:hAnsi="Times New Roman" w:eastAsia="宋体" w:cs="Times New Roman"/>
          <w:color w:val="auto"/>
          <w:kern w:val="1"/>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rPr>
        <w:t>式中：Qs</w:t>
      </w:r>
      <w:r>
        <w:rPr>
          <w:rFonts w:hint="default" w:ascii="Times New Roman" w:hAnsi="Times New Roman" w:eastAsia="宋体" w:cs="Times New Roman"/>
          <w:b w:val="0"/>
          <w:i w:val="0"/>
          <w:caps w:val="0"/>
          <w:color w:val="auto"/>
          <w:spacing w:val="0"/>
          <w:sz w:val="24"/>
          <w:szCs w:val="24"/>
          <w:highlight w:val="none"/>
          <w:shd w:val="clear" w:color="auto" w:fill="FFFFFF"/>
        </w:rPr>
        <w:t>——</w:t>
      </w:r>
      <w:r>
        <w:rPr>
          <w:rFonts w:hint="default" w:ascii="Times New Roman" w:hAnsi="Times New Roman" w:eastAsia="宋体" w:cs="Times New Roman"/>
          <w:color w:val="auto"/>
          <w:kern w:val="1"/>
          <w:sz w:val="24"/>
          <w:szCs w:val="24"/>
          <w:highlight w:val="none"/>
          <w:lang w:val="en-US" w:eastAsia="zh-CN"/>
        </w:rPr>
        <w:t>雨水设计流量(L/s</w:t>
      </w:r>
      <w:r>
        <w:rPr>
          <w:rFonts w:hint="eastAsia" w:cs="Times New Roman"/>
          <w:color w:val="auto"/>
          <w:kern w:val="1"/>
          <w:sz w:val="24"/>
          <w:szCs w:val="24"/>
          <w:highlight w:val="none"/>
          <w:lang w:val="en-US" w:eastAsia="zh-CN"/>
        </w:rPr>
        <w:t>）</w:t>
      </w:r>
      <w:r>
        <w:rPr>
          <w:rFonts w:hint="default" w:ascii="Times New Roman" w:hAnsi="Times New Roman" w:eastAsia="宋体" w:cs="Times New Roman"/>
          <w:color w:val="auto"/>
          <w:kern w:val="1"/>
          <w:sz w:val="24"/>
          <w:szCs w:val="24"/>
          <w:highlight w:val="none"/>
          <w:lang w:val="en-US" w:eastAsia="zh-CN"/>
        </w:rPr>
        <w:t>；</w:t>
      </w:r>
    </w:p>
    <w:p w14:paraId="47CDD0AE">
      <w:pPr>
        <w:adjustRightInd/>
        <w:snapToGrid/>
        <w:spacing w:line="360" w:lineRule="auto"/>
        <w:ind w:firstLine="1200" w:firstLineChars="500"/>
        <w:jc w:val="both"/>
        <w:rPr>
          <w:rFonts w:hint="default" w:ascii="Times New Roman" w:hAnsi="Times New Roman" w:eastAsia="宋体" w:cs="Times New Roman"/>
          <w:color w:val="auto"/>
          <w:kern w:val="1"/>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rPr>
        <w:t>q</w:t>
      </w:r>
      <w:r>
        <w:rPr>
          <w:rFonts w:hint="default" w:ascii="Times New Roman" w:hAnsi="Times New Roman" w:eastAsia="宋体" w:cs="Times New Roman"/>
          <w:b w:val="0"/>
          <w:i w:val="0"/>
          <w:caps w:val="0"/>
          <w:color w:val="auto"/>
          <w:spacing w:val="0"/>
          <w:sz w:val="24"/>
          <w:szCs w:val="24"/>
          <w:highlight w:val="none"/>
          <w:shd w:val="clear" w:color="auto" w:fill="FFFFFF"/>
        </w:rPr>
        <w:t>——</w:t>
      </w:r>
      <w:r>
        <w:rPr>
          <w:rFonts w:hint="default" w:ascii="Times New Roman" w:hAnsi="Times New Roman" w:eastAsia="宋体" w:cs="Times New Roman"/>
          <w:color w:val="auto"/>
          <w:kern w:val="1"/>
          <w:sz w:val="24"/>
          <w:szCs w:val="24"/>
          <w:highlight w:val="none"/>
          <w:lang w:val="en-US" w:eastAsia="zh-CN"/>
        </w:rPr>
        <w:t>设计暴雨强度[L/(s•hm</w:t>
      </w:r>
      <w:r>
        <w:rPr>
          <w:rFonts w:hint="default" w:ascii="Times New Roman" w:hAnsi="Times New Roman" w:eastAsia="宋体" w:cs="Times New Roman"/>
          <w:color w:val="auto"/>
          <w:kern w:val="1"/>
          <w:sz w:val="24"/>
          <w:szCs w:val="24"/>
          <w:highlight w:val="none"/>
          <w:vertAlign w:val="superscript"/>
          <w:lang w:val="en-US" w:eastAsia="zh-CN"/>
        </w:rPr>
        <w:t>2</w:t>
      </w:r>
      <w:r>
        <w:rPr>
          <w:rFonts w:hint="default" w:ascii="Times New Roman" w:hAnsi="Times New Roman" w:eastAsia="宋体" w:cs="Times New Roman"/>
          <w:color w:val="auto"/>
          <w:kern w:val="1"/>
          <w:sz w:val="24"/>
          <w:szCs w:val="24"/>
          <w:highlight w:val="none"/>
          <w:lang w:val="en-US" w:eastAsia="zh-CN"/>
        </w:rPr>
        <w:t>)]；</w:t>
      </w:r>
    </w:p>
    <w:p w14:paraId="551AE7BF">
      <w:pPr>
        <w:adjustRightInd/>
        <w:snapToGrid/>
        <w:spacing w:line="360" w:lineRule="auto"/>
        <w:ind w:firstLine="1200" w:firstLineChars="500"/>
        <w:jc w:val="both"/>
        <w:rPr>
          <w:rFonts w:hint="default" w:ascii="Times New Roman" w:hAnsi="Times New Roman" w:eastAsia="宋体" w:cs="Times New Roman"/>
          <w:color w:val="auto"/>
          <w:kern w:val="1"/>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rPr>
        <w:t>Ψ</w:t>
      </w:r>
      <w:r>
        <w:rPr>
          <w:rFonts w:hint="default" w:ascii="Times New Roman" w:hAnsi="Times New Roman" w:eastAsia="宋体" w:cs="Times New Roman"/>
          <w:b w:val="0"/>
          <w:i w:val="0"/>
          <w:caps w:val="0"/>
          <w:color w:val="auto"/>
          <w:spacing w:val="0"/>
          <w:sz w:val="24"/>
          <w:szCs w:val="24"/>
          <w:highlight w:val="none"/>
          <w:shd w:val="clear" w:color="auto" w:fill="FFFFFF"/>
        </w:rPr>
        <w:t>——</w:t>
      </w:r>
      <w:r>
        <w:rPr>
          <w:rFonts w:hint="default" w:ascii="Times New Roman" w:hAnsi="Times New Roman" w:eastAsia="宋体" w:cs="Times New Roman"/>
          <w:color w:val="auto"/>
          <w:kern w:val="1"/>
          <w:sz w:val="24"/>
          <w:szCs w:val="24"/>
          <w:highlight w:val="none"/>
          <w:lang w:val="en-US" w:eastAsia="zh-CN"/>
        </w:rPr>
        <w:t>径流系数；（取0.9）</w:t>
      </w:r>
    </w:p>
    <w:p w14:paraId="70E38C53">
      <w:pPr>
        <w:adjustRightInd/>
        <w:snapToGrid/>
        <w:spacing w:line="360" w:lineRule="auto"/>
        <w:ind w:firstLine="1200" w:firstLineChars="500"/>
        <w:jc w:val="both"/>
        <w:rPr>
          <w:rFonts w:hint="default" w:ascii="Times New Roman" w:hAnsi="Times New Roman" w:eastAsia="宋体" w:cs="Times New Roman"/>
          <w:color w:val="auto"/>
          <w:kern w:val="1"/>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rPr>
        <w:t>F</w:t>
      </w:r>
      <w:r>
        <w:rPr>
          <w:rFonts w:hint="default" w:ascii="Times New Roman" w:hAnsi="Times New Roman" w:eastAsia="宋体" w:cs="Times New Roman"/>
          <w:b w:val="0"/>
          <w:i w:val="0"/>
          <w:caps w:val="0"/>
          <w:color w:val="auto"/>
          <w:spacing w:val="0"/>
          <w:sz w:val="24"/>
          <w:szCs w:val="24"/>
          <w:highlight w:val="none"/>
          <w:shd w:val="clear" w:color="auto" w:fill="FFFFFF"/>
        </w:rPr>
        <w:t>——</w:t>
      </w:r>
      <w:r>
        <w:rPr>
          <w:rFonts w:hint="default" w:ascii="Times New Roman" w:hAnsi="Times New Roman" w:eastAsia="宋体" w:cs="Times New Roman"/>
          <w:color w:val="auto"/>
          <w:kern w:val="1"/>
          <w:sz w:val="24"/>
          <w:szCs w:val="24"/>
          <w:highlight w:val="none"/>
          <w:lang w:val="en-US" w:eastAsia="zh-CN"/>
        </w:rPr>
        <w:t>汇水面积</w:t>
      </w:r>
      <w:r>
        <w:rPr>
          <w:rFonts w:hint="eastAsia" w:cs="Times New Roman"/>
          <w:color w:val="auto"/>
          <w:kern w:val="1"/>
          <w:sz w:val="24"/>
          <w:szCs w:val="24"/>
          <w:highlight w:val="none"/>
          <w:lang w:val="en-US" w:eastAsia="zh-CN"/>
        </w:rPr>
        <w:t>（</w:t>
      </w:r>
      <w:r>
        <w:rPr>
          <w:rFonts w:hint="default" w:ascii="Times New Roman" w:hAnsi="Times New Roman" w:eastAsia="宋体" w:cs="Times New Roman"/>
          <w:color w:val="auto"/>
          <w:kern w:val="1"/>
          <w:sz w:val="24"/>
          <w:szCs w:val="24"/>
          <w:highlight w:val="none"/>
          <w:lang w:val="en-US" w:eastAsia="zh-CN"/>
        </w:rPr>
        <w:t>hm</w:t>
      </w:r>
      <w:r>
        <w:rPr>
          <w:rFonts w:hint="default" w:ascii="Times New Roman" w:hAnsi="Times New Roman" w:eastAsia="宋体" w:cs="Times New Roman"/>
          <w:color w:val="auto"/>
          <w:kern w:val="1"/>
          <w:sz w:val="24"/>
          <w:szCs w:val="24"/>
          <w:highlight w:val="none"/>
          <w:vertAlign w:val="superscript"/>
          <w:lang w:val="en-US" w:eastAsia="zh-CN"/>
        </w:rPr>
        <w:t>2</w:t>
      </w:r>
      <w:r>
        <w:rPr>
          <w:rFonts w:hint="eastAsia" w:cs="Times New Roman"/>
          <w:color w:val="auto"/>
          <w:kern w:val="1"/>
          <w:sz w:val="24"/>
          <w:szCs w:val="24"/>
          <w:highlight w:val="none"/>
          <w:vertAlign w:val="baseline"/>
          <w:lang w:val="en-US" w:eastAsia="zh-CN"/>
        </w:rPr>
        <w:t>）</w:t>
      </w:r>
      <w:r>
        <w:rPr>
          <w:rFonts w:hint="default" w:ascii="Times New Roman" w:hAnsi="Times New Roman" w:eastAsia="宋体" w:cs="Times New Roman"/>
          <w:color w:val="auto"/>
          <w:kern w:val="1"/>
          <w:sz w:val="24"/>
          <w:szCs w:val="24"/>
          <w:highlight w:val="none"/>
          <w:lang w:val="en-US" w:eastAsia="zh-CN"/>
        </w:rPr>
        <w:t>。</w:t>
      </w:r>
      <w:r>
        <w:rPr>
          <w:rFonts w:hint="eastAsia" w:cs="Times New Roman"/>
          <w:color w:val="auto"/>
          <w:kern w:val="1"/>
          <w:sz w:val="24"/>
          <w:szCs w:val="24"/>
          <w:highlight w:val="none"/>
          <w:lang w:val="en-US" w:eastAsia="zh-CN"/>
        </w:rPr>
        <w:t>（</w:t>
      </w:r>
      <w:r>
        <w:rPr>
          <w:rFonts w:hint="default" w:ascii="Times New Roman" w:hAnsi="Times New Roman" w:eastAsia="宋体" w:cs="Times New Roman"/>
          <w:color w:val="auto"/>
          <w:kern w:val="1"/>
          <w:sz w:val="24"/>
          <w:szCs w:val="24"/>
          <w:highlight w:val="none"/>
          <w:lang w:val="en-US" w:eastAsia="zh-CN"/>
        </w:rPr>
        <w:t>取9.9</w:t>
      </w:r>
      <w:r>
        <w:rPr>
          <w:rFonts w:hint="eastAsia" w:cs="Times New Roman"/>
          <w:color w:val="auto"/>
          <w:kern w:val="1"/>
          <w:sz w:val="24"/>
          <w:szCs w:val="24"/>
          <w:highlight w:val="none"/>
          <w:lang w:val="en-US" w:eastAsia="zh-CN"/>
        </w:rPr>
        <w:t>）</w:t>
      </w:r>
    </w:p>
    <w:p w14:paraId="18587707">
      <w:pPr>
        <w:keepLines w:val="0"/>
        <w:pageBreakBefore w:val="0"/>
        <w:kinsoku/>
        <w:wordWrap/>
        <w:overflowPunct/>
        <w:topLinePunct w:val="0"/>
        <w:bidi w:val="0"/>
        <w:adjustRightInd/>
        <w:snapToGrid/>
        <w:spacing w:line="360" w:lineRule="auto"/>
        <w:ind w:firstLine="480" w:firstLineChars="200"/>
        <w:jc w:val="both"/>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根据《化工建设项目环境保护工程设计标准》（GBT 50483-2019），初期雨水宜取一次降雨初期15min⁓30min雨量，或降雨初期20mm⁓30mm厚度的雨量，</w:t>
      </w:r>
      <w:r>
        <w:rPr>
          <w:rFonts w:hint="default" w:ascii="Times New Roman" w:hAnsi="Times New Roman" w:eastAsia="宋体" w:cs="Times New Roman"/>
          <w:color w:val="auto"/>
          <w:sz w:val="24"/>
          <w:lang w:val="en-US" w:eastAsia="zh-CN"/>
        </w:rPr>
        <w:t>本项目采取</w:t>
      </w:r>
      <w:r>
        <w:rPr>
          <w:rFonts w:hint="default" w:ascii="Times New Roman" w:hAnsi="Times New Roman" w:eastAsia="宋体" w:cs="Times New Roman"/>
          <w:color w:val="auto"/>
          <w:sz w:val="24"/>
        </w:rPr>
        <w:t>15min雨量</w:t>
      </w:r>
      <w:r>
        <w:rPr>
          <w:rFonts w:hint="default" w:ascii="Times New Roman" w:hAnsi="Times New Roman" w:eastAsia="宋体" w:cs="Times New Roman"/>
          <w:color w:val="auto"/>
          <w:sz w:val="24"/>
          <w:lang w:eastAsia="zh-CN"/>
        </w:rPr>
        <w:t>。</w:t>
      </w:r>
    </w:p>
    <w:p w14:paraId="30C3FD37">
      <w:pPr>
        <w:keepLines w:val="0"/>
        <w:pageBreakBefore w:val="0"/>
        <w:kinsoku/>
        <w:wordWrap/>
        <w:overflowPunct/>
        <w:topLinePunct w:val="0"/>
        <w:bidi w:val="0"/>
        <w:adjustRightInd/>
        <w:snapToGrid/>
        <w:spacing w:line="360" w:lineRule="auto"/>
        <w:ind w:firstLine="480" w:firstLineChars="200"/>
        <w:jc w:val="both"/>
        <w:rPr>
          <w:rFonts w:hint="default" w:ascii="Times New Roman" w:hAnsi="Times New Roman" w:eastAsia="宋体" w:cs="Times New Roman"/>
          <w:color w:val="auto"/>
          <w:sz w:val="24"/>
          <w:vertAlign w:val="baseline"/>
          <w:lang w:val="en-US" w:eastAsia="zh-CN"/>
        </w:rPr>
      </w:pPr>
      <w:r>
        <w:rPr>
          <w:rFonts w:hint="default" w:ascii="Times New Roman" w:hAnsi="Times New Roman" w:eastAsia="宋体" w:cs="Times New Roman"/>
          <w:color w:val="auto"/>
          <w:sz w:val="24"/>
        </w:rPr>
        <w:t>经计算，暴雨初期15min内</w:t>
      </w:r>
      <w:r>
        <w:rPr>
          <w:rFonts w:hint="default" w:ascii="Times New Roman" w:hAnsi="Times New Roman" w:eastAsia="宋体" w:cs="Times New Roman"/>
          <w:color w:val="auto"/>
          <w:sz w:val="24"/>
          <w:lang w:eastAsia="zh-CN"/>
        </w:rPr>
        <w:t>，项目区</w:t>
      </w:r>
      <w:r>
        <w:rPr>
          <w:rFonts w:hint="default" w:ascii="Times New Roman" w:hAnsi="Times New Roman" w:eastAsia="宋体" w:cs="Times New Roman"/>
          <w:color w:val="auto"/>
          <w:sz w:val="24"/>
        </w:rPr>
        <w:t>最大降水汇水流量</w:t>
      </w:r>
      <w:r>
        <w:rPr>
          <w:rFonts w:hint="default" w:ascii="Times New Roman" w:hAnsi="Times New Roman" w:eastAsia="宋体" w:cs="Times New Roman"/>
          <w:color w:val="auto"/>
          <w:sz w:val="24"/>
          <w:lang w:eastAsia="zh-CN"/>
        </w:rPr>
        <w:t>约</w:t>
      </w:r>
      <w:r>
        <w:rPr>
          <w:rFonts w:hint="default" w:ascii="Times New Roman" w:hAnsi="Times New Roman" w:eastAsia="宋体" w:cs="Times New Roman"/>
          <w:color w:val="auto"/>
          <w:sz w:val="24"/>
          <w:lang w:val="en-US" w:eastAsia="zh-CN"/>
        </w:rPr>
        <w:t>103.</w:t>
      </w:r>
      <w:r>
        <w:rPr>
          <w:rFonts w:hint="default" w:ascii="Times New Roman" w:hAnsi="Times New Roman" w:cs="Times New Roman"/>
          <w:color w:val="auto"/>
          <w:sz w:val="24"/>
          <w:lang w:val="en-US" w:eastAsia="zh-CN"/>
        </w:rPr>
        <w:t>44</w:t>
      </w:r>
      <w:r>
        <w:rPr>
          <w:rFonts w:hint="default" w:ascii="Times New Roman" w:hAnsi="Times New Roman" w:eastAsia="宋体" w:cs="Times New Roman"/>
          <w:color w:val="auto"/>
          <w:sz w:val="24"/>
        </w:rPr>
        <w:t>L/s</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则雨天前</w:t>
      </w:r>
      <w:r>
        <w:rPr>
          <w:rFonts w:hint="default" w:ascii="Times New Roman" w:hAnsi="Times New Roman" w:eastAsia="宋体" w:cs="Times New Roman"/>
          <w:color w:val="auto"/>
          <w:sz w:val="24"/>
        </w:rPr>
        <w:t>15min</w:t>
      </w:r>
      <w:r>
        <w:rPr>
          <w:rFonts w:hint="default" w:ascii="Times New Roman" w:hAnsi="Times New Roman" w:eastAsia="宋体" w:cs="Times New Roman"/>
          <w:color w:val="auto"/>
          <w:sz w:val="24"/>
          <w:lang w:val="en-US" w:eastAsia="zh-CN"/>
        </w:rPr>
        <w:t>收集的初期雨水量约93.</w:t>
      </w: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/d，144</w:t>
      </w:r>
      <w:r>
        <w:rPr>
          <w:rFonts w:hint="default" w:ascii="Times New Roman" w:hAnsi="Times New Roman" w:cs="Times New Roman"/>
          <w:color w:val="auto"/>
          <w:sz w:val="24"/>
          <w:lang w:val="en-US" w:eastAsia="zh-CN"/>
        </w:rPr>
        <w:t>30.5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/a，故本项目雨天须收集约93.</w:t>
      </w: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初期雨水，</w:t>
      </w:r>
      <w:r>
        <w:rPr>
          <w:rFonts w:hint="default" w:ascii="Times New Roman" w:hAnsi="Times New Roman" w:cs="Times New Roman"/>
          <w:color w:val="auto"/>
          <w:sz w:val="24"/>
          <w:lang w:val="en-US" w:eastAsia="zh-CN"/>
        </w:rPr>
        <w:t>初期雨水收集池</w:t>
      </w:r>
      <w:r>
        <w:rPr>
          <w:rFonts w:hint="default" w:ascii="Times New Roman" w:hAnsi="Times New Roman" w:eastAsia="宋体" w:cs="Times New Roman"/>
          <w:color w:val="auto"/>
          <w:sz w:val="24"/>
        </w:rPr>
        <w:t>容积是在实际水量基础上再乘以1.2～1.5的系数（以1.</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计），</w:t>
      </w:r>
      <w:r>
        <w:rPr>
          <w:rFonts w:hint="default" w:ascii="Times New Roman" w:hAnsi="Times New Roman" w:eastAsia="宋体" w:cs="Times New Roman"/>
          <w:color w:val="auto"/>
          <w:sz w:val="24"/>
          <w:lang w:val="en-US" w:eastAsia="zh-CN"/>
        </w:rPr>
        <w:t>则初期雨水收集有效容积不应小于140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根据建设方提供的可研，本项目</w:t>
      </w:r>
      <w:r>
        <w:rPr>
          <w:rFonts w:hint="eastAsia" w:ascii="Times New Roman" w:hAnsi="Times New Roman" w:eastAsia="宋体" w:cs="Times New Roman"/>
          <w:color w:val="auto"/>
          <w:sz w:val="24"/>
          <w:lang w:val="en-US" w:eastAsia="zh-CN"/>
        </w:rPr>
        <w:t>建设</w:t>
      </w:r>
      <w:r>
        <w:rPr>
          <w:rFonts w:hint="default" w:ascii="Times New Roman" w:hAnsi="Times New Roman" w:cs="Times New Roman"/>
          <w:color w:val="auto"/>
          <w:sz w:val="24"/>
          <w:lang w:val="en-US" w:eastAsia="zh-CN"/>
        </w:rPr>
        <w:t>初期雨水收集池</w:t>
      </w:r>
      <w:r>
        <w:rPr>
          <w:rFonts w:hint="eastAsia" w:ascii="Times New Roman" w:hAnsi="Times New Roman" w:eastAsia="宋体" w:cs="Times New Roman"/>
          <w:color w:val="auto"/>
          <w:sz w:val="24"/>
          <w:lang w:val="en-US" w:eastAsia="zh-CN"/>
        </w:rPr>
        <w:t>1500m</w:t>
      </w:r>
      <w:r>
        <w:rPr>
          <w:rFonts w:hint="eastAsia"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，可满足至少16天暂存需求，满足环评要求。</w:t>
      </w:r>
    </w:p>
    <w:p w14:paraId="7F206FF5">
      <w:pPr>
        <w:keepNext/>
        <w:keepLines w:val="0"/>
        <w:pageBreakBefore w:val="0"/>
        <w:widowControl w:val="0"/>
        <w:kinsoku/>
        <w:wordWrap/>
        <w:overflowPunct/>
        <w:topLinePunct w:val="0"/>
        <w:autoSpaceDE/>
        <w:autoSpaceDN/>
        <w:bidi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lang w:val="en-US" w:eastAsia="zh-CN"/>
        </w:rPr>
        <w:t>综上，本项目自来水用量约0.6m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/d，219m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/a。其中生活废水经化粪池处理后</w:t>
      </w:r>
      <w:r>
        <w:rPr>
          <w:rFonts w:hint="default" w:ascii="Times New Roman" w:hAnsi="Times New Roman" w:cs="Times New Roman"/>
          <w:color w:val="auto"/>
          <w:sz w:val="24"/>
          <w:lang w:val="en-US" w:eastAsia="zh-CN"/>
        </w:rPr>
        <w:t>，委托环卫部门清运处置</w:t>
      </w:r>
      <w:r>
        <w:rPr>
          <w:rFonts w:hint="default" w:ascii="Times New Roman" w:hAnsi="Times New Roman" w:eastAsia="宋体" w:cs="Times New Roman"/>
          <w:color w:val="auto"/>
          <w:sz w:val="24"/>
          <w:lang w:val="en-US" w:eastAsia="zh-CN"/>
        </w:rPr>
        <w:t>，生活废水</w:t>
      </w:r>
      <w:r>
        <w:rPr>
          <w:rFonts w:hint="default" w:ascii="Times New Roman" w:hAnsi="Times New Roman" w:cs="Times New Roman"/>
          <w:color w:val="auto"/>
          <w:sz w:val="24"/>
          <w:lang w:val="en-US" w:eastAsia="zh-CN"/>
        </w:rPr>
        <w:t>产生量</w:t>
      </w:r>
      <w:r>
        <w:rPr>
          <w:rFonts w:hint="default" w:ascii="Times New Roman" w:hAnsi="Times New Roman" w:eastAsia="宋体" w:cs="Times New Roman"/>
          <w:color w:val="auto"/>
          <w:sz w:val="24"/>
          <w:lang w:val="en-US" w:eastAsia="zh-CN"/>
        </w:rPr>
        <w:t>为197.1m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w:t>
      </w:r>
      <w:r>
        <w:rPr>
          <w:rFonts w:hint="default" w:ascii="Times New Roman" w:hAnsi="Times New Roman" w:eastAsia="宋体" w:cs="Times New Roman"/>
          <w:color w:val="auto"/>
          <w:sz w:val="24"/>
          <w:szCs w:val="24"/>
          <w:highlight w:val="none"/>
          <w:lang w:val="en-US" w:eastAsia="zh-CN"/>
        </w:rPr>
        <w:t>。初期雨水经</w:t>
      </w:r>
      <w:r>
        <w:rPr>
          <w:rFonts w:hint="default" w:ascii="Times New Roman" w:hAnsi="Times New Roman" w:cs="Times New Roman"/>
          <w:color w:val="auto"/>
          <w:sz w:val="24"/>
          <w:szCs w:val="24"/>
          <w:highlight w:val="none"/>
          <w:lang w:val="en-US" w:eastAsia="zh-CN"/>
        </w:rPr>
        <w:t>初期雨水收集池沉淀</w:t>
      </w:r>
      <w:r>
        <w:rPr>
          <w:rFonts w:hint="default" w:ascii="Times New Roman" w:hAnsi="Times New Roman" w:eastAsia="宋体" w:cs="Times New Roman"/>
          <w:color w:val="auto"/>
          <w:sz w:val="24"/>
          <w:szCs w:val="24"/>
          <w:highlight w:val="none"/>
          <w:lang w:val="en-US" w:eastAsia="zh-CN"/>
        </w:rPr>
        <w:t>处理后回用于绿化、洒水降尘，雨水收集量为</w:t>
      </w:r>
      <w:r>
        <w:rPr>
          <w:rFonts w:hint="default" w:ascii="Times New Roman" w:hAnsi="Times New Roman" w:eastAsia="宋体" w:cs="Times New Roman"/>
          <w:color w:val="auto"/>
          <w:sz w:val="24"/>
          <w:lang w:val="en-US" w:eastAsia="zh-CN"/>
        </w:rPr>
        <w:t>144</w:t>
      </w:r>
      <w:r>
        <w:rPr>
          <w:rFonts w:hint="default" w:ascii="Times New Roman" w:hAnsi="Times New Roman" w:cs="Times New Roman"/>
          <w:color w:val="auto"/>
          <w:sz w:val="24"/>
          <w:lang w:val="en-US" w:eastAsia="zh-CN"/>
        </w:rPr>
        <w:t>30.5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w:t>
      </w:r>
      <w:r>
        <w:rPr>
          <w:rFonts w:hint="default" w:ascii="Times New Roman" w:hAnsi="Times New Roman" w:cs="Times New Roman"/>
          <w:color w:val="auto"/>
          <w:sz w:val="24"/>
          <w:lang w:val="en-US" w:eastAsia="zh-CN"/>
        </w:rPr>
        <w:t>。本项目</w:t>
      </w:r>
      <w:r>
        <w:rPr>
          <w:rFonts w:hint="default" w:ascii="Times New Roman" w:hAnsi="Times New Roman" w:eastAsia="宋体" w:cs="Times New Roman"/>
          <w:color w:val="auto"/>
          <w:sz w:val="24"/>
          <w:szCs w:val="24"/>
          <w:highlight w:val="none"/>
          <w:lang w:val="en-US" w:eastAsia="zh-CN"/>
        </w:rPr>
        <w:t>绿化、洒水降尘合计用水量为</w:t>
      </w:r>
      <w:r>
        <w:rPr>
          <w:rFonts w:hint="eastAsia" w:ascii="Times New Roman" w:hAnsi="Times New Roman" w:eastAsia="宋体" w:cs="Times New Roman"/>
          <w:color w:val="auto"/>
          <w:sz w:val="24"/>
          <w:szCs w:val="24"/>
          <w:highlight w:val="none"/>
          <w:lang w:val="en-US" w:eastAsia="zh-CN"/>
        </w:rPr>
        <w:t>5397</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/a，收集的雨水不能完全回</w:t>
      </w:r>
      <w:r>
        <w:rPr>
          <w:rFonts w:hint="default" w:ascii="Times New Roman" w:hAnsi="Times New Roman" w:cs="Times New Roman"/>
          <w:color w:val="auto"/>
          <w:sz w:val="24"/>
          <w:lang w:val="en-US" w:eastAsia="zh-CN"/>
        </w:rPr>
        <w:t>用</w:t>
      </w:r>
      <w:r>
        <w:rPr>
          <w:rFonts w:hint="default" w:ascii="Times New Roman" w:hAnsi="Times New Roman" w:eastAsia="宋体" w:cs="Times New Roman"/>
          <w:color w:val="auto"/>
          <w:sz w:val="24"/>
          <w:lang w:val="en-US" w:eastAsia="zh-CN"/>
        </w:rPr>
        <w:t>，剩余</w:t>
      </w:r>
      <w:r>
        <w:rPr>
          <w:rFonts w:hint="eastAsia" w:ascii="Times New Roman" w:hAnsi="Times New Roman" w:cs="Times New Roman"/>
          <w:color w:val="auto"/>
          <w:sz w:val="24"/>
          <w:lang w:val="en-US" w:eastAsia="zh-CN"/>
        </w:rPr>
        <w:t>9033.5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/a由曲煤焦化内部</w:t>
      </w:r>
      <w:r>
        <w:rPr>
          <w:rFonts w:hint="eastAsia" w:ascii="Times New Roman" w:hAnsi="Times New Roman" w:eastAsia="宋体" w:cs="Times New Roman"/>
          <w:color w:val="auto"/>
          <w:sz w:val="24"/>
          <w:lang w:val="en-US" w:eastAsia="zh-CN"/>
        </w:rPr>
        <w:t>通过抽吸罐车</w:t>
      </w:r>
      <w:r>
        <w:rPr>
          <w:rFonts w:hint="default" w:ascii="Times New Roman" w:hAnsi="Times New Roman" w:eastAsia="宋体" w:cs="Times New Roman"/>
          <w:color w:val="auto"/>
          <w:sz w:val="24"/>
          <w:lang w:val="en-US" w:eastAsia="zh-CN"/>
        </w:rPr>
        <w:t>清运至铁路卸煤区洒水降尘</w:t>
      </w:r>
      <w:r>
        <w:rPr>
          <w:rFonts w:hint="default" w:ascii="Times New Roman" w:hAnsi="Times New Roman" w:eastAsia="宋体" w:cs="Times New Roman"/>
          <w:color w:val="auto"/>
          <w:sz w:val="24"/>
          <w:szCs w:val="24"/>
          <w:highlight w:val="none"/>
          <w:lang w:val="en-US" w:eastAsia="zh-CN"/>
        </w:rPr>
        <w:t>。</w:t>
      </w:r>
    </w:p>
    <w:p w14:paraId="034FF38E">
      <w:pPr>
        <w:keepNext/>
        <w:keepLines w:val="0"/>
        <w:pageBreakBefore w:val="0"/>
        <w:widowControl w:val="0"/>
        <w:kinsoku/>
        <w:wordWrap/>
        <w:overflowPunct/>
        <w:topLinePunct w:val="0"/>
        <w:autoSpaceDE/>
        <w:autoSpaceDN/>
        <w:bidi w:val="0"/>
        <w:snapToGrid w:val="0"/>
        <w:spacing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项目排水系统采用雨污分流制。</w:t>
      </w:r>
      <w:r>
        <w:rPr>
          <w:rFonts w:hint="default" w:ascii="Times New Roman" w:hAnsi="Times New Roman" w:eastAsia="宋体" w:cs="Times New Roman"/>
          <w:color w:val="auto"/>
          <w:sz w:val="24"/>
          <w:lang w:val="en-US" w:eastAsia="zh-CN"/>
        </w:rPr>
        <w:fldChar w:fldCharType="begin"/>
      </w:r>
      <w:r>
        <w:rPr>
          <w:rFonts w:hint="default" w:ascii="Times New Roman" w:hAnsi="Times New Roman" w:eastAsia="宋体" w:cs="Times New Roman"/>
          <w:color w:val="auto"/>
          <w:sz w:val="24"/>
          <w:lang w:val="en-US" w:eastAsia="zh-CN"/>
        </w:rPr>
        <w:instrText xml:space="preserve"> = 1 \* GB3 </w:instrText>
      </w:r>
      <w:r>
        <w:rPr>
          <w:rFonts w:hint="default"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①</w:t>
      </w:r>
      <w:r>
        <w:rPr>
          <w:rFonts w:hint="default" w:ascii="Times New Roman" w:hAnsi="Times New Roman" w:eastAsia="宋体" w:cs="Times New Roman"/>
          <w:color w:val="auto"/>
          <w:sz w:val="24"/>
          <w:lang w:val="en-US" w:eastAsia="zh-CN"/>
        </w:rPr>
        <w:fldChar w:fldCharType="end"/>
      </w:r>
      <w:r>
        <w:rPr>
          <w:rFonts w:hint="default" w:ascii="Times New Roman" w:hAnsi="Times New Roman" w:eastAsia="宋体" w:cs="Times New Roman"/>
          <w:b w:val="0"/>
          <w:bCs w:val="0"/>
          <w:color w:val="auto"/>
          <w:sz w:val="24"/>
          <w:szCs w:val="24"/>
          <w:lang w:val="en-US" w:eastAsia="zh-CN"/>
        </w:rPr>
        <w:t>前15分钟</w:t>
      </w:r>
      <w:r>
        <w:rPr>
          <w:rFonts w:hint="default" w:ascii="Times New Roman" w:hAnsi="Times New Roman" w:eastAsia="宋体" w:cs="Times New Roman"/>
          <w:b w:val="0"/>
          <w:bCs w:val="0"/>
          <w:color w:val="auto"/>
          <w:sz w:val="24"/>
          <w:szCs w:val="24"/>
        </w:rPr>
        <w:t>雨水</w:t>
      </w:r>
      <w:r>
        <w:rPr>
          <w:rFonts w:hint="default" w:ascii="Times New Roman" w:hAnsi="Times New Roman" w:eastAsia="宋体" w:cs="Times New Roman"/>
          <w:b w:val="0"/>
          <w:bCs w:val="0"/>
          <w:color w:val="auto"/>
          <w:sz w:val="24"/>
          <w:szCs w:val="24"/>
          <w:lang w:eastAsia="zh-CN"/>
        </w:rPr>
        <w:t>经雨水沟收集</w:t>
      </w:r>
      <w:r>
        <w:rPr>
          <w:rFonts w:hint="default" w:ascii="Times New Roman" w:hAnsi="Times New Roman" w:eastAsia="宋体" w:cs="Times New Roman"/>
          <w:b w:val="0"/>
          <w:bCs w:val="0"/>
          <w:color w:val="auto"/>
          <w:sz w:val="24"/>
          <w:szCs w:val="24"/>
          <w:lang w:val="en-US" w:eastAsia="zh-CN"/>
        </w:rPr>
        <w:t>后</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lang w:val="en-US" w:eastAsia="zh-CN"/>
        </w:rPr>
        <w:t>排项目区雨水收集处理，</w:t>
      </w:r>
      <w:r>
        <w:rPr>
          <w:rFonts w:hint="default" w:ascii="Times New Roman" w:hAnsi="Times New Roman" w:eastAsia="宋体" w:cs="Times New Roman"/>
          <w:color w:val="auto"/>
          <w:sz w:val="24"/>
          <w:szCs w:val="24"/>
          <w:highlight w:val="none"/>
          <w:lang w:val="en-US" w:eastAsia="zh-CN"/>
        </w:rPr>
        <w:t>回用于</w:t>
      </w:r>
      <w:r>
        <w:rPr>
          <w:rFonts w:hint="eastAsia"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绿化、洒水降尘，回用不完的由曲煤焦化内部清运至铁路卸煤区洒水降尘</w:t>
      </w:r>
      <w:r>
        <w:rPr>
          <w:rFonts w:hint="eastAsia" w:ascii="Times New Roman" w:hAnsi="Times New Roman" w:eastAsia="宋体" w:cs="Times New Roman"/>
          <w:color w:val="auto"/>
          <w:sz w:val="24"/>
          <w:szCs w:val="24"/>
          <w:highlight w:val="none"/>
          <w:lang w:val="en-US" w:eastAsia="zh-CN"/>
        </w:rPr>
        <w:t>，后期雨水排园区雨水管网，进入东干渠</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color w:val="auto"/>
          <w:sz w:val="24"/>
          <w:lang w:val="en-US" w:eastAsia="zh-CN"/>
        </w:rPr>
        <w:fldChar w:fldCharType="begin"/>
      </w:r>
      <w:r>
        <w:rPr>
          <w:rFonts w:hint="default" w:ascii="Times New Roman" w:hAnsi="Times New Roman" w:eastAsia="宋体" w:cs="Times New Roman"/>
          <w:color w:val="auto"/>
          <w:sz w:val="24"/>
          <w:lang w:val="en-US" w:eastAsia="zh-CN"/>
        </w:rPr>
        <w:instrText xml:space="preserve"> = 2 \* GB3 </w:instrText>
      </w:r>
      <w:r>
        <w:rPr>
          <w:rFonts w:hint="default"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②</w:t>
      </w:r>
      <w:r>
        <w:rPr>
          <w:rFonts w:hint="default" w:ascii="Times New Roman" w:hAnsi="Times New Roman" w:eastAsia="宋体" w:cs="Times New Roman"/>
          <w:color w:val="auto"/>
          <w:sz w:val="24"/>
          <w:lang w:val="en-US" w:eastAsia="zh-CN"/>
        </w:rPr>
        <w:fldChar w:fldCharType="end"/>
      </w:r>
      <w:r>
        <w:rPr>
          <w:rFonts w:hint="eastAsia" w:cs="Times New Roman"/>
          <w:color w:val="auto"/>
          <w:sz w:val="24"/>
          <w:lang w:val="en-US" w:eastAsia="zh-CN"/>
        </w:rPr>
        <w:t>生活废水经化粪池处理后委托环卫部门清运处置</w:t>
      </w: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color w:val="auto"/>
          <w:sz w:val="24"/>
          <w:lang w:val="en-US" w:eastAsia="zh-CN"/>
        </w:rPr>
        <w:t>本项目用水量和废水产生量详见表</w:t>
      </w:r>
      <w:r>
        <w:rPr>
          <w:rFonts w:hint="eastAsia" w:ascii="Times New Roman" w:hAnsi="Times New Roman" w:eastAsia="宋体" w:cs="Times New Roman"/>
          <w:color w:val="auto"/>
          <w:sz w:val="24"/>
          <w:lang w:val="en-US" w:eastAsia="zh-CN"/>
        </w:rPr>
        <w:t>2.4-11</w:t>
      </w:r>
      <w:r>
        <w:rPr>
          <w:rFonts w:hint="default" w:ascii="Times New Roman" w:hAnsi="Times New Roman" w:eastAsia="宋体" w:cs="Times New Roman"/>
          <w:color w:val="auto"/>
          <w:sz w:val="24"/>
          <w:lang w:val="en-US" w:eastAsia="zh-CN"/>
        </w:rPr>
        <w:t>，水平衡图详见图</w:t>
      </w:r>
      <w:r>
        <w:rPr>
          <w:rFonts w:hint="eastAsia" w:ascii="Times New Roman" w:hAnsi="Times New Roman" w:eastAsia="宋体" w:cs="Times New Roman"/>
          <w:color w:val="auto"/>
          <w:sz w:val="24"/>
          <w:lang w:val="en-US" w:eastAsia="zh-CN"/>
        </w:rPr>
        <w:t>2.4-1</w:t>
      </w:r>
      <w:r>
        <w:rPr>
          <w:rFonts w:hint="default" w:ascii="Times New Roman" w:hAnsi="Times New Roman" w:eastAsia="宋体" w:cs="Times New Roman"/>
          <w:color w:val="auto"/>
          <w:sz w:val="24"/>
          <w:lang w:val="en-US" w:eastAsia="zh-CN"/>
        </w:rPr>
        <w:t>和图</w:t>
      </w:r>
      <w:r>
        <w:rPr>
          <w:rFonts w:hint="eastAsia" w:ascii="Times New Roman" w:hAnsi="Times New Roman" w:eastAsia="宋体" w:cs="Times New Roman"/>
          <w:color w:val="auto"/>
          <w:sz w:val="24"/>
          <w:lang w:val="en-US" w:eastAsia="zh-CN"/>
        </w:rPr>
        <w:t>2.4.2-2</w:t>
      </w:r>
      <w:r>
        <w:rPr>
          <w:rFonts w:hint="default" w:ascii="Times New Roman" w:hAnsi="Times New Roman" w:eastAsia="宋体" w:cs="Times New Roman"/>
          <w:color w:val="auto"/>
          <w:sz w:val="24"/>
          <w:lang w:val="en-US" w:eastAsia="zh-CN"/>
        </w:rPr>
        <w:t>。</w:t>
      </w:r>
    </w:p>
    <w:p w14:paraId="5D1C07F2">
      <w:pPr>
        <w:pStyle w:val="36"/>
        <w:keepNext w:val="0"/>
        <w:keepLines w:val="0"/>
        <w:pageBreakBefore w:val="0"/>
        <w:widowControl w:val="0"/>
        <w:numPr>
          <w:ilvl w:val="1"/>
          <w:numId w:val="14"/>
        </w:numPr>
        <w:kinsoku/>
        <w:wordWrap/>
        <w:overflowPunct/>
        <w:topLinePunct w:val="0"/>
        <w:autoSpaceDE/>
        <w:autoSpaceDN/>
        <w:bidi w:val="0"/>
        <w:adjustRightInd/>
        <w:snapToGrid/>
        <w:spacing w:line="240" w:lineRule="auto"/>
        <w:ind w:left="42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本项目用水量和废水产生量一览表</w:t>
      </w:r>
    </w:p>
    <w:tbl>
      <w:tblPr>
        <w:tblStyle w:val="21"/>
        <w:tblW w:w="83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9"/>
        <w:gridCol w:w="730"/>
        <w:gridCol w:w="1365"/>
        <w:gridCol w:w="1137"/>
        <w:gridCol w:w="1010"/>
        <w:gridCol w:w="736"/>
        <w:gridCol w:w="1129"/>
        <w:gridCol w:w="750"/>
        <w:gridCol w:w="561"/>
      </w:tblGrid>
      <w:tr w14:paraId="425C0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03" w:type="pct"/>
            <w:gridSpan w:val="2"/>
            <w:tcBorders>
              <w:bottom w:val="single" w:color="auto" w:sz="4" w:space="0"/>
            </w:tcBorders>
            <w:noWrap w:val="0"/>
            <w:vAlign w:val="center"/>
          </w:tcPr>
          <w:p w14:paraId="0259E6A3">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用水类别</w:t>
            </w:r>
          </w:p>
        </w:tc>
        <w:tc>
          <w:tcPr>
            <w:tcW w:w="1495" w:type="pct"/>
            <w:gridSpan w:val="2"/>
            <w:tcBorders>
              <w:bottom w:val="single" w:color="auto" w:sz="4" w:space="0"/>
              <w:right w:val="single" w:color="auto" w:sz="4" w:space="0"/>
            </w:tcBorders>
            <w:noWrap w:val="0"/>
            <w:vAlign w:val="center"/>
          </w:tcPr>
          <w:p w14:paraId="20396E3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用水量</w:t>
            </w:r>
          </w:p>
        </w:tc>
        <w:tc>
          <w:tcPr>
            <w:tcW w:w="603" w:type="pct"/>
            <w:tcBorders>
              <w:left w:val="single" w:color="auto" w:sz="4" w:space="0"/>
              <w:bottom w:val="single" w:color="auto" w:sz="4" w:space="0"/>
            </w:tcBorders>
            <w:noWrap w:val="0"/>
            <w:vAlign w:val="center"/>
          </w:tcPr>
          <w:p w14:paraId="70BC426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产污系数</w:t>
            </w:r>
          </w:p>
        </w:tc>
        <w:tc>
          <w:tcPr>
            <w:tcW w:w="1114" w:type="pct"/>
            <w:gridSpan w:val="2"/>
            <w:tcBorders>
              <w:bottom w:val="single" w:color="auto" w:sz="4" w:space="0"/>
            </w:tcBorders>
            <w:noWrap w:val="0"/>
            <w:vAlign w:val="center"/>
          </w:tcPr>
          <w:p w14:paraId="1A8E738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废水产生量</w:t>
            </w:r>
          </w:p>
        </w:tc>
        <w:tc>
          <w:tcPr>
            <w:tcW w:w="783" w:type="pct"/>
            <w:gridSpan w:val="2"/>
            <w:tcBorders>
              <w:bottom w:val="single" w:color="auto" w:sz="4" w:space="0"/>
            </w:tcBorders>
            <w:noWrap w:val="0"/>
            <w:vAlign w:val="center"/>
          </w:tcPr>
          <w:p w14:paraId="4DDFFEB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废水排放量</w:t>
            </w:r>
          </w:p>
        </w:tc>
      </w:tr>
      <w:tr w14:paraId="56309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67" w:type="pct"/>
            <w:tcBorders>
              <w:top w:val="single" w:color="auto" w:sz="4" w:space="0"/>
              <w:right w:val="single" w:color="auto" w:sz="4" w:space="0"/>
            </w:tcBorders>
            <w:noWrap w:val="0"/>
            <w:vAlign w:val="center"/>
          </w:tcPr>
          <w:p w14:paraId="2EFA00E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办公生活</w:t>
            </w:r>
          </w:p>
        </w:tc>
        <w:tc>
          <w:tcPr>
            <w:tcW w:w="436" w:type="pct"/>
            <w:tcBorders>
              <w:top w:val="single" w:color="auto" w:sz="4" w:space="0"/>
              <w:left w:val="single" w:color="auto" w:sz="4" w:space="0"/>
              <w:bottom w:val="single" w:color="auto" w:sz="4" w:space="0"/>
            </w:tcBorders>
            <w:noWrap w:val="0"/>
            <w:vAlign w:val="center"/>
          </w:tcPr>
          <w:p w14:paraId="5025135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自来水</w:t>
            </w:r>
          </w:p>
        </w:tc>
        <w:tc>
          <w:tcPr>
            <w:tcW w:w="815" w:type="pct"/>
            <w:tcBorders>
              <w:top w:val="single" w:color="auto" w:sz="4" w:space="0"/>
              <w:bottom w:val="single" w:color="auto" w:sz="4" w:space="0"/>
              <w:right w:val="single" w:color="auto" w:sz="4" w:space="0"/>
            </w:tcBorders>
            <w:noWrap w:val="0"/>
            <w:vAlign w:val="center"/>
          </w:tcPr>
          <w:p w14:paraId="7275683A">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0.6m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/d</w:t>
            </w:r>
          </w:p>
        </w:tc>
        <w:tc>
          <w:tcPr>
            <w:tcW w:w="679" w:type="pct"/>
            <w:tcBorders>
              <w:top w:val="single" w:color="auto" w:sz="4" w:space="0"/>
              <w:left w:val="single" w:color="auto" w:sz="4" w:space="0"/>
              <w:bottom w:val="single" w:color="auto" w:sz="4" w:space="0"/>
              <w:right w:val="single" w:color="auto" w:sz="4" w:space="0"/>
            </w:tcBorders>
            <w:noWrap w:val="0"/>
            <w:vAlign w:val="center"/>
          </w:tcPr>
          <w:p w14:paraId="5BF58B0C">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219m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/a</w:t>
            </w:r>
          </w:p>
        </w:tc>
        <w:tc>
          <w:tcPr>
            <w:tcW w:w="603" w:type="pct"/>
            <w:tcBorders>
              <w:top w:val="single" w:color="auto" w:sz="4" w:space="0"/>
              <w:left w:val="single" w:color="auto" w:sz="4" w:space="0"/>
              <w:bottom w:val="single" w:color="auto" w:sz="4" w:space="0"/>
            </w:tcBorders>
            <w:noWrap w:val="0"/>
            <w:vAlign w:val="center"/>
          </w:tcPr>
          <w:p w14:paraId="013369F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90%</w:t>
            </w:r>
          </w:p>
        </w:tc>
        <w:tc>
          <w:tcPr>
            <w:tcW w:w="439" w:type="pct"/>
            <w:tcBorders>
              <w:top w:val="single" w:color="auto" w:sz="4" w:space="0"/>
              <w:bottom w:val="single" w:color="auto" w:sz="4" w:space="0"/>
              <w:right w:val="single" w:color="auto" w:sz="4" w:space="0"/>
            </w:tcBorders>
            <w:noWrap w:val="0"/>
            <w:vAlign w:val="center"/>
          </w:tcPr>
          <w:p w14:paraId="0910BE4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0.54m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/d</w:t>
            </w:r>
          </w:p>
        </w:tc>
        <w:tc>
          <w:tcPr>
            <w:tcW w:w="674" w:type="pct"/>
            <w:tcBorders>
              <w:top w:val="single" w:color="auto" w:sz="4" w:space="0"/>
              <w:left w:val="single" w:color="auto" w:sz="4" w:space="0"/>
              <w:bottom w:val="single" w:color="auto" w:sz="4" w:space="0"/>
            </w:tcBorders>
            <w:noWrap w:val="0"/>
            <w:vAlign w:val="center"/>
          </w:tcPr>
          <w:p w14:paraId="7F323093">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197.1m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/a</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06B0A66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w:t>
            </w:r>
          </w:p>
        </w:tc>
        <w:tc>
          <w:tcPr>
            <w:tcW w:w="335" w:type="pct"/>
            <w:tcBorders>
              <w:top w:val="single" w:color="auto" w:sz="4" w:space="0"/>
              <w:left w:val="single" w:color="auto" w:sz="4" w:space="0"/>
              <w:bottom w:val="single" w:color="auto" w:sz="4" w:space="0"/>
            </w:tcBorders>
            <w:noWrap w:val="0"/>
            <w:vAlign w:val="center"/>
          </w:tcPr>
          <w:p w14:paraId="42D2D15E">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w:t>
            </w:r>
          </w:p>
        </w:tc>
      </w:tr>
      <w:tr w14:paraId="4F17E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67" w:type="pct"/>
            <w:tcBorders>
              <w:top w:val="single" w:color="auto" w:sz="4" w:space="0"/>
              <w:right w:val="single" w:color="auto" w:sz="4" w:space="0"/>
            </w:tcBorders>
            <w:noWrap w:val="0"/>
            <w:vAlign w:val="center"/>
          </w:tcPr>
          <w:p w14:paraId="4F2D548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洒水降尘</w:t>
            </w:r>
          </w:p>
        </w:tc>
        <w:tc>
          <w:tcPr>
            <w:tcW w:w="436" w:type="pct"/>
            <w:tcBorders>
              <w:top w:val="single" w:color="auto" w:sz="4" w:space="0"/>
              <w:left w:val="single" w:color="auto" w:sz="4" w:space="0"/>
              <w:bottom w:val="single" w:color="auto" w:sz="4" w:space="0"/>
            </w:tcBorders>
            <w:noWrap w:val="0"/>
            <w:vAlign w:val="center"/>
          </w:tcPr>
          <w:p w14:paraId="536713F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中水</w:t>
            </w:r>
          </w:p>
        </w:tc>
        <w:tc>
          <w:tcPr>
            <w:tcW w:w="815" w:type="pct"/>
            <w:tcBorders>
              <w:top w:val="single" w:color="auto" w:sz="4" w:space="0"/>
              <w:bottom w:val="single" w:color="auto" w:sz="4" w:space="0"/>
              <w:right w:val="single" w:color="auto" w:sz="4" w:space="0"/>
            </w:tcBorders>
            <w:noWrap w:val="0"/>
            <w:vAlign w:val="center"/>
          </w:tcPr>
          <w:p w14:paraId="3B779BBE">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9m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/d</w:t>
            </w:r>
          </w:p>
        </w:tc>
        <w:tc>
          <w:tcPr>
            <w:tcW w:w="679" w:type="pct"/>
            <w:tcBorders>
              <w:top w:val="single" w:color="auto" w:sz="4" w:space="0"/>
              <w:left w:val="single" w:color="auto" w:sz="4" w:space="0"/>
              <w:bottom w:val="single" w:color="auto" w:sz="4" w:space="0"/>
              <w:right w:val="single" w:color="auto" w:sz="4" w:space="0"/>
            </w:tcBorders>
            <w:noWrap w:val="0"/>
            <w:vAlign w:val="center"/>
          </w:tcPr>
          <w:p w14:paraId="6EFF752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1890m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/a</w:t>
            </w:r>
          </w:p>
        </w:tc>
        <w:tc>
          <w:tcPr>
            <w:tcW w:w="603" w:type="pct"/>
            <w:tcBorders>
              <w:top w:val="single" w:color="auto" w:sz="4" w:space="0"/>
              <w:left w:val="single" w:color="auto" w:sz="4" w:space="0"/>
              <w:bottom w:val="single" w:color="auto" w:sz="4" w:space="0"/>
            </w:tcBorders>
            <w:noWrap w:val="0"/>
            <w:vAlign w:val="center"/>
          </w:tcPr>
          <w:p w14:paraId="5677398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439" w:type="pct"/>
            <w:tcBorders>
              <w:top w:val="single" w:color="auto" w:sz="4" w:space="0"/>
              <w:bottom w:val="single" w:color="auto" w:sz="4" w:space="0"/>
              <w:right w:val="single" w:color="auto" w:sz="4" w:space="0"/>
            </w:tcBorders>
            <w:noWrap w:val="0"/>
            <w:vAlign w:val="center"/>
          </w:tcPr>
          <w:p w14:paraId="36612DB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674" w:type="pct"/>
            <w:tcBorders>
              <w:top w:val="single" w:color="auto" w:sz="4" w:space="0"/>
              <w:left w:val="single" w:color="auto" w:sz="4" w:space="0"/>
              <w:bottom w:val="single" w:color="auto" w:sz="4" w:space="0"/>
            </w:tcBorders>
            <w:noWrap w:val="0"/>
            <w:vAlign w:val="center"/>
          </w:tcPr>
          <w:p w14:paraId="25C2B85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12B1DB6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335" w:type="pct"/>
            <w:tcBorders>
              <w:top w:val="single" w:color="auto" w:sz="4" w:space="0"/>
              <w:left w:val="single" w:color="auto" w:sz="4" w:space="0"/>
              <w:bottom w:val="single" w:color="auto" w:sz="4" w:space="0"/>
            </w:tcBorders>
            <w:noWrap w:val="0"/>
            <w:vAlign w:val="center"/>
          </w:tcPr>
          <w:p w14:paraId="4909C5C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r>
      <w:tr w14:paraId="30D8E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67" w:type="pct"/>
            <w:tcBorders>
              <w:top w:val="single" w:color="auto" w:sz="4" w:space="0"/>
              <w:right w:val="single" w:color="auto" w:sz="4" w:space="0"/>
            </w:tcBorders>
            <w:noWrap w:val="0"/>
            <w:vAlign w:val="center"/>
          </w:tcPr>
          <w:p w14:paraId="47452DFE">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绿化</w:t>
            </w:r>
          </w:p>
        </w:tc>
        <w:tc>
          <w:tcPr>
            <w:tcW w:w="436" w:type="pct"/>
            <w:tcBorders>
              <w:top w:val="single" w:color="auto" w:sz="4" w:space="0"/>
              <w:left w:val="single" w:color="auto" w:sz="4" w:space="0"/>
              <w:bottom w:val="single" w:color="auto" w:sz="4" w:space="0"/>
            </w:tcBorders>
            <w:noWrap w:val="0"/>
            <w:vAlign w:val="center"/>
          </w:tcPr>
          <w:p w14:paraId="1C388FC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中水</w:t>
            </w:r>
          </w:p>
        </w:tc>
        <w:tc>
          <w:tcPr>
            <w:tcW w:w="815" w:type="pct"/>
            <w:tcBorders>
              <w:top w:val="single" w:color="auto" w:sz="4" w:space="0"/>
              <w:bottom w:val="single" w:color="auto" w:sz="4" w:space="0"/>
              <w:right w:val="single" w:color="auto" w:sz="4" w:space="0"/>
            </w:tcBorders>
            <w:noWrap w:val="0"/>
            <w:vAlign w:val="center"/>
          </w:tcPr>
          <w:p w14:paraId="68C52793">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16.70</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/d</w:t>
            </w:r>
          </w:p>
        </w:tc>
        <w:tc>
          <w:tcPr>
            <w:tcW w:w="679" w:type="pct"/>
            <w:tcBorders>
              <w:top w:val="single" w:color="auto" w:sz="4" w:space="0"/>
              <w:left w:val="single" w:color="auto" w:sz="4" w:space="0"/>
              <w:bottom w:val="single" w:color="auto" w:sz="4" w:space="0"/>
              <w:right w:val="single" w:color="auto" w:sz="4" w:space="0"/>
            </w:tcBorders>
            <w:noWrap w:val="0"/>
            <w:vAlign w:val="center"/>
          </w:tcPr>
          <w:p w14:paraId="797F356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3507</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/a</w:t>
            </w:r>
          </w:p>
        </w:tc>
        <w:tc>
          <w:tcPr>
            <w:tcW w:w="603" w:type="pct"/>
            <w:tcBorders>
              <w:top w:val="single" w:color="auto" w:sz="4" w:space="0"/>
              <w:left w:val="single" w:color="auto" w:sz="4" w:space="0"/>
              <w:bottom w:val="single" w:color="auto" w:sz="4" w:space="0"/>
            </w:tcBorders>
            <w:noWrap w:val="0"/>
            <w:vAlign w:val="center"/>
          </w:tcPr>
          <w:p w14:paraId="1FA26D6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439" w:type="pct"/>
            <w:tcBorders>
              <w:top w:val="single" w:color="auto" w:sz="4" w:space="0"/>
              <w:bottom w:val="single" w:color="auto" w:sz="4" w:space="0"/>
              <w:right w:val="single" w:color="auto" w:sz="4" w:space="0"/>
            </w:tcBorders>
            <w:noWrap w:val="0"/>
            <w:vAlign w:val="center"/>
          </w:tcPr>
          <w:p w14:paraId="476CA7D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674" w:type="pct"/>
            <w:tcBorders>
              <w:top w:val="single" w:color="auto" w:sz="4" w:space="0"/>
              <w:left w:val="single" w:color="auto" w:sz="4" w:space="0"/>
              <w:bottom w:val="single" w:color="auto" w:sz="4" w:space="0"/>
            </w:tcBorders>
            <w:noWrap w:val="0"/>
            <w:vAlign w:val="center"/>
          </w:tcPr>
          <w:p w14:paraId="0FDDD16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076F2E28">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335" w:type="pct"/>
            <w:tcBorders>
              <w:top w:val="single" w:color="auto" w:sz="4" w:space="0"/>
              <w:left w:val="single" w:color="auto" w:sz="4" w:space="0"/>
              <w:bottom w:val="single" w:color="auto" w:sz="4" w:space="0"/>
            </w:tcBorders>
            <w:noWrap w:val="0"/>
            <w:vAlign w:val="center"/>
          </w:tcPr>
          <w:p w14:paraId="41156A9A">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r>
      <w:tr w14:paraId="78AE3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67" w:type="pct"/>
            <w:tcBorders>
              <w:top w:val="single" w:color="auto" w:sz="4" w:space="0"/>
              <w:right w:val="single" w:color="auto" w:sz="4" w:space="0"/>
            </w:tcBorders>
            <w:noWrap w:val="0"/>
            <w:vAlign w:val="center"/>
          </w:tcPr>
          <w:p w14:paraId="7A84BDD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初期雨水收集池</w:t>
            </w:r>
          </w:p>
        </w:tc>
        <w:tc>
          <w:tcPr>
            <w:tcW w:w="436" w:type="pct"/>
            <w:tcBorders>
              <w:top w:val="single" w:color="auto" w:sz="4" w:space="0"/>
              <w:left w:val="single" w:color="auto" w:sz="4" w:space="0"/>
              <w:bottom w:val="single" w:color="auto" w:sz="4" w:space="0"/>
            </w:tcBorders>
            <w:noWrap w:val="0"/>
            <w:vAlign w:val="center"/>
          </w:tcPr>
          <w:p w14:paraId="628CE28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初期</w:t>
            </w:r>
          </w:p>
          <w:p w14:paraId="1285057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雨水</w:t>
            </w:r>
          </w:p>
        </w:tc>
        <w:tc>
          <w:tcPr>
            <w:tcW w:w="815" w:type="pct"/>
            <w:tcBorders>
              <w:top w:val="single" w:color="auto" w:sz="4" w:space="0"/>
              <w:bottom w:val="single" w:color="auto" w:sz="4" w:space="0"/>
              <w:right w:val="single" w:color="auto" w:sz="4" w:space="0"/>
            </w:tcBorders>
            <w:noWrap w:val="0"/>
            <w:vAlign w:val="center"/>
          </w:tcPr>
          <w:p w14:paraId="62E0C96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679" w:type="pct"/>
            <w:tcBorders>
              <w:top w:val="single" w:color="auto" w:sz="4" w:space="0"/>
              <w:left w:val="single" w:color="auto" w:sz="4" w:space="0"/>
              <w:bottom w:val="single" w:color="auto" w:sz="4" w:space="0"/>
              <w:right w:val="single" w:color="auto" w:sz="4" w:space="0"/>
            </w:tcBorders>
            <w:noWrap w:val="0"/>
            <w:vAlign w:val="center"/>
          </w:tcPr>
          <w:p w14:paraId="0DF3788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p>
        </w:tc>
        <w:tc>
          <w:tcPr>
            <w:tcW w:w="603" w:type="pct"/>
            <w:tcBorders>
              <w:top w:val="single" w:color="auto" w:sz="4" w:space="0"/>
              <w:left w:val="single" w:color="auto" w:sz="4" w:space="0"/>
              <w:bottom w:val="single" w:color="auto" w:sz="4" w:space="0"/>
            </w:tcBorders>
            <w:noWrap w:val="0"/>
            <w:vAlign w:val="center"/>
          </w:tcPr>
          <w:p w14:paraId="3B3E17DA">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439" w:type="pct"/>
            <w:tcBorders>
              <w:top w:val="single" w:color="auto" w:sz="4" w:space="0"/>
              <w:bottom w:val="single" w:color="auto" w:sz="4" w:space="0"/>
              <w:right w:val="single" w:color="auto" w:sz="4" w:space="0"/>
            </w:tcBorders>
            <w:noWrap w:val="0"/>
            <w:vAlign w:val="center"/>
          </w:tcPr>
          <w:p w14:paraId="5CFD9EAA">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93.</w:t>
            </w:r>
            <w:r>
              <w:rPr>
                <w:rFonts w:hint="default" w:ascii="Times New Roman" w:hAnsi="Times New Roman" w:cs="Times New Roman"/>
                <w:b w:val="0"/>
                <w:bCs w:val="0"/>
                <w:color w:val="auto"/>
                <w:sz w:val="21"/>
                <w:szCs w:val="21"/>
                <w:highlight w:val="none"/>
                <w:lang w:val="en-US" w:eastAsia="zh-CN"/>
              </w:rPr>
              <w:t>1</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/d</w:t>
            </w:r>
          </w:p>
        </w:tc>
        <w:tc>
          <w:tcPr>
            <w:tcW w:w="674" w:type="pct"/>
            <w:tcBorders>
              <w:top w:val="single" w:color="auto" w:sz="4" w:space="0"/>
              <w:left w:val="single" w:color="auto" w:sz="4" w:space="0"/>
              <w:bottom w:val="single" w:color="auto" w:sz="4" w:space="0"/>
            </w:tcBorders>
            <w:noWrap w:val="0"/>
            <w:vAlign w:val="center"/>
          </w:tcPr>
          <w:p w14:paraId="09A8E848">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14430.5m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/a</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64149143">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w:t>
            </w:r>
          </w:p>
        </w:tc>
        <w:tc>
          <w:tcPr>
            <w:tcW w:w="335" w:type="pct"/>
            <w:tcBorders>
              <w:top w:val="single" w:color="auto" w:sz="4" w:space="0"/>
              <w:left w:val="single" w:color="auto" w:sz="4" w:space="0"/>
              <w:bottom w:val="single" w:color="auto" w:sz="4" w:space="0"/>
            </w:tcBorders>
            <w:noWrap w:val="0"/>
            <w:vAlign w:val="center"/>
          </w:tcPr>
          <w:p w14:paraId="28F13EA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w:t>
            </w:r>
          </w:p>
        </w:tc>
      </w:tr>
      <w:tr w14:paraId="342F4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trPr>
        <w:tc>
          <w:tcPr>
            <w:tcW w:w="567" w:type="pct"/>
            <w:vMerge w:val="restart"/>
            <w:tcBorders>
              <w:right w:val="single" w:color="auto" w:sz="4" w:space="0"/>
            </w:tcBorders>
            <w:noWrap w:val="0"/>
            <w:vAlign w:val="center"/>
          </w:tcPr>
          <w:p w14:paraId="1A80B74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合计</w:t>
            </w:r>
          </w:p>
        </w:tc>
        <w:tc>
          <w:tcPr>
            <w:tcW w:w="436" w:type="pct"/>
            <w:tcBorders>
              <w:left w:val="single" w:color="auto" w:sz="4" w:space="0"/>
            </w:tcBorders>
            <w:noWrap w:val="0"/>
            <w:vAlign w:val="center"/>
          </w:tcPr>
          <w:p w14:paraId="492DE5FF">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晴天</w:t>
            </w:r>
          </w:p>
        </w:tc>
        <w:tc>
          <w:tcPr>
            <w:tcW w:w="815" w:type="pct"/>
            <w:noWrap w:val="0"/>
            <w:vAlign w:val="center"/>
          </w:tcPr>
          <w:p w14:paraId="7967CBA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0.6m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/d</w:t>
            </w:r>
          </w:p>
          <w:p w14:paraId="619E8A9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（自来水）</w:t>
            </w:r>
          </w:p>
        </w:tc>
        <w:tc>
          <w:tcPr>
            <w:tcW w:w="679" w:type="pct"/>
            <w:vMerge w:val="restart"/>
            <w:noWrap w:val="0"/>
            <w:vAlign w:val="center"/>
          </w:tcPr>
          <w:p w14:paraId="5374145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219m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/（自来水）a</w:t>
            </w:r>
          </w:p>
        </w:tc>
        <w:tc>
          <w:tcPr>
            <w:tcW w:w="603" w:type="pct"/>
            <w:vMerge w:val="restart"/>
            <w:noWrap w:val="0"/>
            <w:vAlign w:val="center"/>
          </w:tcPr>
          <w:p w14:paraId="4F1FCEE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1897" w:type="pct"/>
            <w:gridSpan w:val="4"/>
            <w:vMerge w:val="restart"/>
            <w:noWrap w:val="0"/>
            <w:vAlign w:val="center"/>
          </w:tcPr>
          <w:p w14:paraId="2AF368A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生活污水经处理后委托</w:t>
            </w:r>
            <w:r>
              <w:rPr>
                <w:rFonts w:hint="default" w:ascii="Times New Roman" w:hAnsi="Times New Roman" w:cs="Times New Roman"/>
                <w:b w:val="0"/>
                <w:bCs w:val="0"/>
                <w:color w:val="auto"/>
                <w:sz w:val="21"/>
                <w:szCs w:val="21"/>
                <w:highlight w:val="none"/>
                <w:lang w:val="en-US" w:eastAsia="zh-CN"/>
              </w:rPr>
              <w:t>环卫部门清运处置</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cs="Times New Roman"/>
                <w:b w:val="0"/>
                <w:bCs w:val="0"/>
                <w:color w:val="auto"/>
                <w:sz w:val="21"/>
                <w:szCs w:val="21"/>
                <w:highlight w:val="none"/>
                <w:lang w:val="en-US" w:eastAsia="zh-CN"/>
              </w:rPr>
              <w:t>初期雨水经初期雨水收集池沉淀处理后，回用于项目绿化、洒水降尘，回用不完的由曲煤焦化内部清运至铁路卸煤区洒水降尘</w:t>
            </w:r>
            <w:r>
              <w:rPr>
                <w:rFonts w:hint="default" w:ascii="Times New Roman" w:hAnsi="Times New Roman" w:eastAsia="宋体" w:cs="Times New Roman"/>
                <w:b w:val="0"/>
                <w:bCs w:val="0"/>
                <w:color w:val="auto"/>
                <w:sz w:val="21"/>
                <w:szCs w:val="21"/>
                <w:highlight w:val="none"/>
                <w:lang w:val="en-US" w:eastAsia="zh-CN"/>
              </w:rPr>
              <w:t>。</w:t>
            </w:r>
          </w:p>
        </w:tc>
      </w:tr>
      <w:tr w14:paraId="23BF4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 w:hRule="atLeast"/>
        </w:trPr>
        <w:tc>
          <w:tcPr>
            <w:tcW w:w="567" w:type="pct"/>
            <w:vMerge w:val="continue"/>
            <w:tcBorders>
              <w:right w:val="single" w:color="auto" w:sz="4" w:space="0"/>
            </w:tcBorders>
            <w:noWrap w:val="0"/>
            <w:vAlign w:val="center"/>
          </w:tcPr>
          <w:p w14:paraId="64922F1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36" w:type="pct"/>
            <w:tcBorders>
              <w:left w:val="single" w:color="auto" w:sz="4" w:space="0"/>
            </w:tcBorders>
            <w:noWrap w:val="0"/>
            <w:vAlign w:val="center"/>
          </w:tcPr>
          <w:p w14:paraId="35C072E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雨天</w:t>
            </w:r>
          </w:p>
        </w:tc>
        <w:tc>
          <w:tcPr>
            <w:tcW w:w="815" w:type="pct"/>
            <w:noWrap w:val="0"/>
            <w:vAlign w:val="center"/>
          </w:tcPr>
          <w:p w14:paraId="4F7489E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0.6m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/d</w:t>
            </w:r>
          </w:p>
          <w:p w14:paraId="12142EC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（自来水）</w:t>
            </w:r>
          </w:p>
        </w:tc>
        <w:tc>
          <w:tcPr>
            <w:tcW w:w="679" w:type="pct"/>
            <w:vMerge w:val="continue"/>
            <w:noWrap w:val="0"/>
            <w:vAlign w:val="center"/>
          </w:tcPr>
          <w:p w14:paraId="2AAF0F7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03" w:type="pct"/>
            <w:vMerge w:val="continue"/>
            <w:noWrap w:val="0"/>
            <w:vAlign w:val="center"/>
          </w:tcPr>
          <w:p w14:paraId="450BA24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897" w:type="pct"/>
            <w:gridSpan w:val="4"/>
            <w:vMerge w:val="continue"/>
            <w:noWrap w:val="0"/>
            <w:vAlign w:val="center"/>
          </w:tcPr>
          <w:p w14:paraId="7EAEE52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r>
    </w:tbl>
    <w:p w14:paraId="7A5F3E6C">
      <w:pPr>
        <w:rPr>
          <w:color w:val="auto"/>
        </w:rPr>
      </w:pPr>
      <w:r>
        <w:rPr>
          <w:color w:val="auto"/>
        </w:rPr>
        <w:drawing>
          <wp:inline distT="0" distB="0" distL="114300" distR="114300">
            <wp:extent cx="5264785" cy="1431290"/>
            <wp:effectExtent l="0" t="0" r="0" b="0"/>
            <wp:docPr id="4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1"/>
                    <pic:cNvPicPr>
                      <a:picLocks noChangeAspect="1"/>
                    </pic:cNvPicPr>
                  </pic:nvPicPr>
                  <pic:blipFill>
                    <a:blip r:embed="rId32"/>
                    <a:srcRect t="11973" b="8183"/>
                    <a:stretch>
                      <a:fillRect/>
                    </a:stretch>
                  </pic:blipFill>
                  <pic:spPr>
                    <a:xfrm>
                      <a:off x="0" y="0"/>
                      <a:ext cx="5264785" cy="1431290"/>
                    </a:xfrm>
                    <a:prstGeom prst="rect">
                      <a:avLst/>
                    </a:prstGeom>
                    <a:noFill/>
                    <a:ln>
                      <a:noFill/>
                    </a:ln>
                  </pic:spPr>
                </pic:pic>
              </a:graphicData>
            </a:graphic>
          </wp:inline>
        </w:drawing>
      </w:r>
    </w:p>
    <w:p w14:paraId="2330AE55">
      <w:pPr>
        <w:keepNext/>
        <w:keepLines w:val="0"/>
        <w:pageBreakBefore w:val="0"/>
        <w:widowControl w:val="0"/>
        <w:kinsoku/>
        <w:wordWrap/>
        <w:overflowPunct/>
        <w:topLinePunct w:val="0"/>
        <w:autoSpaceDE/>
        <w:autoSpaceDN/>
        <w:bidi w:val="0"/>
        <w:snapToGrid w:val="0"/>
        <w:spacing w:before="60" w:after="0" w:line="259" w:lineRule="auto"/>
        <w:ind w:left="0" w:leftChars="0" w:right="113" w:firstLine="0" w:firstLineChars="0"/>
        <w:jc w:val="center"/>
        <w:textAlignment w:val="auto"/>
        <w:rPr>
          <w:rFonts w:hint="default" w:ascii="Times New Roman" w:hAnsi="Times New Roman" w:eastAsia="宋体" w:cs="Times New Roman"/>
          <w:b/>
          <w:bCs/>
          <w:color w:val="auto"/>
          <w:kern w:val="0"/>
          <w:sz w:val="24"/>
          <w:szCs w:val="24"/>
          <w:lang w:val="en-US" w:eastAsia="zh-CN" w:bidi="ar-SA"/>
        </w:rPr>
      </w:pPr>
      <w:r>
        <w:rPr>
          <w:rFonts w:hint="default" w:ascii="Times New Roman" w:hAnsi="Times New Roman" w:eastAsia="宋体" w:cs="Times New Roman"/>
          <w:b/>
          <w:bCs/>
          <w:color w:val="auto"/>
          <w:kern w:val="0"/>
          <w:sz w:val="21"/>
          <w:szCs w:val="21"/>
          <w:lang w:val="en-US" w:eastAsia="zh-CN" w:bidi="ar-SA"/>
        </w:rPr>
        <w:t>图2</w:t>
      </w:r>
      <w:r>
        <w:rPr>
          <w:rFonts w:hint="eastAsia" w:ascii="Times New Roman" w:hAnsi="Times New Roman" w:eastAsia="宋体" w:cs="Times New Roman"/>
          <w:b/>
          <w:bCs/>
          <w:color w:val="auto"/>
          <w:kern w:val="0"/>
          <w:sz w:val="21"/>
          <w:szCs w:val="21"/>
          <w:lang w:val="en-US" w:eastAsia="zh-CN" w:bidi="ar-SA"/>
        </w:rPr>
        <w:t>.4</w:t>
      </w:r>
      <w:r>
        <w:rPr>
          <w:rFonts w:hint="default" w:ascii="Times New Roman" w:hAnsi="Times New Roman" w:eastAsia="宋体" w:cs="Times New Roman"/>
          <w:b/>
          <w:bCs/>
          <w:color w:val="auto"/>
          <w:kern w:val="0"/>
          <w:sz w:val="21"/>
          <w:szCs w:val="21"/>
          <w:lang w:val="en-US" w:eastAsia="zh-CN" w:bidi="ar-SA"/>
        </w:rPr>
        <w:t>-1 项目区雨天水平衡图（单位：m</w:t>
      </w:r>
      <w:r>
        <w:rPr>
          <w:rFonts w:hint="default" w:ascii="Times New Roman" w:hAnsi="Times New Roman" w:eastAsia="宋体" w:cs="Times New Roman"/>
          <w:b/>
          <w:bCs/>
          <w:color w:val="auto"/>
          <w:kern w:val="0"/>
          <w:sz w:val="21"/>
          <w:szCs w:val="21"/>
          <w:vertAlign w:val="superscript"/>
          <w:lang w:val="en-US" w:eastAsia="zh-CN" w:bidi="ar-SA"/>
        </w:rPr>
        <w:t>3</w:t>
      </w:r>
      <w:r>
        <w:rPr>
          <w:rFonts w:hint="default" w:ascii="Times New Roman" w:hAnsi="Times New Roman" w:eastAsia="宋体" w:cs="Times New Roman"/>
          <w:b/>
          <w:bCs/>
          <w:color w:val="auto"/>
          <w:kern w:val="0"/>
          <w:sz w:val="21"/>
          <w:szCs w:val="21"/>
          <w:lang w:val="en-US" w:eastAsia="zh-CN" w:bidi="ar-SA"/>
        </w:rPr>
        <w:t>/</w:t>
      </w:r>
      <w:r>
        <w:rPr>
          <w:rFonts w:hint="default" w:ascii="Times New Roman" w:hAnsi="Times New Roman" w:eastAsia="宋体" w:cs="Times New Roman"/>
          <w:b/>
          <w:bCs/>
          <w:color w:val="auto"/>
          <w:kern w:val="0"/>
          <w:sz w:val="21"/>
          <w:szCs w:val="21"/>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4114800</wp:posOffset>
                </wp:positionH>
                <wp:positionV relativeFrom="paragraph">
                  <wp:posOffset>160020</wp:posOffset>
                </wp:positionV>
                <wp:extent cx="635" cy="396240"/>
                <wp:effectExtent l="0" t="0" r="0" b="0"/>
                <wp:wrapNone/>
                <wp:docPr id="50" name="直线 2494"/>
                <wp:cNvGraphicFramePr/>
                <a:graphic xmlns:a="http://schemas.openxmlformats.org/drawingml/2006/main">
                  <a:graphicData uri="http://schemas.microsoft.com/office/word/2010/wordprocessingShape">
                    <wps:wsp>
                      <wps:cNvCnPr/>
                      <wps:spPr>
                        <a:xfrm>
                          <a:off x="0" y="0"/>
                          <a:ext cx="635" cy="396240"/>
                        </a:xfrm>
                        <a:prstGeom prst="line">
                          <a:avLst/>
                        </a:prstGeom>
                        <a:ln>
                          <a:noFill/>
                        </a:ln>
                      </wps:spPr>
                      <wps:bodyPr upright="1"/>
                    </wps:wsp>
                  </a:graphicData>
                </a:graphic>
              </wp:anchor>
            </w:drawing>
          </mc:Choice>
          <mc:Fallback>
            <w:pict>
              <v:line id="直线 2494" o:spid="_x0000_s1026" o:spt="20" style="position:absolute;left:0pt;margin-left:324pt;margin-top:12.6pt;height:31.2pt;width:0.05pt;z-index:251666432;mso-width-relative:page;mso-height-relative:page;" filled="f" stroked="f" coordsize="21600,21600" o:gfxdata="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jSnYONgAAAAJAQAADwAAAAAAAAABACAA&#10;AAAiAAAAZHJzL2Rvd25yZXYueG1sUEsBAhQAFAAAAAgAh07iQISp2G2bAQAAKwMAAA4AAAAAAAAA&#10;AQAgAAAAJwEAAGRycy9lMm9Eb2MueG1sUEsFBgAAAAAGAAYAWQEAADQFAAAAAA==&#10;">
                <v:fill on="f" focussize="0,0"/>
                <v:stroke on="f"/>
                <v:imagedata o:title=""/>
                <o:lock v:ext="edit" aspectratio="f"/>
              </v:line>
            </w:pict>
          </mc:Fallback>
        </mc:AlternateContent>
      </w:r>
      <w:r>
        <w:rPr>
          <w:rFonts w:hint="default" w:ascii="Times New Roman" w:hAnsi="Times New Roman" w:eastAsia="宋体" w:cs="Times New Roman"/>
          <w:b/>
          <w:bCs/>
          <w:color w:val="auto"/>
          <w:kern w:val="0"/>
          <w:sz w:val="21"/>
          <w:szCs w:val="21"/>
          <w:lang w:val="en-US" w:eastAsia="zh-CN" w:bidi="ar-SA"/>
        </w:rPr>
        <w:t>d）</w:t>
      </w:r>
    </w:p>
    <w:p w14:paraId="12210FF7">
      <w:pPr>
        <w:rPr>
          <w:rFonts w:hint="default"/>
          <w:color w:val="auto"/>
          <w:lang w:val="en-US" w:eastAsia="zh-CN"/>
        </w:rPr>
      </w:pPr>
      <w:r>
        <w:rPr>
          <w:color w:val="auto"/>
        </w:rPr>
        <w:drawing>
          <wp:inline distT="0" distB="0" distL="114300" distR="114300">
            <wp:extent cx="5269865" cy="2326005"/>
            <wp:effectExtent l="0" t="0" r="0" b="0"/>
            <wp:docPr id="4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2"/>
                    <pic:cNvPicPr>
                      <a:picLocks noChangeAspect="1"/>
                    </pic:cNvPicPr>
                  </pic:nvPicPr>
                  <pic:blipFill>
                    <a:blip r:embed="rId33"/>
                    <a:srcRect t="8019" b="5077"/>
                    <a:stretch>
                      <a:fillRect/>
                    </a:stretch>
                  </pic:blipFill>
                  <pic:spPr>
                    <a:xfrm>
                      <a:off x="0" y="0"/>
                      <a:ext cx="5269865" cy="2326005"/>
                    </a:xfrm>
                    <a:prstGeom prst="rect">
                      <a:avLst/>
                    </a:prstGeom>
                    <a:noFill/>
                    <a:ln>
                      <a:noFill/>
                    </a:ln>
                  </pic:spPr>
                </pic:pic>
              </a:graphicData>
            </a:graphic>
          </wp:inline>
        </w:drawing>
      </w:r>
    </w:p>
    <w:p w14:paraId="770352DF">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22" w:firstLineChars="200"/>
        <w:jc w:val="center"/>
        <w:textAlignment w:val="baseline"/>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SA"/>
        </w:rPr>
        <w:t>图</w:t>
      </w:r>
      <w:r>
        <w:rPr>
          <w:rFonts w:hint="eastAsia" w:ascii="Times New Roman" w:hAnsi="Times New Roman" w:eastAsia="宋体" w:cs="Times New Roman"/>
          <w:b/>
          <w:bCs/>
          <w:color w:val="auto"/>
          <w:kern w:val="0"/>
          <w:sz w:val="21"/>
          <w:szCs w:val="21"/>
          <w:lang w:val="en-US" w:eastAsia="zh-CN" w:bidi="ar-SA"/>
        </w:rPr>
        <w:t>2.4-2</w:t>
      </w:r>
      <w:r>
        <w:rPr>
          <w:rFonts w:hint="default" w:ascii="Times New Roman" w:hAnsi="Times New Roman" w:eastAsia="宋体" w:cs="Times New Roman"/>
          <w:b/>
          <w:bCs/>
          <w:color w:val="auto"/>
          <w:kern w:val="0"/>
          <w:sz w:val="21"/>
          <w:szCs w:val="21"/>
          <w:lang w:val="en-US" w:eastAsia="zh-CN" w:bidi="ar-SA"/>
        </w:rPr>
        <w:t>项目区晴天水平衡图</w:t>
      </w:r>
      <w:r>
        <w:rPr>
          <w:rFonts w:hint="default" w:ascii="Times New Roman" w:hAnsi="Times New Roman" w:eastAsia="宋体" w:cs="Times New Roman"/>
          <w:b/>
          <w:bCs/>
          <w:color w:val="auto"/>
          <w:sz w:val="21"/>
          <w:szCs w:val="21"/>
        </w:rPr>
        <w:t>（单位：m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w:t>
      </w:r>
      <w:r>
        <w:rPr>
          <w:rFonts w:hint="default" w:ascii="Times New Roman" w:hAnsi="Times New Roman" w:eastAsia="宋体" w:cs="Times New Roman"/>
          <w:b/>
          <w:bCs/>
          <w:color w:val="auto"/>
          <w:sz w:val="21"/>
          <w:szCs w:val="21"/>
        </w:rPr>
        <mc:AlternateContent>
          <mc:Choice Requires="wps">
            <w:drawing>
              <wp:anchor distT="0" distB="0" distL="114300" distR="114300" simplePos="0" relativeHeight="251662336" behindDoc="0" locked="0" layoutInCell="1" allowOverlap="1">
                <wp:simplePos x="0" y="0"/>
                <wp:positionH relativeFrom="column">
                  <wp:posOffset>4114800</wp:posOffset>
                </wp:positionH>
                <wp:positionV relativeFrom="paragraph">
                  <wp:posOffset>160020</wp:posOffset>
                </wp:positionV>
                <wp:extent cx="635" cy="396240"/>
                <wp:effectExtent l="0" t="0" r="0" b="0"/>
                <wp:wrapNone/>
                <wp:docPr id="52" name="Line 916"/>
                <wp:cNvGraphicFramePr/>
                <a:graphic xmlns:a="http://schemas.openxmlformats.org/drawingml/2006/main">
                  <a:graphicData uri="http://schemas.microsoft.com/office/word/2010/wordprocessingShape">
                    <wps:wsp>
                      <wps:cNvCnPr/>
                      <wps:spPr>
                        <a:xfrm>
                          <a:off x="0" y="0"/>
                          <a:ext cx="635" cy="396240"/>
                        </a:xfrm>
                        <a:prstGeom prst="line">
                          <a:avLst/>
                        </a:prstGeom>
                        <a:ln>
                          <a:noFill/>
                        </a:ln>
                      </wps:spPr>
                      <wps:bodyPr upright="1"/>
                    </wps:wsp>
                  </a:graphicData>
                </a:graphic>
              </wp:anchor>
            </w:drawing>
          </mc:Choice>
          <mc:Fallback>
            <w:pict>
              <v:line id="Line 916" o:spid="_x0000_s1026" o:spt="20" style="position:absolute;left:0pt;margin-left:324pt;margin-top:12.6pt;height:31.2pt;width:0.05pt;z-index:251662336;mso-width-relative:page;mso-height-relative:page;" filled="f" stroked="f" coordsize="21600,21600" o:gfxdata="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I0p2DjYAAAACQEAAA8AAAAAAAAAAQAgAAAAIgAAAGRycy9kb3du&#10;cmV2LnhtbFBLAQIUABQAAAAIAIdO4kAM8yKcjQEAACgDAAAOAAAAAAAAAAEAIAAAACcBAABkcnMv&#10;ZTJvRG9jLnhtbFBLBQYAAAAABgAGAFkBAAAmBQAAAAA=&#10;">
                <v:fill on="f" focussize="0,0"/>
                <v:stroke on="f"/>
                <v:imagedata o:title=""/>
                <o:lock v:ext="edit" aspectratio="f"/>
              </v:line>
            </w:pict>
          </mc:Fallback>
        </mc:AlternateContent>
      </w:r>
      <w:r>
        <w:rPr>
          <w:rFonts w:hint="default" w:ascii="Times New Roman" w:hAnsi="Times New Roman" w:eastAsia="宋体" w:cs="Times New Roman"/>
          <w:b/>
          <w:bCs/>
          <w:color w:val="auto"/>
          <w:sz w:val="21"/>
          <w:szCs w:val="21"/>
        </w:rPr>
        <w:t>d）</w:t>
      </w:r>
    </w:p>
    <w:p w14:paraId="1AD3D76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二、废水排放情况</w:t>
      </w:r>
    </w:p>
    <w:p w14:paraId="72D8264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eastAsia="zh-CN"/>
        </w:rPr>
        <w:t>废水产排情况</w:t>
      </w:r>
    </w:p>
    <w:p w14:paraId="029966FC">
      <w:pPr>
        <w:keepNext/>
        <w:keepLines w:val="0"/>
        <w:pageBreakBefore w:val="0"/>
        <w:widowControl w:val="0"/>
        <w:kinsoku/>
        <w:wordWrap/>
        <w:overflowPunct/>
        <w:topLinePunct w:val="0"/>
        <w:autoSpaceDE/>
        <w:autoSpaceDN/>
        <w:bidi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根据前文水平衡，</w:t>
      </w:r>
      <w:r>
        <w:rPr>
          <w:rFonts w:hint="default" w:ascii="Times New Roman" w:hAnsi="Times New Roman" w:eastAsia="宋体" w:cs="Times New Roman"/>
          <w:color w:val="auto"/>
          <w:sz w:val="24"/>
          <w:lang w:val="en-US" w:eastAsia="zh-CN"/>
        </w:rPr>
        <w:t>本项目自来水用量约0.6m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/d，219m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/a。其中生活废水经化粪池处理后</w:t>
      </w:r>
      <w:r>
        <w:rPr>
          <w:rFonts w:hint="default" w:ascii="Times New Roman" w:hAnsi="Times New Roman" w:cs="Times New Roman"/>
          <w:color w:val="auto"/>
          <w:sz w:val="24"/>
          <w:lang w:val="en-US" w:eastAsia="zh-CN"/>
        </w:rPr>
        <w:t>委托环卫部门清运处置</w:t>
      </w:r>
      <w:r>
        <w:rPr>
          <w:rFonts w:hint="default" w:ascii="Times New Roman" w:hAnsi="Times New Roman" w:eastAsia="宋体" w:cs="Times New Roman"/>
          <w:color w:val="auto"/>
          <w:sz w:val="24"/>
          <w:lang w:val="en-US" w:eastAsia="zh-CN"/>
        </w:rPr>
        <w:t>，生活废水</w:t>
      </w:r>
      <w:r>
        <w:rPr>
          <w:rFonts w:hint="default" w:ascii="Times New Roman" w:hAnsi="Times New Roman" w:cs="Times New Roman"/>
          <w:color w:val="auto"/>
          <w:sz w:val="24"/>
          <w:lang w:val="en-US" w:eastAsia="zh-CN"/>
        </w:rPr>
        <w:t>产生</w:t>
      </w:r>
      <w:r>
        <w:rPr>
          <w:rFonts w:hint="default" w:ascii="Times New Roman" w:hAnsi="Times New Roman" w:eastAsia="宋体" w:cs="Times New Roman"/>
          <w:color w:val="auto"/>
          <w:sz w:val="24"/>
          <w:lang w:val="en-US" w:eastAsia="zh-CN"/>
        </w:rPr>
        <w:t>量为197.1m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w:t>
      </w:r>
      <w:r>
        <w:rPr>
          <w:rFonts w:hint="default" w:ascii="Times New Roman" w:hAnsi="Times New Roman" w:eastAsia="宋体" w:cs="Times New Roman"/>
          <w:color w:val="auto"/>
          <w:sz w:val="24"/>
          <w:szCs w:val="24"/>
          <w:highlight w:val="none"/>
          <w:lang w:val="en-US" w:eastAsia="zh-CN"/>
        </w:rPr>
        <w:t>。初期雨水经雨水收集池处理后回用于绿化、洒水降尘，雨水收集量为</w:t>
      </w:r>
      <w:r>
        <w:rPr>
          <w:rFonts w:hint="default" w:ascii="Times New Roman" w:hAnsi="Times New Roman" w:cs="Times New Roman"/>
          <w:color w:val="auto"/>
          <w:sz w:val="24"/>
          <w:szCs w:val="24"/>
          <w:highlight w:val="none"/>
          <w:lang w:val="en-US" w:eastAsia="zh-CN"/>
        </w:rPr>
        <w:t>14430.5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w:t>
      </w:r>
      <w:r>
        <w:rPr>
          <w:rFonts w:hint="default" w:ascii="Times New Roman" w:hAnsi="Times New Roman" w:cs="Times New Roman"/>
          <w:color w:val="auto"/>
          <w:sz w:val="24"/>
          <w:lang w:val="en-US" w:eastAsia="zh-CN"/>
        </w:rPr>
        <w:t>。</w:t>
      </w:r>
      <w:r>
        <w:rPr>
          <w:rFonts w:hint="default" w:ascii="Times New Roman" w:hAnsi="Times New Roman" w:eastAsia="宋体" w:cs="Times New Roman"/>
          <w:color w:val="auto"/>
          <w:sz w:val="24"/>
          <w:szCs w:val="24"/>
          <w:highlight w:val="none"/>
          <w:lang w:val="en-US" w:eastAsia="zh-CN"/>
        </w:rPr>
        <w:t>绿化、洒水降尘合计用水量为6008.1</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/a，收集的雨水不能完全回用完，剩余</w:t>
      </w:r>
      <w:r>
        <w:rPr>
          <w:rFonts w:hint="eastAsia" w:ascii="Times New Roman" w:hAnsi="Times New Roman" w:cs="Times New Roman"/>
          <w:color w:val="auto"/>
          <w:sz w:val="24"/>
          <w:lang w:val="en-US" w:eastAsia="zh-CN"/>
        </w:rPr>
        <w:t>9033.5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/a由曲煤焦化内部清运至铁路卸煤区洒水降尘</w:t>
      </w:r>
      <w:r>
        <w:rPr>
          <w:rFonts w:hint="default" w:ascii="Times New Roman" w:hAnsi="Times New Roman" w:cs="Times New Roman"/>
          <w:color w:val="auto"/>
          <w:sz w:val="24"/>
          <w:lang w:val="en-US" w:eastAsia="zh-CN"/>
        </w:rPr>
        <w:t>（本项目</w:t>
      </w:r>
      <w:r>
        <w:rPr>
          <w:rFonts w:hint="default" w:ascii="Times New Roman" w:hAnsi="Times New Roman" w:cs="Times New Roman"/>
          <w:color w:val="auto"/>
          <w:sz w:val="24"/>
          <w:highlight w:val="none"/>
          <w:lang w:val="en-US" w:eastAsia="zh-CN"/>
        </w:rPr>
        <w:t>不涉及</w:t>
      </w:r>
      <w:r>
        <w:rPr>
          <w:rFonts w:hint="default" w:ascii="Times New Roman" w:hAnsi="Times New Roman" w:eastAsia="宋体" w:cs="Times New Roman"/>
          <w:color w:val="auto"/>
          <w:sz w:val="24"/>
          <w:lang w:val="en-US" w:eastAsia="zh-CN"/>
        </w:rPr>
        <w:t>铁路卸煤区</w:t>
      </w:r>
      <w:r>
        <w:rPr>
          <w:rFonts w:hint="default" w:ascii="Times New Roman" w:hAnsi="Times New Roman" w:cs="Times New Roman"/>
          <w:color w:val="auto"/>
          <w:sz w:val="24"/>
          <w:lang w:val="en-US" w:eastAsia="zh-CN"/>
        </w:rPr>
        <w:t>、不装卸煤）</w:t>
      </w:r>
      <w:r>
        <w:rPr>
          <w:rFonts w:hint="default" w:ascii="Times New Roman" w:hAnsi="Times New Roman" w:cs="Times New Roman"/>
          <w:color w:val="auto"/>
          <w:sz w:val="24"/>
          <w:szCs w:val="24"/>
          <w:highlight w:val="none"/>
          <w:lang w:val="en-US" w:eastAsia="zh-CN"/>
        </w:rPr>
        <w:t>，根据下文分析剩余雨水能全部用于</w:t>
      </w:r>
      <w:r>
        <w:rPr>
          <w:rFonts w:hint="default" w:ascii="Times New Roman" w:hAnsi="Times New Roman" w:eastAsia="宋体" w:cs="Times New Roman"/>
          <w:color w:val="auto"/>
          <w:sz w:val="24"/>
          <w:lang w:val="en-US" w:eastAsia="zh-CN"/>
        </w:rPr>
        <w:t>洒水降尘</w:t>
      </w:r>
      <w:r>
        <w:rPr>
          <w:rFonts w:hint="default" w:ascii="Times New Roman" w:hAnsi="Times New Roman" w:cs="Times New Roman"/>
          <w:color w:val="auto"/>
          <w:sz w:val="24"/>
          <w:lang w:val="en-US" w:eastAsia="zh-CN"/>
        </w:rPr>
        <w:t>。</w:t>
      </w:r>
    </w:p>
    <w:p w14:paraId="701D23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lang w:val="en-US" w:eastAsia="zh-CN"/>
        </w:rPr>
        <w:t>项目排水系统采用雨污分流制。</w:t>
      </w:r>
      <w:r>
        <w:rPr>
          <w:rFonts w:hint="default" w:ascii="Times New Roman" w:hAnsi="Times New Roman" w:eastAsia="宋体" w:cs="Times New Roman"/>
          <w:color w:val="auto"/>
          <w:sz w:val="24"/>
          <w:lang w:val="en-US" w:eastAsia="zh-CN"/>
        </w:rPr>
        <w:fldChar w:fldCharType="begin"/>
      </w:r>
      <w:r>
        <w:rPr>
          <w:rFonts w:hint="default" w:ascii="Times New Roman" w:hAnsi="Times New Roman" w:eastAsia="宋体" w:cs="Times New Roman"/>
          <w:color w:val="auto"/>
          <w:sz w:val="24"/>
          <w:lang w:val="en-US" w:eastAsia="zh-CN"/>
        </w:rPr>
        <w:instrText xml:space="preserve"> = 1 \* GB3 </w:instrText>
      </w:r>
      <w:r>
        <w:rPr>
          <w:rFonts w:hint="default"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①</w:t>
      </w:r>
      <w:r>
        <w:rPr>
          <w:rFonts w:hint="default" w:ascii="Times New Roman" w:hAnsi="Times New Roman" w:eastAsia="宋体" w:cs="Times New Roman"/>
          <w:color w:val="auto"/>
          <w:sz w:val="24"/>
          <w:lang w:val="en-US" w:eastAsia="zh-CN"/>
        </w:rPr>
        <w:fldChar w:fldCharType="end"/>
      </w:r>
      <w:r>
        <w:rPr>
          <w:rFonts w:hint="default" w:ascii="Times New Roman" w:hAnsi="Times New Roman" w:eastAsia="宋体" w:cs="Times New Roman"/>
          <w:b w:val="0"/>
          <w:bCs w:val="0"/>
          <w:color w:val="auto"/>
          <w:sz w:val="24"/>
          <w:szCs w:val="24"/>
          <w:lang w:val="en-US" w:eastAsia="zh-CN"/>
        </w:rPr>
        <w:t>前15分钟</w:t>
      </w:r>
      <w:r>
        <w:rPr>
          <w:rFonts w:hint="default" w:ascii="Times New Roman" w:hAnsi="Times New Roman" w:eastAsia="宋体" w:cs="Times New Roman"/>
          <w:b w:val="0"/>
          <w:bCs w:val="0"/>
          <w:color w:val="auto"/>
          <w:sz w:val="24"/>
          <w:szCs w:val="24"/>
        </w:rPr>
        <w:t>雨水</w:t>
      </w:r>
      <w:r>
        <w:rPr>
          <w:rFonts w:hint="default" w:ascii="Times New Roman" w:hAnsi="Times New Roman" w:eastAsia="宋体" w:cs="Times New Roman"/>
          <w:b w:val="0"/>
          <w:bCs w:val="0"/>
          <w:color w:val="auto"/>
          <w:sz w:val="24"/>
          <w:szCs w:val="24"/>
          <w:lang w:eastAsia="zh-CN"/>
        </w:rPr>
        <w:t>经雨水沟收集，</w:t>
      </w:r>
      <w:r>
        <w:rPr>
          <w:rFonts w:hint="default" w:ascii="Times New Roman" w:hAnsi="Times New Roman" w:eastAsia="宋体" w:cs="Times New Roman"/>
          <w:b w:val="0"/>
          <w:bCs w:val="0"/>
          <w:color w:val="auto"/>
          <w:sz w:val="24"/>
          <w:szCs w:val="24"/>
          <w:lang w:val="en-US" w:eastAsia="zh-CN"/>
        </w:rPr>
        <w:t>排项目区雨水收集</w:t>
      </w:r>
      <w:r>
        <w:rPr>
          <w:rFonts w:hint="default" w:ascii="Times New Roman" w:hAnsi="Times New Roman" w:cs="Times New Roman"/>
          <w:b w:val="0"/>
          <w:bCs w:val="0"/>
          <w:color w:val="auto"/>
          <w:sz w:val="24"/>
          <w:szCs w:val="24"/>
          <w:lang w:val="en-US" w:eastAsia="zh-CN"/>
        </w:rPr>
        <w:t>沉淀</w:t>
      </w:r>
      <w:r>
        <w:rPr>
          <w:rFonts w:hint="default" w:ascii="Times New Roman" w:hAnsi="Times New Roman" w:eastAsia="宋体" w:cs="Times New Roman"/>
          <w:b w:val="0"/>
          <w:bCs w:val="0"/>
          <w:color w:val="auto"/>
          <w:sz w:val="24"/>
          <w:szCs w:val="24"/>
          <w:lang w:val="en-US" w:eastAsia="zh-CN"/>
        </w:rPr>
        <w:t>处理</w:t>
      </w:r>
      <w:r>
        <w:rPr>
          <w:rFonts w:hint="default" w:ascii="Times New Roman" w:hAnsi="Times New Roman" w:cs="Times New Roman"/>
          <w:b w:val="0"/>
          <w:bCs w:val="0"/>
          <w:color w:val="auto"/>
          <w:sz w:val="24"/>
          <w:szCs w:val="24"/>
          <w:lang w:val="en-US" w:eastAsia="zh-CN"/>
        </w:rPr>
        <w:t>后</w:t>
      </w:r>
      <w:r>
        <w:rPr>
          <w:rFonts w:hint="default" w:ascii="Times New Roman" w:hAnsi="Times New Roman" w:eastAsia="宋体" w:cs="Times New Roman"/>
          <w:b w:val="0"/>
          <w:bCs w:val="0"/>
          <w:color w:val="auto"/>
          <w:sz w:val="24"/>
          <w:szCs w:val="24"/>
          <w:lang w:val="en-US" w:eastAsia="zh-CN"/>
        </w:rPr>
        <w:t>，回用于</w:t>
      </w:r>
      <w:r>
        <w:rPr>
          <w:rFonts w:hint="default" w:ascii="Times New Roman" w:hAnsi="Times New Roman" w:eastAsia="宋体" w:cs="Times New Roman"/>
          <w:color w:val="auto"/>
          <w:sz w:val="24"/>
          <w:szCs w:val="24"/>
          <w:highlight w:val="none"/>
          <w:lang w:val="en-US" w:eastAsia="zh-CN"/>
        </w:rPr>
        <w:t>绿化、洒水降尘，</w:t>
      </w:r>
      <w:r>
        <w:rPr>
          <w:rFonts w:hint="default" w:ascii="Times New Roman" w:hAnsi="Times New Roman" w:cs="Times New Roman"/>
          <w:color w:val="auto"/>
          <w:sz w:val="24"/>
          <w:szCs w:val="24"/>
          <w:highlight w:val="none"/>
          <w:lang w:val="en-US" w:eastAsia="zh-CN"/>
        </w:rPr>
        <w:t>回用不完的</w:t>
      </w:r>
      <w:r>
        <w:rPr>
          <w:rFonts w:hint="default" w:ascii="Times New Roman" w:hAnsi="Times New Roman" w:eastAsia="宋体" w:cs="Times New Roman"/>
          <w:color w:val="auto"/>
          <w:sz w:val="24"/>
          <w:lang w:val="en-US" w:eastAsia="zh-CN"/>
        </w:rPr>
        <w:t>由曲煤焦化内部清运至铁路卸煤区洒水降尘</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color w:val="auto"/>
          <w:sz w:val="24"/>
          <w:lang w:val="en-US" w:eastAsia="zh-CN"/>
        </w:rPr>
        <w:fldChar w:fldCharType="begin"/>
      </w:r>
      <w:r>
        <w:rPr>
          <w:rFonts w:hint="default" w:ascii="Times New Roman" w:hAnsi="Times New Roman" w:eastAsia="宋体" w:cs="Times New Roman"/>
          <w:color w:val="auto"/>
          <w:sz w:val="24"/>
          <w:lang w:val="en-US" w:eastAsia="zh-CN"/>
        </w:rPr>
        <w:instrText xml:space="preserve"> = 2 \* GB3 </w:instrText>
      </w:r>
      <w:r>
        <w:rPr>
          <w:rFonts w:hint="default"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②</w:t>
      </w:r>
      <w:r>
        <w:rPr>
          <w:rFonts w:hint="default" w:ascii="Times New Roman" w:hAnsi="Times New Roman" w:eastAsia="宋体" w:cs="Times New Roman"/>
          <w:color w:val="auto"/>
          <w:sz w:val="24"/>
          <w:lang w:val="en-US" w:eastAsia="zh-CN"/>
        </w:rPr>
        <w:fldChar w:fldCharType="end"/>
      </w:r>
      <w:r>
        <w:rPr>
          <w:rFonts w:hint="default" w:ascii="Times New Roman" w:hAnsi="Times New Roman" w:eastAsia="宋体" w:cs="Times New Roman"/>
          <w:color w:val="auto"/>
          <w:sz w:val="24"/>
          <w:lang w:val="en-US" w:eastAsia="zh-CN"/>
        </w:rPr>
        <w:t>生活废水经化粪池处理</w:t>
      </w:r>
      <w:r>
        <w:rPr>
          <w:rFonts w:hint="default" w:ascii="Times New Roman" w:hAnsi="Times New Roman" w:cs="Times New Roman"/>
          <w:color w:val="auto"/>
          <w:sz w:val="24"/>
          <w:lang w:val="en-US" w:eastAsia="zh-CN"/>
        </w:rPr>
        <w:t>后</w:t>
      </w:r>
      <w:r>
        <w:rPr>
          <w:rFonts w:hint="default" w:ascii="Times New Roman" w:hAnsi="Times New Roman" w:eastAsia="宋体" w:cs="Times New Roman"/>
          <w:color w:val="auto"/>
          <w:sz w:val="24"/>
          <w:lang w:val="en-US" w:eastAsia="zh-CN"/>
        </w:rPr>
        <w:t>委托</w:t>
      </w:r>
      <w:r>
        <w:rPr>
          <w:rFonts w:hint="default" w:ascii="Times New Roman" w:hAnsi="Times New Roman" w:cs="Times New Roman"/>
          <w:color w:val="auto"/>
          <w:sz w:val="24"/>
          <w:lang w:val="en-US" w:eastAsia="zh-CN"/>
        </w:rPr>
        <w:t>环卫部门清运处置</w:t>
      </w:r>
      <w:r>
        <w:rPr>
          <w:rFonts w:hint="default" w:ascii="Times New Roman" w:hAnsi="Times New Roman" w:eastAsia="宋体" w:cs="Times New Roman"/>
          <w:b w:val="0"/>
          <w:bCs w:val="0"/>
          <w:color w:val="auto"/>
          <w:sz w:val="24"/>
          <w:szCs w:val="24"/>
          <w:lang w:val="en-US" w:eastAsia="zh-CN"/>
        </w:rPr>
        <w:t>。</w:t>
      </w:r>
    </w:p>
    <w:p w14:paraId="61012B25">
      <w:pPr>
        <w:bidi w:val="0"/>
        <w:spacing w:line="360" w:lineRule="auto"/>
        <w:ind w:firstLine="480" w:firstLineChars="200"/>
        <w:jc w:val="left"/>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、废水间接排放口基本情况</w:t>
      </w:r>
    </w:p>
    <w:p w14:paraId="71613512">
      <w:pPr>
        <w:bidi w:val="0"/>
        <w:spacing w:line="360" w:lineRule="auto"/>
        <w:ind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项目采取雨污分流制排水。本项目后期雨水</w:t>
      </w:r>
      <w:r>
        <w:rPr>
          <w:rFonts w:hint="default" w:ascii="Times New Roman" w:hAnsi="Times New Roman" w:cs="Times New Roman"/>
          <w:color w:val="auto"/>
          <w:sz w:val="24"/>
          <w:szCs w:val="24"/>
          <w:highlight w:val="none"/>
          <w:lang w:val="en-US" w:eastAsia="zh-CN"/>
        </w:rPr>
        <w:t>排入</w:t>
      </w:r>
      <w:r>
        <w:rPr>
          <w:rFonts w:hint="default" w:ascii="Times New Roman" w:hAnsi="Times New Roman" w:eastAsia="宋体" w:cs="Times New Roman"/>
          <w:color w:val="auto"/>
          <w:sz w:val="24"/>
          <w:szCs w:val="24"/>
          <w:highlight w:val="none"/>
          <w:lang w:val="en-US" w:eastAsia="zh-CN"/>
        </w:rPr>
        <w:t>园区雨水管网；排放口基本情况见表</w:t>
      </w:r>
      <w:r>
        <w:rPr>
          <w:rFonts w:hint="eastAsia" w:ascii="Times New Roman" w:hAnsi="Times New Roman" w:eastAsia="宋体" w:cs="Times New Roman"/>
          <w:color w:val="auto"/>
          <w:sz w:val="24"/>
          <w:szCs w:val="24"/>
          <w:highlight w:val="none"/>
          <w:lang w:val="en-US" w:eastAsia="zh-CN"/>
        </w:rPr>
        <w:t>2.4-12</w:t>
      </w:r>
      <w:r>
        <w:rPr>
          <w:rFonts w:hint="default" w:ascii="Times New Roman" w:hAnsi="Times New Roman" w:eastAsia="宋体" w:cs="Times New Roman"/>
          <w:color w:val="auto"/>
          <w:sz w:val="24"/>
          <w:szCs w:val="24"/>
          <w:highlight w:val="none"/>
          <w:lang w:val="en-US" w:eastAsia="zh-CN"/>
        </w:rPr>
        <w:t>。</w:t>
      </w:r>
    </w:p>
    <w:p w14:paraId="7088A6CB">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排放口基本情况表</w:t>
      </w:r>
    </w:p>
    <w:tbl>
      <w:tblPr>
        <w:tblStyle w:val="26"/>
        <w:tblW w:w="8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71"/>
        <w:gridCol w:w="732"/>
        <w:gridCol w:w="735"/>
        <w:gridCol w:w="1110"/>
        <w:gridCol w:w="1150"/>
        <w:gridCol w:w="1037"/>
        <w:gridCol w:w="863"/>
        <w:gridCol w:w="675"/>
        <w:gridCol w:w="1528"/>
      </w:tblGrid>
      <w:tr w14:paraId="315C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6" w:hRule="atLeast"/>
          <w:jc w:val="center"/>
        </w:trPr>
        <w:tc>
          <w:tcPr>
            <w:tcW w:w="371" w:type="dxa"/>
            <w:vMerge w:val="restart"/>
            <w:noWrap w:val="0"/>
            <w:textDirection w:val="tbRlV"/>
            <w:vAlign w:val="center"/>
          </w:tcPr>
          <w:p w14:paraId="7A4C6A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序 号</w:t>
            </w:r>
          </w:p>
        </w:tc>
        <w:tc>
          <w:tcPr>
            <w:tcW w:w="732" w:type="dxa"/>
            <w:vMerge w:val="restart"/>
            <w:noWrap w:val="0"/>
            <w:vAlign w:val="center"/>
          </w:tcPr>
          <w:p w14:paraId="2609A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排放口编号</w:t>
            </w:r>
          </w:p>
        </w:tc>
        <w:tc>
          <w:tcPr>
            <w:tcW w:w="735" w:type="dxa"/>
            <w:vMerge w:val="restart"/>
            <w:noWrap w:val="0"/>
            <w:vAlign w:val="center"/>
          </w:tcPr>
          <w:p w14:paraId="60122B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排放</w:t>
            </w:r>
          </w:p>
          <w:p w14:paraId="091C6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口名</w:t>
            </w:r>
          </w:p>
          <w:p w14:paraId="402A89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称</w:t>
            </w:r>
          </w:p>
        </w:tc>
        <w:tc>
          <w:tcPr>
            <w:tcW w:w="2260" w:type="dxa"/>
            <w:gridSpan w:val="2"/>
            <w:noWrap w:val="0"/>
            <w:vAlign w:val="center"/>
          </w:tcPr>
          <w:p w14:paraId="4FAF89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排放口地理坐标</w:t>
            </w:r>
          </w:p>
        </w:tc>
        <w:tc>
          <w:tcPr>
            <w:tcW w:w="1037" w:type="dxa"/>
            <w:vMerge w:val="restart"/>
            <w:noWrap w:val="0"/>
            <w:vAlign w:val="center"/>
          </w:tcPr>
          <w:p w14:paraId="69CB18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排放去向</w:t>
            </w:r>
          </w:p>
        </w:tc>
        <w:tc>
          <w:tcPr>
            <w:tcW w:w="863" w:type="dxa"/>
            <w:vMerge w:val="restart"/>
            <w:noWrap w:val="0"/>
            <w:vAlign w:val="center"/>
          </w:tcPr>
          <w:p w14:paraId="57ED8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排放规律</w:t>
            </w:r>
          </w:p>
        </w:tc>
        <w:tc>
          <w:tcPr>
            <w:tcW w:w="2203" w:type="dxa"/>
            <w:gridSpan w:val="2"/>
            <w:noWrap w:val="0"/>
            <w:vAlign w:val="center"/>
          </w:tcPr>
          <w:p w14:paraId="54363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受纳信息</w:t>
            </w:r>
          </w:p>
        </w:tc>
      </w:tr>
      <w:tr w14:paraId="4B2C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371" w:type="dxa"/>
            <w:vMerge w:val="continue"/>
            <w:noWrap w:val="0"/>
            <w:textDirection w:val="tbRlV"/>
            <w:vAlign w:val="center"/>
          </w:tcPr>
          <w:p w14:paraId="2D12DC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p>
        </w:tc>
        <w:tc>
          <w:tcPr>
            <w:tcW w:w="732" w:type="dxa"/>
            <w:vMerge w:val="continue"/>
            <w:noWrap w:val="0"/>
            <w:vAlign w:val="center"/>
          </w:tcPr>
          <w:p w14:paraId="222B43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p>
        </w:tc>
        <w:tc>
          <w:tcPr>
            <w:tcW w:w="735" w:type="dxa"/>
            <w:vMerge w:val="continue"/>
            <w:noWrap w:val="0"/>
            <w:vAlign w:val="center"/>
          </w:tcPr>
          <w:p w14:paraId="4CCB29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p>
        </w:tc>
        <w:tc>
          <w:tcPr>
            <w:tcW w:w="1110" w:type="dxa"/>
            <w:noWrap w:val="0"/>
            <w:vAlign w:val="center"/>
          </w:tcPr>
          <w:p w14:paraId="58B79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经度</w:t>
            </w:r>
          </w:p>
        </w:tc>
        <w:tc>
          <w:tcPr>
            <w:tcW w:w="1150" w:type="dxa"/>
            <w:noWrap w:val="0"/>
            <w:vAlign w:val="center"/>
          </w:tcPr>
          <w:p w14:paraId="1F8CF2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纬度</w:t>
            </w:r>
          </w:p>
        </w:tc>
        <w:tc>
          <w:tcPr>
            <w:tcW w:w="1037" w:type="dxa"/>
            <w:vMerge w:val="continue"/>
            <w:noWrap w:val="0"/>
            <w:vAlign w:val="center"/>
          </w:tcPr>
          <w:p w14:paraId="0C077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p>
        </w:tc>
        <w:tc>
          <w:tcPr>
            <w:tcW w:w="863" w:type="dxa"/>
            <w:vMerge w:val="continue"/>
            <w:noWrap w:val="0"/>
            <w:vAlign w:val="center"/>
          </w:tcPr>
          <w:p w14:paraId="14540F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p>
        </w:tc>
        <w:tc>
          <w:tcPr>
            <w:tcW w:w="675" w:type="dxa"/>
            <w:noWrap w:val="0"/>
            <w:vAlign w:val="center"/>
          </w:tcPr>
          <w:p w14:paraId="08B03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名称</w:t>
            </w:r>
          </w:p>
        </w:tc>
        <w:tc>
          <w:tcPr>
            <w:tcW w:w="1528" w:type="dxa"/>
            <w:noWrap w:val="0"/>
            <w:vAlign w:val="center"/>
          </w:tcPr>
          <w:p w14:paraId="140AD8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污染物排放标准</w:t>
            </w:r>
          </w:p>
        </w:tc>
      </w:tr>
      <w:tr w14:paraId="050A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7" w:hRule="atLeast"/>
          <w:jc w:val="center"/>
        </w:trPr>
        <w:tc>
          <w:tcPr>
            <w:tcW w:w="371" w:type="dxa"/>
            <w:noWrap w:val="0"/>
            <w:vAlign w:val="center"/>
          </w:tcPr>
          <w:p w14:paraId="4B03D3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1</w:t>
            </w:r>
          </w:p>
        </w:tc>
        <w:tc>
          <w:tcPr>
            <w:tcW w:w="732" w:type="dxa"/>
            <w:noWrap w:val="0"/>
            <w:vAlign w:val="center"/>
          </w:tcPr>
          <w:p w14:paraId="50929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YS001</w:t>
            </w:r>
          </w:p>
        </w:tc>
        <w:tc>
          <w:tcPr>
            <w:tcW w:w="735" w:type="dxa"/>
            <w:noWrap w:val="0"/>
            <w:vAlign w:val="center"/>
          </w:tcPr>
          <w:p w14:paraId="3B822E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雨水总排口</w:t>
            </w:r>
          </w:p>
        </w:tc>
        <w:tc>
          <w:tcPr>
            <w:tcW w:w="1110" w:type="dxa"/>
            <w:noWrap w:val="0"/>
            <w:vAlign w:val="center"/>
          </w:tcPr>
          <w:p w14:paraId="477EC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103°52′36.705″</w:t>
            </w:r>
          </w:p>
        </w:tc>
        <w:tc>
          <w:tcPr>
            <w:tcW w:w="1150" w:type="dxa"/>
            <w:noWrap w:val="0"/>
            <w:vAlign w:val="center"/>
          </w:tcPr>
          <w:p w14:paraId="7187E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25°45′10.262″</w:t>
            </w:r>
          </w:p>
        </w:tc>
        <w:tc>
          <w:tcPr>
            <w:tcW w:w="1037" w:type="dxa"/>
            <w:noWrap w:val="0"/>
            <w:vAlign w:val="center"/>
          </w:tcPr>
          <w:p w14:paraId="64C1B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园区雨水管网</w:t>
            </w:r>
          </w:p>
        </w:tc>
        <w:tc>
          <w:tcPr>
            <w:tcW w:w="863" w:type="dxa"/>
            <w:noWrap w:val="0"/>
            <w:vAlign w:val="center"/>
          </w:tcPr>
          <w:p w14:paraId="27D1AC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间断排放</w:t>
            </w:r>
          </w:p>
        </w:tc>
        <w:tc>
          <w:tcPr>
            <w:tcW w:w="2203" w:type="dxa"/>
            <w:gridSpan w:val="2"/>
            <w:noWrap w:val="0"/>
            <w:vAlign w:val="center"/>
          </w:tcPr>
          <w:p w14:paraId="7AB619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周边地表水体（</w:t>
            </w:r>
            <w:r>
              <w:rPr>
                <w:rFonts w:hint="eastAsia" w:ascii="Times New Roman" w:hAnsi="Times New Roman" w:eastAsia="宋体" w:cs="Times New Roman"/>
                <w:color w:val="auto"/>
                <w:spacing w:val="0"/>
                <w:position w:val="0"/>
                <w:sz w:val="21"/>
                <w:szCs w:val="21"/>
                <w:lang w:val="en-US" w:eastAsia="zh-CN"/>
              </w:rPr>
              <w:t>东干渠</w:t>
            </w:r>
            <w:r>
              <w:rPr>
                <w:rFonts w:hint="default" w:ascii="Times New Roman" w:hAnsi="Times New Roman" w:eastAsia="宋体" w:cs="Times New Roman"/>
                <w:color w:val="auto"/>
                <w:spacing w:val="0"/>
                <w:position w:val="0"/>
                <w:sz w:val="21"/>
                <w:szCs w:val="21"/>
                <w:lang w:val="en-US" w:eastAsia="zh-CN"/>
              </w:rPr>
              <w:t>）</w:t>
            </w:r>
          </w:p>
        </w:tc>
      </w:tr>
    </w:tbl>
    <w:p w14:paraId="4E3475FD">
      <w:pPr>
        <w:keepNext w:val="0"/>
        <w:keepLines w:val="0"/>
        <w:pageBreakBefore w:val="0"/>
        <w:widowControl/>
        <w:wordWrap/>
        <w:overflowPunct/>
        <w:topLinePunct w:val="0"/>
        <w:bidi w:val="0"/>
        <w:adjustRightInd/>
        <w:spacing w:line="360" w:lineRule="auto"/>
        <w:ind w:left="0" w:firstLine="480" w:firstLineChars="200"/>
        <w:jc w:val="both"/>
        <w:rPr>
          <w:rFonts w:hint="default" w:ascii="Times New Roman" w:hAnsi="Times New Roman" w:eastAsia="宋体" w:cs="Times New Roman"/>
          <w:b/>
          <w:bCs/>
          <w:color w:val="auto"/>
          <w:sz w:val="24"/>
          <w:lang w:eastAsia="zh-CN"/>
        </w:rPr>
      </w:pPr>
      <w:r>
        <w:rPr>
          <w:rFonts w:hint="eastAsia" w:ascii="Times New Roman" w:hAnsi="Times New Roman" w:cs="Times New Roman"/>
          <w:b/>
          <w:bCs/>
          <w:color w:val="auto"/>
          <w:sz w:val="24"/>
          <w:lang w:val="en-US" w:eastAsia="zh-CN"/>
        </w:rPr>
        <w:t>3</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eastAsia="zh-CN"/>
        </w:rPr>
        <w:t>本项目废水处理可行性分析</w:t>
      </w:r>
    </w:p>
    <w:p w14:paraId="24C4A106">
      <w:pPr>
        <w:keepNext w:val="0"/>
        <w:keepLines w:val="0"/>
        <w:pageBreakBefore w:val="0"/>
        <w:widowControl/>
        <w:wordWrap/>
        <w:overflowPunct/>
        <w:topLinePunct w:val="0"/>
        <w:bidi w:val="0"/>
        <w:adjustRightInd/>
        <w:spacing w:line="360" w:lineRule="auto"/>
        <w:ind w:left="0" w:firstLine="480" w:firstLineChars="200"/>
        <w:jc w:val="both"/>
        <w:rPr>
          <w:rFonts w:hint="default" w:ascii="Times New Roman" w:hAnsi="Times New Roman" w:cs="Times New Roman"/>
          <w:b w:val="0"/>
          <w:bCs/>
          <w:color w:val="auto"/>
          <w:sz w:val="24"/>
          <w:szCs w:val="24"/>
          <w:highlight w:val="none"/>
          <w:lang w:eastAsia="zh-CN"/>
        </w:rPr>
      </w:pPr>
      <w:r>
        <w:rPr>
          <w:rFonts w:hint="default" w:ascii="Times New Roman" w:hAnsi="Times New Roman" w:cs="Times New Roman"/>
          <w:color w:val="auto"/>
          <w:sz w:val="24"/>
          <w:szCs w:val="24"/>
          <w:highlight w:val="none"/>
          <w:shd w:val="clear" w:color="auto" w:fill="auto"/>
        </w:rPr>
        <w:fldChar w:fldCharType="begin"/>
      </w:r>
      <w:r>
        <w:rPr>
          <w:rFonts w:hint="default" w:ascii="Times New Roman" w:hAnsi="Times New Roman" w:cs="Times New Roman"/>
          <w:color w:val="auto"/>
          <w:sz w:val="24"/>
          <w:szCs w:val="24"/>
          <w:highlight w:val="none"/>
          <w:shd w:val="clear" w:color="auto" w:fill="auto"/>
        </w:rPr>
        <w:instrText xml:space="preserve"> = 1 \* GB3 \* MERGEFORMAT </w:instrText>
      </w:r>
      <w:r>
        <w:rPr>
          <w:rFonts w:hint="default" w:ascii="Times New Roman" w:hAnsi="Times New Roman" w:cs="Times New Roman"/>
          <w:color w:val="auto"/>
          <w:sz w:val="24"/>
          <w:szCs w:val="24"/>
          <w:highlight w:val="none"/>
          <w:shd w:val="clear" w:color="auto" w:fill="auto"/>
        </w:rPr>
        <w:fldChar w:fldCharType="separate"/>
      </w:r>
      <w:r>
        <w:rPr>
          <w:rFonts w:hint="default" w:ascii="Times New Roman" w:hAnsi="Times New Roman" w:cs="Times New Roman"/>
          <w:color w:val="auto"/>
          <w:sz w:val="24"/>
          <w:szCs w:val="24"/>
          <w:highlight w:val="none"/>
          <w:shd w:val="clear" w:color="auto" w:fill="auto"/>
        </w:rPr>
        <w:t>①</w:t>
      </w:r>
      <w:r>
        <w:rPr>
          <w:rFonts w:hint="default" w:ascii="Times New Roman" w:hAnsi="Times New Roman" w:cs="Times New Roman"/>
          <w:color w:val="auto"/>
          <w:sz w:val="24"/>
          <w:szCs w:val="24"/>
          <w:highlight w:val="none"/>
          <w:shd w:val="clear" w:color="auto" w:fill="auto"/>
        </w:rPr>
        <w:fldChar w:fldCharType="end"/>
      </w:r>
      <w:r>
        <w:rPr>
          <w:rFonts w:hint="default" w:ascii="Times New Roman" w:hAnsi="Times New Roman" w:cs="Times New Roman"/>
          <w:color w:val="auto"/>
          <w:sz w:val="24"/>
          <w:szCs w:val="24"/>
          <w:highlight w:val="none"/>
          <w:shd w:val="clear" w:color="auto" w:fill="auto"/>
          <w:lang w:eastAsia="zh-CN"/>
        </w:rPr>
        <w:t>本</w:t>
      </w:r>
      <w:r>
        <w:rPr>
          <w:rFonts w:hint="default" w:ascii="Times New Roman" w:hAnsi="Times New Roman" w:cs="Times New Roman"/>
          <w:color w:val="auto"/>
          <w:sz w:val="24"/>
          <w:szCs w:val="24"/>
          <w:highlight w:val="none"/>
          <w:shd w:val="clear" w:color="auto" w:fill="auto"/>
        </w:rPr>
        <w:t>项目</w:t>
      </w:r>
      <w:r>
        <w:rPr>
          <w:rFonts w:hint="default" w:ascii="Times New Roman" w:hAnsi="Times New Roman" w:cs="Times New Roman"/>
          <w:color w:val="auto"/>
          <w:sz w:val="24"/>
          <w:szCs w:val="24"/>
          <w:highlight w:val="none"/>
          <w:shd w:val="clear" w:color="auto" w:fill="auto"/>
          <w:lang w:val="en-US" w:eastAsia="zh-CN"/>
        </w:rPr>
        <w:t>办公生活</w:t>
      </w:r>
      <w:r>
        <w:rPr>
          <w:rFonts w:hint="default" w:ascii="Times New Roman" w:hAnsi="Times New Roman" w:cs="Times New Roman"/>
          <w:color w:val="auto"/>
          <w:sz w:val="24"/>
          <w:szCs w:val="24"/>
          <w:highlight w:val="none"/>
          <w:shd w:val="clear" w:color="auto" w:fill="auto"/>
          <w:lang w:eastAsia="zh-CN"/>
        </w:rPr>
        <w:t>废水</w:t>
      </w:r>
      <w:r>
        <w:rPr>
          <w:rFonts w:hint="default" w:ascii="Times New Roman" w:hAnsi="Times New Roman" w:cs="Times New Roman"/>
          <w:color w:val="auto"/>
          <w:sz w:val="24"/>
          <w:szCs w:val="24"/>
          <w:highlight w:val="none"/>
          <w:shd w:val="clear" w:color="auto" w:fill="auto"/>
          <w:lang w:val="en-US" w:eastAsia="zh-CN"/>
        </w:rPr>
        <w:t>处理</w:t>
      </w:r>
      <w:r>
        <w:rPr>
          <w:rFonts w:hint="default" w:ascii="Times New Roman" w:hAnsi="Times New Roman" w:cs="Times New Roman"/>
          <w:color w:val="auto"/>
          <w:sz w:val="24"/>
          <w:szCs w:val="24"/>
          <w:highlight w:val="none"/>
          <w:shd w:val="clear" w:color="auto" w:fill="auto"/>
        </w:rPr>
        <w:t>可行性分析</w:t>
      </w:r>
    </w:p>
    <w:p w14:paraId="187DEDE9">
      <w:pPr>
        <w:keepNext w:val="0"/>
        <w:keepLines w:val="0"/>
        <w:pageBreakBefore w:val="0"/>
        <w:widowControl/>
        <w:suppressLineNumbers w:val="0"/>
        <w:wordWrap/>
        <w:overflowPunct/>
        <w:topLinePunct w:val="0"/>
        <w:bidi w:val="0"/>
        <w:adjustRightInd/>
        <w:spacing w:line="360" w:lineRule="auto"/>
        <w:ind w:left="0" w:firstLine="480" w:firstLineChars="200"/>
        <w:jc w:val="both"/>
        <w:rPr>
          <w:rFonts w:hint="default" w:ascii="Times New Roman" w:hAnsi="Times New Roman" w:cs="Times New Roman"/>
          <w:bCs/>
          <w:color w:val="auto"/>
          <w:sz w:val="24"/>
          <w:lang w:eastAsia="zh-CN"/>
        </w:rPr>
      </w:pPr>
      <w:r>
        <w:rPr>
          <w:rFonts w:hint="default" w:ascii="Times New Roman" w:hAnsi="Times New Roman" w:cs="Times New Roman"/>
          <w:bCs/>
          <w:color w:val="auto"/>
          <w:sz w:val="24"/>
          <w:highlight w:val="none"/>
        </w:rPr>
        <w:t>根据工程分析，</w:t>
      </w:r>
      <w:r>
        <w:rPr>
          <w:rFonts w:hint="default" w:ascii="Times New Roman" w:hAnsi="Times New Roman" w:cs="Times New Roman"/>
          <w:bCs/>
          <w:color w:val="auto"/>
          <w:sz w:val="24"/>
          <w:highlight w:val="none"/>
          <w:lang w:val="en-US" w:eastAsia="zh-CN"/>
        </w:rPr>
        <w:t>本项目</w:t>
      </w:r>
      <w:r>
        <w:rPr>
          <w:rFonts w:hint="default" w:ascii="Times New Roman" w:hAnsi="Times New Roman" w:cs="Times New Roman"/>
          <w:bCs/>
          <w:color w:val="auto"/>
          <w:sz w:val="24"/>
        </w:rPr>
        <w:t>运营期</w:t>
      </w:r>
      <w:r>
        <w:rPr>
          <w:rFonts w:hint="default" w:ascii="Times New Roman" w:hAnsi="Times New Roman" w:cs="Times New Roman"/>
          <w:color w:val="auto"/>
          <w:sz w:val="24"/>
          <w:lang w:val="en-US" w:eastAsia="zh-CN"/>
        </w:rPr>
        <w:t>办公</w:t>
      </w:r>
      <w:r>
        <w:rPr>
          <w:rFonts w:hint="default" w:ascii="Times New Roman" w:hAnsi="Times New Roman" w:cs="Times New Roman"/>
          <w:bCs/>
          <w:color w:val="auto"/>
          <w:sz w:val="24"/>
        </w:rPr>
        <w:t>生活废水产生量</w:t>
      </w:r>
      <w:r>
        <w:rPr>
          <w:rFonts w:hint="default" w:ascii="Times New Roman" w:hAnsi="Times New Roman" w:cs="Times New Roman"/>
          <w:bCs/>
          <w:color w:val="auto"/>
          <w:sz w:val="24"/>
          <w:lang w:eastAsia="zh-CN"/>
        </w:rPr>
        <w:t>约</w:t>
      </w:r>
      <w:r>
        <w:rPr>
          <w:rFonts w:hint="default" w:ascii="Times New Roman" w:hAnsi="Times New Roman" w:cs="Times New Roman"/>
          <w:bCs/>
          <w:color w:val="auto"/>
          <w:sz w:val="24"/>
          <w:lang w:val="en-US" w:eastAsia="zh-CN"/>
        </w:rPr>
        <w:t>0.54</w:t>
      </w:r>
      <w:r>
        <w:rPr>
          <w:rFonts w:hint="default" w:ascii="Times New Roman" w:hAnsi="Times New Roman" w:cs="Times New Roman"/>
          <w:bCs/>
          <w:color w:val="auto"/>
          <w:sz w:val="24"/>
        </w:rPr>
        <w:t>m³/d，</w:t>
      </w:r>
      <w:r>
        <w:rPr>
          <w:rFonts w:hint="default" w:ascii="Times New Roman" w:hAnsi="Times New Roman" w:cs="Times New Roman"/>
          <w:bCs/>
          <w:color w:val="auto"/>
          <w:sz w:val="24"/>
          <w:lang w:eastAsia="zh-CN"/>
        </w:rPr>
        <w:t>项目区</w:t>
      </w:r>
      <w:r>
        <w:rPr>
          <w:rFonts w:hint="default" w:ascii="Times New Roman" w:hAnsi="Times New Roman" w:cs="Times New Roman"/>
          <w:bCs/>
          <w:color w:val="auto"/>
          <w:sz w:val="24"/>
        </w:rPr>
        <w:t>设</w:t>
      </w:r>
      <w:r>
        <w:rPr>
          <w:rFonts w:hint="default" w:ascii="Times New Roman" w:hAnsi="Times New Roman" w:cs="Times New Roman"/>
          <w:bCs/>
          <w:color w:val="auto"/>
          <w:sz w:val="24"/>
          <w:lang w:eastAsia="zh-CN"/>
        </w:rPr>
        <w:t>置</w:t>
      </w:r>
      <w:r>
        <w:rPr>
          <w:rFonts w:hint="default" w:ascii="Times New Roman" w:hAnsi="Times New Roman" w:cs="Times New Roman"/>
          <w:bCs/>
          <w:color w:val="auto"/>
          <w:sz w:val="24"/>
        </w:rPr>
        <w:t>一个容积</w:t>
      </w:r>
      <w:r>
        <w:rPr>
          <w:rFonts w:hint="default" w:ascii="Times New Roman" w:hAnsi="Times New Roman" w:cs="Times New Roman"/>
          <w:bCs/>
          <w:color w:val="auto"/>
          <w:sz w:val="24"/>
          <w:lang w:val="en-US" w:eastAsia="zh-CN"/>
        </w:rPr>
        <w:t>10</w:t>
      </w:r>
      <w:r>
        <w:rPr>
          <w:rFonts w:hint="default" w:ascii="Times New Roman" w:hAnsi="Times New Roman" w:cs="Times New Roman"/>
          <w:bCs/>
          <w:color w:val="auto"/>
          <w:sz w:val="24"/>
        </w:rPr>
        <w:t>m³的</w:t>
      </w:r>
      <w:r>
        <w:rPr>
          <w:rFonts w:hint="default" w:ascii="Times New Roman" w:hAnsi="Times New Roman" w:cs="Times New Roman"/>
          <w:bCs/>
          <w:color w:val="auto"/>
          <w:sz w:val="24"/>
          <w:lang w:eastAsia="zh-CN"/>
        </w:rPr>
        <w:t>化粪池，</w:t>
      </w:r>
      <w:r>
        <w:rPr>
          <w:rFonts w:hint="default" w:ascii="Times New Roman" w:hAnsi="Times New Roman" w:cs="Times New Roman"/>
          <w:color w:val="auto"/>
          <w:sz w:val="24"/>
          <w:highlight w:val="none"/>
          <w:lang w:eastAsia="zh-CN"/>
        </w:rPr>
        <w:t>生活废水经化粪池处理后</w:t>
      </w:r>
      <w:r>
        <w:rPr>
          <w:rFonts w:hint="default" w:ascii="Times New Roman" w:hAnsi="Times New Roman" w:cs="Times New Roman"/>
          <w:color w:val="auto"/>
          <w:sz w:val="24"/>
          <w:highlight w:val="none"/>
          <w:lang w:val="en-US" w:eastAsia="zh-CN"/>
        </w:rPr>
        <w:t>暂存，</w:t>
      </w:r>
      <w:r>
        <w:rPr>
          <w:rFonts w:hint="default" w:ascii="Times New Roman" w:hAnsi="Times New Roman" w:cs="Times New Roman"/>
          <w:color w:val="auto"/>
          <w:sz w:val="24"/>
          <w:lang w:val="en-US" w:eastAsia="zh-CN"/>
        </w:rPr>
        <w:t>化粪池能满足半个月</w:t>
      </w:r>
      <w:r>
        <w:rPr>
          <w:rFonts w:hint="default" w:ascii="Times New Roman" w:hAnsi="Times New Roman" w:cs="Times New Roman"/>
          <w:color w:val="auto"/>
          <w:sz w:val="24"/>
          <w:highlight w:val="none"/>
          <w:lang w:eastAsia="zh-CN"/>
        </w:rPr>
        <w:t>生活废水</w:t>
      </w:r>
      <w:r>
        <w:rPr>
          <w:rFonts w:hint="default" w:ascii="Times New Roman" w:hAnsi="Times New Roman" w:cs="Times New Roman"/>
          <w:color w:val="auto"/>
          <w:sz w:val="24"/>
          <w:highlight w:val="none"/>
          <w:lang w:val="en-US" w:eastAsia="zh-CN"/>
        </w:rPr>
        <w:t>暂存，需半个月委托环卫部门</w:t>
      </w:r>
      <w:r>
        <w:rPr>
          <w:rFonts w:hint="default" w:ascii="Times New Roman" w:hAnsi="Times New Roman" w:eastAsia="宋体" w:cs="Times New Roman"/>
          <w:color w:val="auto"/>
          <w:sz w:val="24"/>
          <w:lang w:val="en-US" w:eastAsia="zh-CN"/>
        </w:rPr>
        <w:t>清运处置</w:t>
      </w:r>
      <w:r>
        <w:rPr>
          <w:rFonts w:hint="default" w:ascii="Times New Roman" w:hAnsi="Times New Roman" w:cs="Times New Roman"/>
          <w:color w:val="auto"/>
          <w:sz w:val="24"/>
          <w:lang w:val="en-US" w:eastAsia="zh-CN"/>
        </w:rPr>
        <w:t>一次</w:t>
      </w:r>
      <w:r>
        <w:rPr>
          <w:rFonts w:hint="default" w:ascii="Times New Roman" w:hAnsi="Times New Roman" w:cs="Times New Roman"/>
          <w:bCs/>
          <w:color w:val="auto"/>
          <w:sz w:val="24"/>
          <w:lang w:eastAsia="zh-CN"/>
        </w:rPr>
        <w:t>。</w:t>
      </w:r>
    </w:p>
    <w:p w14:paraId="43EB0490">
      <w:pPr>
        <w:keepNext w:val="0"/>
        <w:keepLines w:val="0"/>
        <w:pageBreakBefore w:val="0"/>
        <w:widowControl/>
        <w:suppressLineNumbers w:val="0"/>
        <w:wordWrap/>
        <w:overflowPunct/>
        <w:topLinePunct w:val="0"/>
        <w:bidi w:val="0"/>
        <w:adjustRightInd/>
        <w:spacing w:line="360" w:lineRule="auto"/>
        <w:ind w:left="0" w:firstLine="480" w:firstLineChars="200"/>
        <w:jc w:val="both"/>
        <w:rPr>
          <w:rFonts w:hint="default" w:ascii="Times New Roman" w:hAnsi="Times New Roman" w:eastAsia="宋体" w:cs="Times New Roman"/>
          <w:bCs/>
          <w:color w:val="auto"/>
          <w:sz w:val="24"/>
          <w:lang w:val="en-US" w:eastAsia="zh-CN"/>
        </w:rPr>
      </w:pPr>
      <w:r>
        <w:rPr>
          <w:rFonts w:hint="default" w:ascii="Times New Roman" w:hAnsi="Times New Roman" w:cs="Times New Roman"/>
          <w:bCs/>
          <w:color w:val="auto"/>
          <w:sz w:val="24"/>
          <w:lang w:val="en-US" w:eastAsia="zh-CN"/>
        </w:rPr>
        <w:t>综上，本项目</w:t>
      </w:r>
      <w:r>
        <w:rPr>
          <w:rFonts w:hint="default" w:ascii="Times New Roman" w:hAnsi="Times New Roman" w:cs="Times New Roman"/>
          <w:bCs/>
          <w:color w:val="auto"/>
          <w:sz w:val="24"/>
        </w:rPr>
        <w:t>生活废水</w:t>
      </w:r>
      <w:r>
        <w:rPr>
          <w:rFonts w:hint="default" w:ascii="Times New Roman" w:hAnsi="Times New Roman" w:cs="Times New Roman"/>
          <w:bCs/>
          <w:color w:val="auto"/>
          <w:sz w:val="24"/>
          <w:lang w:val="en-US" w:eastAsia="zh-CN"/>
        </w:rPr>
        <w:t>处理措施可行。</w:t>
      </w:r>
    </w:p>
    <w:p w14:paraId="695FB315">
      <w:pPr>
        <w:keepNext w:val="0"/>
        <w:keepLines w:val="0"/>
        <w:pageBreakBefore w:val="0"/>
        <w:widowControl/>
        <w:wordWrap/>
        <w:overflowPunct/>
        <w:topLinePunct w:val="0"/>
        <w:bidi w:val="0"/>
        <w:adjustRightInd/>
        <w:spacing w:line="360" w:lineRule="auto"/>
        <w:ind w:left="0" w:firstLine="480" w:firstLineChars="200"/>
        <w:jc w:val="both"/>
        <w:rPr>
          <w:rFonts w:hint="default" w:ascii="Times New Roman" w:hAnsi="Times New Roman" w:eastAsia="宋体" w:cs="Times New Roman"/>
          <w:b/>
          <w:bCs/>
          <w:color w:val="auto"/>
          <w:sz w:val="24"/>
          <w:lang w:eastAsia="zh-CN"/>
        </w:rPr>
      </w:pPr>
      <w:r>
        <w:rPr>
          <w:rFonts w:hint="default" w:ascii="Times New Roman" w:hAnsi="Times New Roman" w:cs="Times New Roman"/>
          <w:b w:val="0"/>
          <w:bCs/>
          <w:color w:val="auto"/>
          <w:sz w:val="24"/>
          <w:szCs w:val="24"/>
          <w:highlight w:val="none"/>
          <w:lang w:eastAsia="zh-CN"/>
        </w:rPr>
        <w:fldChar w:fldCharType="begin"/>
      </w:r>
      <w:r>
        <w:rPr>
          <w:rFonts w:hint="default" w:ascii="Times New Roman" w:hAnsi="Times New Roman" w:cs="Times New Roman"/>
          <w:b w:val="0"/>
          <w:bCs/>
          <w:color w:val="auto"/>
          <w:sz w:val="24"/>
          <w:szCs w:val="24"/>
          <w:highlight w:val="none"/>
          <w:lang w:eastAsia="zh-CN"/>
        </w:rPr>
        <w:instrText xml:space="preserve"> = 2 \* GB3 \* MERGEFORMAT </w:instrText>
      </w:r>
      <w:r>
        <w:rPr>
          <w:rFonts w:hint="default" w:ascii="Times New Roman" w:hAnsi="Times New Roman" w:cs="Times New Roman"/>
          <w:b w:val="0"/>
          <w:bCs/>
          <w:color w:val="auto"/>
          <w:sz w:val="24"/>
          <w:szCs w:val="24"/>
          <w:highlight w:val="none"/>
          <w:lang w:eastAsia="zh-CN"/>
        </w:rPr>
        <w:fldChar w:fldCharType="separate"/>
      </w:r>
      <w:r>
        <w:rPr>
          <w:rFonts w:hint="default" w:ascii="Times New Roman" w:hAnsi="Times New Roman" w:cs="Times New Roman"/>
          <w:b w:val="0"/>
          <w:bCs/>
          <w:color w:val="auto"/>
          <w:sz w:val="24"/>
          <w:szCs w:val="24"/>
          <w:highlight w:val="none"/>
          <w:lang w:eastAsia="zh-CN"/>
        </w:rPr>
        <w:t>②</w:t>
      </w:r>
      <w:r>
        <w:rPr>
          <w:rFonts w:hint="default" w:ascii="Times New Roman" w:hAnsi="Times New Roman" w:cs="Times New Roman"/>
          <w:b w:val="0"/>
          <w:bCs/>
          <w:color w:val="auto"/>
          <w:sz w:val="24"/>
          <w:szCs w:val="24"/>
          <w:highlight w:val="none"/>
          <w:lang w:eastAsia="zh-CN"/>
        </w:rPr>
        <w:fldChar w:fldCharType="end"/>
      </w:r>
      <w:r>
        <w:rPr>
          <w:rFonts w:hint="default" w:ascii="Times New Roman" w:hAnsi="Times New Roman" w:cs="Times New Roman"/>
          <w:color w:val="auto"/>
          <w:sz w:val="24"/>
          <w:szCs w:val="24"/>
          <w:highlight w:val="none"/>
          <w:shd w:val="clear" w:color="auto" w:fill="auto"/>
          <w:lang w:eastAsia="zh-CN"/>
        </w:rPr>
        <w:t>本</w:t>
      </w:r>
      <w:r>
        <w:rPr>
          <w:rFonts w:hint="default" w:ascii="Times New Roman" w:hAnsi="Times New Roman" w:cs="Times New Roman"/>
          <w:color w:val="auto"/>
          <w:sz w:val="24"/>
          <w:szCs w:val="24"/>
          <w:highlight w:val="none"/>
          <w:shd w:val="clear" w:color="auto" w:fill="auto"/>
        </w:rPr>
        <w:t>项目</w:t>
      </w:r>
      <w:r>
        <w:rPr>
          <w:rFonts w:hint="default" w:ascii="Times New Roman" w:hAnsi="Times New Roman" w:cs="Times New Roman"/>
          <w:color w:val="auto"/>
          <w:sz w:val="24"/>
          <w:szCs w:val="24"/>
          <w:highlight w:val="none"/>
          <w:shd w:val="clear" w:color="auto" w:fill="auto"/>
          <w:lang w:val="en-US" w:eastAsia="zh-CN"/>
        </w:rPr>
        <w:t>雨水处理措施</w:t>
      </w:r>
      <w:r>
        <w:rPr>
          <w:rFonts w:hint="default" w:ascii="Times New Roman" w:hAnsi="Times New Roman" w:cs="Times New Roman"/>
          <w:color w:val="auto"/>
          <w:sz w:val="24"/>
          <w:szCs w:val="24"/>
          <w:highlight w:val="none"/>
          <w:shd w:val="clear" w:color="auto" w:fill="auto"/>
        </w:rPr>
        <w:t>可行性分析</w:t>
      </w:r>
    </w:p>
    <w:p w14:paraId="3AE563C2">
      <w:pPr>
        <w:keepNext w:val="0"/>
        <w:keepLines w:val="0"/>
        <w:pageBreakBefore w:val="0"/>
        <w:widowControl/>
        <w:wordWrap/>
        <w:overflowPunct/>
        <w:topLinePunct w:val="0"/>
        <w:bidi w:val="0"/>
        <w:adjustRightInd/>
        <w:spacing w:line="360" w:lineRule="auto"/>
        <w:ind w:left="0" w:firstLine="480" w:firstLineChars="200"/>
        <w:jc w:val="both"/>
        <w:rPr>
          <w:rFonts w:hint="default" w:ascii="Times New Roman" w:hAnsi="Times New Roman" w:eastAsia="宋体" w:cs="Times New Roman"/>
          <w:color w:val="auto"/>
          <w:sz w:val="24"/>
          <w:vertAlign w:val="baseline"/>
          <w:lang w:val="en-US" w:eastAsia="zh-CN"/>
        </w:rPr>
      </w:pPr>
      <w:r>
        <w:rPr>
          <w:rFonts w:hint="default" w:ascii="Times New Roman" w:hAnsi="Times New Roman" w:eastAsia="宋体" w:cs="Times New Roman"/>
          <w:color w:val="auto"/>
          <w:sz w:val="24"/>
          <w:szCs w:val="24"/>
          <w:highlight w:val="none"/>
          <w:lang w:eastAsia="zh-CN"/>
        </w:rPr>
        <w:t>根据前文水平衡</w:t>
      </w:r>
      <w:r>
        <w:rPr>
          <w:rFonts w:hint="default" w:ascii="Times New Roman" w:hAnsi="Times New Roman" w:eastAsia="宋体" w:cs="Times New Roman"/>
          <w:color w:val="auto"/>
          <w:sz w:val="24"/>
          <w:szCs w:val="24"/>
          <w:highlight w:val="none"/>
          <w:lang w:val="en-US" w:eastAsia="zh-CN"/>
        </w:rPr>
        <w:t>计算，</w:t>
      </w:r>
      <w:r>
        <w:rPr>
          <w:rFonts w:hint="default" w:ascii="Times New Roman" w:hAnsi="Times New Roman" w:eastAsia="宋体" w:cs="Times New Roman"/>
          <w:color w:val="auto"/>
          <w:sz w:val="24"/>
          <w:lang w:val="en-US" w:eastAsia="zh-CN"/>
        </w:rPr>
        <w:t>本项目雨天</w:t>
      </w:r>
      <w:r>
        <w:rPr>
          <w:rFonts w:hint="default" w:ascii="Times New Roman" w:hAnsi="Times New Roman" w:cs="Times New Roman"/>
          <w:color w:val="auto"/>
          <w:sz w:val="24"/>
          <w:lang w:val="en-US" w:eastAsia="zh-CN"/>
        </w:rPr>
        <w:t>需</w:t>
      </w:r>
      <w:r>
        <w:rPr>
          <w:rFonts w:hint="default" w:ascii="Times New Roman" w:hAnsi="Times New Roman" w:eastAsia="宋体" w:cs="Times New Roman"/>
          <w:color w:val="auto"/>
          <w:sz w:val="24"/>
          <w:lang w:val="en-US" w:eastAsia="zh-CN"/>
        </w:rPr>
        <w:t>收集约93.</w:t>
      </w: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初期雨水，</w:t>
      </w:r>
      <w:r>
        <w:rPr>
          <w:rFonts w:hint="default" w:ascii="Times New Roman" w:hAnsi="Times New Roman" w:cs="Times New Roman"/>
          <w:color w:val="auto"/>
          <w:sz w:val="24"/>
          <w:lang w:val="en-US" w:eastAsia="zh-CN"/>
        </w:rPr>
        <w:t>初期雨水收集池</w:t>
      </w:r>
      <w:r>
        <w:rPr>
          <w:rFonts w:hint="default" w:ascii="Times New Roman" w:hAnsi="Times New Roman" w:eastAsia="宋体" w:cs="Times New Roman"/>
          <w:color w:val="auto"/>
          <w:sz w:val="24"/>
        </w:rPr>
        <w:t>容积是在实际水量基础上再乘以1.2～1.5的系数（以1.</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计）</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则初期雨水收集有效容积不应小于140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w:t>
      </w:r>
      <w:r>
        <w:rPr>
          <w:rFonts w:hint="default" w:ascii="Times New Roman" w:hAnsi="Times New Roman" w:eastAsia="宋体" w:cs="Times New Roman"/>
          <w:color w:val="auto"/>
          <w:sz w:val="24"/>
          <w:lang w:val="en-US" w:eastAsia="zh-CN"/>
        </w:rPr>
        <w:t>根据建设方提供的可研，本项目</w:t>
      </w:r>
      <w:r>
        <w:rPr>
          <w:rFonts w:hint="eastAsia" w:ascii="Times New Roman" w:hAnsi="Times New Roman" w:eastAsia="宋体" w:cs="Times New Roman"/>
          <w:color w:val="auto"/>
          <w:sz w:val="24"/>
          <w:lang w:val="en-US" w:eastAsia="zh-CN"/>
        </w:rPr>
        <w:t>建设</w:t>
      </w:r>
      <w:r>
        <w:rPr>
          <w:rFonts w:hint="default" w:ascii="Times New Roman" w:hAnsi="Times New Roman" w:cs="Times New Roman"/>
          <w:color w:val="auto"/>
          <w:sz w:val="24"/>
          <w:lang w:val="en-US" w:eastAsia="zh-CN"/>
        </w:rPr>
        <w:t>初期雨水收集池</w:t>
      </w:r>
      <w:r>
        <w:rPr>
          <w:rFonts w:hint="eastAsia" w:ascii="Times New Roman" w:hAnsi="Times New Roman" w:eastAsia="宋体" w:cs="Times New Roman"/>
          <w:color w:val="auto"/>
          <w:sz w:val="24"/>
          <w:lang w:val="en-US" w:eastAsia="zh-CN"/>
        </w:rPr>
        <w:t>1500m</w:t>
      </w:r>
      <w:r>
        <w:rPr>
          <w:rFonts w:hint="eastAsia"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，可满足16天暂存需求，</w:t>
      </w:r>
      <w:r>
        <w:rPr>
          <w:rFonts w:hint="default" w:ascii="Times New Roman" w:hAnsi="Times New Roman" w:cs="Times New Roman"/>
          <w:color w:val="auto"/>
          <w:sz w:val="24"/>
          <w:vertAlign w:val="baseline"/>
          <w:lang w:val="en-US" w:eastAsia="zh-CN"/>
        </w:rPr>
        <w:t>初期雨水经</w:t>
      </w:r>
      <w:r>
        <w:rPr>
          <w:rFonts w:hint="default" w:ascii="Times New Roman" w:hAnsi="Times New Roman" w:cs="Times New Roman"/>
          <w:color w:val="auto"/>
          <w:sz w:val="24"/>
          <w:lang w:val="en-US" w:eastAsia="zh-CN"/>
        </w:rPr>
        <w:t>初期雨水收集池沉淀处理后</w:t>
      </w:r>
      <w:r>
        <w:rPr>
          <w:rFonts w:hint="default" w:ascii="Times New Roman" w:hAnsi="Times New Roman" w:eastAsia="宋体" w:cs="Times New Roman"/>
          <w:color w:val="auto"/>
          <w:sz w:val="24"/>
          <w:vertAlign w:val="baseline"/>
          <w:lang w:val="en-US" w:eastAsia="zh-CN"/>
        </w:rPr>
        <w:t>晴天回用于项目区绿化及洒水降尘</w:t>
      </w:r>
      <w:r>
        <w:rPr>
          <w:rFonts w:hint="default" w:ascii="Times New Roman" w:hAnsi="Times New Roman" w:cs="Times New Roman"/>
          <w:color w:val="auto"/>
          <w:sz w:val="24"/>
          <w:vertAlign w:val="baseline"/>
          <w:lang w:val="en-US" w:eastAsia="zh-CN"/>
        </w:rPr>
        <w:t>，</w:t>
      </w:r>
      <w:r>
        <w:rPr>
          <w:rFonts w:hint="default" w:ascii="Times New Roman" w:hAnsi="Times New Roman" w:eastAsia="宋体" w:cs="Times New Roman"/>
          <w:color w:val="auto"/>
          <w:sz w:val="24"/>
          <w:vertAlign w:val="baseline"/>
          <w:lang w:val="en-US" w:eastAsia="zh-CN"/>
        </w:rPr>
        <w:t>回用不完的雨水由曲煤焦化内部清运至铁路卸煤区洒水降尘。</w:t>
      </w:r>
    </w:p>
    <w:p w14:paraId="24EA98E8">
      <w:pPr>
        <w:keepNext w:val="0"/>
        <w:keepLines w:val="0"/>
        <w:pageBreakBefore w:val="0"/>
        <w:widowControl/>
        <w:wordWrap/>
        <w:overflowPunct/>
        <w:topLinePunct w:val="0"/>
        <w:bidi w:val="0"/>
        <w:adjustRightInd/>
        <w:spacing w:line="360" w:lineRule="auto"/>
        <w:ind w:left="0" w:firstLine="480" w:firstLineChars="200"/>
        <w:jc w:val="both"/>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vertAlign w:val="baseline"/>
          <w:lang w:val="en-US" w:eastAsia="zh-CN"/>
        </w:rPr>
        <w:t>曲煤焦化铁路卸煤区洒水降尘面积36000平方米，采用新鲜水</w:t>
      </w:r>
      <w:r>
        <w:rPr>
          <w:rFonts w:hint="default" w:ascii="Times New Roman" w:hAnsi="Times New Roman" w:cs="Times New Roman"/>
          <w:color w:val="auto"/>
          <w:sz w:val="24"/>
          <w:vertAlign w:val="baseline"/>
          <w:lang w:val="en-US" w:eastAsia="zh-CN"/>
        </w:rPr>
        <w:t>降尘</w:t>
      </w:r>
      <w:r>
        <w:rPr>
          <w:rFonts w:hint="default" w:ascii="Times New Roman" w:hAnsi="Times New Roman" w:eastAsia="宋体" w:cs="Times New Roman"/>
          <w:color w:val="auto"/>
          <w:sz w:val="24"/>
          <w:vertAlign w:val="baseline"/>
          <w:lang w:val="en-US" w:eastAsia="zh-CN"/>
        </w:rPr>
        <w:t>，经计算降尘需水量为：108</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/d，22680</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/a。本项目</w:t>
      </w:r>
      <w:r>
        <w:rPr>
          <w:rFonts w:hint="default" w:ascii="Times New Roman" w:hAnsi="Times New Roman" w:eastAsia="宋体" w:cs="Times New Roman"/>
          <w:color w:val="auto"/>
          <w:sz w:val="24"/>
          <w:lang w:val="en-US" w:eastAsia="zh-CN"/>
        </w:rPr>
        <w:t>剩余</w:t>
      </w:r>
      <w:r>
        <w:rPr>
          <w:rFonts w:hint="eastAsia" w:ascii="Times New Roman" w:hAnsi="Times New Roman" w:cs="Times New Roman"/>
          <w:color w:val="auto"/>
          <w:sz w:val="24"/>
          <w:lang w:val="en-US" w:eastAsia="zh-CN"/>
        </w:rPr>
        <w:t>9033.5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/a初期雨水，能完全回用完。</w:t>
      </w:r>
    </w:p>
    <w:p w14:paraId="1E7B0B58">
      <w:pPr>
        <w:keepNext w:val="0"/>
        <w:keepLines w:val="0"/>
        <w:pageBreakBefore w:val="0"/>
        <w:widowControl/>
        <w:wordWrap/>
        <w:overflowPunct/>
        <w:topLinePunct w:val="0"/>
        <w:bidi w:val="0"/>
        <w:adjustRightInd/>
        <w:spacing w:line="360" w:lineRule="auto"/>
        <w:ind w:left="0" w:firstLine="480"/>
        <w:jc w:val="both"/>
        <w:rPr>
          <w:rFonts w:hint="default" w:ascii="Times New Roman" w:hAnsi="Times New Roman" w:cs="Times New Roman"/>
          <w:bCs/>
          <w:color w:val="auto"/>
          <w:lang w:val="en-US" w:eastAsia="zh-CN"/>
        </w:rPr>
      </w:pPr>
      <w:r>
        <w:rPr>
          <w:rFonts w:hint="default" w:ascii="Times New Roman" w:hAnsi="Times New Roman" w:cs="Times New Roman"/>
          <w:bCs/>
          <w:color w:val="auto"/>
          <w:sz w:val="24"/>
        </w:rPr>
        <w:t>综上所述，本项目</w:t>
      </w:r>
      <w:r>
        <w:rPr>
          <w:rFonts w:hint="default" w:ascii="Times New Roman" w:hAnsi="Times New Roman" w:cs="Times New Roman"/>
          <w:bCs/>
          <w:color w:val="auto"/>
          <w:sz w:val="24"/>
          <w:lang w:val="en-US" w:eastAsia="zh-CN"/>
        </w:rPr>
        <w:t>初期雨水能够</w:t>
      </w:r>
      <w:r>
        <w:rPr>
          <w:rFonts w:hint="default" w:ascii="Times New Roman" w:hAnsi="Times New Roman" w:cs="Times New Roman"/>
          <w:bCs/>
          <w:color w:val="auto"/>
          <w:sz w:val="24"/>
        </w:rPr>
        <w:t>妥善</w:t>
      </w:r>
      <w:r>
        <w:rPr>
          <w:rFonts w:hint="default" w:ascii="Times New Roman" w:hAnsi="Times New Roman" w:cs="Times New Roman"/>
          <w:bCs/>
          <w:color w:val="auto"/>
          <w:sz w:val="24"/>
          <w:lang w:val="en-US" w:eastAsia="zh-CN"/>
        </w:rPr>
        <w:t>处理，</w:t>
      </w:r>
      <w:r>
        <w:rPr>
          <w:rFonts w:hint="default" w:ascii="Times New Roman" w:hAnsi="Times New Roman" w:cs="Times New Roman"/>
          <w:bCs/>
          <w:color w:val="auto"/>
          <w:sz w:val="24"/>
        </w:rPr>
        <w:t>对周围水环境影响较小。</w:t>
      </w:r>
    </w:p>
    <w:p w14:paraId="46D8AA3E">
      <w:pPr>
        <w:keepNext w:val="0"/>
        <w:keepLines w:val="0"/>
        <w:pageBreakBefore w:val="0"/>
        <w:widowControl/>
        <w:wordWrap/>
        <w:overflowPunct/>
        <w:topLinePunct w:val="0"/>
        <w:bidi w:val="0"/>
        <w:adjustRightInd/>
        <w:spacing w:line="360" w:lineRule="auto"/>
        <w:ind w:left="0" w:firstLine="480" w:firstLineChars="200"/>
        <w:jc w:val="both"/>
        <w:rPr>
          <w:rFonts w:hint="default" w:ascii="Times New Roman" w:hAnsi="Times New Roman" w:eastAsia="宋体" w:cs="Times New Roman"/>
          <w:b/>
          <w:bCs/>
          <w:color w:val="auto"/>
          <w:sz w:val="24"/>
          <w:lang w:eastAsia="zh-CN"/>
        </w:rPr>
      </w:pPr>
      <w:r>
        <w:rPr>
          <w:rFonts w:hint="eastAsia" w:ascii="Times New Roman" w:hAnsi="Times New Roman" w:cs="Times New Roman"/>
          <w:b/>
          <w:bCs/>
          <w:color w:val="auto"/>
          <w:sz w:val="24"/>
          <w:lang w:val="en-US" w:eastAsia="zh-CN"/>
        </w:rPr>
        <w:t>4</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eastAsia="zh-CN"/>
        </w:rPr>
        <w:t>本项目废水非正常排放分析</w:t>
      </w:r>
    </w:p>
    <w:p w14:paraId="3286C3CE">
      <w:pPr>
        <w:keepNext w:val="0"/>
        <w:keepLines w:val="0"/>
        <w:pageBreakBefore w:val="0"/>
        <w:widowControl/>
        <w:wordWrap/>
        <w:overflowPunct/>
        <w:topLinePunct w:val="0"/>
        <w:bidi w:val="0"/>
        <w:adjustRightInd/>
        <w:snapToGrid/>
        <w:spacing w:line="360" w:lineRule="auto"/>
        <w:ind w:lef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aps w:val="0"/>
          <w:snapToGrid w:val="0"/>
          <w:color w:val="auto"/>
          <w:spacing w:val="0"/>
          <w:w w:val="100"/>
          <w:position w:val="0"/>
          <w:sz w:val="24"/>
          <w:szCs w:val="24"/>
          <w:highlight w:val="none"/>
          <w:lang w:val="zh-CN"/>
        </w:rPr>
        <w:t>当项目生活区化粪池、</w:t>
      </w:r>
      <w:r>
        <w:rPr>
          <w:rFonts w:hint="default" w:ascii="Times New Roman" w:hAnsi="Times New Roman" w:cs="Times New Roman"/>
          <w:caps w:val="0"/>
          <w:snapToGrid w:val="0"/>
          <w:color w:val="auto"/>
          <w:spacing w:val="0"/>
          <w:w w:val="100"/>
          <w:position w:val="0"/>
          <w:sz w:val="24"/>
          <w:szCs w:val="24"/>
          <w:highlight w:val="none"/>
          <w:lang w:val="en-US" w:eastAsia="zh-CN"/>
        </w:rPr>
        <w:t>初期雨水收集池</w:t>
      </w:r>
      <w:r>
        <w:rPr>
          <w:rFonts w:hint="default" w:ascii="Times New Roman" w:hAnsi="Times New Roman" w:eastAsia="宋体" w:cs="Times New Roman"/>
          <w:caps w:val="0"/>
          <w:snapToGrid w:val="0"/>
          <w:color w:val="auto"/>
          <w:spacing w:val="0"/>
          <w:w w:val="100"/>
          <w:position w:val="0"/>
          <w:sz w:val="24"/>
          <w:szCs w:val="24"/>
          <w:highlight w:val="none"/>
          <w:lang w:val="zh-CN"/>
        </w:rPr>
        <w:t>非正常使用时，如管道破裂、泵设备损坏、人为操作失误等原因故障时，导致废水污染物未经处理直接排放，会对地表水造成一定的影响</w:t>
      </w:r>
      <w:r>
        <w:rPr>
          <w:rFonts w:hint="default" w:ascii="Times New Roman" w:hAnsi="Times New Roman" w:cs="Times New Roman"/>
          <w:caps w:val="0"/>
          <w:snapToGrid w:val="0"/>
          <w:color w:val="auto"/>
          <w:spacing w:val="0"/>
          <w:w w:val="100"/>
          <w:position w:val="0"/>
          <w:sz w:val="24"/>
          <w:szCs w:val="24"/>
          <w:highlight w:val="none"/>
          <w:lang w:val="zh-CN"/>
        </w:rPr>
        <w:t>，</w:t>
      </w:r>
      <w:r>
        <w:rPr>
          <w:rFonts w:hint="default" w:ascii="Times New Roman" w:hAnsi="Times New Roman" w:eastAsia="宋体" w:cs="Times New Roman"/>
          <w:color w:val="auto"/>
          <w:sz w:val="24"/>
          <w:szCs w:val="24"/>
          <w:highlight w:val="none"/>
        </w:rPr>
        <w:t>本环评提出如下措施：</w:t>
      </w:r>
    </w:p>
    <w:p w14:paraId="728E91D6">
      <w:pPr>
        <w:keepNext w:val="0"/>
        <w:keepLines w:val="0"/>
        <w:pageBreakBefore w:val="0"/>
        <w:widowControl/>
        <w:wordWrap/>
        <w:overflowPunct/>
        <w:topLinePunct w:val="0"/>
        <w:bidi w:val="0"/>
        <w:adjustRightInd/>
        <w:snapToGrid/>
        <w:spacing w:line="360" w:lineRule="auto"/>
        <w:ind w:left="0"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lang w:bidi="ar"/>
        </w:rPr>
        <w:t>①</w:t>
      </w:r>
      <w:r>
        <w:rPr>
          <w:rFonts w:hint="default" w:ascii="Times New Roman" w:hAnsi="Times New Roman" w:eastAsia="宋体" w:cs="Times New Roman"/>
          <w:color w:val="auto"/>
          <w:sz w:val="24"/>
          <w:szCs w:val="24"/>
          <w:lang w:eastAsia="zh-CN"/>
        </w:rPr>
        <w:t>化粪池、</w:t>
      </w:r>
      <w:r>
        <w:rPr>
          <w:rFonts w:hint="default" w:ascii="Times New Roman" w:hAnsi="Times New Roman" w:cs="Times New Roman"/>
          <w:color w:val="auto"/>
          <w:sz w:val="24"/>
          <w:szCs w:val="24"/>
          <w:lang w:val="en-US" w:eastAsia="zh-CN"/>
        </w:rPr>
        <w:t>初期雨水收集池</w:t>
      </w:r>
      <w:r>
        <w:rPr>
          <w:rFonts w:hint="default" w:ascii="Times New Roman" w:hAnsi="Times New Roman" w:eastAsia="宋体" w:cs="Times New Roman"/>
          <w:color w:val="auto"/>
          <w:sz w:val="24"/>
          <w:szCs w:val="24"/>
          <w:lang w:eastAsia="zh-CN"/>
        </w:rPr>
        <w:t>发生渗漏、损坏时，立即停用，</w:t>
      </w:r>
      <w:r>
        <w:rPr>
          <w:rFonts w:hint="default" w:ascii="Times New Roman" w:hAnsi="Times New Roman" w:eastAsia="宋体" w:cs="Times New Roman"/>
          <w:color w:val="auto"/>
          <w:sz w:val="24"/>
          <w:szCs w:val="24"/>
        </w:rPr>
        <w:t>及时进行修复正常运行</w:t>
      </w:r>
      <w:r>
        <w:rPr>
          <w:rFonts w:hint="default" w:ascii="Times New Roman" w:hAnsi="Times New Roman" w:eastAsia="宋体" w:cs="Times New Roman"/>
          <w:color w:val="auto"/>
          <w:sz w:val="24"/>
          <w:szCs w:val="24"/>
          <w:lang w:eastAsia="zh-CN"/>
        </w:rPr>
        <w:t>后</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方可使用；</w:t>
      </w:r>
    </w:p>
    <w:p w14:paraId="4D7557B7">
      <w:pPr>
        <w:keepNext w:val="0"/>
        <w:keepLines w:val="0"/>
        <w:pageBreakBefore w:val="0"/>
        <w:widowControl/>
        <w:wordWrap/>
        <w:overflowPunct/>
        <w:topLinePunct w:val="0"/>
        <w:bidi w:val="0"/>
        <w:adjustRightInd/>
        <w:snapToGrid/>
        <w:spacing w:line="360" w:lineRule="auto"/>
        <w:ind w:left="0"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bidi="ar"/>
        </w:rPr>
        <w:t>②</w:t>
      </w:r>
      <w:r>
        <w:rPr>
          <w:rFonts w:hint="default" w:ascii="Times New Roman" w:hAnsi="Times New Roman" w:eastAsia="宋体" w:cs="Times New Roman"/>
          <w:color w:val="auto"/>
          <w:sz w:val="24"/>
          <w:szCs w:val="24"/>
          <w:lang w:eastAsia="zh-CN"/>
        </w:rPr>
        <w:t>化粪池</w:t>
      </w:r>
      <w:r>
        <w:rPr>
          <w:rFonts w:hint="default" w:ascii="Times New Roman" w:hAnsi="Times New Roman" w:cs="Times New Roman"/>
          <w:color w:val="auto"/>
          <w:sz w:val="24"/>
          <w:szCs w:val="24"/>
          <w:lang w:val="en-US" w:eastAsia="zh-CN"/>
        </w:rPr>
        <w:t>或初期雨水收集池不正常运作时，</w:t>
      </w:r>
      <w:r>
        <w:rPr>
          <w:rFonts w:hint="default" w:ascii="Times New Roman" w:hAnsi="Times New Roman" w:eastAsia="宋体" w:cs="Times New Roman"/>
          <w:color w:val="auto"/>
          <w:sz w:val="24"/>
          <w:szCs w:val="24"/>
          <w:lang w:val="en-US" w:eastAsia="zh-CN"/>
        </w:rPr>
        <w:t>将污水暂存于化粪池或</w:t>
      </w:r>
      <w:r>
        <w:rPr>
          <w:rFonts w:hint="default" w:ascii="Times New Roman" w:hAnsi="Times New Roman" w:cs="Times New Roman"/>
          <w:color w:val="auto"/>
          <w:sz w:val="24"/>
          <w:szCs w:val="24"/>
          <w:lang w:val="en-US" w:eastAsia="zh-CN"/>
        </w:rPr>
        <w:t>初期雨水收集池</w:t>
      </w:r>
      <w:r>
        <w:rPr>
          <w:rFonts w:hint="default" w:ascii="Times New Roman" w:hAnsi="Times New Roman" w:eastAsia="宋体" w:cs="Times New Roman"/>
          <w:color w:val="auto"/>
          <w:sz w:val="24"/>
          <w:szCs w:val="24"/>
          <w:lang w:val="en-US" w:eastAsia="zh-CN"/>
        </w:rPr>
        <w:t>（不超过</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天）</w:t>
      </w:r>
      <w:r>
        <w:rPr>
          <w:rFonts w:hint="default" w:ascii="Times New Roman" w:hAnsi="Times New Roman" w:cs="Times New Roman"/>
          <w:color w:val="auto"/>
          <w:sz w:val="24"/>
          <w:szCs w:val="24"/>
          <w:lang w:val="en-US" w:eastAsia="zh-CN"/>
        </w:rPr>
        <w:t>，然后委托</w:t>
      </w:r>
      <w:r>
        <w:rPr>
          <w:rFonts w:hint="default" w:ascii="Times New Roman" w:hAnsi="Times New Roman" w:eastAsia="宋体" w:cs="Times New Roman"/>
          <w:color w:val="auto"/>
          <w:sz w:val="24"/>
          <w:lang w:val="en-US" w:eastAsia="zh-CN"/>
        </w:rPr>
        <w:t>有资质单位清运处置</w:t>
      </w:r>
      <w:r>
        <w:rPr>
          <w:rFonts w:hint="default" w:ascii="Times New Roman" w:hAnsi="Times New Roman" w:eastAsia="宋体" w:cs="Times New Roman"/>
          <w:color w:val="auto"/>
          <w:sz w:val="24"/>
          <w:szCs w:val="24"/>
        </w:rPr>
        <w:t>。</w:t>
      </w:r>
    </w:p>
    <w:p w14:paraId="50CC02AE">
      <w:pPr>
        <w:keepNext w:val="0"/>
        <w:keepLines w:val="0"/>
        <w:pageBreakBefore w:val="0"/>
        <w:widowControl/>
        <w:wordWrap/>
        <w:overflowPunct/>
        <w:topLinePunct w:val="0"/>
        <w:bidi w:val="0"/>
        <w:adjustRightInd/>
        <w:spacing w:line="360" w:lineRule="auto"/>
        <w:ind w:left="0" w:firstLine="480" w:firstLineChars="200"/>
        <w:jc w:val="both"/>
        <w:rPr>
          <w:rFonts w:hint="default" w:ascii="Times New Roman" w:hAnsi="Times New Roman" w:eastAsia="宋体" w:cs="Times New Roman"/>
          <w:b/>
          <w:bCs/>
          <w:color w:val="auto"/>
          <w:sz w:val="24"/>
          <w:lang w:eastAsia="zh-CN"/>
        </w:rPr>
      </w:pPr>
      <w:r>
        <w:rPr>
          <w:rFonts w:hint="default" w:ascii="Times New Roman" w:hAnsi="Times New Roman" w:eastAsia="宋体" w:cs="Times New Roman"/>
          <w:color w:val="auto"/>
          <w:sz w:val="24"/>
          <w:szCs w:val="24"/>
        </w:rPr>
        <w:t>综上所述，</w:t>
      </w:r>
      <w:r>
        <w:rPr>
          <w:rFonts w:hint="default" w:ascii="Times New Roman" w:hAnsi="Times New Roman" w:eastAsia="宋体" w:cs="Times New Roman"/>
          <w:bCs/>
          <w:color w:val="auto"/>
          <w:sz w:val="24"/>
          <w:szCs w:val="24"/>
        </w:rPr>
        <w:t>建设单</w:t>
      </w:r>
      <w:r>
        <w:rPr>
          <w:rFonts w:hint="default" w:ascii="Times New Roman" w:hAnsi="Times New Roman" w:cs="Times New Roman"/>
          <w:bCs/>
          <w:color w:val="auto"/>
          <w:sz w:val="24"/>
          <w:szCs w:val="24"/>
          <w:lang w:eastAsia="zh-CN"/>
        </w:rPr>
        <w:t>位在</w:t>
      </w:r>
      <w:r>
        <w:rPr>
          <w:rFonts w:hint="default" w:ascii="Times New Roman" w:hAnsi="Times New Roman" w:eastAsia="宋体" w:cs="Times New Roman"/>
          <w:bCs/>
          <w:color w:val="auto"/>
          <w:sz w:val="24"/>
          <w:szCs w:val="24"/>
        </w:rPr>
        <w:t>运营过程中，</w:t>
      </w:r>
      <w:r>
        <w:rPr>
          <w:rFonts w:hint="default" w:ascii="Times New Roman" w:hAnsi="Times New Roman" w:eastAsia="宋体" w:cs="Times New Roman"/>
          <w:color w:val="auto"/>
          <w:kern w:val="0"/>
          <w:sz w:val="24"/>
          <w:szCs w:val="24"/>
        </w:rPr>
        <w:t>加强管理，定期</w:t>
      </w:r>
      <w:r>
        <w:rPr>
          <w:rFonts w:hint="default" w:ascii="Times New Roman" w:hAnsi="Times New Roman" w:cs="Times New Roman"/>
          <w:color w:val="auto"/>
          <w:kern w:val="0"/>
          <w:sz w:val="24"/>
          <w:szCs w:val="24"/>
          <w:lang w:val="en-US" w:eastAsia="zh-CN"/>
        </w:rPr>
        <w:t>检查</w:t>
      </w:r>
      <w:r>
        <w:rPr>
          <w:rFonts w:hint="default" w:ascii="Times New Roman" w:hAnsi="Times New Roman" w:eastAsia="宋体" w:cs="Times New Roman"/>
          <w:color w:val="auto"/>
          <w:kern w:val="0"/>
          <w:sz w:val="24"/>
          <w:szCs w:val="24"/>
        </w:rPr>
        <w:t>化粪池</w:t>
      </w:r>
      <w:r>
        <w:rPr>
          <w:rFonts w:hint="default" w:ascii="Times New Roman" w:hAnsi="Times New Roman" w:cs="Times New Roman"/>
          <w:color w:val="auto"/>
          <w:kern w:val="0"/>
          <w:sz w:val="24"/>
          <w:szCs w:val="24"/>
          <w:lang w:val="en-US" w:eastAsia="zh-CN"/>
        </w:rPr>
        <w:t>、</w:t>
      </w:r>
      <w:r>
        <w:rPr>
          <w:rFonts w:hint="default" w:ascii="Times New Roman" w:hAnsi="Times New Roman" w:cs="Times New Roman"/>
          <w:color w:val="auto"/>
          <w:sz w:val="24"/>
          <w:szCs w:val="24"/>
          <w:lang w:val="en-US" w:eastAsia="zh-CN"/>
        </w:rPr>
        <w:t>初期雨水收集池</w:t>
      </w:r>
      <w:r>
        <w:rPr>
          <w:rFonts w:hint="default" w:ascii="Times New Roman" w:hAnsi="Times New Roman" w:eastAsia="宋体" w:cs="Times New Roman"/>
          <w:color w:val="auto"/>
          <w:sz w:val="24"/>
          <w:szCs w:val="24"/>
        </w:rPr>
        <w:t>，以保证</w:t>
      </w:r>
      <w:r>
        <w:rPr>
          <w:rFonts w:hint="default" w:ascii="Times New Roman" w:hAnsi="Times New Roman" w:eastAsia="宋体" w:cs="Times New Roman"/>
          <w:color w:val="auto"/>
          <w:kern w:val="0"/>
          <w:sz w:val="24"/>
          <w:szCs w:val="24"/>
          <w:lang w:val="en-US" w:eastAsia="zh-CN"/>
        </w:rPr>
        <w:t>废水</w:t>
      </w:r>
      <w:r>
        <w:rPr>
          <w:rFonts w:hint="default" w:ascii="Times New Roman" w:hAnsi="Times New Roman" w:eastAsia="宋体" w:cs="Times New Roman"/>
          <w:color w:val="auto"/>
          <w:sz w:val="24"/>
          <w:szCs w:val="24"/>
        </w:rPr>
        <w:t>处理效果</w:t>
      </w:r>
      <w:r>
        <w:rPr>
          <w:rFonts w:hint="default" w:ascii="Times New Roman" w:hAnsi="Times New Roman" w:eastAsia="宋体" w:cs="Times New Roman"/>
          <w:color w:val="auto"/>
          <w:sz w:val="24"/>
          <w:szCs w:val="24"/>
          <w:lang w:val="zh-CN" w:bidi="ar"/>
        </w:rPr>
        <w:t>，杜绝事故性排放，建立健全突发环境事件应急预案体系、环保管理机制和各项环保规章制度，落实岗位环保责任制，</w:t>
      </w:r>
      <w:r>
        <w:rPr>
          <w:rFonts w:hint="eastAsia" w:ascii="Times New Roman" w:hAnsi="Times New Roman" w:eastAsia="宋体" w:cs="Times New Roman"/>
          <w:color w:val="auto"/>
          <w:sz w:val="24"/>
          <w:szCs w:val="24"/>
          <w:lang w:val="zh-CN" w:bidi="ar"/>
        </w:rPr>
        <w:t>加强环境风险防控</w:t>
      </w:r>
      <w:r>
        <w:rPr>
          <w:rFonts w:hint="default" w:ascii="Times New Roman" w:hAnsi="Times New Roman" w:eastAsia="宋体" w:cs="Times New Roman"/>
          <w:color w:val="auto"/>
          <w:sz w:val="24"/>
          <w:szCs w:val="24"/>
          <w:lang w:val="zh-CN" w:bidi="ar"/>
        </w:rPr>
        <w:t>工作，防止事故排放导致环境问题，项目废水对周围水环境影响较小。</w:t>
      </w:r>
    </w:p>
    <w:p w14:paraId="34F6E211">
      <w:pPr>
        <w:pStyle w:val="9"/>
        <w:keepNext/>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hint="default" w:ascii="Times New Roman" w:hAnsi="Times New Roman" w:eastAsia="Times New Roman" w:cs="Times New Roman"/>
          <w:b/>
          <w:bCs/>
          <w:color w:val="auto"/>
          <w:spacing w:val="-2"/>
          <w:sz w:val="24"/>
          <w:szCs w:val="24"/>
        </w:rPr>
      </w:pPr>
      <w:r>
        <w:rPr>
          <w:rFonts w:hint="default" w:ascii="Times New Roman" w:hAnsi="Times New Roman" w:eastAsia="Times New Roman" w:cs="Times New Roman"/>
          <w:b/>
          <w:bCs/>
          <w:color w:val="auto"/>
          <w:spacing w:val="-2"/>
          <w:sz w:val="24"/>
          <w:szCs w:val="24"/>
        </w:rPr>
        <w:t>2.</w:t>
      </w:r>
      <w:r>
        <w:rPr>
          <w:rFonts w:hint="eastAsia" w:ascii="Times New Roman" w:hAnsi="Times New Roman" w:eastAsia="Times New Roman"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.2.6 运营期固体废物</w:t>
      </w:r>
    </w:p>
    <w:p w14:paraId="6AAC228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本项目正面电动吊维修棚主要为日常维护检修，产生污染物为废机油，大型维修委托第三方专业团队，大型维修产生的废物由委托的第三方带走处置不在本项目暂存，本项目日常维护检修不产生维修废水。正面电动吊液压系统维修、换油、滤芯更换过程中会产生</w:t>
      </w:r>
      <w:r>
        <w:rPr>
          <w:rFonts w:hint="default" w:ascii="Times New Roman" w:hAnsi="Times New Roman" w:cs="Times New Roman"/>
          <w:color w:val="auto"/>
          <w:spacing w:val="-1"/>
          <w:sz w:val="24"/>
          <w:szCs w:val="24"/>
        </w:rPr>
        <w:t>废矿物油</w:t>
      </w:r>
      <w:r>
        <w:rPr>
          <w:rFonts w:hint="eastAsia" w:ascii="Times New Roman" w:hAnsi="Times New Roman" w:eastAsia="宋体" w:cs="Times New Roman"/>
          <w:color w:val="auto"/>
          <w:spacing w:val="-1"/>
          <w:sz w:val="24"/>
          <w:szCs w:val="24"/>
          <w:lang w:val="en-US" w:eastAsia="zh-CN"/>
        </w:rPr>
        <w:t>和</w:t>
      </w:r>
      <w:r>
        <w:rPr>
          <w:rFonts w:hint="default" w:ascii="Times New Roman" w:hAnsi="Times New Roman" w:cs="Times New Roman"/>
          <w:color w:val="auto"/>
          <w:sz w:val="24"/>
          <w:highlight w:val="none"/>
          <w:lang w:val="en-US" w:eastAsia="zh-CN"/>
        </w:rPr>
        <w:t>含油抹布、手套</w:t>
      </w:r>
      <w:r>
        <w:rPr>
          <w:rFonts w:hint="eastAsia" w:cs="Times New Roman"/>
          <w:color w:val="auto"/>
          <w:sz w:val="24"/>
          <w:highlight w:val="none"/>
          <w:lang w:val="en-US" w:eastAsia="zh-CN"/>
        </w:rPr>
        <w:t>。</w:t>
      </w:r>
    </w:p>
    <w:p w14:paraId="03848EBA">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Arial" w:hAnsi="Arial" w:eastAsia="宋体" w:cs="Times New Roman"/>
          <w:snapToGrid w:val="0"/>
          <w:color w:val="auto"/>
          <w:kern w:val="0"/>
          <w:sz w:val="24"/>
          <w:szCs w:val="21"/>
          <w:highlight w:val="none"/>
          <w:lang w:val="en-US" w:eastAsia="zh-CN" w:bidi="ar-SA"/>
        </w:rPr>
      </w:pPr>
      <w:r>
        <w:rPr>
          <w:rFonts w:hint="default" w:ascii="Arial" w:hAnsi="Arial" w:eastAsia="Arial" w:cs="Times New Roman"/>
          <w:snapToGrid w:val="0"/>
          <w:color w:val="auto"/>
          <w:kern w:val="0"/>
          <w:sz w:val="24"/>
          <w:szCs w:val="21"/>
          <w:highlight w:val="none"/>
          <w:lang w:val="en-US" w:eastAsia="zh-CN" w:bidi="ar-SA"/>
        </w:rPr>
        <w:t>根据可研设计，项目不设置站修所，仅对车辆实施简单的技术检查；不涉及机务检修</w:t>
      </w:r>
      <w:r>
        <w:rPr>
          <w:rFonts w:hint="eastAsia" w:ascii="Arial" w:hAnsi="Arial" w:eastAsia="Arial" w:cs="Times New Roman"/>
          <w:snapToGrid w:val="0"/>
          <w:color w:val="auto"/>
          <w:kern w:val="0"/>
          <w:sz w:val="24"/>
          <w:szCs w:val="21"/>
          <w:highlight w:val="none"/>
          <w:lang w:val="en-US" w:eastAsia="zh-CN" w:bidi="ar-SA"/>
        </w:rPr>
        <w:t>，内燃机车有固定维修场所，不设置在项目区内</w:t>
      </w:r>
      <w:r>
        <w:rPr>
          <w:rFonts w:hint="default" w:ascii="Arial" w:hAnsi="Arial" w:eastAsia="Arial" w:cs="Times New Roman"/>
          <w:snapToGrid w:val="0"/>
          <w:color w:val="auto"/>
          <w:kern w:val="0"/>
          <w:sz w:val="24"/>
          <w:szCs w:val="21"/>
          <w:highlight w:val="none"/>
          <w:lang w:val="en-US" w:eastAsia="zh-CN" w:bidi="ar-SA"/>
        </w:rPr>
        <w:t>。项目运行过程中仅对</w:t>
      </w:r>
      <w:r>
        <w:rPr>
          <w:color w:val="auto"/>
          <w:spacing w:val="-3"/>
          <w:sz w:val="24"/>
          <w:szCs w:val="24"/>
        </w:rPr>
        <w:t>轨道</w:t>
      </w:r>
      <w:r>
        <w:rPr>
          <w:rFonts w:hint="default" w:ascii="Arial" w:hAnsi="Arial" w:eastAsia="Arial" w:cs="Times New Roman"/>
          <w:snapToGrid w:val="0"/>
          <w:color w:val="auto"/>
          <w:kern w:val="0"/>
          <w:sz w:val="24"/>
          <w:szCs w:val="21"/>
          <w:highlight w:val="none"/>
          <w:lang w:val="en-US" w:eastAsia="zh-CN" w:bidi="ar-SA"/>
        </w:rPr>
        <w:t>线路、道岔进行保养，更换轨道伤损部件、线路和道岔钢轨打磨、翻修道口等</w:t>
      </w:r>
      <w:r>
        <w:rPr>
          <w:rFonts w:hint="eastAsia" w:cs="Times New Roman"/>
          <w:snapToGrid w:val="0"/>
          <w:color w:val="auto"/>
          <w:kern w:val="0"/>
          <w:sz w:val="24"/>
          <w:szCs w:val="21"/>
          <w:highlight w:val="none"/>
          <w:lang w:val="en-US" w:eastAsia="zh-CN" w:bidi="ar-SA"/>
        </w:rPr>
        <w:t>。在</w:t>
      </w:r>
      <w:r>
        <w:rPr>
          <w:color w:val="auto"/>
          <w:spacing w:val="-3"/>
          <w:sz w:val="24"/>
          <w:szCs w:val="24"/>
        </w:rPr>
        <w:t>轨道保养过程中</w:t>
      </w:r>
      <w:r>
        <w:rPr>
          <w:rFonts w:hint="eastAsia" w:eastAsia="宋体"/>
          <w:color w:val="auto"/>
          <w:spacing w:val="-3"/>
          <w:sz w:val="24"/>
          <w:szCs w:val="24"/>
          <w:lang w:val="en-US" w:eastAsia="zh-CN"/>
        </w:rPr>
        <w:t>会产生</w:t>
      </w:r>
      <w:r>
        <w:rPr>
          <w:rFonts w:hint="default" w:ascii="Times New Roman" w:hAnsi="Times New Roman" w:cs="Times New Roman"/>
          <w:color w:val="auto"/>
          <w:spacing w:val="-1"/>
          <w:sz w:val="24"/>
          <w:szCs w:val="24"/>
        </w:rPr>
        <w:t>废矿物油</w:t>
      </w:r>
      <w:r>
        <w:rPr>
          <w:rFonts w:hint="eastAsia" w:ascii="Times New Roman" w:hAnsi="Times New Roman" w:eastAsia="宋体" w:cs="Times New Roman"/>
          <w:color w:val="auto"/>
          <w:spacing w:val="-1"/>
          <w:sz w:val="24"/>
          <w:szCs w:val="24"/>
          <w:lang w:val="en-US" w:eastAsia="zh-CN"/>
        </w:rPr>
        <w:t>和</w:t>
      </w:r>
      <w:r>
        <w:rPr>
          <w:rFonts w:hint="default" w:ascii="Times New Roman" w:hAnsi="Times New Roman" w:cs="Times New Roman"/>
          <w:color w:val="auto"/>
          <w:sz w:val="24"/>
          <w:highlight w:val="none"/>
          <w:lang w:val="en-US" w:eastAsia="zh-CN"/>
        </w:rPr>
        <w:t>含油抹布、手套</w:t>
      </w:r>
      <w:r>
        <w:rPr>
          <w:rFonts w:hint="eastAsia" w:cs="Times New Roman"/>
          <w:color w:val="auto"/>
          <w:sz w:val="24"/>
          <w:highlight w:val="none"/>
          <w:lang w:val="en-US" w:eastAsia="zh-CN"/>
        </w:rPr>
        <w:t>。</w:t>
      </w:r>
    </w:p>
    <w:p w14:paraId="58EFA8A2">
      <w:pPr>
        <w:pStyle w:val="9"/>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Arial" w:hAnsi="Arial" w:eastAsia="Arial" w:cs="Times New Roman"/>
          <w:snapToGrid w:val="0"/>
          <w:color w:val="auto"/>
          <w:kern w:val="0"/>
          <w:sz w:val="24"/>
          <w:szCs w:val="21"/>
          <w:highlight w:val="none"/>
          <w:lang w:val="en-US" w:eastAsia="zh-CN" w:bidi="ar-SA"/>
        </w:rPr>
      </w:pPr>
      <w:r>
        <w:rPr>
          <w:rFonts w:hint="default" w:ascii="Arial" w:hAnsi="Arial" w:eastAsia="Arial" w:cs="Times New Roman"/>
          <w:snapToGrid w:val="0"/>
          <w:color w:val="auto"/>
          <w:kern w:val="0"/>
          <w:sz w:val="24"/>
          <w:szCs w:val="21"/>
          <w:highlight w:val="none"/>
          <w:lang w:val="en-US" w:eastAsia="zh-CN" w:bidi="ar-SA"/>
        </w:rPr>
        <w:t>因此项目产生的固体废物主要是工作人员的生活垃圾、</w:t>
      </w:r>
      <w:r>
        <w:rPr>
          <w:rFonts w:hint="default" w:ascii="Times New Roman" w:hAnsi="Times New Roman" w:cs="Times New Roman"/>
          <w:color w:val="auto"/>
          <w:sz w:val="24"/>
          <w:highlight w:val="none"/>
          <w:lang w:val="en-US" w:eastAsia="zh-CN"/>
        </w:rPr>
        <w:t>含油抹布、手套</w:t>
      </w:r>
      <w:r>
        <w:rPr>
          <w:rFonts w:hint="eastAsia" w:ascii="Times New Roman" w:hAnsi="Times New Roman" w:cs="Times New Roman"/>
          <w:color w:val="auto"/>
          <w:sz w:val="24"/>
          <w:highlight w:val="none"/>
          <w:lang w:val="en-US" w:eastAsia="zh-CN"/>
        </w:rPr>
        <w:t>、</w:t>
      </w:r>
      <w:r>
        <w:rPr>
          <w:rFonts w:hint="default" w:ascii="Arial" w:hAnsi="Arial" w:eastAsia="Arial" w:cs="Times New Roman"/>
          <w:snapToGrid w:val="0"/>
          <w:color w:val="auto"/>
          <w:kern w:val="0"/>
          <w:sz w:val="24"/>
          <w:szCs w:val="21"/>
          <w:highlight w:val="none"/>
          <w:lang w:val="en-US" w:eastAsia="zh-CN" w:bidi="ar-SA"/>
        </w:rPr>
        <w:t>废矿物油及废矿物油桶。</w:t>
      </w:r>
    </w:p>
    <w:p w14:paraId="0456317E">
      <w:pPr>
        <w:pStyle w:val="9"/>
        <w:keepNext w:val="0"/>
        <w:keepLines w:val="0"/>
        <w:pageBreakBefore w:val="0"/>
        <w:widowControl/>
        <w:kinsoku/>
        <w:wordWrap/>
        <w:overflowPunct/>
        <w:topLinePunct w:val="0"/>
        <w:autoSpaceDE w:val="0"/>
        <w:autoSpaceDN w:val="0"/>
        <w:bidi w:val="0"/>
        <w:spacing w:line="360" w:lineRule="auto"/>
        <w:ind w:left="507"/>
        <w:textAlignment w:val="baseline"/>
        <w:rPr>
          <w:rFonts w:hint="default" w:ascii="Times New Roman" w:hAnsi="Times New Roman" w:cs="Times New Roman"/>
          <w:color w:val="auto"/>
          <w:sz w:val="24"/>
          <w:szCs w:val="24"/>
        </w:rPr>
      </w:pPr>
      <w:r>
        <w:rPr>
          <w:rFonts w:hint="default" w:ascii="Times New Roman" w:hAnsi="Times New Roman" w:eastAsia="Times New Roman" w:cs="Times New Roman"/>
          <w:b/>
          <w:bCs/>
          <w:color w:val="auto"/>
          <w:spacing w:val="-9"/>
          <w:sz w:val="24"/>
          <w:szCs w:val="24"/>
        </w:rPr>
        <w:t>1</w:t>
      </w:r>
      <w:r>
        <w:rPr>
          <w:rFonts w:hint="default" w:ascii="Times New Roman" w:hAnsi="Times New Roman" w:cs="Times New Roman"/>
          <w:b/>
          <w:bCs/>
          <w:color w:val="auto"/>
          <w:spacing w:val="-9"/>
          <w:sz w:val="24"/>
          <w:szCs w:val="24"/>
        </w:rPr>
        <w:t>、生活垃圾</w:t>
      </w:r>
    </w:p>
    <w:p w14:paraId="1FB2DAA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根据《城市环境卫生设施规划标准》（</w:t>
      </w:r>
      <w:r>
        <w:rPr>
          <w:rFonts w:hint="default" w:ascii="Times New Roman" w:hAnsi="Times New Roman" w:eastAsia="Times New Roman" w:cs="Times New Roman"/>
          <w:color w:val="auto"/>
          <w:spacing w:val="0"/>
          <w:sz w:val="24"/>
          <w:szCs w:val="24"/>
        </w:rPr>
        <w:t>20</w:t>
      </w:r>
      <w:r>
        <w:rPr>
          <w:rFonts w:hint="eastAsia" w:ascii="Times New Roman" w:hAnsi="Times New Roman" w:eastAsia="宋体" w:cs="Times New Roman"/>
          <w:color w:val="auto"/>
          <w:spacing w:val="0"/>
          <w:sz w:val="24"/>
          <w:szCs w:val="24"/>
          <w:lang w:val="en-US" w:eastAsia="zh-CN"/>
        </w:rPr>
        <w:t>1</w:t>
      </w:r>
      <w:r>
        <w:rPr>
          <w:rFonts w:hint="default" w:ascii="Times New Roman" w:hAnsi="Times New Roman" w:eastAsia="Times New Roman" w:cs="Times New Roman"/>
          <w:color w:val="auto"/>
          <w:spacing w:val="0"/>
          <w:sz w:val="24"/>
          <w:szCs w:val="24"/>
        </w:rPr>
        <w:t>8</w:t>
      </w:r>
      <w:r>
        <w:rPr>
          <w:rFonts w:hint="default" w:ascii="Times New Roman" w:hAnsi="Times New Roman" w:cs="Times New Roman"/>
          <w:color w:val="auto"/>
          <w:spacing w:val="0"/>
          <w:sz w:val="24"/>
          <w:szCs w:val="24"/>
        </w:rPr>
        <w:t>年</w:t>
      </w:r>
      <w:r>
        <w:rPr>
          <w:rFonts w:hint="eastAsia" w:ascii="Times New Roman" w:hAnsi="Times New Roman" w:eastAsia="宋体" w:cs="Times New Roman"/>
          <w:color w:val="auto"/>
          <w:spacing w:val="0"/>
          <w:sz w:val="24"/>
          <w:szCs w:val="24"/>
          <w:lang w:val="en-US" w:eastAsia="zh-CN"/>
        </w:rPr>
        <w:t>11</w:t>
      </w:r>
      <w:r>
        <w:rPr>
          <w:rFonts w:hint="default" w:ascii="Times New Roman" w:hAnsi="Times New Roman" w:cs="Times New Roman"/>
          <w:color w:val="auto"/>
          <w:spacing w:val="0"/>
          <w:sz w:val="24"/>
          <w:szCs w:val="24"/>
        </w:rPr>
        <w:t>月），生活垃圾人均日产生量为</w:t>
      </w:r>
      <w:r>
        <w:rPr>
          <w:rFonts w:hint="default" w:ascii="Times New Roman" w:hAnsi="Times New Roman" w:eastAsia="宋体" w:cs="Times New Roman"/>
          <w:color w:val="auto"/>
          <w:spacing w:val="0"/>
          <w:sz w:val="24"/>
          <w:szCs w:val="24"/>
          <w:lang w:val="en-US" w:eastAsia="zh-CN"/>
        </w:rPr>
        <w:t>0.</w:t>
      </w:r>
      <w:r>
        <w:rPr>
          <w:rFonts w:hint="eastAsia" w:ascii="Times New Roman" w:hAnsi="Times New Roman" w:eastAsia="宋体" w:cs="Times New Roman"/>
          <w:color w:val="auto"/>
          <w:spacing w:val="0"/>
          <w:sz w:val="24"/>
          <w:szCs w:val="24"/>
          <w:lang w:val="en-US" w:eastAsia="zh-CN"/>
        </w:rPr>
        <w:t>8</w:t>
      </w:r>
      <w:r>
        <w:rPr>
          <w:rFonts w:hint="default" w:ascii="Times New Roman" w:hAnsi="Times New Roman" w:cs="Times New Roman"/>
          <w:color w:val="auto"/>
          <w:spacing w:val="0"/>
          <w:sz w:val="24"/>
          <w:szCs w:val="24"/>
        </w:rPr>
        <w:t>kg/人·天</w:t>
      </w:r>
      <w:r>
        <w:rPr>
          <w:rFonts w:hint="eastAsia" w:ascii="微软雅黑" w:hAnsi="微软雅黑" w:eastAsia="微软雅黑" w:cs="微软雅黑"/>
          <w:color w:val="auto"/>
          <w:spacing w:val="0"/>
          <w:sz w:val="24"/>
          <w:szCs w:val="24"/>
          <w:lang w:val="en-US" w:eastAsia="zh-CN"/>
        </w:rPr>
        <w:t>～</w:t>
      </w:r>
      <w:r>
        <w:rPr>
          <w:rFonts w:hint="eastAsia" w:ascii="Times New Roman" w:hAnsi="Times New Roman" w:eastAsia="宋体" w:cs="Times New Roman"/>
          <w:color w:val="auto"/>
          <w:spacing w:val="0"/>
          <w:sz w:val="24"/>
          <w:szCs w:val="24"/>
          <w:lang w:val="en-US" w:eastAsia="zh-CN"/>
        </w:rPr>
        <w:t>1.4</w:t>
      </w:r>
      <w:r>
        <w:rPr>
          <w:rFonts w:hint="default" w:ascii="Times New Roman" w:hAnsi="Times New Roman" w:cs="Times New Roman"/>
          <w:color w:val="auto"/>
          <w:spacing w:val="0"/>
          <w:sz w:val="24"/>
          <w:szCs w:val="24"/>
        </w:rPr>
        <w:t>kg/人·天</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项目取值1.1</w:t>
      </w:r>
      <w:r>
        <w:rPr>
          <w:rFonts w:hint="default" w:ascii="Times New Roman" w:hAnsi="Times New Roman" w:cs="Times New Roman"/>
          <w:color w:val="auto"/>
          <w:spacing w:val="0"/>
          <w:sz w:val="24"/>
          <w:szCs w:val="24"/>
        </w:rPr>
        <w:t>kg/人·天</w:t>
      </w:r>
      <w:r>
        <w:rPr>
          <w:rFonts w:hint="eastAsia" w:ascii="Times New Roman" w:hAnsi="Times New Roman" w:eastAsia="宋体" w:cs="Times New Roman"/>
          <w:color w:val="auto"/>
          <w:spacing w:val="0"/>
          <w:sz w:val="24"/>
          <w:szCs w:val="24"/>
          <w:lang w:eastAsia="zh-CN"/>
        </w:rPr>
        <w:t>）</w:t>
      </w:r>
      <w:r>
        <w:rPr>
          <w:rFonts w:hint="default" w:ascii="Times New Roman" w:hAnsi="Times New Roman" w:cs="Times New Roman"/>
          <w:color w:val="auto"/>
          <w:spacing w:val="0"/>
          <w:sz w:val="24"/>
          <w:szCs w:val="24"/>
        </w:rPr>
        <w:t>，员工共计</w:t>
      </w:r>
      <w:r>
        <w:rPr>
          <w:rFonts w:hint="default" w:ascii="Times New Roman" w:hAnsi="Times New Roman" w:eastAsia="宋体" w:cs="Times New Roman"/>
          <w:color w:val="auto"/>
          <w:spacing w:val="0"/>
          <w:sz w:val="24"/>
          <w:szCs w:val="24"/>
          <w:lang w:val="en-US" w:eastAsia="zh-CN"/>
        </w:rPr>
        <w:t>30</w:t>
      </w:r>
      <w:r>
        <w:rPr>
          <w:rFonts w:hint="default" w:ascii="Times New Roman" w:hAnsi="Times New Roman" w:cs="Times New Roman"/>
          <w:color w:val="auto"/>
          <w:spacing w:val="0"/>
          <w:sz w:val="24"/>
          <w:szCs w:val="24"/>
        </w:rPr>
        <w:t>人，则项目生活垃圾产生量为</w:t>
      </w:r>
      <w:r>
        <w:rPr>
          <w:rFonts w:hint="eastAsia" w:ascii="Times New Roman" w:hAnsi="Times New Roman" w:eastAsia="宋体" w:cs="Times New Roman"/>
          <w:color w:val="auto"/>
          <w:spacing w:val="0"/>
          <w:sz w:val="24"/>
          <w:szCs w:val="24"/>
          <w:lang w:val="en-US" w:eastAsia="zh-CN"/>
        </w:rPr>
        <w:t>33</w:t>
      </w:r>
      <w:r>
        <w:rPr>
          <w:rFonts w:hint="default" w:ascii="Times New Roman" w:hAnsi="Times New Roman" w:eastAsia="Times New Roman" w:cs="Times New Roman"/>
          <w:color w:val="auto"/>
          <w:spacing w:val="0"/>
          <w:sz w:val="24"/>
          <w:szCs w:val="24"/>
        </w:rPr>
        <w:t>kg/d</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10.89</w:t>
      </w:r>
      <w:r>
        <w:rPr>
          <w:rFonts w:hint="default" w:ascii="Times New Roman" w:hAnsi="Times New Roman" w:eastAsia="Times New Roman" w:cs="Times New Roman"/>
          <w:color w:val="auto"/>
          <w:spacing w:val="0"/>
          <w:sz w:val="24"/>
          <w:szCs w:val="24"/>
        </w:rPr>
        <w:t>t/a</w:t>
      </w:r>
      <w:r>
        <w:rPr>
          <w:rFonts w:hint="default" w:ascii="Times New Roman" w:hAnsi="Times New Roman" w:cs="Times New Roman"/>
          <w:color w:val="auto"/>
          <w:spacing w:val="0"/>
          <w:sz w:val="24"/>
          <w:szCs w:val="24"/>
        </w:rPr>
        <w:t>。</w:t>
      </w:r>
    </w:p>
    <w:p w14:paraId="35EF1B7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w w:val="100"/>
          <w:sz w:val="24"/>
          <w:szCs w:val="24"/>
        </w:rPr>
      </w:pPr>
      <w:r>
        <w:rPr>
          <w:rFonts w:hint="default" w:ascii="Times New Roman" w:hAnsi="Times New Roman" w:eastAsia="宋体" w:cs="Times New Roman"/>
          <w:color w:val="auto"/>
          <w:sz w:val="24"/>
          <w:szCs w:val="24"/>
          <w:lang w:val="en-US" w:eastAsia="zh-CN"/>
        </w:rPr>
        <w:t>本项目运营期员工生活垃圾主要为废纸、废塑料和绿化清理产生的植物枝叶等，属于《固体废物分类与代码名录》（自2024年1月19日起施行）中SW62可回收物废物，废物代码废纸900-001-S62、废塑料900-002-S62，以及SW64其他垃圾废物，废物代码园林垃圾900-001-S64所规定的生活垃圾</w:t>
      </w:r>
      <w:r>
        <w:rPr>
          <w:rFonts w:hint="default" w:ascii="Times New Roman" w:hAnsi="Times New Roman" w:cs="Times New Roman"/>
          <w:color w:val="auto"/>
          <w:spacing w:val="0"/>
          <w:w w:val="100"/>
          <w:sz w:val="24"/>
          <w:szCs w:val="24"/>
        </w:rPr>
        <w:t>。项目区拟设置生活垃圾桶，生活垃圾集中收集后委托当地环卫部门进行处置。</w:t>
      </w:r>
    </w:p>
    <w:p w14:paraId="56E4BE20">
      <w:pPr>
        <w:pStyle w:val="9"/>
        <w:keepNext w:val="0"/>
        <w:keepLines w:val="0"/>
        <w:pageBreakBefore w:val="0"/>
        <w:widowControl/>
        <w:wordWrap/>
        <w:overflowPunct/>
        <w:topLinePunct w:val="0"/>
        <w:autoSpaceDE w:val="0"/>
        <w:autoSpaceDN w:val="0"/>
        <w:bidi w:val="0"/>
        <w:spacing w:line="360" w:lineRule="auto"/>
        <w:ind w:left="497"/>
        <w:textAlignment w:val="baseline"/>
        <w:rPr>
          <w:rFonts w:hint="default" w:ascii="Times New Roman" w:hAnsi="Times New Roman" w:cs="Times New Roman"/>
          <w:color w:val="auto"/>
          <w:spacing w:val="0"/>
          <w:w w:val="100"/>
          <w:sz w:val="24"/>
          <w:szCs w:val="24"/>
        </w:rPr>
      </w:pPr>
      <w:r>
        <w:rPr>
          <w:rFonts w:hint="default" w:ascii="Times New Roman" w:hAnsi="Times New Roman" w:eastAsia="Times New Roman" w:cs="Times New Roman"/>
          <w:b/>
          <w:bCs/>
          <w:color w:val="auto"/>
          <w:spacing w:val="0"/>
          <w:w w:val="100"/>
          <w:sz w:val="24"/>
          <w:szCs w:val="24"/>
        </w:rPr>
        <w:t>2</w:t>
      </w:r>
      <w:r>
        <w:rPr>
          <w:rFonts w:hint="default" w:ascii="Times New Roman" w:hAnsi="Times New Roman" w:cs="Times New Roman"/>
          <w:b/>
          <w:bCs/>
          <w:color w:val="auto"/>
          <w:spacing w:val="0"/>
          <w:w w:val="100"/>
          <w:sz w:val="24"/>
          <w:szCs w:val="24"/>
        </w:rPr>
        <w:t>、污泥</w:t>
      </w:r>
    </w:p>
    <w:p w14:paraId="0B3EBB8B">
      <w:pPr>
        <w:pStyle w:val="9"/>
        <w:keepNext w:val="0"/>
        <w:keepLines w:val="0"/>
        <w:pageBreakBefore w:val="0"/>
        <w:widowControl/>
        <w:kinsoku/>
        <w:wordWrap/>
        <w:overflowPunct/>
        <w:topLinePunct w:val="0"/>
        <w:autoSpaceDE w:val="0"/>
        <w:autoSpaceDN w:val="0"/>
        <w:bidi w:val="0"/>
        <w:adjustRightInd w:val="0"/>
        <w:snapToGrid w:val="0"/>
        <w:spacing w:line="360" w:lineRule="auto"/>
        <w:ind w:left="0" w:firstLine="482"/>
        <w:jc w:val="both"/>
        <w:textAlignment w:val="baseline"/>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本项目运营期化粪池在对</w:t>
      </w:r>
      <w:r>
        <w:rPr>
          <w:rFonts w:hint="default" w:ascii="Times New Roman" w:hAnsi="Times New Roman" w:cs="Times New Roman"/>
          <w:color w:val="auto"/>
          <w:kern w:val="0"/>
          <w:sz w:val="24"/>
          <w:szCs w:val="24"/>
          <w:highlight w:val="none"/>
          <w:lang w:val="en-US" w:eastAsia="zh-CN" w:bidi="ar"/>
        </w:rPr>
        <w:t>生活</w:t>
      </w:r>
      <w:r>
        <w:rPr>
          <w:rFonts w:hint="default" w:ascii="Times New Roman" w:hAnsi="Times New Roman" w:eastAsia="宋体" w:cs="Times New Roman"/>
          <w:color w:val="auto"/>
          <w:kern w:val="0"/>
          <w:sz w:val="24"/>
          <w:szCs w:val="24"/>
          <w:highlight w:val="none"/>
          <w:lang w:val="en-US" w:eastAsia="zh-CN" w:bidi="ar"/>
        </w:rPr>
        <w:t>废水处理及初期雨水收集池对雨水沉淀过程中将产生污泥，属于《固体废物分类与代码名录》（自2024年1月19日起施行）中SW</w:t>
      </w:r>
      <w:r>
        <w:rPr>
          <w:rFonts w:hint="default" w:ascii="Times New Roman" w:hAnsi="Times New Roman" w:cs="Times New Roman"/>
          <w:color w:val="auto"/>
          <w:kern w:val="0"/>
          <w:sz w:val="24"/>
          <w:szCs w:val="24"/>
          <w:highlight w:val="none"/>
          <w:lang w:val="en-US" w:eastAsia="zh-CN" w:bidi="ar"/>
        </w:rPr>
        <w:t>64其他垃圾</w:t>
      </w:r>
      <w:r>
        <w:rPr>
          <w:rFonts w:hint="default" w:ascii="Times New Roman" w:hAnsi="Times New Roman" w:eastAsia="宋体" w:cs="Times New Roman"/>
          <w:color w:val="auto"/>
          <w:kern w:val="0"/>
          <w:sz w:val="24"/>
          <w:szCs w:val="24"/>
          <w:highlight w:val="none"/>
          <w:lang w:val="en-US" w:eastAsia="zh-CN" w:bidi="ar"/>
        </w:rPr>
        <w:t>，废物代码清扫垃圾900-002-S64所规定的生活垃圾，本项目废水产生量为14671m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/a，以1m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vertAlign w:val="baseline"/>
          <w:lang w:val="en-US" w:eastAsia="zh-CN" w:bidi="ar"/>
        </w:rPr>
        <w:t>废水产生0.8%千克</w:t>
      </w:r>
      <w:r>
        <w:rPr>
          <w:rFonts w:hint="default" w:ascii="Times New Roman" w:hAnsi="Times New Roman" w:cs="Times New Roman"/>
          <w:color w:val="auto"/>
          <w:kern w:val="0"/>
          <w:sz w:val="24"/>
          <w:szCs w:val="24"/>
          <w:highlight w:val="none"/>
          <w:vertAlign w:val="baseline"/>
          <w:lang w:val="en-US" w:eastAsia="zh-CN" w:bidi="ar"/>
        </w:rPr>
        <w:t>污泥</w:t>
      </w:r>
      <w:r>
        <w:rPr>
          <w:rFonts w:hint="default" w:ascii="Times New Roman" w:hAnsi="Times New Roman" w:eastAsia="宋体" w:cs="Times New Roman"/>
          <w:color w:val="auto"/>
          <w:kern w:val="0"/>
          <w:sz w:val="24"/>
          <w:szCs w:val="24"/>
          <w:highlight w:val="none"/>
          <w:vertAlign w:val="baseline"/>
          <w:lang w:val="en-US" w:eastAsia="zh-CN" w:bidi="ar"/>
        </w:rPr>
        <w:t>计，</w:t>
      </w:r>
      <w:r>
        <w:rPr>
          <w:rFonts w:hint="default" w:ascii="Times New Roman" w:hAnsi="Times New Roman" w:eastAsia="宋体" w:cs="Times New Roman"/>
          <w:color w:val="auto"/>
          <w:kern w:val="0"/>
          <w:sz w:val="24"/>
          <w:szCs w:val="24"/>
          <w:highlight w:val="none"/>
          <w:lang w:val="en-US" w:eastAsia="zh-CN" w:bidi="ar"/>
        </w:rPr>
        <w:t>处理合计污泥量为1.17t/a。委托当地环卫部门定期清运处置。</w:t>
      </w:r>
    </w:p>
    <w:p w14:paraId="6ABC4D65">
      <w:pPr>
        <w:pStyle w:val="9"/>
        <w:keepNext w:val="0"/>
        <w:keepLines w:val="0"/>
        <w:pageBreakBefore w:val="0"/>
        <w:widowControl/>
        <w:kinsoku w:val="0"/>
        <w:wordWrap/>
        <w:overflowPunct/>
        <w:topLinePunct w:val="0"/>
        <w:autoSpaceDE w:val="0"/>
        <w:autoSpaceDN w:val="0"/>
        <w:bidi w:val="0"/>
        <w:spacing w:before="14" w:line="360" w:lineRule="auto"/>
        <w:ind w:left="499"/>
        <w:textAlignment w:val="baseline"/>
        <w:rPr>
          <w:rFonts w:hint="eastAsia" w:eastAsia="宋体"/>
          <w:color w:val="auto"/>
          <w:sz w:val="24"/>
          <w:szCs w:val="24"/>
          <w:lang w:eastAsia="zh-CN"/>
        </w:rPr>
      </w:pPr>
      <w:r>
        <w:rPr>
          <w:rFonts w:hint="eastAsia" w:ascii="Times New Roman" w:hAnsi="Times New Roman" w:eastAsia="宋体" w:cs="Times New Roman"/>
          <w:b/>
          <w:bCs/>
          <w:color w:val="auto"/>
          <w:spacing w:val="-5"/>
          <w:sz w:val="24"/>
          <w:szCs w:val="24"/>
          <w:lang w:val="en-US" w:eastAsia="zh-CN"/>
        </w:rPr>
        <w:t>3</w:t>
      </w:r>
      <w:r>
        <w:rPr>
          <w:b/>
          <w:bCs/>
          <w:color w:val="auto"/>
          <w:spacing w:val="-5"/>
          <w:sz w:val="24"/>
          <w:szCs w:val="24"/>
        </w:rPr>
        <w:t>、</w:t>
      </w:r>
      <w:r>
        <w:rPr>
          <w:rFonts w:hint="eastAsia" w:eastAsia="宋体"/>
          <w:b/>
          <w:bCs/>
          <w:color w:val="auto"/>
          <w:spacing w:val="-5"/>
          <w:sz w:val="24"/>
          <w:szCs w:val="24"/>
          <w:lang w:val="en-US" w:eastAsia="zh-CN"/>
        </w:rPr>
        <w:t>危险废物</w:t>
      </w:r>
    </w:p>
    <w:p w14:paraId="7C029526">
      <w:pPr>
        <w:pStyle w:val="9"/>
        <w:keepNext w:val="0"/>
        <w:keepLines w:val="0"/>
        <w:pageBreakBefore w:val="0"/>
        <w:widowControl/>
        <w:kinsoku/>
        <w:wordWrap/>
        <w:overflowPunct/>
        <w:topLinePunct w:val="0"/>
        <w:autoSpaceDE w:val="0"/>
        <w:autoSpaceDN w:val="0"/>
        <w:bidi w:val="0"/>
        <w:adjustRightInd/>
        <w:snapToGrid/>
        <w:spacing w:line="360" w:lineRule="auto"/>
        <w:ind w:left="0" w:firstLine="484"/>
        <w:jc w:val="both"/>
        <w:textAlignment w:val="baseline"/>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（1）</w:t>
      </w:r>
      <w:r>
        <w:rPr>
          <w:rFonts w:hint="default" w:ascii="Times New Roman" w:hAnsi="Times New Roman" w:cs="Times New Roman"/>
          <w:b/>
          <w:bCs/>
          <w:color w:val="auto"/>
          <w:kern w:val="0"/>
          <w:sz w:val="24"/>
          <w:szCs w:val="24"/>
          <w:lang w:val="en-US" w:eastAsia="zh-CN" w:bidi="ar"/>
        </w:rPr>
        <w:t>含油抹布、手套</w:t>
      </w:r>
    </w:p>
    <w:p w14:paraId="6B124B2A">
      <w:pPr>
        <w:pStyle w:val="9"/>
        <w:keepNext w:val="0"/>
        <w:keepLines w:val="0"/>
        <w:pageBreakBefore w:val="0"/>
        <w:widowControl/>
        <w:kinsoku/>
        <w:wordWrap/>
        <w:overflowPunct/>
        <w:topLinePunct w:val="0"/>
        <w:autoSpaceDE w:val="0"/>
        <w:autoSpaceDN w:val="0"/>
        <w:bidi w:val="0"/>
        <w:adjustRightInd w:val="0"/>
        <w:snapToGrid w:val="0"/>
        <w:spacing w:line="360" w:lineRule="auto"/>
        <w:ind w:left="0" w:firstLine="482"/>
        <w:jc w:val="both"/>
        <w:textAlignment w:val="baseline"/>
        <w:rPr>
          <w:rFonts w:hint="default" w:ascii="Times New Roman" w:hAnsi="Times New Roman" w:eastAsia="宋体" w:cs="Times New Roman"/>
          <w:color w:val="auto"/>
          <w:kern w:val="0"/>
          <w:sz w:val="24"/>
          <w:szCs w:val="24"/>
          <w:highlight w:val="none"/>
          <w:lang w:val="en-US" w:eastAsia="zh-CN" w:bidi="ar"/>
        </w:rPr>
      </w:pPr>
      <w:r>
        <w:rPr>
          <w:rFonts w:hint="eastAsia" w:cs="Times New Roman"/>
          <w:color w:val="auto"/>
          <w:sz w:val="24"/>
          <w:highlight w:val="none"/>
          <w:lang w:val="en-US" w:eastAsia="zh-CN"/>
        </w:rPr>
        <w:t>正面电动吊液压系统维修和</w:t>
      </w:r>
      <w:r>
        <w:rPr>
          <w:color w:val="auto"/>
          <w:spacing w:val="-3"/>
          <w:sz w:val="24"/>
          <w:szCs w:val="24"/>
        </w:rPr>
        <w:t>轨道保养过程中</w:t>
      </w:r>
      <w:r>
        <w:rPr>
          <w:rFonts w:hint="default" w:ascii="Times New Roman" w:hAnsi="Times New Roman" w:cs="Times New Roman"/>
          <w:color w:val="auto"/>
          <w:sz w:val="24"/>
          <w:highlight w:val="none"/>
          <w:lang w:val="en-US" w:eastAsia="zh-CN"/>
        </w:rPr>
        <w:t>产生的含油抹布、手套等产生约为0.05t/a。根据《国家危险废物名录》（2025版），含有油污的手套和抹布属于HW49其他废物类危险废物，危废代码为900-041-49</w:t>
      </w:r>
      <w:r>
        <w:rPr>
          <w:rFonts w:hint="eastAsia" w:ascii="Times New Roman" w:hAnsi="Times New Roman" w:cs="Times New Roman"/>
          <w:color w:val="auto"/>
          <w:sz w:val="24"/>
          <w:highlight w:val="none"/>
          <w:lang w:val="en-US" w:eastAsia="zh-CN"/>
        </w:rPr>
        <w:t>。</w:t>
      </w:r>
    </w:p>
    <w:p w14:paraId="13462A37">
      <w:pPr>
        <w:pStyle w:val="9"/>
        <w:keepNext w:val="0"/>
        <w:keepLines w:val="0"/>
        <w:pageBreakBefore w:val="0"/>
        <w:widowControl/>
        <w:kinsoku/>
        <w:wordWrap/>
        <w:overflowPunct/>
        <w:topLinePunct w:val="0"/>
        <w:autoSpaceDE w:val="0"/>
        <w:autoSpaceDN w:val="0"/>
        <w:bidi w:val="0"/>
        <w:adjustRightInd/>
        <w:snapToGrid/>
        <w:spacing w:line="360" w:lineRule="auto"/>
        <w:ind w:left="0" w:firstLine="484"/>
        <w:jc w:val="both"/>
        <w:textAlignment w:val="baseline"/>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废矿物油</w:t>
      </w:r>
    </w:p>
    <w:p w14:paraId="115E2872">
      <w:pPr>
        <w:pStyle w:val="9"/>
        <w:keepNext w:val="0"/>
        <w:keepLines w:val="0"/>
        <w:pageBreakBefore w:val="0"/>
        <w:widowControl/>
        <w:kinsoku/>
        <w:wordWrap/>
        <w:overflowPunct/>
        <w:topLinePunct w:val="0"/>
        <w:autoSpaceDE w:val="0"/>
        <w:autoSpaceDN w:val="0"/>
        <w:bidi w:val="0"/>
        <w:adjustRightInd/>
        <w:snapToGrid/>
        <w:spacing w:line="360" w:lineRule="auto"/>
        <w:ind w:left="0" w:firstLine="484"/>
        <w:jc w:val="both"/>
        <w:textAlignment w:val="baseline"/>
        <w:rPr>
          <w:rFonts w:hint="eastAsia"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本项目运营期</w:t>
      </w:r>
      <w:r>
        <w:rPr>
          <w:rFonts w:hint="eastAsia" w:ascii="Times New Roman" w:hAnsi="Times New Roman" w:eastAsia="宋体" w:cs="Times New Roman"/>
          <w:color w:val="auto"/>
          <w:kern w:val="0"/>
          <w:sz w:val="24"/>
          <w:szCs w:val="24"/>
          <w:highlight w:val="none"/>
          <w:lang w:val="en-US" w:eastAsia="zh-CN" w:bidi="ar"/>
        </w:rPr>
        <w:t>在</w:t>
      </w:r>
      <w:r>
        <w:rPr>
          <w:rFonts w:hint="eastAsia" w:cs="Times New Roman"/>
          <w:color w:val="auto"/>
          <w:sz w:val="24"/>
          <w:highlight w:val="none"/>
          <w:lang w:val="en-US" w:eastAsia="zh-CN"/>
        </w:rPr>
        <w:t>正面电动吊液压系统维修和</w:t>
      </w:r>
      <w:r>
        <w:rPr>
          <w:color w:val="auto"/>
          <w:spacing w:val="-3"/>
          <w:sz w:val="24"/>
          <w:szCs w:val="24"/>
        </w:rPr>
        <w:t>轨道保养过程中</w:t>
      </w:r>
      <w:r>
        <w:rPr>
          <w:rFonts w:hint="default" w:ascii="Times New Roman" w:hAnsi="Times New Roman" w:cs="Times New Roman"/>
          <w:color w:val="auto"/>
          <w:sz w:val="24"/>
          <w:highlight w:val="none"/>
          <w:lang w:val="en-US" w:eastAsia="zh-CN"/>
        </w:rPr>
        <w:t>产生的</w:t>
      </w:r>
      <w:r>
        <w:rPr>
          <w:rFonts w:hint="default" w:ascii="Times New Roman" w:hAnsi="Times New Roman" w:eastAsia="宋体" w:cs="Times New Roman"/>
          <w:color w:val="auto"/>
          <w:kern w:val="0"/>
          <w:sz w:val="24"/>
          <w:szCs w:val="24"/>
          <w:highlight w:val="none"/>
          <w:lang w:val="en-US" w:eastAsia="zh-CN" w:bidi="ar"/>
        </w:rPr>
        <w:t>含油废物属</w:t>
      </w:r>
      <w:r>
        <w:rPr>
          <w:rFonts w:hint="default" w:ascii="Times New Roman" w:hAnsi="Times New Roman" w:cs="Times New Roman"/>
          <w:color w:val="auto"/>
          <w:kern w:val="0"/>
          <w:sz w:val="24"/>
          <w:szCs w:val="24"/>
          <w:highlight w:val="none"/>
          <w:lang w:val="en-US" w:eastAsia="zh-CN" w:bidi="ar"/>
        </w:rPr>
        <w:t>于</w:t>
      </w:r>
      <w:r>
        <w:rPr>
          <w:rFonts w:hint="default" w:ascii="Times New Roman" w:hAnsi="Times New Roman" w:eastAsia="宋体" w:cs="Times New Roman"/>
          <w:color w:val="auto"/>
          <w:kern w:val="0"/>
          <w:sz w:val="24"/>
          <w:szCs w:val="24"/>
          <w:highlight w:val="none"/>
          <w:lang w:val="en-US" w:eastAsia="zh-CN" w:bidi="ar"/>
        </w:rPr>
        <w:t>《国家危险废物名录》</w:t>
      </w: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年版）</w:t>
      </w:r>
      <w:r>
        <w:rPr>
          <w:rFonts w:hint="default" w:ascii="Times New Roman" w:hAnsi="Times New Roman" w:eastAsia="宋体" w:cs="Times New Roman"/>
          <w:color w:val="auto"/>
          <w:kern w:val="0"/>
          <w:sz w:val="24"/>
          <w:szCs w:val="24"/>
          <w:highlight w:val="none"/>
          <w:lang w:val="en-US" w:eastAsia="zh-CN" w:bidi="ar"/>
        </w:rPr>
        <w:t>中HW08废矿物油与含矿物油废物</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sz w:val="24"/>
          <w:szCs w:val="24"/>
          <w:highlight w:val="none"/>
          <w:lang w:val="en-US" w:eastAsia="zh-CN"/>
        </w:rPr>
        <w:t>废物代码</w:t>
      </w:r>
      <w:r>
        <w:rPr>
          <w:rFonts w:hint="default" w:ascii="Times New Roman" w:hAnsi="Times New Roman" w:cs="Times New Roman"/>
          <w:color w:val="auto"/>
          <w:kern w:val="0"/>
          <w:sz w:val="24"/>
          <w:szCs w:val="24"/>
          <w:highlight w:val="none"/>
          <w:lang w:val="en-US" w:eastAsia="zh-CN" w:bidi="ar"/>
        </w:rPr>
        <w:t>非特定行业</w:t>
      </w:r>
      <w:r>
        <w:rPr>
          <w:rFonts w:hint="default" w:ascii="Times New Roman" w:hAnsi="Times New Roman" w:eastAsia="宋体" w:cs="Times New Roman"/>
          <w:color w:val="auto"/>
          <w:kern w:val="0"/>
          <w:sz w:val="24"/>
          <w:szCs w:val="24"/>
          <w:highlight w:val="none"/>
          <w:lang w:val="en-US" w:eastAsia="zh-CN" w:bidi="ar"/>
        </w:rPr>
        <w:t>900-214-08所规定的危险废物，废矿物油产生量约0.01t/a</w:t>
      </w:r>
      <w:r>
        <w:rPr>
          <w:rFonts w:hint="eastAsia" w:ascii="Times New Roman" w:hAnsi="Times New Roman" w:eastAsia="宋体" w:cs="Times New Roman"/>
          <w:color w:val="auto"/>
          <w:kern w:val="0"/>
          <w:sz w:val="24"/>
          <w:szCs w:val="24"/>
          <w:highlight w:val="none"/>
          <w:lang w:val="en-US" w:eastAsia="zh-CN" w:bidi="ar"/>
        </w:rPr>
        <w:t>。</w:t>
      </w:r>
    </w:p>
    <w:p w14:paraId="1F05C249">
      <w:pPr>
        <w:pStyle w:val="9"/>
        <w:keepNext w:val="0"/>
        <w:keepLines w:val="0"/>
        <w:pageBreakBefore w:val="0"/>
        <w:widowControl/>
        <w:kinsoku/>
        <w:wordWrap/>
        <w:overflowPunct/>
        <w:topLinePunct w:val="0"/>
        <w:autoSpaceDE w:val="0"/>
        <w:autoSpaceDN w:val="0"/>
        <w:bidi w:val="0"/>
        <w:adjustRightInd/>
        <w:snapToGrid/>
        <w:spacing w:line="360" w:lineRule="auto"/>
        <w:ind w:left="0" w:firstLine="484"/>
        <w:jc w:val="both"/>
        <w:textAlignment w:val="baseline"/>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kern w:val="0"/>
          <w:sz w:val="24"/>
          <w:szCs w:val="24"/>
          <w:lang w:val="en-US" w:eastAsia="zh-CN" w:bidi="ar"/>
        </w:rPr>
        <w:t>含油抹布、手套</w:t>
      </w:r>
      <w:r>
        <w:rPr>
          <w:rFonts w:hint="eastAsia" w:ascii="Times New Roman" w:hAnsi="Times New Roman" w:cs="Times New Roman"/>
          <w:b w:val="0"/>
          <w:bCs w:val="0"/>
          <w:color w:val="auto"/>
          <w:kern w:val="0"/>
          <w:sz w:val="24"/>
          <w:szCs w:val="24"/>
          <w:lang w:val="en-US" w:eastAsia="zh-CN" w:bidi="ar"/>
        </w:rPr>
        <w:t>和</w:t>
      </w:r>
      <w:r>
        <w:rPr>
          <w:rFonts w:hint="default" w:ascii="Times New Roman" w:hAnsi="Times New Roman" w:eastAsia="宋体" w:cs="Times New Roman"/>
          <w:b w:val="0"/>
          <w:bCs w:val="0"/>
          <w:color w:val="auto"/>
          <w:kern w:val="0"/>
          <w:sz w:val="24"/>
          <w:szCs w:val="24"/>
          <w:highlight w:val="none"/>
          <w:lang w:val="en-US" w:eastAsia="zh-CN" w:bidi="ar"/>
        </w:rPr>
        <w:t>废矿物油</w:t>
      </w:r>
      <w:r>
        <w:rPr>
          <w:rFonts w:hint="default" w:ascii="Times New Roman" w:hAnsi="Times New Roman" w:eastAsia="宋体" w:cs="Times New Roman"/>
          <w:b w:val="0"/>
          <w:bCs w:val="0"/>
          <w:color w:val="auto"/>
          <w:sz w:val="24"/>
          <w:highlight w:val="none"/>
          <w:lang w:val="en-US" w:eastAsia="zh-CN"/>
        </w:rPr>
        <w:t>收集</w:t>
      </w:r>
      <w:r>
        <w:rPr>
          <w:rFonts w:hint="default" w:ascii="Times New Roman" w:hAnsi="Times New Roman" w:cs="Times New Roman"/>
          <w:b w:val="0"/>
          <w:bCs w:val="0"/>
          <w:color w:val="auto"/>
          <w:sz w:val="24"/>
          <w:highlight w:val="none"/>
          <w:lang w:val="en-US" w:eastAsia="zh-CN"/>
        </w:rPr>
        <w:t>暂存</w:t>
      </w:r>
      <w:r>
        <w:rPr>
          <w:rFonts w:hint="default" w:ascii="Times New Roman" w:hAnsi="Times New Roman" w:eastAsia="宋体" w:cs="Times New Roman"/>
          <w:b w:val="0"/>
          <w:bCs w:val="0"/>
          <w:color w:val="auto"/>
          <w:sz w:val="24"/>
          <w:highlight w:val="none"/>
          <w:lang w:val="en-US" w:eastAsia="zh-CN"/>
        </w:rPr>
        <w:t>至</w:t>
      </w:r>
      <w:r>
        <w:rPr>
          <w:rFonts w:hint="default" w:ascii="Times New Roman" w:hAnsi="Times New Roman" w:cs="Times New Roman"/>
          <w:b w:val="0"/>
          <w:bCs w:val="0"/>
          <w:color w:val="auto"/>
          <w:sz w:val="24"/>
          <w:highlight w:val="none"/>
          <w:lang w:val="en-US" w:eastAsia="zh-CN"/>
        </w:rPr>
        <w:t>危废暂存间，按照危废进行管理，收集</w:t>
      </w:r>
      <w:r>
        <w:rPr>
          <w:rFonts w:hint="eastAsia" w:cs="Times New Roman"/>
          <w:b w:val="0"/>
          <w:bCs w:val="0"/>
          <w:color w:val="auto"/>
          <w:sz w:val="24"/>
          <w:highlight w:val="none"/>
          <w:lang w:val="en-US" w:eastAsia="zh-CN"/>
        </w:rPr>
        <w:t>暂存于危废间</w:t>
      </w:r>
      <w:r>
        <w:rPr>
          <w:rFonts w:hint="default" w:ascii="Times New Roman" w:hAnsi="Times New Roman" w:cs="Times New Roman"/>
          <w:b w:val="0"/>
          <w:bCs w:val="0"/>
          <w:color w:val="auto"/>
          <w:sz w:val="24"/>
          <w:highlight w:val="none"/>
          <w:lang w:val="en-US" w:eastAsia="zh-CN"/>
        </w:rPr>
        <w:t>，委托有资质的单位处置。</w:t>
      </w:r>
    </w:p>
    <w:p w14:paraId="2E284CF4">
      <w:pPr>
        <w:rPr>
          <w:rFonts w:hint="default" w:ascii="Times New Roman" w:hAnsi="Times New Roman" w:cs="Times New Roman"/>
          <w:b w:val="0"/>
          <w:bCs w:val="0"/>
          <w:color w:val="auto"/>
          <w:sz w:val="24"/>
          <w:highlight w:val="none"/>
          <w:lang w:val="en-US" w:eastAsia="zh-CN"/>
        </w:rPr>
      </w:pPr>
    </w:p>
    <w:p w14:paraId="3D6E7986">
      <w:pPr>
        <w:rPr>
          <w:rFonts w:hint="default" w:ascii="Times New Roman" w:hAnsi="Times New Roman" w:cs="Times New Roman"/>
          <w:b w:val="0"/>
          <w:bCs w:val="0"/>
          <w:color w:val="auto"/>
          <w:sz w:val="24"/>
          <w:highlight w:val="none"/>
          <w:lang w:val="en-US" w:eastAsia="zh-CN"/>
        </w:rPr>
      </w:pPr>
    </w:p>
    <w:p w14:paraId="54CA51E7">
      <w:pPr>
        <w:rPr>
          <w:rFonts w:hint="default" w:ascii="Times New Roman" w:hAnsi="Times New Roman" w:cs="Times New Roman"/>
          <w:b w:val="0"/>
          <w:bCs w:val="0"/>
          <w:color w:val="auto"/>
          <w:sz w:val="24"/>
          <w:highlight w:val="none"/>
          <w:lang w:val="en-US" w:eastAsia="zh-CN"/>
        </w:rPr>
      </w:pPr>
    </w:p>
    <w:p w14:paraId="6C73D62C">
      <w:pPr>
        <w:rPr>
          <w:rFonts w:hint="default" w:ascii="Times New Roman" w:hAnsi="Times New Roman" w:cs="Times New Roman"/>
          <w:b w:val="0"/>
          <w:bCs w:val="0"/>
          <w:color w:val="auto"/>
          <w:sz w:val="24"/>
          <w:highlight w:val="none"/>
          <w:lang w:val="en-US" w:eastAsia="zh-CN"/>
        </w:rPr>
      </w:pPr>
    </w:p>
    <w:p w14:paraId="0B848DFF">
      <w:pPr>
        <w:rPr>
          <w:rFonts w:hint="default" w:ascii="Times New Roman" w:hAnsi="Times New Roman" w:cs="Times New Roman"/>
          <w:b w:val="0"/>
          <w:bCs w:val="0"/>
          <w:color w:val="auto"/>
          <w:sz w:val="24"/>
          <w:highlight w:val="none"/>
          <w:lang w:val="en-US" w:eastAsia="zh-CN"/>
        </w:rPr>
      </w:pPr>
    </w:p>
    <w:p w14:paraId="0B64D3B6">
      <w:pPr>
        <w:rPr>
          <w:rFonts w:hint="default" w:ascii="Times New Roman" w:hAnsi="Times New Roman" w:cs="Times New Roman"/>
          <w:b w:val="0"/>
          <w:bCs w:val="0"/>
          <w:color w:val="auto"/>
          <w:sz w:val="24"/>
          <w:highlight w:val="none"/>
          <w:lang w:val="en-US" w:eastAsia="zh-CN"/>
        </w:rPr>
      </w:pPr>
    </w:p>
    <w:p w14:paraId="5CF35101">
      <w:pPr>
        <w:rPr>
          <w:rFonts w:hint="default" w:ascii="Times New Roman" w:hAnsi="Times New Roman" w:cs="Times New Roman"/>
          <w:b w:val="0"/>
          <w:bCs w:val="0"/>
          <w:color w:val="auto"/>
          <w:sz w:val="24"/>
          <w:highlight w:val="none"/>
          <w:lang w:val="en-US" w:eastAsia="zh-CN"/>
        </w:rPr>
      </w:pPr>
    </w:p>
    <w:p w14:paraId="2ABC470A">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本项目固废污染源源强核算结果汇总表</w:t>
      </w:r>
    </w:p>
    <w:tbl>
      <w:tblPr>
        <w:tblStyle w:val="22"/>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369"/>
        <w:gridCol w:w="522"/>
        <w:gridCol w:w="424"/>
        <w:gridCol w:w="1100"/>
        <w:gridCol w:w="1455"/>
        <w:gridCol w:w="763"/>
        <w:gridCol w:w="1476"/>
        <w:gridCol w:w="999"/>
        <w:gridCol w:w="710"/>
      </w:tblGrid>
      <w:tr w14:paraId="49EA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restart"/>
            <w:noWrap w:val="0"/>
            <w:vAlign w:val="center"/>
          </w:tcPr>
          <w:p w14:paraId="5E9C9F0B">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工序</w:t>
            </w:r>
          </w:p>
        </w:tc>
        <w:tc>
          <w:tcPr>
            <w:tcW w:w="216" w:type="pct"/>
            <w:vMerge w:val="restart"/>
            <w:noWrap w:val="0"/>
            <w:vAlign w:val="center"/>
          </w:tcPr>
          <w:p w14:paraId="7B16E8FB">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装置</w:t>
            </w:r>
          </w:p>
        </w:tc>
        <w:tc>
          <w:tcPr>
            <w:tcW w:w="306" w:type="pct"/>
            <w:vMerge w:val="restart"/>
            <w:noWrap w:val="0"/>
            <w:vAlign w:val="center"/>
          </w:tcPr>
          <w:p w14:paraId="0A9980DE">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固体废物名称</w:t>
            </w:r>
          </w:p>
        </w:tc>
        <w:tc>
          <w:tcPr>
            <w:tcW w:w="249" w:type="pct"/>
            <w:vMerge w:val="restart"/>
            <w:noWrap w:val="0"/>
            <w:vAlign w:val="center"/>
          </w:tcPr>
          <w:p w14:paraId="3CB8B5A7">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固废属性</w:t>
            </w:r>
          </w:p>
        </w:tc>
        <w:tc>
          <w:tcPr>
            <w:tcW w:w="646" w:type="pct"/>
            <w:vMerge w:val="restart"/>
            <w:noWrap w:val="0"/>
            <w:vAlign w:val="center"/>
          </w:tcPr>
          <w:p w14:paraId="46928302">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固废种类</w:t>
            </w:r>
          </w:p>
        </w:tc>
        <w:tc>
          <w:tcPr>
            <w:tcW w:w="854" w:type="pct"/>
            <w:vMerge w:val="restart"/>
            <w:noWrap w:val="0"/>
            <w:vAlign w:val="center"/>
          </w:tcPr>
          <w:p w14:paraId="45B79D65">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固废代码</w:t>
            </w:r>
          </w:p>
        </w:tc>
        <w:tc>
          <w:tcPr>
            <w:tcW w:w="448" w:type="pct"/>
            <w:vMerge w:val="restart"/>
            <w:noWrap w:val="0"/>
            <w:vAlign w:val="center"/>
          </w:tcPr>
          <w:p w14:paraId="5E50C201">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产生量/（t/a）</w:t>
            </w:r>
          </w:p>
        </w:tc>
        <w:tc>
          <w:tcPr>
            <w:tcW w:w="1453" w:type="pct"/>
            <w:gridSpan w:val="2"/>
            <w:noWrap w:val="0"/>
            <w:vAlign w:val="center"/>
          </w:tcPr>
          <w:p w14:paraId="1B4C1FE1">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处置措施</w:t>
            </w:r>
          </w:p>
        </w:tc>
        <w:tc>
          <w:tcPr>
            <w:tcW w:w="417" w:type="pct"/>
            <w:vMerge w:val="restart"/>
            <w:noWrap w:val="0"/>
            <w:vAlign w:val="center"/>
          </w:tcPr>
          <w:p w14:paraId="6F5733CA">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最终</w:t>
            </w:r>
          </w:p>
          <w:p w14:paraId="2022D0A2">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去向</w:t>
            </w:r>
          </w:p>
        </w:tc>
      </w:tr>
      <w:tr w14:paraId="1F5A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5CC351A5">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p>
        </w:tc>
        <w:tc>
          <w:tcPr>
            <w:tcW w:w="216" w:type="pct"/>
            <w:vMerge w:val="continue"/>
            <w:noWrap w:val="0"/>
            <w:vAlign w:val="center"/>
          </w:tcPr>
          <w:p w14:paraId="57C0A59A">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p>
        </w:tc>
        <w:tc>
          <w:tcPr>
            <w:tcW w:w="306" w:type="pct"/>
            <w:vMerge w:val="continue"/>
            <w:noWrap w:val="0"/>
            <w:vAlign w:val="center"/>
          </w:tcPr>
          <w:p w14:paraId="3488E1F7">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p>
        </w:tc>
        <w:tc>
          <w:tcPr>
            <w:tcW w:w="249" w:type="pct"/>
            <w:vMerge w:val="continue"/>
            <w:noWrap w:val="0"/>
            <w:vAlign w:val="center"/>
          </w:tcPr>
          <w:p w14:paraId="6F66144A">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p>
        </w:tc>
        <w:tc>
          <w:tcPr>
            <w:tcW w:w="646" w:type="pct"/>
            <w:vMerge w:val="continue"/>
            <w:noWrap w:val="0"/>
            <w:vAlign w:val="center"/>
          </w:tcPr>
          <w:p w14:paraId="5816F154">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p>
        </w:tc>
        <w:tc>
          <w:tcPr>
            <w:tcW w:w="854" w:type="pct"/>
            <w:vMerge w:val="continue"/>
            <w:noWrap w:val="0"/>
            <w:vAlign w:val="center"/>
          </w:tcPr>
          <w:p w14:paraId="15108AF4">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p>
        </w:tc>
        <w:tc>
          <w:tcPr>
            <w:tcW w:w="448" w:type="pct"/>
            <w:vMerge w:val="continue"/>
            <w:noWrap w:val="0"/>
            <w:vAlign w:val="center"/>
          </w:tcPr>
          <w:p w14:paraId="3F636342">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p>
        </w:tc>
        <w:tc>
          <w:tcPr>
            <w:tcW w:w="866" w:type="pct"/>
            <w:noWrap w:val="0"/>
            <w:vAlign w:val="center"/>
          </w:tcPr>
          <w:p w14:paraId="2B8A8C61">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工艺</w:t>
            </w:r>
          </w:p>
        </w:tc>
        <w:tc>
          <w:tcPr>
            <w:tcW w:w="586" w:type="pct"/>
            <w:noWrap w:val="0"/>
            <w:vAlign w:val="center"/>
          </w:tcPr>
          <w:p w14:paraId="117083D2">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处置量/（t/a）</w:t>
            </w:r>
          </w:p>
        </w:tc>
        <w:tc>
          <w:tcPr>
            <w:tcW w:w="417" w:type="pct"/>
            <w:vMerge w:val="continue"/>
            <w:noWrap w:val="0"/>
            <w:vAlign w:val="center"/>
          </w:tcPr>
          <w:p w14:paraId="6F559E17">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p>
        </w:tc>
      </w:tr>
      <w:tr w14:paraId="1C66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noWrap w:val="0"/>
            <w:vAlign w:val="center"/>
          </w:tcPr>
          <w:p w14:paraId="1918A330">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员工办公生活</w:t>
            </w:r>
          </w:p>
        </w:tc>
        <w:tc>
          <w:tcPr>
            <w:tcW w:w="216" w:type="pct"/>
            <w:noWrap w:val="0"/>
            <w:vAlign w:val="center"/>
          </w:tcPr>
          <w:p w14:paraId="30306E8E">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办公楼</w:t>
            </w:r>
          </w:p>
        </w:tc>
        <w:tc>
          <w:tcPr>
            <w:tcW w:w="306" w:type="pct"/>
            <w:noWrap w:val="0"/>
            <w:vAlign w:val="center"/>
          </w:tcPr>
          <w:p w14:paraId="1C7E43B8">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生活垃圾</w:t>
            </w:r>
          </w:p>
        </w:tc>
        <w:tc>
          <w:tcPr>
            <w:tcW w:w="249" w:type="pct"/>
            <w:noWrap w:val="0"/>
            <w:vAlign w:val="center"/>
          </w:tcPr>
          <w:p w14:paraId="3BA4869B">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生活垃圾</w:t>
            </w:r>
          </w:p>
        </w:tc>
        <w:tc>
          <w:tcPr>
            <w:tcW w:w="646" w:type="pct"/>
            <w:noWrap w:val="0"/>
            <w:vAlign w:val="center"/>
          </w:tcPr>
          <w:p w14:paraId="40FEC98C">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 xml:space="preserve">SW62 </w:t>
            </w:r>
          </w:p>
          <w:p w14:paraId="3ECC6EC2">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 xml:space="preserve">可回收物 </w:t>
            </w:r>
          </w:p>
        </w:tc>
        <w:tc>
          <w:tcPr>
            <w:tcW w:w="854" w:type="pct"/>
            <w:noWrap w:val="0"/>
            <w:vAlign w:val="center"/>
          </w:tcPr>
          <w:p w14:paraId="06D2F8C4">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废纸 900-001-S62、废塑料900-002-S62、园林垃圾900-001-S64</w:t>
            </w:r>
          </w:p>
        </w:tc>
        <w:tc>
          <w:tcPr>
            <w:tcW w:w="448" w:type="pct"/>
            <w:noWrap w:val="0"/>
            <w:vAlign w:val="center"/>
          </w:tcPr>
          <w:p w14:paraId="1C2AC3F6">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eastAsia="宋体" w:cs="Times New Roman"/>
                <w:b w:val="0"/>
                <w:bCs/>
                <w:color w:val="auto"/>
                <w:kern w:val="2"/>
                <w:sz w:val="21"/>
                <w:szCs w:val="21"/>
                <w:highlight w:val="none"/>
                <w:vertAlign w:val="baseline"/>
                <w:lang w:val="en-US" w:eastAsia="zh-CN"/>
              </w:rPr>
              <w:t>10.89</w:t>
            </w:r>
          </w:p>
        </w:tc>
        <w:tc>
          <w:tcPr>
            <w:tcW w:w="866" w:type="pct"/>
            <w:noWrap w:val="0"/>
            <w:vAlign w:val="center"/>
          </w:tcPr>
          <w:p w14:paraId="533D30BD">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收集至垃圾桶内，存储一定量后交由环卫部门统一清运处置。</w:t>
            </w:r>
          </w:p>
        </w:tc>
        <w:tc>
          <w:tcPr>
            <w:tcW w:w="586" w:type="pct"/>
            <w:noWrap w:val="0"/>
            <w:vAlign w:val="center"/>
          </w:tcPr>
          <w:p w14:paraId="2E9A75BC">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eastAsia="宋体" w:cs="Times New Roman"/>
                <w:b w:val="0"/>
                <w:bCs/>
                <w:color w:val="auto"/>
                <w:kern w:val="2"/>
                <w:sz w:val="21"/>
                <w:szCs w:val="21"/>
                <w:highlight w:val="none"/>
                <w:vertAlign w:val="baseline"/>
                <w:lang w:val="en-US" w:eastAsia="zh-CN"/>
              </w:rPr>
              <w:t>10.89</w:t>
            </w:r>
          </w:p>
        </w:tc>
        <w:tc>
          <w:tcPr>
            <w:tcW w:w="417" w:type="pct"/>
            <w:noWrap w:val="0"/>
            <w:vAlign w:val="center"/>
          </w:tcPr>
          <w:p w14:paraId="25E5B029">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环卫</w:t>
            </w:r>
          </w:p>
          <w:p w14:paraId="52C54E39">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部门</w:t>
            </w:r>
          </w:p>
        </w:tc>
      </w:tr>
      <w:tr w14:paraId="5253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noWrap w:val="0"/>
            <w:vAlign w:val="center"/>
          </w:tcPr>
          <w:p w14:paraId="6BDDF493">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生活废水处理工序</w:t>
            </w:r>
          </w:p>
        </w:tc>
        <w:tc>
          <w:tcPr>
            <w:tcW w:w="216" w:type="pct"/>
            <w:noWrap w:val="0"/>
            <w:vAlign w:val="center"/>
          </w:tcPr>
          <w:p w14:paraId="43EA07E3">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化粪池</w:t>
            </w:r>
          </w:p>
        </w:tc>
        <w:tc>
          <w:tcPr>
            <w:tcW w:w="306" w:type="pct"/>
            <w:noWrap w:val="0"/>
            <w:vAlign w:val="center"/>
          </w:tcPr>
          <w:p w14:paraId="0DE847A5">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化粪池</w:t>
            </w:r>
          </w:p>
          <w:p w14:paraId="02C88F23">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污泥</w:t>
            </w:r>
          </w:p>
        </w:tc>
        <w:tc>
          <w:tcPr>
            <w:tcW w:w="249" w:type="pct"/>
            <w:noWrap w:val="0"/>
            <w:vAlign w:val="center"/>
          </w:tcPr>
          <w:p w14:paraId="64649A84">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生活垃圾</w:t>
            </w:r>
          </w:p>
        </w:tc>
        <w:tc>
          <w:tcPr>
            <w:tcW w:w="646" w:type="pct"/>
            <w:noWrap w:val="0"/>
            <w:vAlign w:val="center"/>
          </w:tcPr>
          <w:p w14:paraId="63D2B709">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SW64</w:t>
            </w:r>
          </w:p>
          <w:p w14:paraId="12D4619A">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其他垃圾</w:t>
            </w:r>
          </w:p>
        </w:tc>
        <w:tc>
          <w:tcPr>
            <w:tcW w:w="854" w:type="pct"/>
            <w:noWrap w:val="0"/>
            <w:vAlign w:val="center"/>
          </w:tcPr>
          <w:p w14:paraId="5E9326F5">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清扫垃圾900-002-S64</w:t>
            </w:r>
          </w:p>
        </w:tc>
        <w:tc>
          <w:tcPr>
            <w:tcW w:w="448" w:type="pct"/>
            <w:vMerge w:val="restart"/>
            <w:noWrap w:val="0"/>
            <w:vAlign w:val="center"/>
          </w:tcPr>
          <w:p w14:paraId="287E80DE">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1.17</w:t>
            </w:r>
          </w:p>
        </w:tc>
        <w:tc>
          <w:tcPr>
            <w:tcW w:w="866" w:type="pct"/>
            <w:noWrap w:val="0"/>
            <w:vAlign w:val="center"/>
          </w:tcPr>
          <w:p w14:paraId="76F4F163">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委托环卫部门统一清掏处置</w:t>
            </w:r>
          </w:p>
        </w:tc>
        <w:tc>
          <w:tcPr>
            <w:tcW w:w="586" w:type="pct"/>
            <w:vMerge w:val="restart"/>
            <w:noWrap w:val="0"/>
            <w:vAlign w:val="center"/>
          </w:tcPr>
          <w:p w14:paraId="7EAD78AF">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1.17</w:t>
            </w:r>
          </w:p>
        </w:tc>
        <w:tc>
          <w:tcPr>
            <w:tcW w:w="417" w:type="pct"/>
            <w:noWrap w:val="0"/>
            <w:vAlign w:val="center"/>
          </w:tcPr>
          <w:p w14:paraId="7DCF5D05">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环卫</w:t>
            </w:r>
          </w:p>
          <w:p w14:paraId="3BF37860">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部门</w:t>
            </w:r>
          </w:p>
        </w:tc>
      </w:tr>
      <w:tr w14:paraId="7CF5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noWrap w:val="0"/>
            <w:vAlign w:val="center"/>
          </w:tcPr>
          <w:p w14:paraId="19C62C19">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初期雨水处理工序</w:t>
            </w:r>
          </w:p>
        </w:tc>
        <w:tc>
          <w:tcPr>
            <w:tcW w:w="216" w:type="pct"/>
            <w:noWrap w:val="0"/>
            <w:vAlign w:val="center"/>
          </w:tcPr>
          <w:p w14:paraId="3AC3A2A6">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初期雨水收集池</w:t>
            </w:r>
          </w:p>
        </w:tc>
        <w:tc>
          <w:tcPr>
            <w:tcW w:w="306" w:type="pct"/>
            <w:noWrap w:val="0"/>
            <w:vAlign w:val="center"/>
          </w:tcPr>
          <w:p w14:paraId="3FF98DAE">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初期雨水收集池污泥</w:t>
            </w:r>
          </w:p>
        </w:tc>
        <w:tc>
          <w:tcPr>
            <w:tcW w:w="249" w:type="pct"/>
            <w:noWrap w:val="0"/>
            <w:vAlign w:val="center"/>
          </w:tcPr>
          <w:p w14:paraId="0FC1AFD8">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生活垃圾</w:t>
            </w:r>
          </w:p>
        </w:tc>
        <w:tc>
          <w:tcPr>
            <w:tcW w:w="646" w:type="pct"/>
            <w:noWrap w:val="0"/>
            <w:vAlign w:val="center"/>
          </w:tcPr>
          <w:p w14:paraId="1CAA4793">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SW64</w:t>
            </w:r>
          </w:p>
          <w:p w14:paraId="58027CE0">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其他垃圾</w:t>
            </w:r>
          </w:p>
        </w:tc>
        <w:tc>
          <w:tcPr>
            <w:tcW w:w="854" w:type="pct"/>
            <w:noWrap w:val="0"/>
            <w:vAlign w:val="center"/>
          </w:tcPr>
          <w:p w14:paraId="5C6AB09F">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 xml:space="preserve">清扫垃圾900-002-S64 </w:t>
            </w:r>
          </w:p>
        </w:tc>
        <w:tc>
          <w:tcPr>
            <w:tcW w:w="448" w:type="pct"/>
            <w:vMerge w:val="continue"/>
            <w:noWrap w:val="0"/>
            <w:vAlign w:val="center"/>
          </w:tcPr>
          <w:p w14:paraId="62F332C6">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p>
        </w:tc>
        <w:tc>
          <w:tcPr>
            <w:tcW w:w="866" w:type="pct"/>
            <w:noWrap w:val="0"/>
            <w:vAlign w:val="center"/>
          </w:tcPr>
          <w:p w14:paraId="2F151A43">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委托环卫部门统一清掏处置</w:t>
            </w:r>
          </w:p>
        </w:tc>
        <w:tc>
          <w:tcPr>
            <w:tcW w:w="586" w:type="pct"/>
            <w:vMerge w:val="continue"/>
            <w:noWrap w:val="0"/>
            <w:vAlign w:val="center"/>
          </w:tcPr>
          <w:p w14:paraId="24EA86B0">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p>
        </w:tc>
        <w:tc>
          <w:tcPr>
            <w:tcW w:w="417" w:type="pct"/>
            <w:noWrap w:val="0"/>
            <w:vAlign w:val="center"/>
          </w:tcPr>
          <w:p w14:paraId="7D6BC51B">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环卫</w:t>
            </w:r>
          </w:p>
          <w:p w14:paraId="476F018E">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部门</w:t>
            </w:r>
          </w:p>
        </w:tc>
      </w:tr>
      <w:tr w14:paraId="3DA1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pct"/>
            <w:vMerge w:val="restart"/>
            <w:noWrap w:val="0"/>
            <w:vAlign w:val="center"/>
          </w:tcPr>
          <w:p w14:paraId="1A3CC565">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eastAsia="宋体" w:cs="Times New Roman"/>
                <w:b w:val="0"/>
                <w:bCs/>
                <w:color w:val="auto"/>
                <w:kern w:val="2"/>
                <w:sz w:val="21"/>
                <w:szCs w:val="21"/>
                <w:highlight w:val="none"/>
                <w:vertAlign w:val="baseline"/>
                <w:lang w:val="en-US" w:eastAsia="zh-CN"/>
              </w:rPr>
              <w:t>机械设备维修、保养</w:t>
            </w:r>
          </w:p>
        </w:tc>
        <w:tc>
          <w:tcPr>
            <w:tcW w:w="216" w:type="pct"/>
            <w:vMerge w:val="restart"/>
            <w:noWrap w:val="0"/>
            <w:vAlign w:val="center"/>
          </w:tcPr>
          <w:p w14:paraId="557AD07C">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Cs/>
                <w:color w:val="auto"/>
                <w:kern w:val="2"/>
                <w:sz w:val="21"/>
                <w:szCs w:val="21"/>
                <w:lang w:val="en-US" w:eastAsia="zh-CN" w:bidi="ar-SA"/>
              </w:rPr>
              <w:t>电动正面吊、</w:t>
            </w:r>
            <w:r>
              <w:rPr>
                <w:rFonts w:hint="eastAsia" w:ascii="Times New Roman" w:hAnsi="Times New Roman" w:eastAsia="宋体" w:cs="Times New Roman"/>
                <w:bCs/>
                <w:color w:val="auto"/>
                <w:kern w:val="2"/>
                <w:sz w:val="21"/>
                <w:szCs w:val="21"/>
                <w:lang w:val="en-US" w:eastAsia="zh-CN" w:bidi="ar-SA"/>
              </w:rPr>
              <w:t>轨道</w:t>
            </w:r>
          </w:p>
        </w:tc>
        <w:tc>
          <w:tcPr>
            <w:tcW w:w="306" w:type="pct"/>
            <w:noWrap w:val="0"/>
            <w:vAlign w:val="center"/>
          </w:tcPr>
          <w:p w14:paraId="1FBDD0E5">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废矿物油</w:t>
            </w:r>
          </w:p>
        </w:tc>
        <w:tc>
          <w:tcPr>
            <w:tcW w:w="249" w:type="pct"/>
            <w:noWrap w:val="0"/>
            <w:vAlign w:val="center"/>
          </w:tcPr>
          <w:p w14:paraId="5315116A">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危险废物</w:t>
            </w:r>
          </w:p>
        </w:tc>
        <w:tc>
          <w:tcPr>
            <w:tcW w:w="646" w:type="pct"/>
            <w:noWrap w:val="0"/>
            <w:vAlign w:val="center"/>
          </w:tcPr>
          <w:p w14:paraId="770937AD">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HW08废矿物油及含矿物油废物</w:t>
            </w:r>
          </w:p>
        </w:tc>
        <w:tc>
          <w:tcPr>
            <w:tcW w:w="854" w:type="pct"/>
            <w:noWrap w:val="0"/>
            <w:vAlign w:val="center"/>
          </w:tcPr>
          <w:p w14:paraId="08AFB5EA">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非特定行业900-214-08</w:t>
            </w:r>
          </w:p>
        </w:tc>
        <w:tc>
          <w:tcPr>
            <w:tcW w:w="448" w:type="pct"/>
            <w:noWrap w:val="0"/>
            <w:vAlign w:val="center"/>
          </w:tcPr>
          <w:p w14:paraId="5C1613DC">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0.01</w:t>
            </w:r>
          </w:p>
        </w:tc>
        <w:tc>
          <w:tcPr>
            <w:tcW w:w="866" w:type="pct"/>
            <w:vMerge w:val="restart"/>
            <w:noWrap w:val="0"/>
            <w:vAlign w:val="center"/>
          </w:tcPr>
          <w:p w14:paraId="4933E8A4">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收集暂存至危废暂存间，暂存一定量后委托有相关危废处置资质的单位进行处理，并建立危险废物管理台账。</w:t>
            </w:r>
          </w:p>
        </w:tc>
        <w:tc>
          <w:tcPr>
            <w:tcW w:w="586" w:type="pct"/>
            <w:noWrap w:val="0"/>
            <w:vAlign w:val="center"/>
          </w:tcPr>
          <w:p w14:paraId="4577F71F">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0.01</w:t>
            </w:r>
          </w:p>
        </w:tc>
        <w:tc>
          <w:tcPr>
            <w:tcW w:w="417" w:type="pct"/>
            <w:vMerge w:val="restart"/>
            <w:noWrap w:val="0"/>
            <w:vAlign w:val="center"/>
          </w:tcPr>
          <w:p w14:paraId="470C2C3B">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有相关危废处置资质的单位</w:t>
            </w:r>
          </w:p>
        </w:tc>
      </w:tr>
      <w:tr w14:paraId="7537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3433D574">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p>
        </w:tc>
        <w:tc>
          <w:tcPr>
            <w:tcW w:w="216" w:type="pct"/>
            <w:vMerge w:val="continue"/>
            <w:noWrap w:val="0"/>
            <w:vAlign w:val="center"/>
          </w:tcPr>
          <w:p w14:paraId="7BCDDD43">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Cs/>
                <w:color w:val="auto"/>
                <w:kern w:val="2"/>
                <w:sz w:val="21"/>
                <w:szCs w:val="21"/>
                <w:lang w:val="en-US" w:eastAsia="zh-CN" w:bidi="ar-SA"/>
              </w:rPr>
            </w:pPr>
          </w:p>
        </w:tc>
        <w:tc>
          <w:tcPr>
            <w:tcW w:w="306" w:type="pct"/>
            <w:noWrap w:val="0"/>
            <w:vAlign w:val="center"/>
          </w:tcPr>
          <w:p w14:paraId="0A39AF52">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含油抹布、手套</w:t>
            </w:r>
          </w:p>
        </w:tc>
        <w:tc>
          <w:tcPr>
            <w:tcW w:w="249" w:type="pct"/>
            <w:noWrap w:val="0"/>
            <w:vAlign w:val="center"/>
          </w:tcPr>
          <w:p w14:paraId="03BCBF75">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w:t>
            </w:r>
          </w:p>
        </w:tc>
        <w:tc>
          <w:tcPr>
            <w:tcW w:w="646" w:type="pct"/>
            <w:noWrap w:val="0"/>
            <w:vAlign w:val="center"/>
          </w:tcPr>
          <w:p w14:paraId="65CC1A83">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w:t>
            </w:r>
          </w:p>
        </w:tc>
        <w:tc>
          <w:tcPr>
            <w:tcW w:w="854" w:type="pct"/>
            <w:noWrap w:val="0"/>
            <w:vAlign w:val="center"/>
          </w:tcPr>
          <w:p w14:paraId="1FB2EE85">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w:t>
            </w:r>
          </w:p>
        </w:tc>
        <w:tc>
          <w:tcPr>
            <w:tcW w:w="448" w:type="pct"/>
            <w:noWrap w:val="0"/>
            <w:vAlign w:val="center"/>
          </w:tcPr>
          <w:p w14:paraId="112B482E">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0.05</w:t>
            </w:r>
          </w:p>
        </w:tc>
        <w:tc>
          <w:tcPr>
            <w:tcW w:w="866" w:type="pct"/>
            <w:vMerge w:val="continue"/>
            <w:noWrap w:val="0"/>
            <w:vAlign w:val="center"/>
          </w:tcPr>
          <w:p w14:paraId="0DB93701">
            <w:pPr>
              <w:pStyle w:val="9"/>
              <w:widowControl w:val="0"/>
              <w:adjustRightInd/>
              <w:snapToGrid/>
              <w:spacing w:before="0" w:after="0" w:line="240" w:lineRule="auto"/>
              <w:ind w:right="0" w:firstLine="0" w:firstLineChars="0"/>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586" w:type="pct"/>
            <w:noWrap w:val="0"/>
            <w:vAlign w:val="center"/>
          </w:tcPr>
          <w:p w14:paraId="3A134707">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0.05</w:t>
            </w:r>
          </w:p>
        </w:tc>
        <w:tc>
          <w:tcPr>
            <w:tcW w:w="417" w:type="pct"/>
            <w:vMerge w:val="continue"/>
            <w:noWrap w:val="0"/>
            <w:vAlign w:val="center"/>
          </w:tcPr>
          <w:p w14:paraId="7886C4C7">
            <w:pPr>
              <w:pStyle w:val="9"/>
              <w:widowControl w:val="0"/>
              <w:adjustRightInd/>
              <w:snapToGrid/>
              <w:spacing w:before="0" w:after="0" w:line="240" w:lineRule="auto"/>
              <w:ind w:right="0" w:rightChars="0" w:firstLine="0" w:firstLineChars="0"/>
              <w:jc w:val="center"/>
              <w:rPr>
                <w:rFonts w:hint="default" w:ascii="Times New Roman" w:hAnsi="Times New Roman" w:eastAsia="宋体" w:cs="Times New Roman"/>
                <w:b w:val="0"/>
                <w:bCs/>
                <w:color w:val="auto"/>
                <w:sz w:val="21"/>
                <w:szCs w:val="21"/>
                <w:highlight w:val="none"/>
                <w:vertAlign w:val="baseline"/>
                <w:lang w:val="en-US" w:eastAsia="zh-CN"/>
              </w:rPr>
            </w:pPr>
          </w:p>
        </w:tc>
      </w:tr>
    </w:tbl>
    <w:p w14:paraId="429B7CA2">
      <w:pPr>
        <w:pStyle w:val="9"/>
        <w:keepNext w:val="0"/>
        <w:keepLines w:val="0"/>
        <w:pageBreakBefore w:val="0"/>
        <w:widowControl/>
        <w:kinsoku w:val="0"/>
        <w:wordWrap/>
        <w:overflowPunct/>
        <w:topLinePunct w:val="0"/>
        <w:autoSpaceDE w:val="0"/>
        <w:autoSpaceDN w:val="0"/>
        <w:bidi w:val="0"/>
        <w:adjustRightInd w:val="0"/>
        <w:snapToGrid w:val="0"/>
        <w:spacing w:before="78" w:line="219" w:lineRule="auto"/>
        <w:ind w:left="255"/>
        <w:textAlignment w:val="baseline"/>
        <w:outlineLvl w:val="9"/>
        <w:rPr>
          <w:rFonts w:ascii="Times New Roman" w:hAnsi="Times New Roman" w:eastAsia="Times New Roman" w:cs="Times New Roman"/>
          <w:b/>
          <w:bCs/>
          <w:color w:val="auto"/>
          <w:spacing w:val="-2"/>
          <w:sz w:val="24"/>
          <w:szCs w:val="24"/>
        </w:rPr>
      </w:pPr>
    </w:p>
    <w:p w14:paraId="00F5BFEE">
      <w:pPr>
        <w:pStyle w:val="9"/>
        <w:keepNext w:val="0"/>
        <w:keepLines w:val="0"/>
        <w:pageBreakBefore w:val="0"/>
        <w:widowControl/>
        <w:kinsoku w:val="0"/>
        <w:wordWrap/>
        <w:overflowPunct/>
        <w:topLinePunct w:val="0"/>
        <w:autoSpaceDE w:val="0"/>
        <w:autoSpaceDN w:val="0"/>
        <w:bidi w:val="0"/>
        <w:adjustRightInd w:val="0"/>
        <w:snapToGrid w:val="0"/>
        <w:spacing w:before="78" w:line="219" w:lineRule="auto"/>
        <w:ind w:left="255"/>
        <w:textAlignment w:val="baseline"/>
        <w:outlineLvl w:val="9"/>
        <w:rPr>
          <w:rFonts w:ascii="Times New Roman" w:hAnsi="Times New Roman" w:eastAsia="Times New Roman" w:cs="Times New Roman"/>
          <w:b/>
          <w:bCs/>
          <w:color w:val="auto"/>
          <w:spacing w:val="-2"/>
          <w:sz w:val="24"/>
          <w:szCs w:val="24"/>
        </w:rPr>
        <w:sectPr>
          <w:pgSz w:w="11907" w:h="16840"/>
          <w:pgMar w:top="1440" w:right="1800" w:bottom="1440" w:left="1800" w:header="1134" w:footer="1134" w:gutter="0"/>
          <w:pgBorders w:zOrder="back">
            <w:top w:val="none" w:sz="0" w:space="0"/>
            <w:left w:val="none" w:sz="0" w:space="0"/>
            <w:bottom w:val="none" w:sz="0" w:space="0"/>
            <w:right w:val="none" w:sz="0" w:space="0"/>
          </w:pgBorders>
          <w:pgNumType w:fmt="decimal"/>
          <w:cols w:space="720" w:num="1"/>
          <w:rtlGutter w:val="0"/>
          <w:docGrid w:linePitch="312" w:charSpace="0"/>
        </w:sectPr>
      </w:pPr>
    </w:p>
    <w:p w14:paraId="6C0063A0">
      <w:pPr>
        <w:pStyle w:val="9"/>
        <w:keepNext/>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hint="default" w:ascii="Times New Roman" w:hAnsi="Times New Roman" w:eastAsia="Times New Roman" w:cs="Times New Roman"/>
          <w:b/>
          <w:bCs/>
          <w:color w:val="auto"/>
          <w:spacing w:val="-2"/>
          <w:sz w:val="24"/>
          <w:szCs w:val="24"/>
        </w:rPr>
      </w:pPr>
      <w:r>
        <w:rPr>
          <w:rFonts w:hint="default" w:ascii="Times New Roman" w:hAnsi="Times New Roman" w:eastAsia="Times New Roman" w:cs="Times New Roman"/>
          <w:b/>
          <w:bCs/>
          <w:color w:val="auto"/>
          <w:spacing w:val="-2"/>
          <w:sz w:val="24"/>
          <w:szCs w:val="24"/>
        </w:rPr>
        <w:t>2.</w:t>
      </w:r>
      <w:r>
        <w:rPr>
          <w:rFonts w:hint="eastAsia" w:ascii="Times New Roman" w:hAnsi="Times New Roman" w:eastAsia="Times New Roman" w:cs="Times New Roman"/>
          <w:b/>
          <w:bCs/>
          <w:color w:val="auto"/>
          <w:spacing w:val="-2"/>
          <w:sz w:val="24"/>
          <w:szCs w:val="24"/>
          <w:lang w:val="en-US" w:eastAsia="zh-CN"/>
        </w:rPr>
        <w:t>4</w:t>
      </w:r>
      <w:r>
        <w:rPr>
          <w:rFonts w:hint="default" w:ascii="Times New Roman" w:hAnsi="Times New Roman" w:eastAsia="Times New Roman" w:cs="Times New Roman"/>
          <w:b/>
          <w:bCs/>
          <w:color w:val="auto"/>
          <w:spacing w:val="-2"/>
          <w:sz w:val="24"/>
          <w:szCs w:val="24"/>
        </w:rPr>
        <w:t>.2.7 污染物产生排放统计汇总</w:t>
      </w:r>
    </w:p>
    <w:p w14:paraId="51BA048D">
      <w:pPr>
        <w:pStyle w:val="9"/>
        <w:spacing w:before="179" w:line="219" w:lineRule="auto"/>
        <w:ind w:left="738"/>
        <w:rPr>
          <w:color w:val="auto"/>
          <w:sz w:val="24"/>
          <w:szCs w:val="24"/>
        </w:rPr>
      </w:pPr>
      <w:r>
        <w:rPr>
          <w:color w:val="auto"/>
          <w:spacing w:val="-2"/>
          <w:sz w:val="24"/>
          <w:szCs w:val="24"/>
        </w:rPr>
        <w:t>本项目污染物排放情况详见下表</w:t>
      </w:r>
      <w:r>
        <w:rPr>
          <w:rFonts w:hint="eastAsia" w:ascii="Times New Roman" w:hAnsi="Times New Roman" w:eastAsia="宋体" w:cs="Times New Roman"/>
          <w:color w:val="auto"/>
          <w:spacing w:val="-2"/>
          <w:sz w:val="24"/>
          <w:szCs w:val="24"/>
          <w:lang w:val="en-US" w:eastAsia="zh-CN"/>
        </w:rPr>
        <w:t>2.4-14</w:t>
      </w:r>
      <w:r>
        <w:rPr>
          <w:color w:val="auto"/>
          <w:spacing w:val="-2"/>
          <w:sz w:val="24"/>
          <w:szCs w:val="24"/>
        </w:rPr>
        <w:t>。</w:t>
      </w:r>
    </w:p>
    <w:p w14:paraId="34C8FFF8">
      <w:pPr>
        <w:pStyle w:val="36"/>
        <w:keepNext w:val="0"/>
        <w:keepLines w:val="0"/>
        <w:pageBreakBefore w:val="0"/>
        <w:widowControl w:val="0"/>
        <w:numPr>
          <w:ilvl w:val="1"/>
          <w:numId w:val="14"/>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本项目污染物排放量情况   单位：t/a</w:t>
      </w:r>
    </w:p>
    <w:tbl>
      <w:tblPr>
        <w:tblStyle w:val="26"/>
        <w:tblW w:w="13796"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2"/>
        <w:gridCol w:w="1868"/>
        <w:gridCol w:w="1127"/>
        <w:gridCol w:w="846"/>
        <w:gridCol w:w="1070"/>
        <w:gridCol w:w="2610"/>
        <w:gridCol w:w="950"/>
        <w:gridCol w:w="1010"/>
        <w:gridCol w:w="1095"/>
        <w:gridCol w:w="830"/>
        <w:gridCol w:w="1077"/>
        <w:gridCol w:w="671"/>
      </w:tblGrid>
      <w:tr w14:paraId="35DF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642" w:type="dxa"/>
            <w:vMerge w:val="restart"/>
            <w:vAlign w:val="center"/>
          </w:tcPr>
          <w:p w14:paraId="07CFA3E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分类</w:t>
            </w:r>
          </w:p>
        </w:tc>
        <w:tc>
          <w:tcPr>
            <w:tcW w:w="1868" w:type="dxa"/>
            <w:vMerge w:val="restart"/>
            <w:vAlign w:val="center"/>
          </w:tcPr>
          <w:p w14:paraId="68C9BFF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污染源</w:t>
            </w:r>
          </w:p>
        </w:tc>
        <w:tc>
          <w:tcPr>
            <w:tcW w:w="1127" w:type="dxa"/>
            <w:vMerge w:val="restart"/>
            <w:vAlign w:val="center"/>
          </w:tcPr>
          <w:p w14:paraId="0561A0F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污染物</w:t>
            </w:r>
          </w:p>
        </w:tc>
        <w:tc>
          <w:tcPr>
            <w:tcW w:w="1916" w:type="dxa"/>
            <w:gridSpan w:val="2"/>
            <w:vAlign w:val="center"/>
          </w:tcPr>
          <w:p w14:paraId="138DEA4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产生情况</w:t>
            </w:r>
          </w:p>
        </w:tc>
        <w:tc>
          <w:tcPr>
            <w:tcW w:w="2610" w:type="dxa"/>
            <w:vMerge w:val="restart"/>
            <w:vAlign w:val="center"/>
          </w:tcPr>
          <w:p w14:paraId="27255EE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治理措施</w:t>
            </w:r>
          </w:p>
        </w:tc>
        <w:tc>
          <w:tcPr>
            <w:tcW w:w="3055" w:type="dxa"/>
            <w:gridSpan w:val="3"/>
            <w:vAlign w:val="center"/>
          </w:tcPr>
          <w:p w14:paraId="0EBF4E7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排放情况</w:t>
            </w:r>
          </w:p>
        </w:tc>
        <w:tc>
          <w:tcPr>
            <w:tcW w:w="830" w:type="dxa"/>
            <w:vMerge w:val="restart"/>
            <w:vAlign w:val="center"/>
          </w:tcPr>
          <w:p w14:paraId="65835A0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排放的参数</w:t>
            </w:r>
          </w:p>
        </w:tc>
        <w:tc>
          <w:tcPr>
            <w:tcW w:w="1077" w:type="dxa"/>
            <w:vMerge w:val="restart"/>
            <w:vAlign w:val="center"/>
          </w:tcPr>
          <w:p w14:paraId="11D89AA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标准值排放速率</w:t>
            </w:r>
            <w:r>
              <w:rPr>
                <w:rFonts w:ascii="Times New Roman" w:hAnsi="Times New Roman" w:eastAsia="Times New Roman" w:cs="Times New Roman"/>
                <w:b/>
                <w:bCs/>
                <w:color w:val="auto"/>
                <w:spacing w:val="0"/>
                <w:position w:val="0"/>
                <w:sz w:val="21"/>
                <w:szCs w:val="21"/>
              </w:rPr>
              <w:t>/</w:t>
            </w:r>
            <w:r>
              <w:rPr>
                <w:b/>
                <w:bCs/>
                <w:color w:val="auto"/>
                <w:spacing w:val="0"/>
                <w:position w:val="0"/>
                <w:sz w:val="21"/>
                <w:szCs w:val="21"/>
              </w:rPr>
              <w:t>排放浓度</w:t>
            </w:r>
          </w:p>
        </w:tc>
        <w:tc>
          <w:tcPr>
            <w:tcW w:w="671" w:type="dxa"/>
            <w:vMerge w:val="restart"/>
            <w:vAlign w:val="center"/>
          </w:tcPr>
          <w:p w14:paraId="62F261F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达标情况</w:t>
            </w:r>
          </w:p>
        </w:tc>
      </w:tr>
      <w:tr w14:paraId="75F7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42" w:type="dxa"/>
            <w:vMerge w:val="continue"/>
            <w:vAlign w:val="center"/>
          </w:tcPr>
          <w:p w14:paraId="4B5EC57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Merge w:val="continue"/>
            <w:vAlign w:val="center"/>
          </w:tcPr>
          <w:p w14:paraId="2385A54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27" w:type="dxa"/>
            <w:vMerge w:val="continue"/>
            <w:vAlign w:val="center"/>
          </w:tcPr>
          <w:p w14:paraId="73FC9F4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846" w:type="dxa"/>
            <w:vAlign w:val="center"/>
          </w:tcPr>
          <w:p w14:paraId="4AAAA11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产生量（</w:t>
            </w:r>
            <w:r>
              <w:rPr>
                <w:rFonts w:ascii="Times New Roman" w:hAnsi="Times New Roman" w:eastAsia="Times New Roman" w:cs="Times New Roman"/>
                <w:b/>
                <w:bCs/>
                <w:color w:val="auto"/>
                <w:spacing w:val="0"/>
                <w:position w:val="0"/>
                <w:sz w:val="21"/>
                <w:szCs w:val="21"/>
              </w:rPr>
              <w:t>t/a</w:t>
            </w:r>
            <w:r>
              <w:rPr>
                <w:b/>
                <w:bCs/>
                <w:color w:val="auto"/>
                <w:spacing w:val="0"/>
                <w:position w:val="0"/>
                <w:sz w:val="21"/>
                <w:szCs w:val="21"/>
              </w:rPr>
              <w:t>）</w:t>
            </w:r>
          </w:p>
        </w:tc>
        <w:tc>
          <w:tcPr>
            <w:tcW w:w="1070" w:type="dxa"/>
            <w:vAlign w:val="center"/>
          </w:tcPr>
          <w:p w14:paraId="6720CB5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速率</w:t>
            </w:r>
            <w:r>
              <w:rPr>
                <w:rFonts w:ascii="Times New Roman" w:hAnsi="Times New Roman" w:eastAsia="Times New Roman" w:cs="Times New Roman"/>
                <w:b/>
                <w:bCs/>
                <w:color w:val="auto"/>
                <w:spacing w:val="0"/>
                <w:position w:val="0"/>
                <w:sz w:val="21"/>
                <w:szCs w:val="21"/>
              </w:rPr>
              <w:t>/</w:t>
            </w:r>
            <w:r>
              <w:rPr>
                <w:b/>
                <w:bCs/>
                <w:color w:val="auto"/>
                <w:spacing w:val="0"/>
                <w:position w:val="0"/>
                <w:sz w:val="21"/>
                <w:szCs w:val="21"/>
              </w:rPr>
              <w:t>浓度</w:t>
            </w:r>
          </w:p>
        </w:tc>
        <w:tc>
          <w:tcPr>
            <w:tcW w:w="2610" w:type="dxa"/>
            <w:vMerge w:val="continue"/>
            <w:vAlign w:val="center"/>
          </w:tcPr>
          <w:p w14:paraId="3BF2831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950" w:type="dxa"/>
            <w:vAlign w:val="center"/>
          </w:tcPr>
          <w:p w14:paraId="569C0E1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排放量（</w:t>
            </w:r>
            <w:r>
              <w:rPr>
                <w:rFonts w:ascii="Times New Roman" w:hAnsi="Times New Roman" w:eastAsia="Times New Roman" w:cs="Times New Roman"/>
                <w:b/>
                <w:bCs/>
                <w:color w:val="auto"/>
                <w:spacing w:val="0"/>
                <w:position w:val="0"/>
                <w:sz w:val="21"/>
                <w:szCs w:val="21"/>
              </w:rPr>
              <w:t>t/a</w:t>
            </w:r>
            <w:r>
              <w:rPr>
                <w:b/>
                <w:bCs/>
                <w:color w:val="auto"/>
                <w:spacing w:val="0"/>
                <w:position w:val="0"/>
                <w:sz w:val="21"/>
                <w:szCs w:val="21"/>
              </w:rPr>
              <w:t>）</w:t>
            </w:r>
          </w:p>
        </w:tc>
        <w:tc>
          <w:tcPr>
            <w:tcW w:w="1010" w:type="dxa"/>
            <w:vAlign w:val="center"/>
          </w:tcPr>
          <w:p w14:paraId="43B23D0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速率（</w:t>
            </w:r>
            <w:r>
              <w:rPr>
                <w:rFonts w:ascii="Times New Roman" w:hAnsi="Times New Roman" w:eastAsia="Times New Roman" w:cs="Times New Roman"/>
                <w:b/>
                <w:bCs/>
                <w:color w:val="auto"/>
                <w:spacing w:val="0"/>
                <w:position w:val="0"/>
                <w:sz w:val="21"/>
                <w:szCs w:val="21"/>
              </w:rPr>
              <w:t>kg/h</w:t>
            </w:r>
            <w:r>
              <w:rPr>
                <w:b/>
                <w:bCs/>
                <w:color w:val="auto"/>
                <w:spacing w:val="0"/>
                <w:position w:val="0"/>
                <w:sz w:val="21"/>
                <w:szCs w:val="21"/>
              </w:rPr>
              <w:t>）</w:t>
            </w:r>
          </w:p>
        </w:tc>
        <w:tc>
          <w:tcPr>
            <w:tcW w:w="1095" w:type="dxa"/>
            <w:vAlign w:val="center"/>
          </w:tcPr>
          <w:p w14:paraId="02C9DE6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浓度（</w:t>
            </w:r>
            <w:r>
              <w:rPr>
                <w:rFonts w:ascii="Times New Roman" w:hAnsi="Times New Roman" w:eastAsia="Times New Roman" w:cs="Times New Roman"/>
                <w:b/>
                <w:bCs/>
                <w:color w:val="auto"/>
                <w:spacing w:val="0"/>
                <w:position w:val="0"/>
                <w:sz w:val="21"/>
                <w:szCs w:val="21"/>
              </w:rPr>
              <w:t>mg/m</w:t>
            </w:r>
            <w:r>
              <w:rPr>
                <w:rFonts w:ascii="Times New Roman" w:hAnsi="Times New Roman" w:eastAsia="Times New Roman" w:cs="Times New Roman"/>
                <w:b/>
                <w:bCs/>
                <w:color w:val="auto"/>
                <w:spacing w:val="0"/>
                <w:position w:val="0"/>
                <w:sz w:val="21"/>
                <w:szCs w:val="21"/>
                <w:vertAlign w:val="superscript"/>
              </w:rPr>
              <w:t>3</w:t>
            </w:r>
            <w:r>
              <w:rPr>
                <w:b/>
                <w:bCs/>
                <w:color w:val="auto"/>
                <w:spacing w:val="0"/>
                <w:position w:val="0"/>
                <w:sz w:val="21"/>
                <w:szCs w:val="21"/>
              </w:rPr>
              <w:t>）</w:t>
            </w:r>
          </w:p>
        </w:tc>
        <w:tc>
          <w:tcPr>
            <w:tcW w:w="830" w:type="dxa"/>
            <w:vMerge w:val="continue"/>
            <w:vAlign w:val="center"/>
          </w:tcPr>
          <w:p w14:paraId="35D6488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077" w:type="dxa"/>
            <w:vMerge w:val="continue"/>
            <w:vAlign w:val="center"/>
          </w:tcPr>
          <w:p w14:paraId="29894DF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671" w:type="dxa"/>
            <w:vMerge w:val="continue"/>
            <w:vAlign w:val="center"/>
          </w:tcPr>
          <w:p w14:paraId="70F13EE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r>
      <w:tr w14:paraId="7EEB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3" w:hRule="atLeast"/>
        </w:trPr>
        <w:tc>
          <w:tcPr>
            <w:tcW w:w="642" w:type="dxa"/>
            <w:vMerge w:val="restart"/>
            <w:vAlign w:val="center"/>
          </w:tcPr>
          <w:p w14:paraId="29BDA27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噪声</w:t>
            </w:r>
          </w:p>
        </w:tc>
        <w:tc>
          <w:tcPr>
            <w:tcW w:w="1868" w:type="dxa"/>
            <w:vAlign w:val="center"/>
          </w:tcPr>
          <w:p w14:paraId="24B45C9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列车运行</w:t>
            </w:r>
          </w:p>
        </w:tc>
        <w:tc>
          <w:tcPr>
            <w:tcW w:w="1127" w:type="dxa"/>
            <w:vAlign w:val="center"/>
          </w:tcPr>
          <w:p w14:paraId="0BA6B43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列车噪声</w:t>
            </w:r>
          </w:p>
        </w:tc>
        <w:tc>
          <w:tcPr>
            <w:tcW w:w="1916" w:type="dxa"/>
            <w:gridSpan w:val="2"/>
            <w:vAlign w:val="center"/>
          </w:tcPr>
          <w:p w14:paraId="6F429C1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频发，噪声值：</w:t>
            </w:r>
            <w:r>
              <w:rPr>
                <w:rFonts w:hint="eastAsia" w:ascii="Times New Roman" w:hAnsi="Times New Roman" w:cs="Times New Roman"/>
                <w:color w:val="auto"/>
                <w:spacing w:val="0"/>
                <w:position w:val="0"/>
                <w:sz w:val="21"/>
                <w:szCs w:val="21"/>
                <w:lang w:val="en-US" w:eastAsia="zh-CN"/>
              </w:rPr>
              <w:t>75.0</w:t>
            </w:r>
            <w:r>
              <w:rPr>
                <w:rFonts w:ascii="Times New Roman" w:hAnsi="Times New Roman" w:eastAsia="Times New Roman" w:cs="Times New Roman"/>
                <w:color w:val="auto"/>
                <w:spacing w:val="0"/>
                <w:position w:val="0"/>
                <w:sz w:val="21"/>
                <w:szCs w:val="21"/>
              </w:rPr>
              <w:t>dB</w:t>
            </w:r>
            <w:r>
              <w:rPr>
                <w:color w:val="auto"/>
                <w:spacing w:val="0"/>
                <w:position w:val="0"/>
                <w:sz w:val="21"/>
                <w:szCs w:val="21"/>
              </w:rPr>
              <w:t>（</w:t>
            </w:r>
            <w:r>
              <w:rPr>
                <w:rFonts w:ascii="Times New Roman" w:hAnsi="Times New Roman" w:eastAsia="Times New Roman" w:cs="Times New Roman"/>
                <w:color w:val="auto"/>
                <w:spacing w:val="0"/>
                <w:position w:val="0"/>
                <w:sz w:val="21"/>
                <w:szCs w:val="21"/>
              </w:rPr>
              <w:t>A</w:t>
            </w:r>
            <w:r>
              <w:rPr>
                <w:color w:val="auto"/>
                <w:spacing w:val="0"/>
                <w:position w:val="0"/>
                <w:sz w:val="21"/>
                <w:szCs w:val="21"/>
              </w:rPr>
              <w:t>）</w:t>
            </w:r>
          </w:p>
        </w:tc>
        <w:tc>
          <w:tcPr>
            <w:tcW w:w="2610" w:type="dxa"/>
            <w:vAlign w:val="center"/>
          </w:tcPr>
          <w:p w14:paraId="5B16C82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选用低噪声环保车辆，控制机车鸣笛，合理安排调度时间，加强线路维护、加强铁路两侧绿化。</w:t>
            </w:r>
          </w:p>
        </w:tc>
        <w:tc>
          <w:tcPr>
            <w:tcW w:w="3055" w:type="dxa"/>
            <w:gridSpan w:val="3"/>
            <w:vAlign w:val="center"/>
          </w:tcPr>
          <w:p w14:paraId="6E9B546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rFonts w:hint="eastAsia" w:ascii="Times New Roman" w:hAnsi="Times New Roman" w:cs="Times New Roman"/>
                <w:color w:val="auto"/>
                <w:spacing w:val="0"/>
                <w:position w:val="0"/>
                <w:sz w:val="21"/>
                <w:szCs w:val="21"/>
                <w:lang w:val="en-US" w:eastAsia="zh-CN"/>
              </w:rPr>
              <w:t>75.0</w:t>
            </w:r>
            <w:r>
              <w:rPr>
                <w:rFonts w:ascii="Times New Roman" w:hAnsi="Times New Roman" w:eastAsia="Times New Roman" w:cs="Times New Roman"/>
                <w:b w:val="0"/>
                <w:bCs w:val="0"/>
                <w:color w:val="auto"/>
                <w:spacing w:val="0"/>
                <w:position w:val="0"/>
                <w:sz w:val="21"/>
                <w:szCs w:val="21"/>
              </w:rPr>
              <w:t>dB</w:t>
            </w:r>
            <w:r>
              <w:rPr>
                <w:b w:val="0"/>
                <w:bCs w:val="0"/>
                <w:color w:val="auto"/>
                <w:spacing w:val="0"/>
                <w:position w:val="0"/>
                <w:sz w:val="21"/>
                <w:szCs w:val="21"/>
              </w:rPr>
              <w:t>（</w:t>
            </w:r>
            <w:r>
              <w:rPr>
                <w:rFonts w:ascii="Times New Roman" w:hAnsi="Times New Roman" w:eastAsia="Times New Roman" w:cs="Times New Roman"/>
                <w:b w:val="0"/>
                <w:bCs w:val="0"/>
                <w:color w:val="auto"/>
                <w:spacing w:val="0"/>
                <w:position w:val="0"/>
                <w:sz w:val="21"/>
                <w:szCs w:val="21"/>
              </w:rPr>
              <w:t>A</w:t>
            </w:r>
            <w:r>
              <w:rPr>
                <w:b w:val="0"/>
                <w:bCs w:val="0"/>
                <w:color w:val="auto"/>
                <w:spacing w:val="0"/>
                <w:position w:val="0"/>
                <w:sz w:val="21"/>
                <w:szCs w:val="21"/>
              </w:rPr>
              <w:t>）</w:t>
            </w:r>
          </w:p>
        </w:tc>
        <w:tc>
          <w:tcPr>
            <w:tcW w:w="830" w:type="dxa"/>
            <w:vAlign w:val="center"/>
          </w:tcPr>
          <w:p w14:paraId="0736473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27E9384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091C1A5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3E4C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42" w:type="dxa"/>
            <w:vMerge w:val="continue"/>
            <w:vAlign w:val="center"/>
          </w:tcPr>
          <w:p w14:paraId="383567E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Align w:val="center"/>
          </w:tcPr>
          <w:p w14:paraId="1566A2A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装卸场运输车辆</w:t>
            </w:r>
          </w:p>
        </w:tc>
        <w:tc>
          <w:tcPr>
            <w:tcW w:w="1127" w:type="dxa"/>
            <w:vAlign w:val="center"/>
          </w:tcPr>
          <w:p w14:paraId="051B33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交通噪声</w:t>
            </w:r>
          </w:p>
        </w:tc>
        <w:tc>
          <w:tcPr>
            <w:tcW w:w="1916" w:type="dxa"/>
            <w:gridSpan w:val="2"/>
            <w:vAlign w:val="center"/>
          </w:tcPr>
          <w:p w14:paraId="609F186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频发，噪声值：</w:t>
            </w:r>
            <w:r>
              <w:rPr>
                <w:rFonts w:hint="eastAsia" w:ascii="Times New Roman" w:hAnsi="Times New Roman" w:eastAsia="宋体" w:cs="Times New Roman"/>
                <w:color w:val="auto"/>
                <w:spacing w:val="0"/>
                <w:position w:val="0"/>
                <w:sz w:val="21"/>
                <w:szCs w:val="21"/>
                <w:lang w:val="en-US" w:eastAsia="zh-CN"/>
              </w:rPr>
              <w:t>75</w:t>
            </w:r>
            <w:r>
              <w:rPr>
                <w:rFonts w:hint="eastAsia" w:ascii="Times New Roman" w:hAnsi="Times New Roman" w:cs="Times New Roman"/>
                <w:color w:val="auto"/>
                <w:spacing w:val="0"/>
                <w:position w:val="0"/>
                <w:sz w:val="21"/>
                <w:szCs w:val="21"/>
                <w:lang w:val="en-US" w:eastAsia="zh-CN"/>
              </w:rPr>
              <w:t>.0</w:t>
            </w:r>
            <w:r>
              <w:rPr>
                <w:rFonts w:ascii="Times New Roman" w:hAnsi="Times New Roman" w:eastAsia="Times New Roman" w:cs="Times New Roman"/>
                <w:color w:val="auto"/>
                <w:spacing w:val="0"/>
                <w:position w:val="0"/>
                <w:sz w:val="21"/>
                <w:szCs w:val="21"/>
              </w:rPr>
              <w:t>dB</w:t>
            </w:r>
            <w:r>
              <w:rPr>
                <w:color w:val="auto"/>
                <w:spacing w:val="0"/>
                <w:position w:val="0"/>
                <w:sz w:val="21"/>
                <w:szCs w:val="21"/>
              </w:rPr>
              <w:t>（</w:t>
            </w:r>
            <w:r>
              <w:rPr>
                <w:rFonts w:ascii="Times New Roman" w:hAnsi="Times New Roman" w:eastAsia="Times New Roman" w:cs="Times New Roman"/>
                <w:color w:val="auto"/>
                <w:spacing w:val="0"/>
                <w:position w:val="0"/>
                <w:sz w:val="21"/>
                <w:szCs w:val="21"/>
              </w:rPr>
              <w:t>A</w:t>
            </w:r>
            <w:r>
              <w:rPr>
                <w:color w:val="auto"/>
                <w:spacing w:val="0"/>
                <w:position w:val="0"/>
                <w:sz w:val="21"/>
                <w:szCs w:val="21"/>
              </w:rPr>
              <w:t>）</w:t>
            </w:r>
          </w:p>
        </w:tc>
        <w:tc>
          <w:tcPr>
            <w:tcW w:w="2610" w:type="dxa"/>
            <w:vAlign w:val="center"/>
          </w:tcPr>
          <w:p w14:paraId="792F1D7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禁鸣、限速、距离衰减。</w:t>
            </w:r>
          </w:p>
        </w:tc>
        <w:tc>
          <w:tcPr>
            <w:tcW w:w="3055" w:type="dxa"/>
            <w:gridSpan w:val="3"/>
            <w:vAlign w:val="center"/>
          </w:tcPr>
          <w:p w14:paraId="5A87748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rFonts w:ascii="Times New Roman" w:hAnsi="Times New Roman" w:eastAsia="Times New Roman" w:cs="Times New Roman"/>
                <w:color w:val="auto"/>
                <w:spacing w:val="0"/>
                <w:position w:val="0"/>
                <w:sz w:val="21"/>
                <w:szCs w:val="21"/>
              </w:rPr>
              <w:t>65dB</w:t>
            </w:r>
            <w:r>
              <w:rPr>
                <w:color w:val="auto"/>
                <w:spacing w:val="0"/>
                <w:position w:val="0"/>
                <w:sz w:val="21"/>
                <w:szCs w:val="21"/>
              </w:rPr>
              <w:t>（</w:t>
            </w:r>
            <w:r>
              <w:rPr>
                <w:rFonts w:ascii="Times New Roman" w:hAnsi="Times New Roman" w:eastAsia="Times New Roman" w:cs="Times New Roman"/>
                <w:color w:val="auto"/>
                <w:spacing w:val="0"/>
                <w:position w:val="0"/>
                <w:sz w:val="21"/>
                <w:szCs w:val="21"/>
              </w:rPr>
              <w:t>A</w:t>
            </w:r>
            <w:r>
              <w:rPr>
                <w:color w:val="auto"/>
                <w:spacing w:val="0"/>
                <w:position w:val="0"/>
                <w:sz w:val="21"/>
                <w:szCs w:val="21"/>
              </w:rPr>
              <w:t>）</w:t>
            </w:r>
          </w:p>
        </w:tc>
        <w:tc>
          <w:tcPr>
            <w:tcW w:w="830" w:type="dxa"/>
            <w:vAlign w:val="center"/>
          </w:tcPr>
          <w:p w14:paraId="342E4E2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3B166FD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0C426E0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7E6A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3" w:hRule="atLeast"/>
        </w:trPr>
        <w:tc>
          <w:tcPr>
            <w:tcW w:w="642" w:type="dxa"/>
            <w:vAlign w:val="center"/>
          </w:tcPr>
          <w:p w14:paraId="639307E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振动</w:t>
            </w:r>
          </w:p>
        </w:tc>
        <w:tc>
          <w:tcPr>
            <w:tcW w:w="1868" w:type="dxa"/>
            <w:vAlign w:val="center"/>
          </w:tcPr>
          <w:p w14:paraId="284C6CC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列车运行</w:t>
            </w:r>
          </w:p>
        </w:tc>
        <w:tc>
          <w:tcPr>
            <w:tcW w:w="1127" w:type="dxa"/>
            <w:vAlign w:val="center"/>
          </w:tcPr>
          <w:p w14:paraId="15E06B1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列车振动</w:t>
            </w:r>
          </w:p>
        </w:tc>
        <w:tc>
          <w:tcPr>
            <w:tcW w:w="1916" w:type="dxa"/>
            <w:gridSpan w:val="2"/>
            <w:vAlign w:val="center"/>
          </w:tcPr>
          <w:p w14:paraId="74430DF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color w:val="auto"/>
                <w:spacing w:val="0"/>
                <w:position w:val="0"/>
                <w:sz w:val="21"/>
                <w:szCs w:val="21"/>
              </w:rPr>
              <w:t>频发，振动值：</w:t>
            </w:r>
            <w:r>
              <w:rPr>
                <w:rFonts w:hint="eastAsia" w:ascii="Times New Roman" w:hAnsi="Times New Roman" w:cs="Times New Roman"/>
                <w:color w:val="auto"/>
                <w:spacing w:val="0"/>
                <w:position w:val="0"/>
                <w:sz w:val="21"/>
                <w:szCs w:val="21"/>
                <w:lang w:val="en-US" w:eastAsia="zh-CN"/>
              </w:rPr>
              <w:t>78.5</w:t>
            </w:r>
            <w:r>
              <w:rPr>
                <w:rFonts w:ascii="Times New Roman" w:hAnsi="Times New Roman" w:eastAsia="Times New Roman" w:cs="Times New Roman"/>
                <w:color w:val="auto"/>
                <w:spacing w:val="0"/>
                <w:position w:val="0"/>
                <w:sz w:val="21"/>
                <w:szCs w:val="21"/>
              </w:rPr>
              <w:t>dB</w:t>
            </w:r>
          </w:p>
        </w:tc>
        <w:tc>
          <w:tcPr>
            <w:tcW w:w="2610" w:type="dxa"/>
            <w:vAlign w:val="center"/>
          </w:tcPr>
          <w:p w14:paraId="5795C85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加强轮轨的维护、保养，定期旋轮和打磨钢轨，以保证其良好的运行状态，减少附加振动。</w:t>
            </w:r>
          </w:p>
        </w:tc>
        <w:tc>
          <w:tcPr>
            <w:tcW w:w="3055" w:type="dxa"/>
            <w:gridSpan w:val="3"/>
            <w:vAlign w:val="center"/>
          </w:tcPr>
          <w:p w14:paraId="59B3634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eastAsia" w:ascii="Times New Roman" w:hAnsi="Times New Roman" w:cs="Times New Roman"/>
                <w:color w:val="auto"/>
                <w:spacing w:val="0"/>
                <w:position w:val="0"/>
                <w:sz w:val="21"/>
                <w:szCs w:val="21"/>
                <w:lang w:val="en-US" w:eastAsia="zh-CN"/>
              </w:rPr>
              <w:t>78.5</w:t>
            </w:r>
            <w:r>
              <w:rPr>
                <w:rFonts w:ascii="Times New Roman" w:hAnsi="Times New Roman" w:eastAsia="Times New Roman" w:cs="Times New Roman"/>
                <w:color w:val="auto"/>
                <w:spacing w:val="0"/>
                <w:position w:val="0"/>
                <w:sz w:val="21"/>
                <w:szCs w:val="21"/>
              </w:rPr>
              <w:t>dB</w:t>
            </w:r>
          </w:p>
        </w:tc>
        <w:tc>
          <w:tcPr>
            <w:tcW w:w="830" w:type="dxa"/>
            <w:vAlign w:val="center"/>
          </w:tcPr>
          <w:p w14:paraId="26AB952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5792DE1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677B421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6B0A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642" w:type="dxa"/>
            <w:vMerge w:val="restart"/>
            <w:vAlign w:val="center"/>
          </w:tcPr>
          <w:p w14:paraId="7C2FE87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废气</w:t>
            </w:r>
          </w:p>
        </w:tc>
        <w:tc>
          <w:tcPr>
            <w:tcW w:w="1868" w:type="dxa"/>
            <w:vMerge w:val="restart"/>
            <w:vAlign w:val="center"/>
          </w:tcPr>
          <w:p w14:paraId="7789ACC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内燃机废气</w:t>
            </w:r>
          </w:p>
        </w:tc>
        <w:tc>
          <w:tcPr>
            <w:tcW w:w="1127" w:type="dxa"/>
            <w:vAlign w:val="center"/>
          </w:tcPr>
          <w:p w14:paraId="6DF5044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颗粒物</w:t>
            </w:r>
          </w:p>
        </w:tc>
        <w:tc>
          <w:tcPr>
            <w:tcW w:w="846" w:type="dxa"/>
            <w:vAlign w:val="center"/>
          </w:tcPr>
          <w:p w14:paraId="3F6EBF4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0.6462 </w:t>
            </w:r>
          </w:p>
        </w:tc>
        <w:tc>
          <w:tcPr>
            <w:tcW w:w="1070" w:type="dxa"/>
            <w:vAlign w:val="center"/>
          </w:tcPr>
          <w:p w14:paraId="0405575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0.2448</w:t>
            </w:r>
            <w:r>
              <w:rPr>
                <w:rFonts w:hint="default" w:ascii="Times New Roman" w:hAnsi="Times New Roman" w:eastAsia="宋体" w:cs="Times New Roman"/>
                <w:i w:val="0"/>
                <w:iCs w:val="0"/>
                <w:snapToGrid w:val="0"/>
                <w:color w:val="auto"/>
                <w:kern w:val="0"/>
                <w:sz w:val="21"/>
                <w:szCs w:val="21"/>
                <w:u w:val="none"/>
                <w:lang w:val="en-US" w:eastAsia="zh-CN" w:bidi="ar"/>
              </w:rPr>
              <w:t>kg/h</w:t>
            </w:r>
            <w:r>
              <w:rPr>
                <w:rFonts w:hint="eastAsia" w:ascii="Times New Roman" w:hAnsi="Times New Roman" w:eastAsia="宋体" w:cs="Times New Roman"/>
                <w:i w:val="0"/>
                <w:iCs w:val="0"/>
                <w:snapToGrid w:val="0"/>
                <w:color w:val="auto"/>
                <w:kern w:val="0"/>
                <w:sz w:val="21"/>
                <w:szCs w:val="21"/>
                <w:u w:val="none"/>
                <w:lang w:val="en-US" w:eastAsia="zh-CN" w:bidi="ar"/>
              </w:rPr>
              <w:t xml:space="preserve"> </w:t>
            </w:r>
          </w:p>
        </w:tc>
        <w:tc>
          <w:tcPr>
            <w:tcW w:w="2610" w:type="dxa"/>
            <w:vMerge w:val="restart"/>
            <w:vAlign w:val="center"/>
          </w:tcPr>
          <w:p w14:paraId="5313A56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自然排放、大气稀释扩散、绿化吸收等。</w:t>
            </w:r>
          </w:p>
        </w:tc>
        <w:tc>
          <w:tcPr>
            <w:tcW w:w="950" w:type="dxa"/>
            <w:vAlign w:val="center"/>
          </w:tcPr>
          <w:p w14:paraId="78CFADE1">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eastAsia"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0.6462</w:t>
            </w:r>
          </w:p>
        </w:tc>
        <w:tc>
          <w:tcPr>
            <w:tcW w:w="1010" w:type="dxa"/>
            <w:vAlign w:val="center"/>
          </w:tcPr>
          <w:p w14:paraId="4C515300">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eastAsia"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0.2448</w:t>
            </w:r>
            <w:r>
              <w:rPr>
                <w:rFonts w:hint="default" w:ascii="Times New Roman" w:hAnsi="Times New Roman" w:eastAsia="宋体" w:cs="Times New Roman"/>
                <w:i w:val="0"/>
                <w:iCs w:val="0"/>
                <w:snapToGrid w:val="0"/>
                <w:color w:val="auto"/>
                <w:kern w:val="0"/>
                <w:sz w:val="21"/>
                <w:szCs w:val="21"/>
                <w:u w:val="none"/>
                <w:lang w:val="en-US" w:eastAsia="zh-CN" w:bidi="ar"/>
              </w:rPr>
              <w:t>kg/h</w:t>
            </w:r>
            <w:r>
              <w:rPr>
                <w:rFonts w:hint="eastAsia" w:ascii="Times New Roman" w:hAnsi="Times New Roman" w:eastAsia="宋体" w:cs="Times New Roman"/>
                <w:i w:val="0"/>
                <w:iCs w:val="0"/>
                <w:snapToGrid w:val="0"/>
                <w:color w:val="auto"/>
                <w:kern w:val="0"/>
                <w:sz w:val="21"/>
                <w:szCs w:val="21"/>
                <w:u w:val="none"/>
                <w:lang w:val="en-US" w:eastAsia="zh-CN" w:bidi="ar"/>
              </w:rPr>
              <w:t xml:space="preserve"> </w:t>
            </w:r>
          </w:p>
        </w:tc>
        <w:tc>
          <w:tcPr>
            <w:tcW w:w="1095" w:type="dxa"/>
            <w:vAlign w:val="center"/>
          </w:tcPr>
          <w:p w14:paraId="0607804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Merge w:val="restart"/>
            <w:vAlign w:val="center"/>
          </w:tcPr>
          <w:p w14:paraId="357F275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301D891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1.0mg/m</w:t>
            </w:r>
            <w:r>
              <w:rPr>
                <w:rFonts w:ascii="Times New Roman" w:hAnsi="Times New Roman" w:eastAsia="Times New Roman" w:cs="Times New Roman"/>
                <w:color w:val="auto"/>
                <w:spacing w:val="0"/>
                <w:position w:val="0"/>
                <w:sz w:val="21"/>
                <w:szCs w:val="21"/>
                <w:vertAlign w:val="superscript"/>
              </w:rPr>
              <w:t>3</w:t>
            </w:r>
          </w:p>
        </w:tc>
        <w:tc>
          <w:tcPr>
            <w:tcW w:w="671" w:type="dxa"/>
            <w:vAlign w:val="center"/>
          </w:tcPr>
          <w:p w14:paraId="27F113E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eastAsia="zh-CN"/>
              </w:rPr>
            </w:pPr>
            <w:r>
              <w:rPr>
                <w:rFonts w:hint="eastAsia"/>
                <w:color w:val="auto"/>
                <w:spacing w:val="0"/>
                <w:position w:val="0"/>
                <w:sz w:val="21"/>
                <w:szCs w:val="21"/>
                <w:lang w:val="en-US" w:eastAsia="zh-CN"/>
              </w:rPr>
              <w:t>/</w:t>
            </w:r>
          </w:p>
        </w:tc>
      </w:tr>
      <w:tr w14:paraId="5A2F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642" w:type="dxa"/>
            <w:vMerge w:val="continue"/>
            <w:vAlign w:val="center"/>
          </w:tcPr>
          <w:p w14:paraId="13188F8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Merge w:val="continue"/>
            <w:vAlign w:val="center"/>
          </w:tcPr>
          <w:p w14:paraId="62F7CC5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27" w:type="dxa"/>
            <w:vAlign w:val="center"/>
          </w:tcPr>
          <w:p w14:paraId="6FCBD72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SO</w:t>
            </w:r>
            <w:r>
              <w:rPr>
                <w:rFonts w:ascii="Times New Roman" w:hAnsi="Times New Roman" w:eastAsia="Times New Roman" w:cs="Times New Roman"/>
                <w:color w:val="auto"/>
                <w:spacing w:val="0"/>
                <w:position w:val="0"/>
                <w:sz w:val="21"/>
                <w:szCs w:val="21"/>
                <w:vertAlign w:val="subscript"/>
              </w:rPr>
              <w:t>2</w:t>
            </w:r>
          </w:p>
        </w:tc>
        <w:tc>
          <w:tcPr>
            <w:tcW w:w="846" w:type="dxa"/>
            <w:vAlign w:val="center"/>
          </w:tcPr>
          <w:p w14:paraId="28D4C1C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0.9862 </w:t>
            </w:r>
          </w:p>
        </w:tc>
        <w:tc>
          <w:tcPr>
            <w:tcW w:w="1070" w:type="dxa"/>
            <w:vAlign w:val="center"/>
          </w:tcPr>
          <w:p w14:paraId="788DCAE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0.3736</w:t>
            </w:r>
            <w:r>
              <w:rPr>
                <w:rFonts w:hint="default" w:ascii="Times New Roman" w:hAnsi="Times New Roman" w:eastAsia="宋体" w:cs="Times New Roman"/>
                <w:i w:val="0"/>
                <w:iCs w:val="0"/>
                <w:snapToGrid w:val="0"/>
                <w:color w:val="auto"/>
                <w:kern w:val="0"/>
                <w:sz w:val="21"/>
                <w:szCs w:val="21"/>
                <w:u w:val="none"/>
                <w:lang w:val="en-US" w:eastAsia="zh-CN" w:bidi="ar"/>
              </w:rPr>
              <w:t>kg/h</w:t>
            </w:r>
            <w:r>
              <w:rPr>
                <w:rFonts w:hint="eastAsia" w:ascii="Times New Roman" w:hAnsi="Times New Roman" w:eastAsia="宋体" w:cs="Times New Roman"/>
                <w:i w:val="0"/>
                <w:iCs w:val="0"/>
                <w:snapToGrid w:val="0"/>
                <w:color w:val="auto"/>
                <w:kern w:val="0"/>
                <w:sz w:val="21"/>
                <w:szCs w:val="21"/>
                <w:u w:val="none"/>
                <w:lang w:val="en-US" w:eastAsia="zh-CN" w:bidi="ar"/>
              </w:rPr>
              <w:t xml:space="preserve"> </w:t>
            </w:r>
          </w:p>
        </w:tc>
        <w:tc>
          <w:tcPr>
            <w:tcW w:w="2610" w:type="dxa"/>
            <w:vMerge w:val="continue"/>
            <w:vAlign w:val="center"/>
          </w:tcPr>
          <w:p w14:paraId="39072A0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950" w:type="dxa"/>
            <w:vAlign w:val="center"/>
          </w:tcPr>
          <w:p w14:paraId="2C1B7844">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eastAsia"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0.9862</w:t>
            </w:r>
          </w:p>
        </w:tc>
        <w:tc>
          <w:tcPr>
            <w:tcW w:w="1010" w:type="dxa"/>
            <w:vAlign w:val="center"/>
          </w:tcPr>
          <w:p w14:paraId="0DE3BC84">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eastAsia"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0.3736</w:t>
            </w:r>
            <w:r>
              <w:rPr>
                <w:rFonts w:hint="default" w:ascii="Times New Roman" w:hAnsi="Times New Roman" w:eastAsia="宋体" w:cs="Times New Roman"/>
                <w:i w:val="0"/>
                <w:iCs w:val="0"/>
                <w:snapToGrid w:val="0"/>
                <w:color w:val="auto"/>
                <w:kern w:val="0"/>
                <w:sz w:val="21"/>
                <w:szCs w:val="21"/>
                <w:u w:val="none"/>
                <w:lang w:val="en-US" w:eastAsia="zh-CN" w:bidi="ar"/>
              </w:rPr>
              <w:t>kg/h</w:t>
            </w:r>
            <w:r>
              <w:rPr>
                <w:rFonts w:hint="eastAsia" w:ascii="Times New Roman" w:hAnsi="Times New Roman" w:eastAsia="宋体" w:cs="Times New Roman"/>
                <w:i w:val="0"/>
                <w:iCs w:val="0"/>
                <w:snapToGrid w:val="0"/>
                <w:color w:val="auto"/>
                <w:kern w:val="0"/>
                <w:sz w:val="21"/>
                <w:szCs w:val="21"/>
                <w:u w:val="none"/>
                <w:lang w:val="en-US" w:eastAsia="zh-CN" w:bidi="ar"/>
              </w:rPr>
              <w:t xml:space="preserve"> </w:t>
            </w:r>
          </w:p>
        </w:tc>
        <w:tc>
          <w:tcPr>
            <w:tcW w:w="1095" w:type="dxa"/>
            <w:vAlign w:val="center"/>
          </w:tcPr>
          <w:p w14:paraId="2A39058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Merge w:val="continue"/>
            <w:vAlign w:val="center"/>
          </w:tcPr>
          <w:p w14:paraId="3808ACD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077" w:type="dxa"/>
            <w:vAlign w:val="center"/>
          </w:tcPr>
          <w:p w14:paraId="0249B2D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0.4mg/m</w:t>
            </w:r>
            <w:r>
              <w:rPr>
                <w:rFonts w:ascii="Times New Roman" w:hAnsi="Times New Roman" w:eastAsia="Times New Roman" w:cs="Times New Roman"/>
                <w:color w:val="auto"/>
                <w:spacing w:val="0"/>
                <w:position w:val="0"/>
                <w:sz w:val="21"/>
                <w:szCs w:val="21"/>
                <w:vertAlign w:val="superscript"/>
              </w:rPr>
              <w:t>3</w:t>
            </w:r>
          </w:p>
        </w:tc>
        <w:tc>
          <w:tcPr>
            <w:tcW w:w="671" w:type="dxa"/>
            <w:vAlign w:val="center"/>
          </w:tcPr>
          <w:p w14:paraId="2654B06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eastAsia="zh-CN"/>
              </w:rPr>
            </w:pPr>
            <w:r>
              <w:rPr>
                <w:rFonts w:hint="eastAsia"/>
                <w:color w:val="auto"/>
                <w:spacing w:val="0"/>
                <w:position w:val="0"/>
                <w:sz w:val="21"/>
                <w:szCs w:val="21"/>
                <w:lang w:val="en-US" w:eastAsia="zh-CN"/>
              </w:rPr>
              <w:t>/</w:t>
            </w:r>
          </w:p>
        </w:tc>
      </w:tr>
      <w:tr w14:paraId="2F36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trPr>
        <w:tc>
          <w:tcPr>
            <w:tcW w:w="642" w:type="dxa"/>
            <w:vMerge w:val="continue"/>
            <w:vAlign w:val="center"/>
          </w:tcPr>
          <w:p w14:paraId="67473BD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Merge w:val="continue"/>
            <w:vAlign w:val="center"/>
          </w:tcPr>
          <w:p w14:paraId="3C2F6DE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27" w:type="dxa"/>
            <w:vAlign w:val="center"/>
          </w:tcPr>
          <w:p w14:paraId="46628DA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NOx</w:t>
            </w:r>
          </w:p>
        </w:tc>
        <w:tc>
          <w:tcPr>
            <w:tcW w:w="846" w:type="dxa"/>
            <w:vAlign w:val="center"/>
          </w:tcPr>
          <w:p w14:paraId="4D1CCCD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0.8077 </w:t>
            </w:r>
          </w:p>
        </w:tc>
        <w:tc>
          <w:tcPr>
            <w:tcW w:w="1070" w:type="dxa"/>
            <w:vAlign w:val="center"/>
          </w:tcPr>
          <w:p w14:paraId="7AA2CA0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0.3059</w:t>
            </w:r>
            <w:r>
              <w:rPr>
                <w:rFonts w:hint="default" w:ascii="Times New Roman" w:hAnsi="Times New Roman" w:eastAsia="宋体" w:cs="Times New Roman"/>
                <w:i w:val="0"/>
                <w:iCs w:val="0"/>
                <w:snapToGrid w:val="0"/>
                <w:color w:val="auto"/>
                <w:kern w:val="0"/>
                <w:sz w:val="21"/>
                <w:szCs w:val="21"/>
                <w:u w:val="none"/>
                <w:lang w:val="en-US" w:eastAsia="zh-CN" w:bidi="ar"/>
              </w:rPr>
              <w:t>kg/h</w:t>
            </w:r>
            <w:r>
              <w:rPr>
                <w:rFonts w:hint="eastAsia" w:ascii="Times New Roman" w:hAnsi="Times New Roman" w:eastAsia="宋体" w:cs="Times New Roman"/>
                <w:i w:val="0"/>
                <w:iCs w:val="0"/>
                <w:snapToGrid w:val="0"/>
                <w:color w:val="auto"/>
                <w:kern w:val="0"/>
                <w:sz w:val="21"/>
                <w:szCs w:val="21"/>
                <w:u w:val="none"/>
                <w:lang w:val="en-US" w:eastAsia="zh-CN" w:bidi="ar"/>
              </w:rPr>
              <w:t xml:space="preserve"> </w:t>
            </w:r>
          </w:p>
        </w:tc>
        <w:tc>
          <w:tcPr>
            <w:tcW w:w="2610" w:type="dxa"/>
            <w:vMerge w:val="continue"/>
            <w:vAlign w:val="center"/>
          </w:tcPr>
          <w:p w14:paraId="75812AE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950" w:type="dxa"/>
            <w:vAlign w:val="center"/>
          </w:tcPr>
          <w:p w14:paraId="0160F798">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eastAsia"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0.8077</w:t>
            </w:r>
          </w:p>
        </w:tc>
        <w:tc>
          <w:tcPr>
            <w:tcW w:w="1010" w:type="dxa"/>
            <w:vAlign w:val="center"/>
          </w:tcPr>
          <w:p w14:paraId="69790FB8">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eastAsia"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0.3059</w:t>
            </w:r>
            <w:r>
              <w:rPr>
                <w:rFonts w:hint="default" w:ascii="Times New Roman" w:hAnsi="Times New Roman" w:eastAsia="宋体" w:cs="Times New Roman"/>
                <w:i w:val="0"/>
                <w:iCs w:val="0"/>
                <w:snapToGrid w:val="0"/>
                <w:color w:val="auto"/>
                <w:kern w:val="0"/>
                <w:sz w:val="21"/>
                <w:szCs w:val="21"/>
                <w:u w:val="none"/>
                <w:lang w:val="en-US" w:eastAsia="zh-CN" w:bidi="ar"/>
              </w:rPr>
              <w:t>kg/h</w:t>
            </w:r>
            <w:r>
              <w:rPr>
                <w:rFonts w:hint="eastAsia" w:ascii="Times New Roman" w:hAnsi="Times New Roman" w:eastAsia="宋体" w:cs="Times New Roman"/>
                <w:i w:val="0"/>
                <w:iCs w:val="0"/>
                <w:snapToGrid w:val="0"/>
                <w:color w:val="auto"/>
                <w:kern w:val="0"/>
                <w:sz w:val="21"/>
                <w:szCs w:val="21"/>
                <w:u w:val="none"/>
                <w:lang w:val="en-US" w:eastAsia="zh-CN" w:bidi="ar"/>
              </w:rPr>
              <w:t xml:space="preserve"> </w:t>
            </w:r>
          </w:p>
        </w:tc>
        <w:tc>
          <w:tcPr>
            <w:tcW w:w="1095" w:type="dxa"/>
            <w:vAlign w:val="center"/>
          </w:tcPr>
          <w:p w14:paraId="144CD0D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Merge w:val="continue"/>
            <w:vAlign w:val="center"/>
          </w:tcPr>
          <w:p w14:paraId="56DDEA8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077" w:type="dxa"/>
            <w:vAlign w:val="center"/>
          </w:tcPr>
          <w:p w14:paraId="232C4A6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0.12mg/m</w:t>
            </w:r>
            <w:r>
              <w:rPr>
                <w:rFonts w:ascii="Times New Roman" w:hAnsi="Times New Roman" w:eastAsia="Times New Roman" w:cs="Times New Roman"/>
                <w:color w:val="auto"/>
                <w:spacing w:val="0"/>
                <w:position w:val="0"/>
                <w:sz w:val="21"/>
                <w:szCs w:val="21"/>
                <w:vertAlign w:val="superscript"/>
              </w:rPr>
              <w:t>3</w:t>
            </w:r>
          </w:p>
        </w:tc>
        <w:tc>
          <w:tcPr>
            <w:tcW w:w="671" w:type="dxa"/>
            <w:vAlign w:val="center"/>
          </w:tcPr>
          <w:p w14:paraId="6343D41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eastAsia="zh-CN"/>
              </w:rPr>
            </w:pPr>
            <w:r>
              <w:rPr>
                <w:rFonts w:hint="eastAsia"/>
                <w:color w:val="auto"/>
                <w:spacing w:val="0"/>
                <w:position w:val="0"/>
                <w:sz w:val="21"/>
                <w:szCs w:val="21"/>
                <w:lang w:val="en-US" w:eastAsia="zh-CN"/>
              </w:rPr>
              <w:t>/</w:t>
            </w:r>
          </w:p>
        </w:tc>
      </w:tr>
      <w:tr w14:paraId="3FF4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8" w:hRule="atLeast"/>
        </w:trPr>
        <w:tc>
          <w:tcPr>
            <w:tcW w:w="642" w:type="dxa"/>
            <w:vMerge w:val="continue"/>
            <w:vAlign w:val="center"/>
          </w:tcPr>
          <w:p w14:paraId="38DD233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Align w:val="center"/>
          </w:tcPr>
          <w:p w14:paraId="77B250E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装卸扬尘</w:t>
            </w:r>
          </w:p>
        </w:tc>
        <w:tc>
          <w:tcPr>
            <w:tcW w:w="1127" w:type="dxa"/>
            <w:vAlign w:val="center"/>
          </w:tcPr>
          <w:p w14:paraId="727C476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扬尘</w:t>
            </w:r>
          </w:p>
        </w:tc>
        <w:tc>
          <w:tcPr>
            <w:tcW w:w="1916" w:type="dxa"/>
            <w:gridSpan w:val="2"/>
            <w:vAlign w:val="center"/>
          </w:tcPr>
          <w:p w14:paraId="5E903EE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少量</w:t>
            </w:r>
          </w:p>
        </w:tc>
        <w:tc>
          <w:tcPr>
            <w:tcW w:w="2610" w:type="dxa"/>
            <w:vAlign w:val="center"/>
          </w:tcPr>
          <w:p w14:paraId="6B65949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自然通风、大气稀释扩散</w:t>
            </w:r>
          </w:p>
        </w:tc>
        <w:tc>
          <w:tcPr>
            <w:tcW w:w="3055" w:type="dxa"/>
            <w:gridSpan w:val="3"/>
            <w:vAlign w:val="center"/>
          </w:tcPr>
          <w:p w14:paraId="56BA960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少量</w:t>
            </w:r>
          </w:p>
        </w:tc>
        <w:tc>
          <w:tcPr>
            <w:tcW w:w="830" w:type="dxa"/>
            <w:vAlign w:val="center"/>
          </w:tcPr>
          <w:p w14:paraId="0EDE83E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548B779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069F0C6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7981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642" w:type="dxa"/>
            <w:vMerge w:val="continue"/>
            <w:vAlign w:val="center"/>
          </w:tcPr>
          <w:p w14:paraId="30882C7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Merge w:val="restart"/>
            <w:vAlign w:val="center"/>
          </w:tcPr>
          <w:p w14:paraId="568D71E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运输汽车尾气</w:t>
            </w:r>
          </w:p>
        </w:tc>
        <w:tc>
          <w:tcPr>
            <w:tcW w:w="1127" w:type="dxa"/>
            <w:vAlign w:val="center"/>
          </w:tcPr>
          <w:p w14:paraId="17C8AAA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总烃</w:t>
            </w:r>
          </w:p>
        </w:tc>
        <w:tc>
          <w:tcPr>
            <w:tcW w:w="846" w:type="dxa"/>
            <w:vAlign w:val="center"/>
          </w:tcPr>
          <w:p w14:paraId="2B9029C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0.053</w:t>
            </w:r>
          </w:p>
        </w:tc>
        <w:tc>
          <w:tcPr>
            <w:tcW w:w="1070" w:type="dxa"/>
            <w:vAlign w:val="center"/>
          </w:tcPr>
          <w:p w14:paraId="21B7FE5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610" w:type="dxa"/>
            <w:vMerge w:val="restart"/>
            <w:vAlign w:val="center"/>
          </w:tcPr>
          <w:p w14:paraId="264D0F9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减速慢行、绿化吸收等。</w:t>
            </w:r>
          </w:p>
        </w:tc>
        <w:tc>
          <w:tcPr>
            <w:tcW w:w="950" w:type="dxa"/>
            <w:vAlign w:val="center"/>
          </w:tcPr>
          <w:p w14:paraId="4BB1DBBD">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0.053</w:t>
            </w:r>
          </w:p>
        </w:tc>
        <w:tc>
          <w:tcPr>
            <w:tcW w:w="1010" w:type="dxa"/>
            <w:vAlign w:val="center"/>
          </w:tcPr>
          <w:p w14:paraId="7DCBE81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95" w:type="dxa"/>
            <w:vAlign w:val="center"/>
          </w:tcPr>
          <w:p w14:paraId="60E2E39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Merge w:val="restart"/>
            <w:vAlign w:val="center"/>
          </w:tcPr>
          <w:p w14:paraId="21B0D71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p w14:paraId="741AB7B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p w14:paraId="2134FCA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p w14:paraId="27217B5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11BE601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6700E20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343B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 w:hRule="atLeast"/>
        </w:trPr>
        <w:tc>
          <w:tcPr>
            <w:tcW w:w="642" w:type="dxa"/>
            <w:vMerge w:val="continue"/>
            <w:vAlign w:val="center"/>
          </w:tcPr>
          <w:p w14:paraId="41B6297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Merge w:val="continue"/>
            <w:vAlign w:val="center"/>
          </w:tcPr>
          <w:p w14:paraId="3776242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27" w:type="dxa"/>
            <w:vAlign w:val="center"/>
          </w:tcPr>
          <w:p w14:paraId="35C84E5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CO</w:t>
            </w:r>
          </w:p>
        </w:tc>
        <w:tc>
          <w:tcPr>
            <w:tcW w:w="846" w:type="dxa"/>
            <w:vAlign w:val="center"/>
          </w:tcPr>
          <w:p w14:paraId="410F551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0.322</w:t>
            </w:r>
          </w:p>
        </w:tc>
        <w:tc>
          <w:tcPr>
            <w:tcW w:w="1070" w:type="dxa"/>
            <w:vAlign w:val="center"/>
          </w:tcPr>
          <w:p w14:paraId="2FB9727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610" w:type="dxa"/>
            <w:vMerge w:val="continue"/>
            <w:vAlign w:val="center"/>
          </w:tcPr>
          <w:p w14:paraId="61BF592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950" w:type="dxa"/>
            <w:vAlign w:val="center"/>
          </w:tcPr>
          <w:p w14:paraId="38401707">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0.322</w:t>
            </w:r>
          </w:p>
        </w:tc>
        <w:tc>
          <w:tcPr>
            <w:tcW w:w="1010" w:type="dxa"/>
            <w:vAlign w:val="center"/>
          </w:tcPr>
          <w:p w14:paraId="52E6FC5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95" w:type="dxa"/>
            <w:vAlign w:val="center"/>
          </w:tcPr>
          <w:p w14:paraId="083689F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Merge w:val="continue"/>
            <w:vAlign w:val="center"/>
          </w:tcPr>
          <w:p w14:paraId="781961C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077" w:type="dxa"/>
            <w:vAlign w:val="center"/>
          </w:tcPr>
          <w:p w14:paraId="659DD49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217668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0BBB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trPr>
        <w:tc>
          <w:tcPr>
            <w:tcW w:w="642" w:type="dxa"/>
            <w:vMerge w:val="continue"/>
            <w:vAlign w:val="center"/>
          </w:tcPr>
          <w:p w14:paraId="2739406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Merge w:val="continue"/>
            <w:vAlign w:val="center"/>
          </w:tcPr>
          <w:p w14:paraId="2558D96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27" w:type="dxa"/>
            <w:vAlign w:val="center"/>
          </w:tcPr>
          <w:p w14:paraId="70CF56B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NO</w:t>
            </w:r>
            <w:r>
              <w:rPr>
                <w:rFonts w:ascii="Times New Roman" w:hAnsi="Times New Roman" w:eastAsia="Times New Roman" w:cs="Times New Roman"/>
                <w:color w:val="auto"/>
                <w:spacing w:val="0"/>
                <w:position w:val="0"/>
                <w:sz w:val="21"/>
                <w:szCs w:val="21"/>
                <w:vertAlign w:val="subscript"/>
              </w:rPr>
              <w:t>2</w:t>
            </w:r>
          </w:p>
        </w:tc>
        <w:tc>
          <w:tcPr>
            <w:tcW w:w="846" w:type="dxa"/>
            <w:vAlign w:val="center"/>
          </w:tcPr>
          <w:p w14:paraId="250B740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0.529</w:t>
            </w:r>
          </w:p>
        </w:tc>
        <w:tc>
          <w:tcPr>
            <w:tcW w:w="1070" w:type="dxa"/>
            <w:vAlign w:val="center"/>
          </w:tcPr>
          <w:p w14:paraId="70D703A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610" w:type="dxa"/>
            <w:vMerge w:val="continue"/>
            <w:vAlign w:val="center"/>
          </w:tcPr>
          <w:p w14:paraId="6C4A9AC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950" w:type="dxa"/>
            <w:vAlign w:val="center"/>
          </w:tcPr>
          <w:p w14:paraId="42599232">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0.529</w:t>
            </w:r>
          </w:p>
        </w:tc>
        <w:tc>
          <w:tcPr>
            <w:tcW w:w="1010" w:type="dxa"/>
            <w:vAlign w:val="center"/>
          </w:tcPr>
          <w:p w14:paraId="541AEB7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95" w:type="dxa"/>
            <w:vAlign w:val="center"/>
          </w:tcPr>
          <w:p w14:paraId="10E117E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Merge w:val="continue"/>
            <w:vAlign w:val="center"/>
          </w:tcPr>
          <w:p w14:paraId="7E10F2C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077" w:type="dxa"/>
            <w:vAlign w:val="center"/>
          </w:tcPr>
          <w:p w14:paraId="3732BB5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2B4B82E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4B34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642" w:type="dxa"/>
            <w:vMerge w:val="continue"/>
            <w:vAlign w:val="center"/>
          </w:tcPr>
          <w:p w14:paraId="25352E8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Align w:val="center"/>
          </w:tcPr>
          <w:p w14:paraId="50C8DAA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道路扬尘</w:t>
            </w:r>
          </w:p>
        </w:tc>
        <w:tc>
          <w:tcPr>
            <w:tcW w:w="1127" w:type="dxa"/>
            <w:vAlign w:val="center"/>
          </w:tcPr>
          <w:p w14:paraId="5CE0CD1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TSP</w:t>
            </w:r>
          </w:p>
        </w:tc>
        <w:tc>
          <w:tcPr>
            <w:tcW w:w="846" w:type="dxa"/>
            <w:vAlign w:val="center"/>
          </w:tcPr>
          <w:p w14:paraId="0886038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eastAsia" w:ascii="Times New Roman" w:hAnsi="Times New Roman" w:eastAsia="宋体" w:cs="Times New Roman"/>
                <w:color w:val="auto"/>
                <w:spacing w:val="-3"/>
                <w:sz w:val="24"/>
                <w:szCs w:val="24"/>
                <w:lang w:val="en-US" w:eastAsia="zh-CN"/>
              </w:rPr>
              <w:t>11.041</w:t>
            </w:r>
          </w:p>
        </w:tc>
        <w:tc>
          <w:tcPr>
            <w:tcW w:w="1070" w:type="dxa"/>
            <w:vAlign w:val="center"/>
          </w:tcPr>
          <w:p w14:paraId="1A6F4F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eastAsia" w:ascii="Times New Roman" w:hAnsi="Times New Roman" w:eastAsia="宋体" w:cs="Times New Roman"/>
                <w:color w:val="auto"/>
                <w:spacing w:val="0"/>
                <w:position w:val="0"/>
                <w:sz w:val="21"/>
                <w:szCs w:val="21"/>
                <w:lang w:val="en-US" w:eastAsia="zh-CN"/>
              </w:rPr>
              <w:t>1.394</w:t>
            </w:r>
            <w:r>
              <w:rPr>
                <w:rFonts w:ascii="Times New Roman" w:hAnsi="Times New Roman" w:eastAsia="Times New Roman" w:cs="Times New Roman"/>
                <w:color w:val="auto"/>
                <w:spacing w:val="0"/>
                <w:position w:val="0"/>
                <w:sz w:val="21"/>
                <w:szCs w:val="21"/>
              </w:rPr>
              <w:t>kg/h</w:t>
            </w:r>
          </w:p>
        </w:tc>
        <w:tc>
          <w:tcPr>
            <w:tcW w:w="2610" w:type="dxa"/>
            <w:vAlign w:val="center"/>
          </w:tcPr>
          <w:p w14:paraId="6FB9D0B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早、晚各洒水降尘</w:t>
            </w:r>
            <w:r>
              <w:rPr>
                <w:rFonts w:ascii="Times New Roman" w:hAnsi="Times New Roman" w:eastAsia="Times New Roman" w:cs="Times New Roman"/>
                <w:color w:val="auto"/>
                <w:spacing w:val="0"/>
                <w:position w:val="0"/>
                <w:sz w:val="21"/>
                <w:szCs w:val="21"/>
              </w:rPr>
              <w:t>1</w:t>
            </w:r>
            <w:r>
              <w:rPr>
                <w:color w:val="auto"/>
                <w:spacing w:val="0"/>
                <w:position w:val="0"/>
                <w:sz w:val="21"/>
                <w:szCs w:val="21"/>
              </w:rPr>
              <w:t>次、定期清扫道路。</w:t>
            </w:r>
          </w:p>
        </w:tc>
        <w:tc>
          <w:tcPr>
            <w:tcW w:w="950" w:type="dxa"/>
            <w:vAlign w:val="center"/>
          </w:tcPr>
          <w:p w14:paraId="41D1669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3.754</w:t>
            </w:r>
          </w:p>
        </w:tc>
        <w:tc>
          <w:tcPr>
            <w:tcW w:w="1010" w:type="dxa"/>
            <w:vAlign w:val="center"/>
          </w:tcPr>
          <w:p w14:paraId="7019532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0.474</w:t>
            </w:r>
          </w:p>
        </w:tc>
        <w:tc>
          <w:tcPr>
            <w:tcW w:w="1095" w:type="dxa"/>
            <w:vAlign w:val="center"/>
          </w:tcPr>
          <w:p w14:paraId="3B87F94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Align w:val="center"/>
          </w:tcPr>
          <w:p w14:paraId="1FD520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p w14:paraId="6F08650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45821BE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1.0mg/m3</w:t>
            </w:r>
          </w:p>
        </w:tc>
        <w:tc>
          <w:tcPr>
            <w:tcW w:w="671" w:type="dxa"/>
            <w:vAlign w:val="center"/>
          </w:tcPr>
          <w:p w14:paraId="327BF8C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1035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642" w:type="dxa"/>
            <w:vAlign w:val="center"/>
          </w:tcPr>
          <w:p w14:paraId="6958FF6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废水</w:t>
            </w:r>
          </w:p>
        </w:tc>
        <w:tc>
          <w:tcPr>
            <w:tcW w:w="1868" w:type="dxa"/>
            <w:vAlign w:val="center"/>
          </w:tcPr>
          <w:p w14:paraId="4293ADD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生活污水</w:t>
            </w:r>
          </w:p>
        </w:tc>
        <w:tc>
          <w:tcPr>
            <w:tcW w:w="1127" w:type="dxa"/>
            <w:vAlign w:val="center"/>
          </w:tcPr>
          <w:p w14:paraId="6C21D61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废水量</w:t>
            </w:r>
          </w:p>
        </w:tc>
        <w:tc>
          <w:tcPr>
            <w:tcW w:w="1916" w:type="dxa"/>
            <w:gridSpan w:val="2"/>
            <w:vAlign w:val="center"/>
          </w:tcPr>
          <w:p w14:paraId="519480E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197.1</w:t>
            </w:r>
          </w:p>
        </w:tc>
        <w:tc>
          <w:tcPr>
            <w:tcW w:w="2610" w:type="dxa"/>
            <w:vAlign w:val="center"/>
          </w:tcPr>
          <w:p w14:paraId="20FDACE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eastAsia="宋体" w:cs="Times New Roman"/>
                <w:color w:val="auto"/>
                <w:spacing w:val="0"/>
                <w:position w:val="0"/>
                <w:sz w:val="21"/>
                <w:szCs w:val="21"/>
                <w:lang w:eastAsia="zh-CN"/>
              </w:rPr>
            </w:pPr>
            <w:r>
              <w:rPr>
                <w:rFonts w:hint="eastAsia" w:ascii="Times New Roman" w:hAnsi="Times New Roman" w:eastAsia="宋体" w:cs="Times New Roman"/>
                <w:color w:val="auto"/>
                <w:spacing w:val="0"/>
                <w:position w:val="0"/>
                <w:sz w:val="21"/>
                <w:szCs w:val="21"/>
                <w:lang w:val="en-US" w:eastAsia="zh-CN"/>
              </w:rPr>
              <w:t>化粪池</w:t>
            </w:r>
          </w:p>
        </w:tc>
        <w:tc>
          <w:tcPr>
            <w:tcW w:w="950" w:type="dxa"/>
            <w:vAlign w:val="center"/>
          </w:tcPr>
          <w:p w14:paraId="3D4BEC1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197.1</w:t>
            </w:r>
          </w:p>
        </w:tc>
        <w:tc>
          <w:tcPr>
            <w:tcW w:w="1010" w:type="dxa"/>
            <w:vAlign w:val="center"/>
          </w:tcPr>
          <w:p w14:paraId="503AA4D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95" w:type="dxa"/>
            <w:vAlign w:val="center"/>
          </w:tcPr>
          <w:p w14:paraId="4C4D0D2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Align w:val="center"/>
          </w:tcPr>
          <w:p w14:paraId="4F0050C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0C8A0C7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198C686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34EB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rPr>
        <w:tc>
          <w:tcPr>
            <w:tcW w:w="642" w:type="dxa"/>
            <w:vMerge w:val="restart"/>
            <w:vAlign w:val="center"/>
          </w:tcPr>
          <w:p w14:paraId="4F47B8F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固废</w:t>
            </w:r>
          </w:p>
        </w:tc>
        <w:tc>
          <w:tcPr>
            <w:tcW w:w="1868" w:type="dxa"/>
            <w:vAlign w:val="center"/>
          </w:tcPr>
          <w:p w14:paraId="1AE6C15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职工人员办公、生活</w:t>
            </w:r>
          </w:p>
        </w:tc>
        <w:tc>
          <w:tcPr>
            <w:tcW w:w="1127" w:type="dxa"/>
            <w:vAlign w:val="center"/>
          </w:tcPr>
          <w:p w14:paraId="1C870F0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生活垃圾</w:t>
            </w:r>
          </w:p>
        </w:tc>
        <w:tc>
          <w:tcPr>
            <w:tcW w:w="846" w:type="dxa"/>
            <w:vAlign w:val="center"/>
          </w:tcPr>
          <w:p w14:paraId="7DA3963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10.89</w:t>
            </w:r>
          </w:p>
        </w:tc>
        <w:tc>
          <w:tcPr>
            <w:tcW w:w="1070" w:type="dxa"/>
            <w:vAlign w:val="center"/>
          </w:tcPr>
          <w:p w14:paraId="277A73E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610" w:type="dxa"/>
            <w:vAlign w:val="center"/>
          </w:tcPr>
          <w:p w14:paraId="365F8E5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由垃圾桶收集后定期清运至指定垃圾收集点，委托环卫部门统一清运处置</w:t>
            </w:r>
          </w:p>
        </w:tc>
        <w:tc>
          <w:tcPr>
            <w:tcW w:w="950" w:type="dxa"/>
            <w:vAlign w:val="center"/>
          </w:tcPr>
          <w:p w14:paraId="5A59974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0</w:t>
            </w:r>
          </w:p>
        </w:tc>
        <w:tc>
          <w:tcPr>
            <w:tcW w:w="1010" w:type="dxa"/>
            <w:vAlign w:val="center"/>
          </w:tcPr>
          <w:p w14:paraId="4109836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95" w:type="dxa"/>
            <w:vAlign w:val="center"/>
          </w:tcPr>
          <w:p w14:paraId="40CCDDB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Align w:val="center"/>
          </w:tcPr>
          <w:p w14:paraId="41179B4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341A0F3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76F8E70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61E3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trPr>
        <w:tc>
          <w:tcPr>
            <w:tcW w:w="642" w:type="dxa"/>
            <w:vMerge w:val="continue"/>
            <w:vAlign w:val="center"/>
          </w:tcPr>
          <w:p w14:paraId="7DD328C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Align w:val="center"/>
          </w:tcPr>
          <w:p w14:paraId="1B5F77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val="en-US" w:eastAsia="zh-CN"/>
              </w:rPr>
            </w:pPr>
            <w:r>
              <w:rPr>
                <w:color w:val="auto"/>
                <w:spacing w:val="0"/>
                <w:position w:val="0"/>
                <w:sz w:val="21"/>
                <w:szCs w:val="21"/>
              </w:rPr>
              <w:t>化粪池</w:t>
            </w:r>
            <w:r>
              <w:rPr>
                <w:rFonts w:hint="eastAsia"/>
                <w:color w:val="auto"/>
                <w:spacing w:val="0"/>
                <w:position w:val="0"/>
                <w:sz w:val="21"/>
                <w:szCs w:val="21"/>
                <w:lang w:val="en-US" w:eastAsia="zh-CN"/>
              </w:rPr>
              <w:t>及初期雨水收集池</w:t>
            </w:r>
          </w:p>
        </w:tc>
        <w:tc>
          <w:tcPr>
            <w:tcW w:w="1127" w:type="dxa"/>
            <w:vAlign w:val="center"/>
          </w:tcPr>
          <w:p w14:paraId="46D3CEE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污泥</w:t>
            </w:r>
          </w:p>
        </w:tc>
        <w:tc>
          <w:tcPr>
            <w:tcW w:w="846" w:type="dxa"/>
            <w:vAlign w:val="center"/>
          </w:tcPr>
          <w:p w14:paraId="2F9787C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1.17</w:t>
            </w:r>
          </w:p>
        </w:tc>
        <w:tc>
          <w:tcPr>
            <w:tcW w:w="1070" w:type="dxa"/>
            <w:vAlign w:val="center"/>
          </w:tcPr>
          <w:p w14:paraId="2C9668C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610" w:type="dxa"/>
            <w:vAlign w:val="center"/>
          </w:tcPr>
          <w:p w14:paraId="4A574D3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委托</w:t>
            </w:r>
            <w:r>
              <w:rPr>
                <w:rFonts w:hint="eastAsia"/>
                <w:color w:val="auto"/>
                <w:spacing w:val="0"/>
                <w:position w:val="0"/>
                <w:sz w:val="21"/>
                <w:szCs w:val="21"/>
                <w:lang w:eastAsia="zh-CN"/>
              </w:rPr>
              <w:t>环卫部门</w:t>
            </w:r>
            <w:r>
              <w:rPr>
                <w:color w:val="auto"/>
                <w:spacing w:val="0"/>
                <w:position w:val="0"/>
                <w:sz w:val="21"/>
                <w:szCs w:val="21"/>
              </w:rPr>
              <w:t>定期清掏处置</w:t>
            </w:r>
          </w:p>
        </w:tc>
        <w:tc>
          <w:tcPr>
            <w:tcW w:w="950" w:type="dxa"/>
            <w:vAlign w:val="center"/>
          </w:tcPr>
          <w:p w14:paraId="7B97F3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0</w:t>
            </w:r>
          </w:p>
        </w:tc>
        <w:tc>
          <w:tcPr>
            <w:tcW w:w="1010" w:type="dxa"/>
            <w:vAlign w:val="center"/>
          </w:tcPr>
          <w:p w14:paraId="3CF38B9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95" w:type="dxa"/>
            <w:vAlign w:val="center"/>
          </w:tcPr>
          <w:p w14:paraId="4438BD4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Align w:val="center"/>
          </w:tcPr>
          <w:p w14:paraId="5B8C077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5779717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7F04485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7C0D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trPr>
        <w:tc>
          <w:tcPr>
            <w:tcW w:w="642" w:type="dxa"/>
            <w:vMerge w:val="continue"/>
            <w:vAlign w:val="center"/>
          </w:tcPr>
          <w:p w14:paraId="1BFEAB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995" w:type="dxa"/>
            <w:gridSpan w:val="2"/>
            <w:vAlign w:val="center"/>
          </w:tcPr>
          <w:p w14:paraId="65CA103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rFonts w:hint="eastAsia"/>
                <w:color w:val="auto"/>
                <w:spacing w:val="0"/>
                <w:position w:val="0"/>
                <w:sz w:val="21"/>
                <w:szCs w:val="21"/>
              </w:rPr>
              <w:t>含油抹布、手套</w:t>
            </w:r>
          </w:p>
        </w:tc>
        <w:tc>
          <w:tcPr>
            <w:tcW w:w="846" w:type="dxa"/>
            <w:vAlign w:val="center"/>
          </w:tcPr>
          <w:p w14:paraId="6740D68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0.05</w:t>
            </w:r>
          </w:p>
        </w:tc>
        <w:tc>
          <w:tcPr>
            <w:tcW w:w="1070" w:type="dxa"/>
            <w:vAlign w:val="center"/>
          </w:tcPr>
          <w:p w14:paraId="10E8603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w:t>
            </w:r>
          </w:p>
        </w:tc>
        <w:tc>
          <w:tcPr>
            <w:tcW w:w="2610" w:type="dxa"/>
            <w:vMerge w:val="restart"/>
            <w:vAlign w:val="center"/>
          </w:tcPr>
          <w:p w14:paraId="50D0446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收集后暂存于危险废物暂存间，委托有资质的单位清运处置</w:t>
            </w:r>
          </w:p>
        </w:tc>
        <w:tc>
          <w:tcPr>
            <w:tcW w:w="950" w:type="dxa"/>
            <w:vAlign w:val="center"/>
          </w:tcPr>
          <w:p w14:paraId="6EF1290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p>
        </w:tc>
        <w:tc>
          <w:tcPr>
            <w:tcW w:w="1010" w:type="dxa"/>
            <w:vAlign w:val="center"/>
          </w:tcPr>
          <w:p w14:paraId="1C2FE8F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p>
        </w:tc>
        <w:tc>
          <w:tcPr>
            <w:tcW w:w="1095" w:type="dxa"/>
            <w:vAlign w:val="center"/>
          </w:tcPr>
          <w:p w14:paraId="17D138D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p>
        </w:tc>
        <w:tc>
          <w:tcPr>
            <w:tcW w:w="830" w:type="dxa"/>
            <w:vAlign w:val="center"/>
          </w:tcPr>
          <w:p w14:paraId="4EA4AE7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p>
        </w:tc>
        <w:tc>
          <w:tcPr>
            <w:tcW w:w="1077" w:type="dxa"/>
            <w:vAlign w:val="center"/>
          </w:tcPr>
          <w:p w14:paraId="40F4E36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p>
        </w:tc>
        <w:tc>
          <w:tcPr>
            <w:tcW w:w="671" w:type="dxa"/>
            <w:vAlign w:val="center"/>
          </w:tcPr>
          <w:p w14:paraId="2108351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p>
        </w:tc>
      </w:tr>
      <w:tr w14:paraId="1014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trPr>
        <w:tc>
          <w:tcPr>
            <w:tcW w:w="642" w:type="dxa"/>
            <w:vMerge w:val="continue"/>
            <w:vAlign w:val="center"/>
          </w:tcPr>
          <w:p w14:paraId="0A1C20A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868" w:type="dxa"/>
            <w:vAlign w:val="center"/>
          </w:tcPr>
          <w:p w14:paraId="0898B3F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eastAsia="zh-CN"/>
              </w:rPr>
            </w:pPr>
            <w:r>
              <w:rPr>
                <w:rFonts w:hint="eastAsia"/>
                <w:color w:val="auto"/>
                <w:spacing w:val="0"/>
                <w:position w:val="0"/>
                <w:sz w:val="21"/>
                <w:szCs w:val="21"/>
                <w:lang w:val="en-US" w:eastAsia="zh-CN"/>
              </w:rPr>
              <w:t>危险废物</w:t>
            </w:r>
          </w:p>
        </w:tc>
        <w:tc>
          <w:tcPr>
            <w:tcW w:w="1127" w:type="dxa"/>
            <w:vAlign w:val="center"/>
          </w:tcPr>
          <w:p w14:paraId="7A83900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废矿物油</w:t>
            </w:r>
          </w:p>
        </w:tc>
        <w:tc>
          <w:tcPr>
            <w:tcW w:w="846" w:type="dxa"/>
            <w:vAlign w:val="center"/>
          </w:tcPr>
          <w:p w14:paraId="2F1DFC4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0.01</w:t>
            </w:r>
          </w:p>
        </w:tc>
        <w:tc>
          <w:tcPr>
            <w:tcW w:w="1070" w:type="dxa"/>
            <w:vAlign w:val="center"/>
          </w:tcPr>
          <w:p w14:paraId="312358A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610" w:type="dxa"/>
            <w:vMerge w:val="continue"/>
            <w:vAlign w:val="center"/>
          </w:tcPr>
          <w:p w14:paraId="117FD9B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p>
        </w:tc>
        <w:tc>
          <w:tcPr>
            <w:tcW w:w="950" w:type="dxa"/>
            <w:vAlign w:val="center"/>
          </w:tcPr>
          <w:p w14:paraId="67B88E7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0</w:t>
            </w:r>
          </w:p>
        </w:tc>
        <w:tc>
          <w:tcPr>
            <w:tcW w:w="1010" w:type="dxa"/>
            <w:vAlign w:val="center"/>
          </w:tcPr>
          <w:p w14:paraId="65913D5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95" w:type="dxa"/>
            <w:vAlign w:val="center"/>
          </w:tcPr>
          <w:p w14:paraId="61CEBE2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830" w:type="dxa"/>
            <w:vAlign w:val="center"/>
          </w:tcPr>
          <w:p w14:paraId="4BBF0FB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077" w:type="dxa"/>
            <w:vAlign w:val="center"/>
          </w:tcPr>
          <w:p w14:paraId="5E21DC1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671" w:type="dxa"/>
            <w:vAlign w:val="center"/>
          </w:tcPr>
          <w:p w14:paraId="4BDFB93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bl>
    <w:p w14:paraId="7D610C4C">
      <w:pPr>
        <w:spacing w:before="139" w:line="223" w:lineRule="auto"/>
        <w:ind w:left="2340"/>
        <w:outlineLvl w:val="0"/>
        <w:rPr>
          <w:rFonts w:hint="default" w:ascii="Times New Roman" w:hAnsi="Times New Roman" w:eastAsia="宋体" w:cs="Times New Roman"/>
          <w:b/>
          <w:bCs/>
          <w:color w:val="auto"/>
          <w:spacing w:val="5"/>
          <w:sz w:val="43"/>
          <w:szCs w:val="43"/>
          <w:lang w:val="en-US" w:eastAsia="zh-CN"/>
        </w:rPr>
        <w:sectPr>
          <w:pgSz w:w="16840" w:h="11907" w:orient="landscape"/>
          <w:pgMar w:top="1800" w:right="1440" w:bottom="1800" w:left="1440" w:header="1134" w:footer="1134" w:gutter="0"/>
          <w:pgBorders w:zOrder="back">
            <w:top w:val="none" w:sz="0" w:space="0"/>
            <w:left w:val="none" w:sz="0" w:space="0"/>
            <w:bottom w:val="none" w:sz="0" w:space="0"/>
            <w:right w:val="none" w:sz="0" w:space="0"/>
          </w:pgBorders>
          <w:pgNumType w:fmt="decimal"/>
          <w:cols w:space="720" w:num="1"/>
          <w:rtlGutter w:val="0"/>
          <w:docGrid w:linePitch="312" w:charSpace="0"/>
        </w:sectPr>
      </w:pPr>
      <w:bookmarkStart w:id="106" w:name="_Toc26310"/>
      <w:bookmarkStart w:id="107" w:name="_Toc9743"/>
    </w:p>
    <w:p w14:paraId="4525C982">
      <w:pPr>
        <w:spacing w:before="139" w:line="223" w:lineRule="auto"/>
        <w:ind w:left="2340"/>
        <w:outlineLvl w:val="0"/>
        <w:rPr>
          <w:rFonts w:hint="default" w:ascii="Times New Roman" w:hAnsi="Times New Roman" w:eastAsia="宋体" w:cs="Times New Roman"/>
          <w:color w:val="auto"/>
          <w:sz w:val="43"/>
          <w:szCs w:val="43"/>
        </w:rPr>
      </w:pPr>
      <w:bookmarkStart w:id="108" w:name="_Toc4766"/>
      <w:r>
        <w:rPr>
          <w:rFonts w:hint="eastAsia" w:ascii="Times New Roman" w:hAnsi="Times New Roman" w:eastAsia="宋体" w:cs="Times New Roman"/>
          <w:b/>
          <w:bCs/>
          <w:color w:val="auto"/>
          <w:spacing w:val="5"/>
          <w:sz w:val="43"/>
          <w:szCs w:val="43"/>
          <w:lang w:val="en-US" w:eastAsia="zh-CN"/>
        </w:rPr>
        <w:t>3</w:t>
      </w:r>
      <w:r>
        <w:rPr>
          <w:rFonts w:hint="default" w:ascii="Times New Roman" w:hAnsi="Times New Roman" w:eastAsia="Times New Roman" w:cs="Times New Roman"/>
          <w:b/>
          <w:bCs/>
          <w:color w:val="auto"/>
          <w:spacing w:val="5"/>
          <w:sz w:val="43"/>
          <w:szCs w:val="43"/>
        </w:rPr>
        <w:t>.</w:t>
      </w:r>
      <w:r>
        <w:rPr>
          <w:rFonts w:hint="default" w:ascii="Times New Roman" w:hAnsi="Times New Roman" w:eastAsia="宋体" w:cs="Times New Roman"/>
          <w:b/>
          <w:bCs/>
          <w:color w:val="auto"/>
          <w:spacing w:val="5"/>
          <w:sz w:val="43"/>
          <w:szCs w:val="43"/>
        </w:rPr>
        <w:t>环境现状调查与评价</w:t>
      </w:r>
      <w:bookmarkEnd w:id="106"/>
      <w:bookmarkEnd w:id="107"/>
      <w:bookmarkEnd w:id="108"/>
    </w:p>
    <w:p w14:paraId="300E32A3">
      <w:pPr>
        <w:pStyle w:val="9"/>
        <w:spacing w:line="373" w:lineRule="auto"/>
        <w:rPr>
          <w:rFonts w:hint="default" w:ascii="Times New Roman" w:hAnsi="Times New Roman" w:cs="Times New Roman"/>
          <w:color w:val="auto"/>
        </w:rPr>
      </w:pPr>
    </w:p>
    <w:p w14:paraId="7C61B441">
      <w:pPr>
        <w:spacing w:before="101" w:line="225" w:lineRule="auto"/>
        <w:ind w:left="9"/>
        <w:outlineLvl w:val="1"/>
        <w:rPr>
          <w:rFonts w:hint="default" w:ascii="Times New Roman" w:hAnsi="Times New Roman" w:eastAsia="宋体" w:cs="Times New Roman"/>
          <w:color w:val="auto"/>
          <w:sz w:val="31"/>
          <w:szCs w:val="31"/>
        </w:rPr>
      </w:pPr>
      <w:bookmarkStart w:id="109" w:name="_Toc9145"/>
      <w:bookmarkStart w:id="110" w:name="_Toc27023"/>
      <w:bookmarkStart w:id="111" w:name="_Toc3295"/>
      <w:r>
        <w:rPr>
          <w:rFonts w:hint="eastAsia" w:ascii="Times New Roman" w:hAnsi="Times New Roman" w:eastAsia="宋体" w:cs="Times New Roman"/>
          <w:b/>
          <w:bCs/>
          <w:color w:val="auto"/>
          <w:spacing w:val="6"/>
          <w:sz w:val="31"/>
          <w:szCs w:val="31"/>
          <w:lang w:val="en-US" w:eastAsia="zh-CN"/>
        </w:rPr>
        <w:t>3</w:t>
      </w:r>
      <w:r>
        <w:rPr>
          <w:rFonts w:hint="default" w:ascii="Times New Roman" w:hAnsi="Times New Roman" w:eastAsia="Times New Roman" w:cs="Times New Roman"/>
          <w:b/>
          <w:bCs/>
          <w:color w:val="auto"/>
          <w:spacing w:val="6"/>
          <w:sz w:val="31"/>
          <w:szCs w:val="31"/>
        </w:rPr>
        <w:t>.1.</w:t>
      </w:r>
      <w:r>
        <w:rPr>
          <w:rFonts w:hint="default" w:ascii="Times New Roman" w:hAnsi="Times New Roman" w:eastAsia="宋体" w:cs="Times New Roman"/>
          <w:b/>
          <w:bCs/>
          <w:color w:val="auto"/>
          <w:spacing w:val="6"/>
          <w:sz w:val="31"/>
          <w:szCs w:val="31"/>
        </w:rPr>
        <w:t>自然环境现状调查与评价</w:t>
      </w:r>
      <w:bookmarkEnd w:id="109"/>
      <w:bookmarkEnd w:id="110"/>
      <w:bookmarkEnd w:id="111"/>
    </w:p>
    <w:p w14:paraId="3978E04A">
      <w:pPr>
        <w:pStyle w:val="9"/>
        <w:spacing w:line="311" w:lineRule="auto"/>
        <w:rPr>
          <w:rFonts w:hint="default" w:ascii="Times New Roman" w:hAnsi="Times New Roman" w:cs="Times New Roman"/>
          <w:color w:val="auto"/>
        </w:rPr>
      </w:pPr>
    </w:p>
    <w:p w14:paraId="2C0B55F0">
      <w:pPr>
        <w:keepNext w:val="0"/>
        <w:keepLines w:val="0"/>
        <w:pageBreakBefore w:val="0"/>
        <w:widowControl/>
        <w:kinsoku w:val="0"/>
        <w:wordWrap/>
        <w:overflowPunct/>
        <w:topLinePunct w:val="0"/>
        <w:autoSpaceDE w:val="0"/>
        <w:autoSpaceDN w:val="0"/>
        <w:bidi w:val="0"/>
        <w:adjustRightInd w:val="0"/>
        <w:snapToGrid w:val="0"/>
        <w:spacing w:before="97" w:line="224" w:lineRule="auto"/>
        <w:ind w:left="306"/>
        <w:textAlignment w:val="baseline"/>
        <w:outlineLvl w:val="2"/>
        <w:rPr>
          <w:rFonts w:hint="default" w:ascii="Times New Roman" w:hAnsi="Times New Roman" w:eastAsia="宋体" w:cs="Times New Roman"/>
          <w:color w:val="auto"/>
          <w:sz w:val="30"/>
          <w:szCs w:val="30"/>
        </w:rPr>
      </w:pPr>
      <w:bookmarkStart w:id="112" w:name="_Toc12492"/>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Times New Roman" w:cs="Times New Roman"/>
          <w:b/>
          <w:bCs/>
          <w:color w:val="auto"/>
          <w:spacing w:val="-2"/>
          <w:sz w:val="30"/>
          <w:szCs w:val="30"/>
        </w:rPr>
        <w:t>.1.1.</w:t>
      </w:r>
      <w:r>
        <w:rPr>
          <w:rFonts w:hint="default" w:ascii="Times New Roman" w:hAnsi="Times New Roman" w:eastAsia="宋体" w:cs="Times New Roman"/>
          <w:b/>
          <w:bCs/>
          <w:color w:val="auto"/>
          <w:spacing w:val="-2"/>
          <w:sz w:val="30"/>
          <w:szCs w:val="30"/>
        </w:rPr>
        <w:t>地理位置</w:t>
      </w:r>
      <w:bookmarkEnd w:id="112"/>
    </w:p>
    <w:p w14:paraId="32A1F0B1">
      <w:pPr>
        <w:pStyle w:val="9"/>
        <w:spacing w:line="357" w:lineRule="auto"/>
        <w:rPr>
          <w:rFonts w:hint="default" w:ascii="Times New Roman" w:hAnsi="Times New Roman" w:cs="Times New Roman"/>
          <w:color w:val="auto"/>
        </w:rPr>
      </w:pPr>
    </w:p>
    <w:p w14:paraId="61524B22">
      <w:pPr>
        <w:keepNext w:val="0"/>
        <w:keepLines w:val="0"/>
        <w:pageBreakBefore w:val="0"/>
        <w:kinsoku/>
        <w:wordWrap/>
        <w:overflowPunct/>
        <w:topLinePunct w:val="0"/>
        <w:autoSpaceDE w:val="0"/>
        <w:autoSpaceDN w:val="0"/>
        <w:bidi w:val="0"/>
        <w:adjustRightInd/>
        <w:snapToGrid/>
        <w:spacing w:line="360" w:lineRule="auto"/>
        <w:ind w:left="0" w:leftChars="0" w:right="0"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曲靖市沾益区位于云南省东部，曲靖市中部，地处</w:t>
      </w:r>
      <w:r>
        <w:rPr>
          <w:rFonts w:hint="eastAsia" w:ascii="Times New Roman" w:hAnsi="Times New Roman" w:eastAsia="宋体" w:cs="Times New Roman"/>
          <w:color w:val="auto"/>
          <w:sz w:val="24"/>
          <w:highlight w:val="none"/>
          <w:lang w:val="en-US" w:eastAsia="zh-CN"/>
        </w:rPr>
        <w:t>东经</w:t>
      </w:r>
      <w:r>
        <w:rPr>
          <w:rFonts w:hint="default" w:ascii="Times New Roman" w:hAnsi="Times New Roman" w:eastAsia="宋体" w:cs="Times New Roman"/>
          <w:color w:val="auto"/>
          <w:sz w:val="24"/>
          <w:highlight w:val="none"/>
        </w:rPr>
        <w:t>103°29′～104°14′、北纬25°31′～26°06′之间。东与富源县相伴，南与麒麟区、马龙县接壤，西与寻甸、会泽两县毗邻，北与宣威市交界，沾益区东西最大横距73km，南北最大纵距64km，辖区国土面积2814.89</w:t>
      </w:r>
      <w:r>
        <w:rPr>
          <w:rFonts w:hint="default" w:ascii="Times New Roman" w:hAnsi="Times New Roman" w:eastAsia="宋体" w:cs="Times New Roman"/>
          <w:color w:val="auto"/>
          <w:sz w:val="24"/>
          <w:highlight w:val="none"/>
          <w:lang w:val="en-US" w:eastAsia="zh-CN"/>
        </w:rPr>
        <w:t>km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rPr>
        <w:t>。最东为播乐乡奴革大箐村，最南为白水镇岗路甘塘村，最西为大坡乡河尾鲁子背村，最北为德泽乡小柳树大田口子村。全</w:t>
      </w:r>
      <w:r>
        <w:rPr>
          <w:rFonts w:hint="default" w:ascii="Times New Roman" w:hAnsi="Times New Roman" w:eastAsia="宋体" w:cs="Times New Roman"/>
          <w:color w:val="auto"/>
          <w:sz w:val="24"/>
          <w:highlight w:val="none"/>
          <w:lang w:val="en-US" w:eastAsia="zh-CN"/>
        </w:rPr>
        <w:t>区</w:t>
      </w:r>
      <w:r>
        <w:rPr>
          <w:rFonts w:hint="default" w:ascii="Times New Roman" w:hAnsi="Times New Roman" w:eastAsia="宋体" w:cs="Times New Roman"/>
          <w:color w:val="auto"/>
          <w:sz w:val="24"/>
          <w:highlight w:val="none"/>
        </w:rPr>
        <w:t>拥有各类公路通车总里程3186.5km，其中高速公路37km，宣天一级公路45.6km，老320国道40km，省道56.7km，县道281km，乡道 952km，村道1727.2km，专用道47km。</w:t>
      </w:r>
    </w:p>
    <w:p w14:paraId="42C9D4D1">
      <w:pPr>
        <w:keepNext w:val="0"/>
        <w:keepLines w:val="0"/>
        <w:pageBreakBefore w:val="0"/>
        <w:kinsoku/>
        <w:wordWrap/>
        <w:overflowPunct/>
        <w:topLinePunct w:val="0"/>
        <w:autoSpaceDE w:val="0"/>
        <w:autoSpaceDN w:val="0"/>
        <w:bidi w:val="0"/>
        <w:adjustRightInd/>
        <w:snapToGrid/>
        <w:spacing w:line="360" w:lineRule="auto"/>
        <w:ind w:left="0" w:leftChars="0" w:right="0"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花山街道位于沾益区中部，驻地距沾益县城24km，属半山半坝区，平均海拨2135m，最高海拨为2350m，最低海拨在松林村委会九龙山村，为1920m。国土总面积158.28km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，耕地面积2.5251万亩，农村人口30419、人均占有耕地0.83亩。辖松林、施家屯、大树屯、迤堵、遵花铺、十里铺、湖滨、兴源、新排9个社区居民委员会，52个村（居）民小组。</w:t>
      </w:r>
    </w:p>
    <w:p w14:paraId="02EE604A">
      <w:pPr>
        <w:keepNext w:val="0"/>
        <w:keepLines w:val="0"/>
        <w:pageBreakBefore w:val="0"/>
        <w:kinsoku/>
        <w:wordWrap/>
        <w:overflowPunct/>
        <w:topLinePunct w:val="0"/>
        <w:autoSpaceDE w:val="0"/>
        <w:autoSpaceDN w:val="0"/>
        <w:bidi w:val="0"/>
        <w:adjustRightInd/>
        <w:snapToGrid/>
        <w:spacing w:line="360" w:lineRule="auto"/>
        <w:ind w:left="0" w:leftChars="0" w:right="0" w:firstLine="480" w:firstLineChars="200"/>
        <w:jc w:val="both"/>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花山片区</w:t>
      </w:r>
      <w:r>
        <w:rPr>
          <w:rFonts w:hint="default" w:ascii="Times New Roman" w:hAnsi="Times New Roman" w:eastAsia="宋体" w:cs="Times New Roman"/>
          <w:color w:val="auto"/>
          <w:sz w:val="24"/>
          <w:highlight w:val="none"/>
        </w:rPr>
        <w:t>周边路网发达，沪昆高铁、贵昆高铁、盘西铁路、320 国道、 326 国道穿境而过，沪昆高速（曲胜高速公路）、宣天一级公路、杭瑞高速（曲宜高速公路）、沾益至会泽高速公路、曲靖绕城高速公路已建成通车，交通十分便利。</w:t>
      </w:r>
    </w:p>
    <w:p w14:paraId="19F981AA">
      <w:pPr>
        <w:pStyle w:val="20"/>
        <w:keepNext w:val="0"/>
        <w:keepLines w:val="0"/>
        <w:pageBreakBefore w:val="0"/>
        <w:kinsoku/>
        <w:wordWrap/>
        <w:overflowPunct/>
        <w:topLinePunct w:val="0"/>
        <w:autoSpaceDE w:val="0"/>
        <w:autoSpaceDN w:val="0"/>
        <w:bidi w:val="0"/>
        <w:adjustRightInd/>
        <w:snapToGrid/>
        <w:spacing w:after="0" w:line="360" w:lineRule="auto"/>
        <w:ind w:left="0" w:leftChars="0" w:right="0" w:firstLine="480" w:firstLineChars="200"/>
        <w:textAlignment w:val="baseline"/>
        <w:rPr>
          <w:rFonts w:hint="default" w:ascii="Times New Roman" w:hAnsi="Times New Roman" w:cs="Times New Roman"/>
          <w:color w:val="auto"/>
        </w:rPr>
      </w:pPr>
      <w:r>
        <w:rPr>
          <w:rFonts w:hint="default" w:ascii="Times New Roman" w:hAnsi="Times New Roman" w:cs="Times New Roman"/>
          <w:color w:val="auto"/>
          <w:kern w:val="0"/>
          <w:sz w:val="24"/>
          <w:szCs w:val="24"/>
        </w:rPr>
        <w:t>项目位于曲靖市高新技术产业开发区花山片区，</w:t>
      </w:r>
      <w:r>
        <w:rPr>
          <w:rFonts w:hint="default" w:ascii="Times New Roman" w:hAnsi="Times New Roman" w:cs="Times New Roman"/>
          <w:color w:val="auto"/>
          <w:kern w:val="0"/>
          <w:sz w:val="24"/>
          <w:szCs w:val="24"/>
          <w:lang w:val="en-US" w:eastAsia="zh-CN"/>
        </w:rPr>
        <w:t>中心</w:t>
      </w:r>
      <w:r>
        <w:rPr>
          <w:rFonts w:hint="default" w:ascii="Times New Roman" w:hAnsi="Times New Roman" w:cs="Times New Roman"/>
          <w:color w:val="auto"/>
          <w:kern w:val="0"/>
          <w:sz w:val="24"/>
          <w:szCs w:val="24"/>
        </w:rPr>
        <w:t>地理坐标为东经103°</w:t>
      </w:r>
      <w:r>
        <w:rPr>
          <w:rFonts w:hint="default" w:ascii="Times New Roman" w:hAnsi="Times New Roman" w:cs="Times New Roman"/>
          <w:color w:val="auto"/>
          <w:kern w:val="0"/>
          <w:sz w:val="24"/>
          <w:szCs w:val="24"/>
          <w:lang w:val="en-US" w:eastAsia="zh-CN"/>
        </w:rPr>
        <w:t>52</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lang w:val="en-US" w:eastAsia="zh-CN"/>
        </w:rPr>
        <w:t>41.803</w:t>
      </w:r>
      <w:r>
        <w:rPr>
          <w:rFonts w:hint="default" w:ascii="Times New Roman" w:hAnsi="Times New Roman" w:cs="Times New Roman"/>
          <w:color w:val="auto"/>
          <w:kern w:val="0"/>
          <w:sz w:val="24"/>
          <w:szCs w:val="24"/>
        </w:rPr>
        <w:t>″，北纬</w:t>
      </w:r>
      <w:r>
        <w:rPr>
          <w:rFonts w:hint="default" w:ascii="Times New Roman" w:hAnsi="Times New Roman" w:cs="Times New Roman"/>
          <w:color w:val="auto"/>
          <w:kern w:val="0"/>
          <w:sz w:val="24"/>
          <w:szCs w:val="24"/>
          <w:lang w:eastAsia="zh-CN"/>
        </w:rPr>
        <w:t>：</w:t>
      </w:r>
      <w:r>
        <w:rPr>
          <w:rFonts w:hint="default" w:ascii="Times New Roman" w:hAnsi="Times New Roman" w:cs="Times New Roman"/>
          <w:color w:val="auto"/>
          <w:kern w:val="0"/>
          <w:sz w:val="24"/>
          <w:szCs w:val="24"/>
        </w:rPr>
        <w:t>2</w:t>
      </w:r>
      <w:r>
        <w:rPr>
          <w:rFonts w:hint="default" w:ascii="Times New Roman" w:hAnsi="Times New Roman" w:cs="Times New Roman"/>
          <w:color w:val="auto"/>
          <w:kern w:val="0"/>
          <w:sz w:val="24"/>
          <w:szCs w:val="24"/>
          <w:lang w:val="en-US" w:eastAsia="zh-CN"/>
        </w:rPr>
        <w:t>5</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lang w:val="en-US" w:eastAsia="zh-CN"/>
        </w:rPr>
        <w:t>45</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lang w:val="en-US" w:eastAsia="zh-CN"/>
        </w:rPr>
        <w:t>9.067</w:t>
      </w:r>
      <w:r>
        <w:rPr>
          <w:rFonts w:hint="default" w:ascii="Times New Roman" w:hAnsi="Times New Roman" w:cs="Times New Roman"/>
          <w:color w:val="auto"/>
          <w:kern w:val="0"/>
          <w:sz w:val="24"/>
          <w:szCs w:val="24"/>
        </w:rPr>
        <w:t>″，</w:t>
      </w:r>
    </w:p>
    <w:p w14:paraId="7AFD0F6C">
      <w:pPr>
        <w:keepNext w:val="0"/>
        <w:keepLines w:val="0"/>
        <w:pageBreakBefore w:val="0"/>
        <w:kinsoku/>
        <w:wordWrap/>
        <w:overflowPunct/>
        <w:topLinePunct w:val="0"/>
        <w:autoSpaceDE w:val="0"/>
        <w:autoSpaceDN w:val="0"/>
        <w:bidi w:val="0"/>
        <w:adjustRightInd/>
        <w:snapToGrid/>
        <w:spacing w:line="360" w:lineRule="auto"/>
        <w:ind w:left="0" w:leftChars="0" w:right="0" w:firstLine="472"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本项目地理位置见</w:t>
      </w:r>
      <w:r>
        <w:rPr>
          <w:rFonts w:hint="eastAsia" w:ascii="Times New Roman" w:hAnsi="Times New Roman" w:eastAsia="宋体" w:cs="Times New Roman"/>
          <w:color w:val="auto"/>
          <w:spacing w:val="-2"/>
          <w:sz w:val="24"/>
          <w:szCs w:val="24"/>
          <w:lang w:val="en-US" w:eastAsia="zh-CN"/>
        </w:rPr>
        <w:t>附图1</w:t>
      </w:r>
      <w:r>
        <w:rPr>
          <w:rFonts w:hint="default" w:ascii="Times New Roman" w:hAnsi="Times New Roman" w:eastAsia="宋体" w:cs="Times New Roman"/>
          <w:color w:val="auto"/>
          <w:spacing w:val="-2"/>
          <w:sz w:val="24"/>
          <w:szCs w:val="24"/>
        </w:rPr>
        <w:t>。</w:t>
      </w:r>
    </w:p>
    <w:p w14:paraId="33164AE6">
      <w:pPr>
        <w:keepNext w:val="0"/>
        <w:keepLines w:val="0"/>
        <w:pageBreakBefore w:val="0"/>
        <w:widowControl/>
        <w:kinsoku w:val="0"/>
        <w:wordWrap/>
        <w:overflowPunct/>
        <w:topLinePunct w:val="0"/>
        <w:autoSpaceDE w:val="0"/>
        <w:autoSpaceDN w:val="0"/>
        <w:bidi w:val="0"/>
        <w:adjustRightInd w:val="0"/>
        <w:snapToGrid w:val="0"/>
        <w:spacing w:before="97" w:line="224" w:lineRule="auto"/>
        <w:ind w:left="306"/>
        <w:textAlignment w:val="baseline"/>
        <w:outlineLvl w:val="2"/>
        <w:rPr>
          <w:rFonts w:hint="default" w:ascii="Times New Roman" w:hAnsi="Times New Roman" w:eastAsia="宋体" w:cs="Times New Roman"/>
          <w:b/>
          <w:bCs/>
          <w:color w:val="auto"/>
          <w:spacing w:val="-2"/>
          <w:sz w:val="30"/>
          <w:szCs w:val="30"/>
          <w:lang w:val="en-US" w:eastAsia="zh-CN"/>
        </w:rPr>
      </w:pPr>
      <w:bookmarkStart w:id="113" w:name="_Toc11579"/>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宋体" w:cs="Times New Roman"/>
          <w:b/>
          <w:bCs/>
          <w:color w:val="auto"/>
          <w:spacing w:val="-2"/>
          <w:sz w:val="30"/>
          <w:szCs w:val="30"/>
          <w:lang w:val="en-US" w:eastAsia="zh-CN"/>
        </w:rPr>
        <w:t>.1.2.地形地貌</w:t>
      </w:r>
      <w:r>
        <w:rPr>
          <w:rFonts w:hint="eastAsia" w:ascii="Times New Roman" w:hAnsi="Times New Roman" w:eastAsia="宋体" w:cs="Times New Roman"/>
          <w:b/>
          <w:bCs/>
          <w:color w:val="auto"/>
          <w:spacing w:val="-2"/>
          <w:sz w:val="30"/>
          <w:szCs w:val="30"/>
          <w:lang w:val="en-US" w:eastAsia="zh-CN"/>
        </w:rPr>
        <w:t>地质</w:t>
      </w:r>
      <w:bookmarkEnd w:id="113"/>
    </w:p>
    <w:p w14:paraId="1119159B">
      <w:pPr>
        <w:pStyle w:val="9"/>
        <w:spacing w:line="361" w:lineRule="auto"/>
        <w:rPr>
          <w:rFonts w:hint="default" w:ascii="Times New Roman" w:hAnsi="Times New Roman" w:cs="Times New Roman"/>
          <w:color w:val="auto"/>
        </w:rPr>
      </w:pPr>
    </w:p>
    <w:p w14:paraId="543A9182">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曲靖市沾益区地处珠江水系和金沙江水系分水岭，位于扬子准地台褶带曲靖台褶束牛首山隆起之东缘滇东高原中偏北部。境内最高点在西北角与会泽交界的牛角山，主峰海拔2527m；最低点在德泽乡热水村，海拔1650m。地势呈北高南低，东西高、中部低。低中山、丘陵、南北向盆地</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坝子</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、北东向河谷低地</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河谷槽子</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相间分布，组成波浪起伏的高原地貌。根据成因与形态相结合的原则，沾益区地貌可分为构造侵蚀地貌、构造侵蚀溶蚀地貌、侵蚀剥蚀地貌、岩溶地貌、构造溶蚀地貌和湖泊堆积地貌6种成因类型；盆地、山地、岩溶3种形态类型。</w:t>
      </w:r>
    </w:p>
    <w:p w14:paraId="072E57FF">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项目厂址位于曲靖高新技术产业开发区沾益工业园花山片区北部区域。</w:t>
      </w:r>
      <w:r>
        <w:rPr>
          <w:rFonts w:hint="eastAsia"/>
          <w:bCs/>
          <w:color w:val="auto"/>
          <w:spacing w:val="0"/>
          <w:sz w:val="24"/>
          <w:szCs w:val="24"/>
        </w:rPr>
        <w:t>场地属岩溶地貌，</w:t>
      </w:r>
      <w:r>
        <w:rPr>
          <w:rFonts w:hint="eastAsia" w:eastAsia="宋体"/>
          <w:bCs/>
          <w:color w:val="auto"/>
          <w:spacing w:val="0"/>
          <w:sz w:val="24"/>
          <w:szCs w:val="24"/>
          <w:lang w:eastAsia="zh-CN"/>
        </w:rPr>
        <w:t>建设</w:t>
      </w:r>
      <w:r>
        <w:rPr>
          <w:rFonts w:hint="eastAsia"/>
          <w:bCs/>
          <w:color w:val="auto"/>
          <w:spacing w:val="0"/>
          <w:sz w:val="24"/>
          <w:szCs w:val="24"/>
        </w:rPr>
        <w:t>场地地形整体相对平坦，</w:t>
      </w:r>
      <w:r>
        <w:rPr>
          <w:rFonts w:hint="default" w:ascii="Times New Roman" w:hAnsi="Times New Roman" w:eastAsia="宋体" w:cs="Times New Roman"/>
          <w:color w:val="auto"/>
          <w:spacing w:val="0"/>
          <w:sz w:val="24"/>
          <w:szCs w:val="24"/>
          <w:highlight w:val="none"/>
          <w:lang w:val="en-US" w:eastAsia="zh-CN"/>
        </w:rPr>
        <w:t>本项目用地呈西东向近似长方形，其中东西向平均长约680m、南北向宽约350m，场地整体上西低东高，西侧最低处海拔高度为1959m、东侧最高处海拔高度为1997m。</w:t>
      </w:r>
    </w:p>
    <w:p w14:paraId="1E023DC5">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auto"/>
          <w:spacing w:val="0"/>
          <w:sz w:val="24"/>
          <w:highlight w:val="none"/>
          <w:lang w:val="en-US" w:eastAsia="zh-CN"/>
        </w:rPr>
      </w:pPr>
      <w:bookmarkStart w:id="114" w:name="_Toc32298"/>
      <w:r>
        <w:rPr>
          <w:rFonts w:hint="eastAsia" w:ascii="Times New Roman" w:hAnsi="Times New Roman" w:eastAsia="宋体" w:cs="Times New Roman"/>
          <w:color w:val="auto"/>
          <w:spacing w:val="0"/>
          <w:sz w:val="24"/>
          <w:highlight w:val="none"/>
          <w:lang w:val="en-US" w:eastAsia="zh-CN"/>
        </w:rPr>
        <w:t>工程区区域构造上处于川滇南北向构造带以东，区域构造体系主要有经向、新华夏系、纬向及山字型构造体系等。而工程区处于沾益山字型构造的东翼，根据《云南活动断裂分布图》可知，场地外围相对近的活动断裂有：F44磨戛—堡子上断裂，距场地直线距离约1km，南北向展布，属于早～中更新世活动断裂；F122花山断裂，距场地直线距离约2km，西北~东南向展布，属于早～中更新世活动断裂；场地西距寻甸全新世活动断裂小江断裂约60KM，小江强发震断裂经会泽、东川、寻甸、通海一带由北向南贯穿云南省中部。该场地10km范围内无全新世活动断裂及发震断裂分布。详见</w:t>
      </w:r>
      <w:bookmarkStart w:id="115" w:name="_Hlk203126076"/>
      <w:r>
        <w:rPr>
          <w:rFonts w:hint="eastAsia" w:ascii="Times New Roman" w:hAnsi="Times New Roman" w:eastAsia="宋体" w:cs="Times New Roman"/>
          <w:color w:val="auto"/>
          <w:spacing w:val="0"/>
          <w:sz w:val="24"/>
          <w:highlight w:val="none"/>
          <w:lang w:val="en-US" w:eastAsia="zh-CN"/>
        </w:rPr>
        <w:t>图3.1-1云南活动断裂分布图</w:t>
      </w:r>
      <w:bookmarkEnd w:id="115"/>
      <w:r>
        <w:rPr>
          <w:rFonts w:hint="eastAsia" w:ascii="Times New Roman" w:hAnsi="Times New Roman" w:eastAsia="宋体" w:cs="Times New Roman"/>
          <w:color w:val="auto"/>
          <w:spacing w:val="0"/>
          <w:sz w:val="24"/>
          <w:highlight w:val="none"/>
          <w:lang w:val="en-US" w:eastAsia="zh-CN"/>
        </w:rPr>
        <w:t>。</w:t>
      </w:r>
    </w:p>
    <w:p w14:paraId="6DEA5342">
      <w:pPr>
        <w:keepNext w:val="0"/>
        <w:keepLines w:val="0"/>
        <w:pageBreakBefore w:val="0"/>
        <w:widowControl/>
        <w:kinsoku w:val="0"/>
        <w:wordWrap/>
        <w:overflowPunct/>
        <w:topLinePunct w:val="0"/>
        <w:autoSpaceDE w:val="0"/>
        <w:autoSpaceDN w:val="0"/>
        <w:bidi w:val="0"/>
        <w:adjustRightInd w:val="0"/>
        <w:snapToGrid w:val="0"/>
        <w:ind w:firstLine="675"/>
        <w:textAlignment w:val="baseline"/>
        <w:outlineLvl w:val="9"/>
        <w:rPr>
          <w:bCs/>
          <w:color w:val="auto"/>
          <w:spacing w:val="6"/>
          <w:sz w:val="30"/>
        </w:rPr>
      </w:pPr>
      <w:r>
        <w:rPr>
          <w:bCs/>
          <w:color w:val="auto"/>
          <w:spacing w:val="6"/>
          <w:sz w:val="30"/>
        </w:rPr>
        <w:drawing>
          <wp:inline distT="0" distB="0" distL="114300" distR="114300">
            <wp:extent cx="4461510" cy="4461510"/>
            <wp:effectExtent l="0" t="0" r="15240" b="15240"/>
            <wp:docPr id="2" name="图片 13"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descr="未命名"/>
                    <pic:cNvPicPr>
                      <a:picLocks noChangeAspect="1"/>
                    </pic:cNvPicPr>
                  </pic:nvPicPr>
                  <pic:blipFill>
                    <a:blip r:embed="rId34"/>
                    <a:stretch>
                      <a:fillRect/>
                    </a:stretch>
                  </pic:blipFill>
                  <pic:spPr>
                    <a:xfrm>
                      <a:off x="0" y="0"/>
                      <a:ext cx="4461510" cy="4461510"/>
                    </a:xfrm>
                    <a:prstGeom prst="rect">
                      <a:avLst/>
                    </a:prstGeom>
                    <a:noFill/>
                    <a:ln>
                      <a:noFill/>
                    </a:ln>
                  </pic:spPr>
                </pic:pic>
              </a:graphicData>
            </a:graphic>
          </wp:inline>
        </w:drawing>
      </w:r>
    </w:p>
    <w:p w14:paraId="1AD602B8">
      <w:pPr>
        <w:keepNext w:val="0"/>
        <w:keepLines w:val="0"/>
        <w:pageBreakBefore w:val="0"/>
        <w:widowControl/>
        <w:kinsoku w:val="0"/>
        <w:wordWrap/>
        <w:overflowPunct/>
        <w:topLinePunct w:val="0"/>
        <w:autoSpaceDE w:val="0"/>
        <w:autoSpaceDN w:val="0"/>
        <w:bidi w:val="0"/>
        <w:adjustRightInd w:val="0"/>
        <w:snapToGrid w:val="0"/>
        <w:ind w:firstLine="675"/>
        <w:jc w:val="center"/>
        <w:textAlignment w:val="baseline"/>
        <w:outlineLvl w:val="9"/>
        <w:rPr>
          <w:rFonts w:hint="default" w:ascii="Times New Roman" w:hAnsi="Times New Roman" w:cs="Times New Roman"/>
          <w:b/>
          <w:color w:val="auto"/>
          <w:spacing w:val="6"/>
          <w:sz w:val="21"/>
          <w:szCs w:val="18"/>
        </w:rPr>
      </w:pPr>
      <w:r>
        <w:rPr>
          <w:rFonts w:hint="default" w:ascii="Times New Roman" w:hAnsi="Times New Roman" w:cs="Times New Roman"/>
          <w:b/>
          <w:color w:val="auto"/>
          <w:spacing w:val="6"/>
          <w:sz w:val="21"/>
          <w:szCs w:val="18"/>
        </w:rPr>
        <w:t>图</w:t>
      </w:r>
      <w:r>
        <w:rPr>
          <w:rFonts w:hint="default" w:ascii="Times New Roman" w:hAnsi="Times New Roman" w:eastAsia="宋体" w:cs="Times New Roman"/>
          <w:b/>
          <w:color w:val="auto"/>
          <w:spacing w:val="6"/>
          <w:sz w:val="21"/>
          <w:szCs w:val="18"/>
          <w:lang w:val="en-US" w:eastAsia="zh-CN"/>
        </w:rPr>
        <w:t>3.1-1</w:t>
      </w:r>
      <w:r>
        <w:rPr>
          <w:rFonts w:hint="default" w:ascii="Times New Roman" w:hAnsi="Times New Roman" w:cs="Times New Roman"/>
          <w:b/>
          <w:color w:val="auto"/>
          <w:spacing w:val="6"/>
          <w:sz w:val="21"/>
          <w:szCs w:val="18"/>
        </w:rPr>
        <w:t xml:space="preserve"> 云南活动断裂分布图</w:t>
      </w:r>
    </w:p>
    <w:bookmarkEnd w:id="114"/>
    <w:p w14:paraId="5738E78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auto"/>
          <w:spacing w:val="0"/>
          <w:sz w:val="24"/>
          <w:highlight w:val="none"/>
          <w:lang w:val="en-US" w:eastAsia="zh-CN"/>
        </w:rPr>
      </w:pPr>
      <w:r>
        <w:rPr>
          <w:rFonts w:hint="default" w:ascii="Times New Roman" w:hAnsi="Times New Roman" w:eastAsia="宋体" w:cs="Times New Roman"/>
          <w:color w:val="auto"/>
          <w:spacing w:val="0"/>
          <w:sz w:val="24"/>
          <w:highlight w:val="none"/>
          <w:lang w:val="en-US" w:eastAsia="zh-CN"/>
        </w:rPr>
        <w:t>据钻孔揭露地层资料，场地勘探深度范围内岩土结构由杂填土（Q</w:t>
      </w:r>
      <w:r>
        <w:rPr>
          <w:rFonts w:hint="default" w:ascii="Times New Roman" w:hAnsi="Times New Roman" w:eastAsia="宋体" w:cs="Times New Roman"/>
          <w:color w:val="auto"/>
          <w:spacing w:val="0"/>
          <w:sz w:val="24"/>
          <w:highlight w:val="none"/>
          <w:vertAlign w:val="subscript"/>
          <w:lang w:val="en-US" w:eastAsia="zh-CN"/>
        </w:rPr>
        <w:t>4</w:t>
      </w:r>
      <w:r>
        <w:rPr>
          <w:rFonts w:hint="default" w:ascii="Times New Roman" w:hAnsi="Times New Roman" w:eastAsia="宋体" w:cs="Times New Roman"/>
          <w:color w:val="auto"/>
          <w:spacing w:val="0"/>
          <w:sz w:val="24"/>
          <w:highlight w:val="none"/>
          <w:vertAlign w:val="superscript"/>
          <w:lang w:val="en-US" w:eastAsia="zh-CN"/>
        </w:rPr>
        <w:t>ml</w:t>
      </w:r>
      <w:r>
        <w:rPr>
          <w:rFonts w:hint="default" w:ascii="Times New Roman" w:hAnsi="Times New Roman" w:eastAsia="宋体" w:cs="Times New Roman"/>
          <w:color w:val="auto"/>
          <w:spacing w:val="0"/>
          <w:sz w:val="24"/>
          <w:highlight w:val="none"/>
          <w:lang w:val="en-US" w:eastAsia="zh-CN"/>
        </w:rPr>
        <w:t>）、红黏土（Q</w:t>
      </w:r>
      <w:r>
        <w:rPr>
          <w:rFonts w:hint="default" w:ascii="Times New Roman" w:hAnsi="Times New Roman" w:eastAsia="宋体" w:cs="Times New Roman"/>
          <w:color w:val="auto"/>
          <w:spacing w:val="0"/>
          <w:sz w:val="24"/>
          <w:highlight w:val="none"/>
          <w:vertAlign w:val="subscript"/>
          <w:lang w:val="en-US" w:eastAsia="zh-CN"/>
        </w:rPr>
        <w:t>4</w:t>
      </w:r>
      <w:r>
        <w:rPr>
          <w:rFonts w:hint="default" w:ascii="Times New Roman" w:hAnsi="Times New Roman" w:eastAsia="宋体" w:cs="Times New Roman"/>
          <w:color w:val="auto"/>
          <w:spacing w:val="0"/>
          <w:sz w:val="24"/>
          <w:highlight w:val="none"/>
          <w:vertAlign w:val="superscript"/>
          <w:lang w:val="en-US" w:eastAsia="zh-CN"/>
        </w:rPr>
        <w:t>el</w:t>
      </w:r>
      <w:r>
        <w:rPr>
          <w:rFonts w:hint="default" w:ascii="Times New Roman" w:hAnsi="Times New Roman" w:eastAsia="宋体" w:cs="Times New Roman"/>
          <w:color w:val="auto"/>
          <w:spacing w:val="0"/>
          <w:sz w:val="24"/>
          <w:highlight w:val="none"/>
          <w:lang w:val="en-US" w:eastAsia="zh-CN"/>
        </w:rPr>
        <w:t>）、石炭系中上统灰岩（C</w:t>
      </w:r>
      <w:r>
        <w:rPr>
          <w:rFonts w:hint="default" w:ascii="Times New Roman" w:hAnsi="Times New Roman" w:eastAsia="宋体" w:cs="Times New Roman"/>
          <w:color w:val="auto"/>
          <w:spacing w:val="0"/>
          <w:sz w:val="24"/>
          <w:highlight w:val="none"/>
          <w:vertAlign w:val="subscript"/>
          <w:lang w:val="en-US" w:eastAsia="zh-CN"/>
        </w:rPr>
        <w:t>2-3</w:t>
      </w:r>
      <w:r>
        <w:rPr>
          <w:rFonts w:hint="default" w:ascii="Times New Roman" w:hAnsi="Times New Roman" w:eastAsia="宋体" w:cs="Times New Roman"/>
          <w:color w:val="auto"/>
          <w:spacing w:val="0"/>
          <w:sz w:val="24"/>
          <w:highlight w:val="none"/>
          <w:lang w:val="en-US" w:eastAsia="zh-CN"/>
        </w:rPr>
        <w:t>）组成。根据土的物理力学特征及其分布形态，将场地地基土详细划分为5个主层，现从上至下分别描述如下：依据《岩土工程勘察规范》（GB50021－2001）</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2009年版</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第3.3条分类原则，根据将场地地基土划分为6个主层1个亚层，现从上至下分别描述如下：</w:t>
      </w:r>
    </w:p>
    <w:p w14:paraId="5A88F5F4">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第①层：杂填土（</w:t>
      </w:r>
      <w:r>
        <w:rPr>
          <w:rFonts w:hint="default" w:ascii="Times New Roman" w:hAnsi="Times New Roman" w:eastAsia="宋体" w:cs="Times New Roman"/>
          <w:color w:val="auto"/>
          <w:spacing w:val="0"/>
          <w:sz w:val="24"/>
          <w:highlight w:val="none"/>
          <w:lang w:val="en-US" w:eastAsia="zh-CN"/>
        </w:rPr>
        <w:t>Q</w:t>
      </w:r>
      <w:r>
        <w:rPr>
          <w:rFonts w:hint="default" w:ascii="Times New Roman" w:hAnsi="Times New Roman" w:eastAsia="宋体" w:cs="Times New Roman"/>
          <w:color w:val="auto"/>
          <w:spacing w:val="0"/>
          <w:sz w:val="24"/>
          <w:highlight w:val="none"/>
          <w:vertAlign w:val="subscript"/>
          <w:lang w:val="en-US" w:eastAsia="zh-CN"/>
        </w:rPr>
        <w:t>4</w:t>
      </w:r>
      <w:r>
        <w:rPr>
          <w:rFonts w:hint="default" w:ascii="Times New Roman" w:hAnsi="Times New Roman" w:eastAsia="宋体" w:cs="Times New Roman"/>
          <w:color w:val="auto"/>
          <w:spacing w:val="0"/>
          <w:sz w:val="24"/>
          <w:highlight w:val="none"/>
          <w:vertAlign w:val="superscript"/>
          <w:lang w:val="en-US" w:eastAsia="zh-CN"/>
        </w:rPr>
        <w:t>ml</w:t>
      </w:r>
      <w:r>
        <w:rPr>
          <w:rFonts w:hint="eastAsia" w:ascii="Times New Roman" w:hAnsi="Times New Roman" w:eastAsia="宋体" w:cs="Times New Roman"/>
          <w:color w:val="auto"/>
          <w:spacing w:val="0"/>
          <w:sz w:val="24"/>
          <w:highlight w:val="none"/>
          <w:lang w:val="en-US" w:eastAsia="zh-CN"/>
        </w:rPr>
        <w:t>）</w:t>
      </w:r>
    </w:p>
    <w:p w14:paraId="7ABB501C">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杂色、褐红、灰褐色，稍湿，松散，主要成分为建筑垃圾、黏土，含少量碎石、角砾，局部含生活垃圾。堆填时间＞</w:t>
      </w:r>
      <w:r>
        <w:rPr>
          <w:rFonts w:hint="default" w:ascii="Times New Roman" w:hAnsi="Times New Roman" w:eastAsia="宋体" w:cs="Times New Roman"/>
          <w:color w:val="auto"/>
          <w:spacing w:val="0"/>
          <w:sz w:val="24"/>
          <w:highlight w:val="none"/>
          <w:lang w:val="en-US" w:eastAsia="zh-CN"/>
        </w:rPr>
        <w:t>5</w:t>
      </w:r>
      <w:r>
        <w:rPr>
          <w:rFonts w:hint="eastAsia" w:ascii="Times New Roman" w:hAnsi="Times New Roman" w:eastAsia="宋体" w:cs="Times New Roman"/>
          <w:color w:val="auto"/>
          <w:spacing w:val="0"/>
          <w:sz w:val="24"/>
          <w:highlight w:val="none"/>
          <w:lang w:val="en-US" w:eastAsia="zh-CN"/>
        </w:rPr>
        <w:t>年，结构松散，场区连续分布，层顶埋深</w:t>
      </w:r>
      <w:r>
        <w:rPr>
          <w:rFonts w:hint="default" w:ascii="Times New Roman" w:hAnsi="Times New Roman" w:eastAsia="宋体" w:cs="Times New Roman"/>
          <w:color w:val="auto"/>
          <w:spacing w:val="0"/>
          <w:sz w:val="24"/>
          <w:highlight w:val="none"/>
          <w:lang w:val="en-US" w:eastAsia="zh-CN"/>
        </w:rPr>
        <w:t>0.00</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0.60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8.50m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2.23m</w:t>
      </w:r>
      <w:r>
        <w:rPr>
          <w:rFonts w:hint="eastAsia" w:ascii="Times New Roman" w:hAnsi="Times New Roman" w:eastAsia="宋体" w:cs="Times New Roman"/>
          <w:color w:val="auto"/>
          <w:spacing w:val="0"/>
          <w:sz w:val="24"/>
          <w:highlight w:val="none"/>
          <w:lang w:val="en-US" w:eastAsia="zh-CN"/>
        </w:rPr>
        <w:t>。</w:t>
      </w:r>
    </w:p>
    <w:p w14:paraId="06467805">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第②层：红黏土（</w:t>
      </w:r>
      <w:r>
        <w:rPr>
          <w:rFonts w:hint="default" w:ascii="Times New Roman" w:hAnsi="Times New Roman" w:eastAsia="宋体" w:cs="Times New Roman"/>
          <w:color w:val="auto"/>
          <w:spacing w:val="0"/>
          <w:sz w:val="24"/>
          <w:highlight w:val="none"/>
          <w:lang w:val="en-US" w:eastAsia="zh-CN"/>
        </w:rPr>
        <w:t>Q</w:t>
      </w:r>
      <w:r>
        <w:rPr>
          <w:rFonts w:hint="default" w:ascii="Times New Roman" w:hAnsi="Times New Roman" w:eastAsia="宋体" w:cs="Times New Roman"/>
          <w:color w:val="auto"/>
          <w:spacing w:val="0"/>
          <w:sz w:val="24"/>
          <w:highlight w:val="none"/>
          <w:vertAlign w:val="subscript"/>
          <w:lang w:val="en-US" w:eastAsia="zh-CN"/>
        </w:rPr>
        <w:t>4</w:t>
      </w:r>
      <w:r>
        <w:rPr>
          <w:rFonts w:hint="default" w:ascii="Times New Roman" w:hAnsi="Times New Roman" w:eastAsia="宋体" w:cs="Times New Roman"/>
          <w:color w:val="auto"/>
          <w:spacing w:val="0"/>
          <w:sz w:val="24"/>
          <w:highlight w:val="none"/>
          <w:vertAlign w:val="superscript"/>
          <w:lang w:val="en-US" w:eastAsia="zh-CN"/>
        </w:rPr>
        <w:t>el</w:t>
      </w:r>
      <w:r>
        <w:rPr>
          <w:rFonts w:hint="eastAsia" w:ascii="Times New Roman" w:hAnsi="Times New Roman" w:eastAsia="宋体" w:cs="Times New Roman"/>
          <w:color w:val="auto"/>
          <w:spacing w:val="0"/>
          <w:sz w:val="24"/>
          <w:highlight w:val="none"/>
          <w:lang w:val="en-US" w:eastAsia="zh-CN"/>
        </w:rPr>
        <w:t>）</w:t>
      </w:r>
    </w:p>
    <w:p w14:paraId="666A279C">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褐红、褐黄色，可塑状，稍湿，切面稍光滑，韧性中等，干强度高，红黏土裂隙发育特征为较多裂隙（</w:t>
      </w:r>
      <w:r>
        <w:rPr>
          <w:rFonts w:hint="default" w:ascii="Times New Roman" w:hAnsi="Times New Roman" w:eastAsia="宋体" w:cs="Times New Roman"/>
          <w:color w:val="auto"/>
          <w:spacing w:val="0"/>
          <w:sz w:val="24"/>
          <w:highlight w:val="none"/>
          <w:lang w:val="en-US" w:eastAsia="zh-CN"/>
        </w:rPr>
        <w:t>1~2</w:t>
      </w:r>
      <w:r>
        <w:rPr>
          <w:rFonts w:hint="eastAsia" w:ascii="Times New Roman" w:hAnsi="Times New Roman" w:eastAsia="宋体" w:cs="Times New Roman"/>
          <w:color w:val="auto"/>
          <w:spacing w:val="0"/>
          <w:sz w:val="24"/>
          <w:highlight w:val="none"/>
          <w:lang w:val="en-US" w:eastAsia="zh-CN"/>
        </w:rPr>
        <w:t>条），土体结构为巨块状的，干易开裂，遇水易软化，自由膨胀率为</w:t>
      </w:r>
      <w:r>
        <w:rPr>
          <w:rFonts w:hint="default" w:ascii="Times New Roman" w:hAnsi="Times New Roman" w:eastAsia="宋体" w:cs="Times New Roman"/>
          <w:color w:val="auto"/>
          <w:spacing w:val="0"/>
          <w:sz w:val="24"/>
          <w:highlight w:val="none"/>
          <w:lang w:val="en-US" w:eastAsia="zh-CN"/>
        </w:rPr>
        <w:t>19%~75%</w:t>
      </w:r>
      <w:r>
        <w:rPr>
          <w:rFonts w:hint="eastAsia" w:ascii="Times New Roman" w:hAnsi="Times New Roman" w:eastAsia="宋体" w:cs="Times New Roman"/>
          <w:color w:val="auto"/>
          <w:spacing w:val="0"/>
          <w:sz w:val="24"/>
          <w:highlight w:val="none"/>
          <w:lang w:val="en-US" w:eastAsia="zh-CN"/>
        </w:rPr>
        <w:t>，具弱</w:t>
      </w:r>
      <w:r>
        <w:rPr>
          <w:rFonts w:hint="default" w:ascii="Times New Roman" w:hAnsi="Times New Roman" w:eastAsia="宋体" w:cs="Times New Roman"/>
          <w:color w:val="auto"/>
          <w:spacing w:val="0"/>
          <w:sz w:val="24"/>
          <w:highlight w:val="none"/>
          <w:lang w:val="en-US" w:eastAsia="zh-CN"/>
        </w:rPr>
        <w:t>~</w:t>
      </w:r>
      <w:r>
        <w:rPr>
          <w:rFonts w:hint="eastAsia" w:ascii="Times New Roman" w:hAnsi="Times New Roman" w:eastAsia="宋体" w:cs="Times New Roman"/>
          <w:color w:val="auto"/>
          <w:spacing w:val="0"/>
          <w:sz w:val="24"/>
          <w:highlight w:val="none"/>
          <w:lang w:val="en-US" w:eastAsia="zh-CN"/>
        </w:rPr>
        <w:t xml:space="preserve">中膨胀潜势，全区连续分布层顶埋深 </w:t>
      </w:r>
      <w:r>
        <w:rPr>
          <w:rFonts w:hint="default" w:ascii="Times New Roman" w:hAnsi="Times New Roman" w:eastAsia="宋体" w:cs="Times New Roman"/>
          <w:color w:val="auto"/>
          <w:spacing w:val="0"/>
          <w:sz w:val="24"/>
          <w:highlight w:val="none"/>
          <w:lang w:val="en-US" w:eastAsia="zh-CN"/>
        </w:rPr>
        <w:t>0.60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8.50m</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1.50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14.10m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7.89m</w:t>
      </w:r>
      <w:r>
        <w:rPr>
          <w:rFonts w:hint="eastAsia" w:ascii="Times New Roman" w:hAnsi="Times New Roman" w:eastAsia="宋体" w:cs="Times New Roman"/>
          <w:color w:val="auto"/>
          <w:spacing w:val="0"/>
          <w:sz w:val="24"/>
          <w:highlight w:val="none"/>
          <w:lang w:val="en-US" w:eastAsia="zh-CN"/>
        </w:rPr>
        <w:t>。</w:t>
      </w:r>
    </w:p>
    <w:p w14:paraId="1C4FA99B">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第③层：红黏土（</w:t>
      </w:r>
      <w:r>
        <w:rPr>
          <w:rFonts w:hint="default" w:ascii="Times New Roman" w:hAnsi="Times New Roman" w:eastAsia="宋体" w:cs="Times New Roman"/>
          <w:color w:val="auto"/>
          <w:spacing w:val="0"/>
          <w:sz w:val="24"/>
          <w:highlight w:val="none"/>
          <w:lang w:val="en-US" w:eastAsia="zh-CN"/>
        </w:rPr>
        <w:t>C</w:t>
      </w:r>
      <w:r>
        <w:rPr>
          <w:rFonts w:hint="default" w:ascii="Times New Roman" w:hAnsi="Times New Roman" w:eastAsia="宋体" w:cs="Times New Roman"/>
          <w:color w:val="auto"/>
          <w:spacing w:val="0"/>
          <w:sz w:val="24"/>
          <w:highlight w:val="none"/>
          <w:vertAlign w:val="subscript"/>
          <w:lang w:val="en-US" w:eastAsia="zh-CN"/>
        </w:rPr>
        <w:t>2-3</w:t>
      </w:r>
      <w:r>
        <w:rPr>
          <w:rFonts w:hint="eastAsia" w:ascii="Times New Roman" w:hAnsi="Times New Roman" w:eastAsia="宋体" w:cs="Times New Roman"/>
          <w:color w:val="auto"/>
          <w:spacing w:val="0"/>
          <w:sz w:val="24"/>
          <w:highlight w:val="none"/>
          <w:lang w:val="en-US" w:eastAsia="zh-CN"/>
        </w:rPr>
        <w:t>）</w:t>
      </w:r>
    </w:p>
    <w:p w14:paraId="7F561D96">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褐红、褐黄色，软塑状，稍湿，切面光滑，韧性中等，干强度中等，红黏土裂隙发育特征为较多裂隙（</w:t>
      </w:r>
      <w:r>
        <w:rPr>
          <w:rFonts w:hint="default" w:ascii="Times New Roman" w:hAnsi="Times New Roman" w:eastAsia="宋体" w:cs="Times New Roman"/>
          <w:color w:val="auto"/>
          <w:spacing w:val="0"/>
          <w:sz w:val="24"/>
          <w:highlight w:val="none"/>
          <w:lang w:val="en-US" w:eastAsia="zh-CN"/>
        </w:rPr>
        <w:t xml:space="preserve">1~2 </w:t>
      </w:r>
      <w:r>
        <w:rPr>
          <w:rFonts w:hint="eastAsia" w:ascii="Times New Roman" w:hAnsi="Times New Roman" w:eastAsia="宋体" w:cs="Times New Roman"/>
          <w:color w:val="auto"/>
          <w:spacing w:val="0"/>
          <w:sz w:val="24"/>
          <w:highlight w:val="none"/>
          <w:lang w:val="en-US" w:eastAsia="zh-CN"/>
        </w:rPr>
        <w:t>条），土体结构为巨块状的，干易开裂，遇水易软化，自由膨胀率为</w:t>
      </w:r>
      <w:r>
        <w:rPr>
          <w:rFonts w:hint="default" w:ascii="Times New Roman" w:hAnsi="Times New Roman" w:eastAsia="宋体" w:cs="Times New Roman"/>
          <w:color w:val="auto"/>
          <w:spacing w:val="0"/>
          <w:sz w:val="24"/>
          <w:highlight w:val="none"/>
          <w:lang w:val="en-US" w:eastAsia="zh-CN"/>
        </w:rPr>
        <w:t>21%~33%</w:t>
      </w:r>
      <w:r>
        <w:rPr>
          <w:rFonts w:hint="eastAsia" w:ascii="Times New Roman" w:hAnsi="Times New Roman" w:eastAsia="宋体" w:cs="Times New Roman"/>
          <w:color w:val="auto"/>
          <w:spacing w:val="0"/>
          <w:sz w:val="24"/>
          <w:highlight w:val="none"/>
          <w:lang w:val="en-US" w:eastAsia="zh-CN"/>
        </w:rPr>
        <w:t>，属非膨胀土，场地大部分区域分布，层顶埋深</w:t>
      </w:r>
      <w:r>
        <w:rPr>
          <w:rFonts w:hint="default" w:ascii="Times New Roman" w:hAnsi="Times New Roman" w:eastAsia="宋体" w:cs="Times New Roman"/>
          <w:color w:val="auto"/>
          <w:spacing w:val="0"/>
          <w:sz w:val="24"/>
          <w:highlight w:val="none"/>
          <w:lang w:val="en-US" w:eastAsia="zh-CN"/>
        </w:rPr>
        <w:t>4.00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15.00m</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0.90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6.70m</w:t>
      </w:r>
      <w:r>
        <w:rPr>
          <w:rFonts w:hint="eastAsia" w:ascii="Times New Roman" w:hAnsi="Times New Roman" w:eastAsia="宋体" w:cs="Times New Roman"/>
          <w:color w:val="auto"/>
          <w:spacing w:val="0"/>
          <w:sz w:val="24"/>
          <w:highlight w:val="none"/>
          <w:lang w:val="en-US" w:eastAsia="zh-CN"/>
        </w:rPr>
        <w:t xml:space="preserve">，平均厚度 </w:t>
      </w:r>
      <w:r>
        <w:rPr>
          <w:rFonts w:hint="default" w:ascii="Times New Roman" w:hAnsi="Times New Roman" w:eastAsia="宋体" w:cs="Times New Roman"/>
          <w:color w:val="auto"/>
          <w:spacing w:val="0"/>
          <w:sz w:val="24"/>
          <w:highlight w:val="none"/>
          <w:lang w:val="en-US" w:eastAsia="zh-CN"/>
        </w:rPr>
        <w:t>2.68m</w:t>
      </w:r>
      <w:r>
        <w:rPr>
          <w:rFonts w:hint="eastAsia" w:ascii="Times New Roman" w:hAnsi="Times New Roman" w:eastAsia="宋体" w:cs="Times New Roman"/>
          <w:color w:val="auto"/>
          <w:spacing w:val="0"/>
          <w:sz w:val="24"/>
          <w:highlight w:val="none"/>
          <w:lang w:val="en-US" w:eastAsia="zh-CN"/>
        </w:rPr>
        <w:t>。</w:t>
      </w:r>
    </w:p>
    <w:p w14:paraId="401843C7">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第④层：强风化灰岩（</w:t>
      </w:r>
      <w:r>
        <w:rPr>
          <w:rFonts w:hint="default" w:ascii="Times New Roman" w:hAnsi="Times New Roman" w:eastAsia="宋体" w:cs="Times New Roman"/>
          <w:color w:val="auto"/>
          <w:spacing w:val="0"/>
          <w:sz w:val="24"/>
          <w:highlight w:val="none"/>
          <w:lang w:val="en-US" w:eastAsia="zh-CN"/>
        </w:rPr>
        <w:t>C</w:t>
      </w:r>
      <w:r>
        <w:rPr>
          <w:rFonts w:hint="default" w:ascii="Times New Roman" w:hAnsi="Times New Roman" w:eastAsia="宋体" w:cs="Times New Roman"/>
          <w:color w:val="auto"/>
          <w:spacing w:val="0"/>
          <w:sz w:val="24"/>
          <w:highlight w:val="none"/>
          <w:vertAlign w:val="subscript"/>
          <w:lang w:val="en-US" w:eastAsia="zh-CN"/>
        </w:rPr>
        <w:t>2-3</w:t>
      </w:r>
      <w:r>
        <w:rPr>
          <w:rFonts w:hint="eastAsia" w:ascii="Times New Roman" w:hAnsi="Times New Roman" w:eastAsia="宋体" w:cs="Times New Roman"/>
          <w:color w:val="auto"/>
          <w:spacing w:val="0"/>
          <w:sz w:val="24"/>
          <w:highlight w:val="none"/>
          <w:lang w:val="en-US" w:eastAsia="zh-CN"/>
        </w:rPr>
        <w:t>）</w:t>
      </w:r>
    </w:p>
    <w:p w14:paraId="0EF9FE53">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灰色，浅灰色，取芯成碎石土、碎块状，中密状，节理裂隙强烈发育，岩石组织结构已部分破坏，风化差异明显，岩体极破碎，节理裂隙中有黏性土等充填，场地部分区域分布，层顶埋深</w:t>
      </w:r>
      <w:r>
        <w:rPr>
          <w:rFonts w:hint="default" w:ascii="Times New Roman" w:hAnsi="Times New Roman" w:eastAsia="宋体" w:cs="Times New Roman"/>
          <w:color w:val="auto"/>
          <w:spacing w:val="0"/>
          <w:sz w:val="24"/>
          <w:highlight w:val="none"/>
          <w:lang w:val="en-US" w:eastAsia="zh-CN"/>
        </w:rPr>
        <w:t>4.80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20.00m</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0.30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4.10m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1.83m</w:t>
      </w:r>
      <w:r>
        <w:rPr>
          <w:rFonts w:hint="eastAsia" w:ascii="Times New Roman" w:hAnsi="Times New Roman" w:eastAsia="宋体" w:cs="Times New Roman"/>
          <w:color w:val="auto"/>
          <w:spacing w:val="0"/>
          <w:sz w:val="24"/>
          <w:highlight w:val="none"/>
          <w:lang w:val="en-US" w:eastAsia="zh-CN"/>
        </w:rPr>
        <w:t>。</w:t>
      </w:r>
    </w:p>
    <w:p w14:paraId="087E40A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第⑤层：中风化灰岩（</w:t>
      </w:r>
      <w:r>
        <w:rPr>
          <w:rFonts w:hint="default" w:ascii="Times New Roman" w:hAnsi="Times New Roman" w:eastAsia="宋体" w:cs="Times New Roman"/>
          <w:color w:val="auto"/>
          <w:spacing w:val="0"/>
          <w:sz w:val="24"/>
          <w:highlight w:val="none"/>
          <w:lang w:val="en-US" w:eastAsia="zh-CN"/>
        </w:rPr>
        <w:t>C</w:t>
      </w:r>
      <w:r>
        <w:rPr>
          <w:rFonts w:hint="default" w:ascii="Times New Roman" w:hAnsi="Times New Roman" w:eastAsia="宋体" w:cs="Times New Roman"/>
          <w:color w:val="auto"/>
          <w:spacing w:val="0"/>
          <w:sz w:val="24"/>
          <w:highlight w:val="none"/>
          <w:vertAlign w:val="subscript"/>
          <w:lang w:val="en-US" w:eastAsia="zh-CN"/>
        </w:rPr>
        <w:t>2-3</w:t>
      </w:r>
      <w:r>
        <w:rPr>
          <w:rFonts w:hint="eastAsia" w:ascii="Times New Roman" w:hAnsi="Times New Roman" w:eastAsia="宋体" w:cs="Times New Roman"/>
          <w:color w:val="auto"/>
          <w:spacing w:val="0"/>
          <w:sz w:val="24"/>
          <w:highlight w:val="none"/>
          <w:lang w:val="en-US" w:eastAsia="zh-CN"/>
        </w:rPr>
        <w:t>）</w:t>
      </w:r>
    </w:p>
    <w:p w14:paraId="34CC4353">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灰色、深灰色，取芯多呈柱状、短柱状，局部碎块状，岩芯表面见偶溶蚀痕迹，裂隙一般发育，裂隙处多由泥质充填，岩石质量指标（</w:t>
      </w:r>
      <w:r>
        <w:rPr>
          <w:rFonts w:hint="default" w:ascii="Times New Roman" w:hAnsi="Times New Roman" w:eastAsia="宋体" w:cs="Times New Roman"/>
          <w:color w:val="auto"/>
          <w:spacing w:val="0"/>
          <w:sz w:val="24"/>
          <w:highlight w:val="none"/>
          <w:lang w:val="en-US" w:eastAsia="zh-CN"/>
        </w:rPr>
        <w:t>RQD</w:t>
      </w:r>
      <w:r>
        <w:rPr>
          <w:rFonts w:hint="eastAsia" w:ascii="Times New Roman" w:hAnsi="Times New Roman" w:eastAsia="宋体" w:cs="Times New Roman"/>
          <w:color w:val="auto"/>
          <w:spacing w:val="0"/>
          <w:sz w:val="24"/>
          <w:highlight w:val="none"/>
          <w:lang w:val="en-US" w:eastAsia="zh-CN"/>
        </w:rPr>
        <w:t xml:space="preserve">）值约为 </w:t>
      </w:r>
      <w:r>
        <w:rPr>
          <w:rFonts w:hint="default" w:ascii="Times New Roman" w:hAnsi="Times New Roman" w:eastAsia="宋体" w:cs="Times New Roman"/>
          <w:color w:val="auto"/>
          <w:spacing w:val="0"/>
          <w:sz w:val="24"/>
          <w:highlight w:val="none"/>
          <w:lang w:val="en-US" w:eastAsia="zh-CN"/>
        </w:rPr>
        <w:t>60%</w:t>
      </w:r>
      <w:r>
        <w:rPr>
          <w:rFonts w:hint="eastAsia" w:ascii="Times New Roman" w:hAnsi="Times New Roman" w:eastAsia="宋体" w:cs="Times New Roman"/>
          <w:color w:val="auto"/>
          <w:spacing w:val="0"/>
          <w:sz w:val="24"/>
          <w:highlight w:val="none"/>
          <w:lang w:val="en-US" w:eastAsia="zh-CN"/>
        </w:rPr>
        <w:t>，岩石饱和单轴抗压强度平均值为</w:t>
      </w:r>
      <w:r>
        <w:rPr>
          <w:rFonts w:hint="default" w:ascii="Times New Roman" w:hAnsi="Times New Roman" w:eastAsia="宋体" w:cs="Times New Roman"/>
          <w:color w:val="auto"/>
          <w:spacing w:val="0"/>
          <w:sz w:val="24"/>
          <w:highlight w:val="none"/>
          <w:lang w:val="en-US" w:eastAsia="zh-CN"/>
        </w:rPr>
        <w:t>57.98MPa</w:t>
      </w:r>
      <w:r>
        <w:rPr>
          <w:rFonts w:hint="eastAsia" w:ascii="Times New Roman" w:hAnsi="Times New Roman" w:eastAsia="宋体" w:cs="Times New Roman"/>
          <w:color w:val="auto"/>
          <w:spacing w:val="0"/>
          <w:sz w:val="24"/>
          <w:highlight w:val="none"/>
          <w:lang w:val="en-US" w:eastAsia="zh-CN"/>
        </w:rPr>
        <w:t xml:space="preserve">，岩石属较硬岩，完整程度为较完整，岩体基本质量等级划分为Ⅲ类。。本层为场地基底，岩面起伏大，全区连续分布，层顶埋深 </w:t>
      </w:r>
      <w:r>
        <w:rPr>
          <w:rFonts w:hint="default" w:ascii="Times New Roman" w:hAnsi="Times New Roman" w:eastAsia="宋体" w:cs="Times New Roman"/>
          <w:color w:val="auto"/>
          <w:spacing w:val="0"/>
          <w:sz w:val="24"/>
          <w:highlight w:val="none"/>
          <w:lang w:val="en-US" w:eastAsia="zh-CN"/>
        </w:rPr>
        <w:t>6.20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22.10m</w:t>
      </w:r>
      <w:r>
        <w:rPr>
          <w:rFonts w:hint="eastAsia" w:ascii="Times New Roman" w:hAnsi="Times New Roman" w:eastAsia="宋体" w:cs="Times New Roman"/>
          <w:color w:val="auto"/>
          <w:spacing w:val="0"/>
          <w:sz w:val="24"/>
          <w:highlight w:val="none"/>
          <w:lang w:val="en-US" w:eastAsia="zh-CN"/>
        </w:rPr>
        <w:t xml:space="preserve">，揭露层厚 </w:t>
      </w:r>
      <w:r>
        <w:rPr>
          <w:rFonts w:hint="default" w:ascii="Times New Roman" w:hAnsi="Times New Roman" w:eastAsia="宋体" w:cs="Times New Roman"/>
          <w:color w:val="auto"/>
          <w:spacing w:val="0"/>
          <w:sz w:val="24"/>
          <w:highlight w:val="none"/>
          <w:lang w:val="en-US" w:eastAsia="zh-CN"/>
        </w:rPr>
        <w:t>0.90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8.30m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5.89m</w:t>
      </w:r>
      <w:r>
        <w:rPr>
          <w:rFonts w:hint="eastAsia" w:ascii="Times New Roman" w:hAnsi="Times New Roman" w:eastAsia="宋体" w:cs="Times New Roman"/>
          <w:color w:val="auto"/>
          <w:spacing w:val="0"/>
          <w:sz w:val="24"/>
          <w:highlight w:val="none"/>
          <w:lang w:val="en-US" w:eastAsia="zh-CN"/>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0"/>
        <w:gridCol w:w="4370"/>
      </w:tblGrid>
      <w:tr w14:paraId="2385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atLeast"/>
        </w:trPr>
        <w:tc>
          <w:tcPr>
            <w:tcW w:w="4370" w:type="dxa"/>
          </w:tcPr>
          <w:p w14:paraId="549CECE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drawing>
                <wp:inline distT="0" distB="0" distL="114300" distR="114300">
                  <wp:extent cx="1937385" cy="1937385"/>
                  <wp:effectExtent l="0" t="0" r="5715" b="5715"/>
                  <wp:docPr id="6" name="图片 14" descr="901156d244dec84f68e1d8f85df2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901156d244dec84f68e1d8f85df2e6f"/>
                          <pic:cNvPicPr>
                            <a:picLocks noChangeAspect="1"/>
                          </pic:cNvPicPr>
                        </pic:nvPicPr>
                        <pic:blipFill>
                          <a:blip r:embed="rId35"/>
                          <a:stretch>
                            <a:fillRect/>
                          </a:stretch>
                        </pic:blipFill>
                        <pic:spPr>
                          <a:xfrm>
                            <a:off x="0" y="0"/>
                            <a:ext cx="1937385" cy="1937385"/>
                          </a:xfrm>
                          <a:prstGeom prst="rect">
                            <a:avLst/>
                          </a:prstGeom>
                          <a:noFill/>
                          <a:ln>
                            <a:noFill/>
                          </a:ln>
                        </pic:spPr>
                      </pic:pic>
                    </a:graphicData>
                  </a:graphic>
                </wp:inline>
              </w:drawing>
            </w:r>
          </w:p>
        </w:tc>
        <w:tc>
          <w:tcPr>
            <w:tcW w:w="4370" w:type="dxa"/>
          </w:tcPr>
          <w:p w14:paraId="7CB6535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drawing>
                <wp:inline distT="0" distB="0" distL="114300" distR="114300">
                  <wp:extent cx="1457960" cy="1945005"/>
                  <wp:effectExtent l="0" t="0" r="8890" b="17145"/>
                  <wp:docPr id="12" name="图片 15" descr="b112d4923c0146819d9bd2dc4f5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descr="b112d4923c0146819d9bd2dc4f56669"/>
                          <pic:cNvPicPr>
                            <a:picLocks noChangeAspect="1"/>
                          </pic:cNvPicPr>
                        </pic:nvPicPr>
                        <pic:blipFill>
                          <a:blip r:embed="rId36"/>
                          <a:stretch>
                            <a:fillRect/>
                          </a:stretch>
                        </pic:blipFill>
                        <pic:spPr>
                          <a:xfrm>
                            <a:off x="0" y="0"/>
                            <a:ext cx="1457960" cy="1945005"/>
                          </a:xfrm>
                          <a:prstGeom prst="rect">
                            <a:avLst/>
                          </a:prstGeom>
                          <a:noFill/>
                          <a:ln>
                            <a:noFill/>
                          </a:ln>
                        </pic:spPr>
                      </pic:pic>
                    </a:graphicData>
                  </a:graphic>
                </wp:inline>
              </w:drawing>
            </w:r>
          </w:p>
        </w:tc>
      </w:tr>
      <w:tr w14:paraId="3415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370" w:type="dxa"/>
          </w:tcPr>
          <w:p w14:paraId="2BB7DBD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t>代表性岩芯照片（ZK19）</w:t>
            </w:r>
          </w:p>
        </w:tc>
        <w:tc>
          <w:tcPr>
            <w:tcW w:w="4370" w:type="dxa"/>
          </w:tcPr>
          <w:p w14:paraId="78F0FE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t>代表性岩芯照片（ZK53）</w:t>
            </w:r>
          </w:p>
        </w:tc>
      </w:tr>
    </w:tbl>
    <w:p w14:paraId="483C9323">
      <w:pPr>
        <w:keepNext w:val="0"/>
        <w:keepLines w:val="0"/>
        <w:pageBreakBefore w:val="0"/>
        <w:widowControl/>
        <w:kinsoku w:val="0"/>
        <w:wordWrap/>
        <w:overflowPunct/>
        <w:topLinePunct w:val="0"/>
        <w:autoSpaceDE w:val="0"/>
        <w:autoSpaceDN w:val="0"/>
        <w:bidi w:val="0"/>
        <w:adjustRightInd w:val="0"/>
        <w:snapToGrid w:val="0"/>
        <w:spacing w:before="97" w:line="224" w:lineRule="auto"/>
        <w:ind w:left="306"/>
        <w:textAlignment w:val="baseline"/>
        <w:outlineLvl w:val="2"/>
        <w:rPr>
          <w:rFonts w:hint="default" w:ascii="Times New Roman" w:hAnsi="Times New Roman" w:eastAsia="宋体" w:cs="Times New Roman"/>
          <w:b/>
          <w:bCs/>
          <w:color w:val="auto"/>
          <w:spacing w:val="-2"/>
          <w:sz w:val="30"/>
          <w:szCs w:val="30"/>
          <w:lang w:val="en-US" w:eastAsia="zh-CN"/>
        </w:rPr>
      </w:pPr>
      <w:bookmarkStart w:id="116" w:name="_Toc25895"/>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宋体" w:cs="Times New Roman"/>
          <w:b/>
          <w:bCs/>
          <w:color w:val="auto"/>
          <w:spacing w:val="-2"/>
          <w:sz w:val="30"/>
          <w:szCs w:val="30"/>
          <w:lang w:val="en-US" w:eastAsia="zh-CN"/>
        </w:rPr>
        <w:t>.1.3.气候与气象</w:t>
      </w:r>
      <w:bookmarkEnd w:id="116"/>
    </w:p>
    <w:p w14:paraId="05CED246">
      <w:pPr>
        <w:pStyle w:val="9"/>
        <w:spacing w:line="360" w:lineRule="auto"/>
        <w:rPr>
          <w:rFonts w:hint="default" w:ascii="Times New Roman" w:hAnsi="Times New Roman" w:cs="Times New Roman"/>
          <w:color w:val="auto"/>
        </w:rPr>
      </w:pPr>
    </w:p>
    <w:p w14:paraId="75CA8133">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沾益区地处滇东高原中偏北部，属北亚热带季风气候区。境内地形复杂，立体气候明显，年温差小，日温差大。雨热同季，干湿季节分明。春季温暖风大，降雨稀少，空气干燥；夏季无酷暑，降水充沛，气候潮湿；秋季凉爽湿润，</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一场秋雨、一场寒</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；冬季无严寒，降雨稀少，气候干冷。</w:t>
      </w:r>
    </w:p>
    <w:p w14:paraId="46009122">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沾益区多年年平均气温为15.7℃，最冷月月平均气温7.6℃，出现在1月；最热月月平均气温19.8℃，出现在7月；历年极端最高气温33.5℃，出现在5月，极端最低气温-6.4℃，出现在1月。</w:t>
      </w:r>
    </w:p>
    <w:p w14:paraId="398C88C5">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沾益区多年年平均降雨量为959.4mm。由于处于季风气候，形成了明显的干湿两季。每年11月至次年4月为干季，降雨量仅占全年的15%；5月至10月为雨季，降雨充足，降雨量801.4mm，占全年降雨量的85%，特别是6至8月为主汛期，降雨量占全年的53%；月最大降雨量350.2mm，出现在6月、7月。</w:t>
      </w:r>
    </w:p>
    <w:p w14:paraId="6A99133A">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沾益区地处滇东高原中偏北部，光照充足，多年年平均日照时数1976h，占可照时数的45%；日照时数的年内变化特点是干季和雨季差异大。干季（11月至次年4月），晴天多，日何总充足，约占全年日照时数的58%；雨季（5月至10月），云雨天气多，日照时数减少，约占全年日照时数的42%。</w:t>
      </w:r>
    </w:p>
    <w:p w14:paraId="0344C524">
      <w:pPr>
        <w:keepNext w:val="0"/>
        <w:keepLines w:val="0"/>
        <w:pageBreakBefore w:val="0"/>
        <w:widowControl/>
        <w:kinsoku/>
        <w:wordWrap/>
        <w:overflowPunct/>
        <w:topLinePunct w:val="0"/>
        <w:autoSpaceDE w:val="0"/>
        <w:autoSpaceDN w:val="0"/>
        <w:bidi w:val="0"/>
        <w:adjustRightInd w:val="0"/>
        <w:snapToGrid w:val="0"/>
        <w:spacing w:before="78" w:line="377" w:lineRule="auto"/>
        <w:ind w:left="9" w:firstLine="478"/>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highlight w:val="none"/>
        </w:rPr>
        <w:t>沾益区多年年平均相对湿度71%，最小相对湿度0%。多年年平均蒸发量（大型蒸发量）1259.7mm。年平均无霜期257天。年雷暴日数63天。多年年平均风速1.8m/s，冬春风速大，夏秋风速小，多年盛行南风、西南风。</w:t>
      </w:r>
    </w:p>
    <w:p w14:paraId="68D944F2">
      <w:pPr>
        <w:keepNext w:val="0"/>
        <w:keepLines w:val="0"/>
        <w:pageBreakBefore w:val="0"/>
        <w:widowControl/>
        <w:kinsoku w:val="0"/>
        <w:wordWrap/>
        <w:overflowPunct/>
        <w:topLinePunct w:val="0"/>
        <w:autoSpaceDE w:val="0"/>
        <w:autoSpaceDN w:val="0"/>
        <w:bidi w:val="0"/>
        <w:adjustRightInd w:val="0"/>
        <w:snapToGrid w:val="0"/>
        <w:spacing w:before="97" w:line="224" w:lineRule="auto"/>
        <w:ind w:left="306"/>
        <w:textAlignment w:val="baseline"/>
        <w:outlineLvl w:val="2"/>
        <w:rPr>
          <w:rFonts w:hint="default" w:ascii="Times New Roman" w:hAnsi="Times New Roman" w:eastAsia="宋体" w:cs="Times New Roman"/>
          <w:b/>
          <w:bCs/>
          <w:color w:val="auto"/>
          <w:spacing w:val="-2"/>
          <w:sz w:val="30"/>
          <w:szCs w:val="30"/>
          <w:lang w:val="en-US" w:eastAsia="zh-CN"/>
        </w:rPr>
      </w:pPr>
      <w:bookmarkStart w:id="117" w:name="_Toc11565"/>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宋体" w:cs="Times New Roman"/>
          <w:b/>
          <w:bCs/>
          <w:color w:val="auto"/>
          <w:spacing w:val="-2"/>
          <w:sz w:val="30"/>
          <w:szCs w:val="30"/>
          <w:lang w:val="en-US" w:eastAsia="zh-CN"/>
        </w:rPr>
        <w:t>.1.4.地震</w:t>
      </w:r>
      <w:bookmarkEnd w:id="117"/>
    </w:p>
    <w:p w14:paraId="6144C108">
      <w:pPr>
        <w:pStyle w:val="9"/>
        <w:spacing w:line="357" w:lineRule="auto"/>
        <w:rPr>
          <w:rFonts w:hint="default" w:ascii="Times New Roman" w:hAnsi="Times New Roman" w:cs="Times New Roman"/>
          <w:color w:val="auto"/>
        </w:rPr>
      </w:pPr>
    </w:p>
    <w:p w14:paraId="10605F07">
      <w:pPr>
        <w:pStyle w:val="9"/>
        <w:keepNext w:val="0"/>
        <w:keepLines w:val="0"/>
        <w:pageBreakBefore w:val="0"/>
        <w:widowControl/>
        <w:kinsoku/>
        <w:wordWrap/>
        <w:overflowPunct/>
        <w:topLinePunct w:val="0"/>
        <w:autoSpaceDE w:val="0"/>
        <w:autoSpaceDN w:val="0"/>
        <w:bidi w:val="0"/>
        <w:adjustRightInd w:val="0"/>
        <w:snapToGrid w:val="0"/>
        <w:spacing w:line="353" w:lineRule="auto"/>
        <w:ind w:firstLine="480" w:firstLineChars="200"/>
        <w:textAlignment w:val="baseline"/>
        <w:rPr>
          <w:rFonts w:hint="default" w:ascii="Times New Roman" w:hAnsi="Times New Roman" w:cs="Times New Roman"/>
          <w:color w:val="auto"/>
        </w:rPr>
      </w:pPr>
      <w:r>
        <w:rPr>
          <w:rFonts w:hint="default" w:ascii="Times New Roman" w:hAnsi="Times New Roman" w:eastAsia="宋体" w:cs="Times New Roman"/>
          <w:color w:val="auto"/>
          <w:sz w:val="24"/>
          <w:highlight w:val="none"/>
        </w:rPr>
        <w:t>根据《建筑抗震设计规范》</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 50011</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2010</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附录A</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我国主要城镇抗震设防烈度、设计基本地震加速度和设计地震分组</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，本地区地震基本设防烈度为7度，设计基本地震加速度值为0.15g</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抗震设防分组为第三组。</w:t>
      </w:r>
      <w:r>
        <w:rPr>
          <w:rFonts w:hint="eastAsia" w:ascii="Times New Roman" w:hAnsi="Times New Roman" w:eastAsia="宋体" w:cs="Times New Roman"/>
          <w:color w:val="auto"/>
          <w:sz w:val="24"/>
          <w:highlight w:val="none"/>
          <w:lang w:eastAsia="zh-CN"/>
        </w:rPr>
        <w:t>建设</w:t>
      </w:r>
      <w:r>
        <w:rPr>
          <w:rFonts w:hint="default" w:ascii="Times New Roman" w:hAnsi="Times New Roman" w:eastAsia="宋体" w:cs="Times New Roman"/>
          <w:color w:val="auto"/>
          <w:sz w:val="24"/>
          <w:highlight w:val="none"/>
        </w:rPr>
        <w:t>场地区域断裂较发育，地震活动频繁，主要表为中小地震的发生，且地震与活动断裂关系密切。场地区域外围曾发生多次地震，属中强地震带。</w:t>
      </w:r>
    </w:p>
    <w:p w14:paraId="3391767A">
      <w:pPr>
        <w:keepNext w:val="0"/>
        <w:keepLines w:val="0"/>
        <w:pageBreakBefore w:val="0"/>
        <w:widowControl/>
        <w:kinsoku w:val="0"/>
        <w:wordWrap/>
        <w:overflowPunct/>
        <w:topLinePunct w:val="0"/>
        <w:autoSpaceDE w:val="0"/>
        <w:autoSpaceDN w:val="0"/>
        <w:bidi w:val="0"/>
        <w:adjustRightInd w:val="0"/>
        <w:snapToGrid w:val="0"/>
        <w:spacing w:before="97" w:line="360" w:lineRule="auto"/>
        <w:ind w:left="306"/>
        <w:textAlignment w:val="baseline"/>
        <w:outlineLvl w:val="2"/>
        <w:rPr>
          <w:rFonts w:hint="default" w:ascii="Times New Roman" w:hAnsi="Times New Roman" w:eastAsia="宋体" w:cs="Times New Roman"/>
          <w:b/>
          <w:bCs/>
          <w:color w:val="auto"/>
          <w:spacing w:val="-2"/>
          <w:sz w:val="30"/>
          <w:szCs w:val="30"/>
          <w:lang w:val="en-US" w:eastAsia="zh-CN"/>
        </w:rPr>
      </w:pPr>
      <w:bookmarkStart w:id="118" w:name="_Toc24427"/>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宋体" w:cs="Times New Roman"/>
          <w:b/>
          <w:bCs/>
          <w:color w:val="auto"/>
          <w:spacing w:val="-2"/>
          <w:sz w:val="30"/>
          <w:szCs w:val="30"/>
          <w:lang w:val="en-US" w:eastAsia="zh-CN"/>
        </w:rPr>
        <w:t>.1.5.地表水</w:t>
      </w:r>
      <w:bookmarkEnd w:id="118"/>
    </w:p>
    <w:p w14:paraId="38695C23">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沾益区地处珠江源头南、北盘江分水岭的多山地带，境内东北部及中南部为珠江流域西江水系，西部及西北部为长江流域金沙江水系。主要河流有：属珠江流域的南盘江、北盘江（革香河）、属长江流域的牛栏江。南盘江干流源出马雄山北麓高山箐（大冲），穿大锅洞流经刘麦地及松韶关村，至倒石岩入花山水库，经盘江（松林）坝子和九龙山峡谷，由西平镇黑桥村进入沾曲坝子，向南至金龙长桥流入麒麟区。流域面积872.4k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rPr>
        <w:t>，干流河长78.78km，其中：源头（水洞）至花山水库主坝间河长31.78km。主要支流有：白浪河、清水河、西河、肖家河、毛洞河、宋家河等，流域内干、支流河道长351.6km，流域面积872.4km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rPr>
        <w:t>。全区水资源年径流量10.4亿m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，地下水资源总量为5.79亿m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w:t>
      </w:r>
    </w:p>
    <w:p w14:paraId="03551CC0">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东干渠：</w:t>
      </w:r>
      <w:r>
        <w:rPr>
          <w:rFonts w:hint="default" w:ascii="Times New Roman" w:hAnsi="Times New Roman" w:eastAsia="宋体" w:cs="Times New Roman"/>
          <w:color w:val="auto"/>
          <w:sz w:val="24"/>
          <w:szCs w:val="24"/>
        </w:rPr>
        <w:t>花山水库配套人工灌排明渠，属于珠江流域西江水系南盘江上游</w:t>
      </w:r>
      <w:r>
        <w:rPr>
          <w:rFonts w:hint="default" w:ascii="Times New Roman" w:hAnsi="Times New Roman" w:eastAsia="宋体" w:cs="Times New Roman"/>
          <w:b w:val="0"/>
          <w:bCs/>
          <w:color w:val="auto"/>
          <w:sz w:val="24"/>
          <w:szCs w:val="24"/>
        </w:rPr>
        <w:t>，</w:t>
      </w:r>
      <w:r>
        <w:rPr>
          <w:rFonts w:hint="default" w:ascii="Times New Roman" w:hAnsi="Times New Roman" w:eastAsia="宋体" w:cs="Times New Roman"/>
          <w:color w:val="auto"/>
          <w:sz w:val="24"/>
          <w:szCs w:val="24"/>
        </w:rPr>
        <w:t>起点为花山水库放水闸，终点汇入南盘江花山段。渠道兼具农业灌溉与片区雨水排泄功能，不作为集中式饮用水源。</w:t>
      </w:r>
    </w:p>
    <w:p w14:paraId="0C41AB2C">
      <w:pPr>
        <w:spacing w:line="360" w:lineRule="auto"/>
        <w:ind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南盘江：为珠江正源，发源于曲靖炎方乡马雄山东南麓，向南流约27km进入花山水库，从花山水库流出后，向西流经南盘坝子，如九龙山峡谷，流长23.5km。出谷后向南至天生坝水电站，流长7km，流域面积580km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。然后一直向南，流入沾益坝子，依次流过麒麟区的珠街、沿江、三宝、越州直至响水坝水库。流长63.6km。沾益区境内长约30km，多年平均流量4.81m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/s，流速约0.2m/s。丰水期月均流量为7.45m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/s、枯水期月均流量为1.57m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/s。</w:t>
      </w:r>
    </w:p>
    <w:p w14:paraId="06E62C19">
      <w:pPr>
        <w:spacing w:line="360" w:lineRule="auto"/>
        <w:ind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花山水库：地处珠江源头，珠江源至水库大坝主河长31.8km，水库集水面积225km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，多年平均降雨量1007.9mm，多年平均蒸发量894.8mm。水库始建于1958年，1991年进行加固扩建，现状死水水位1975.0m，死库容226.0万m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；汛期防洪限制水位1992.0m，相应库容5586.6万m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，正常蓄水水位1995.0m，相应库容7285.0万m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，供给周边厂矿、花山工业园区和生活用水，以及周边农业灌溉</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Times New Roman" w:cs="Times New Roman"/>
          <w:color w:val="auto"/>
          <w:sz w:val="24"/>
          <w:szCs w:val="24"/>
          <w:highlight w:val="none"/>
          <w:lang w:val="en-US" w:eastAsia="zh-CN"/>
        </w:rPr>
        <w:t>本项目</w:t>
      </w:r>
      <w:r>
        <w:rPr>
          <w:rFonts w:hint="eastAsia" w:ascii="Times New Roman" w:hAnsi="Times New Roman" w:eastAsia="Times New Roman" w:cs="Times New Roman"/>
          <w:color w:val="auto"/>
          <w:sz w:val="24"/>
          <w:szCs w:val="24"/>
          <w:highlight w:val="none"/>
          <w:lang w:val="en-US" w:eastAsia="zh-CN"/>
        </w:rPr>
        <w:t>位于</w:t>
      </w:r>
      <w:r>
        <w:rPr>
          <w:rFonts w:hint="eastAsia" w:ascii="Times New Roman" w:hAnsi="Times New Roman" w:eastAsia="宋体" w:cs="Times New Roman"/>
          <w:color w:val="auto"/>
          <w:kern w:val="0"/>
          <w:sz w:val="24"/>
          <w:szCs w:val="24"/>
          <w:lang w:val="en-US" w:eastAsia="zh-CN" w:bidi="ar"/>
        </w:rPr>
        <w:t>花山水库饮用水水源保护区下游，不在其汇水区域内。</w:t>
      </w:r>
      <w:r>
        <w:rPr>
          <w:rFonts w:hint="default" w:ascii="Times New Roman" w:hAnsi="Times New Roman" w:eastAsia="宋体" w:cs="Times New Roman"/>
          <w:color w:val="auto"/>
          <w:kern w:val="0"/>
          <w:sz w:val="24"/>
          <w:szCs w:val="24"/>
          <w:lang w:val="en-US" w:eastAsia="zh-CN" w:bidi="ar"/>
        </w:rPr>
        <w:t>本项目</w:t>
      </w:r>
      <w:r>
        <w:rPr>
          <w:rFonts w:hint="default" w:ascii="Times New Roman" w:hAnsi="Times New Roman" w:cs="Times New Roman"/>
          <w:color w:val="auto"/>
          <w:kern w:val="0"/>
          <w:sz w:val="24"/>
          <w:szCs w:val="24"/>
          <w:lang w:val="en-US" w:eastAsia="zh-CN" w:bidi="ar"/>
        </w:rPr>
        <w:t>边界</w:t>
      </w:r>
      <w:r>
        <w:rPr>
          <w:rFonts w:hint="default" w:ascii="Times New Roman" w:hAnsi="Times New Roman" w:eastAsia="宋体" w:cs="Times New Roman"/>
          <w:color w:val="auto"/>
          <w:kern w:val="0"/>
          <w:sz w:val="24"/>
          <w:szCs w:val="24"/>
          <w:lang w:val="en-US" w:eastAsia="zh-CN" w:bidi="ar"/>
        </w:rPr>
        <w:t>距离</w:t>
      </w:r>
      <w:r>
        <w:rPr>
          <w:rFonts w:hint="eastAsia" w:ascii="Times New Roman" w:hAnsi="Times New Roman" w:eastAsia="宋体" w:cs="Times New Roman"/>
          <w:color w:val="auto"/>
          <w:kern w:val="0"/>
          <w:sz w:val="24"/>
          <w:szCs w:val="24"/>
          <w:lang w:val="en-US" w:eastAsia="zh-CN" w:bidi="ar"/>
        </w:rPr>
        <w:t>花山水库饮用水水源保护区</w:t>
      </w:r>
      <w:r>
        <w:rPr>
          <w:rFonts w:hint="default" w:ascii="Times New Roman" w:hAnsi="Times New Roman" w:cs="Times New Roman"/>
          <w:color w:val="auto"/>
          <w:kern w:val="0"/>
          <w:sz w:val="24"/>
          <w:szCs w:val="24"/>
          <w:lang w:val="en-US" w:eastAsia="zh-CN" w:bidi="ar"/>
        </w:rPr>
        <w:t>2140</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sz w:val="24"/>
          <w:highlight w:val="none"/>
          <w:lang w:val="en-US" w:eastAsia="zh-CN"/>
        </w:rPr>
        <w:t>。</w:t>
      </w:r>
    </w:p>
    <w:p w14:paraId="7D261BF2">
      <w:pPr>
        <w:spacing w:line="360" w:lineRule="auto"/>
        <w:ind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szCs w:val="24"/>
          <w:lang w:eastAsia="zh-CN"/>
        </w:rPr>
        <w:t>根据项目区周边地表水系分布情况，距离本</w:t>
      </w:r>
      <w:r>
        <w:rPr>
          <w:rFonts w:hint="default" w:ascii="Times New Roman" w:hAnsi="Times New Roman" w:cs="Times New Roman"/>
          <w:color w:val="auto"/>
          <w:sz w:val="24"/>
          <w:szCs w:val="24"/>
          <w:lang w:val="en-US" w:eastAsia="zh-CN"/>
        </w:rPr>
        <w:t>项目</w:t>
      </w:r>
      <w:r>
        <w:rPr>
          <w:rFonts w:hint="default" w:ascii="Times New Roman" w:hAnsi="Times New Roman" w:cs="Times New Roman"/>
          <w:color w:val="auto"/>
          <w:sz w:val="24"/>
          <w:szCs w:val="24"/>
          <w:lang w:eastAsia="zh-CN"/>
        </w:rPr>
        <w:t>最近的地表水为西北面约90m处的东干渠，汇入南盘江。</w:t>
      </w:r>
    </w:p>
    <w:p w14:paraId="0095D0CE">
      <w:pPr>
        <w:keepNext w:val="0"/>
        <w:keepLines w:val="0"/>
        <w:pageBreakBefore w:val="0"/>
        <w:widowControl/>
        <w:kinsoku w:val="0"/>
        <w:wordWrap/>
        <w:overflowPunct/>
        <w:topLinePunct w:val="0"/>
        <w:autoSpaceDE w:val="0"/>
        <w:autoSpaceDN w:val="0"/>
        <w:bidi w:val="0"/>
        <w:adjustRightInd w:val="0"/>
        <w:snapToGrid w:val="0"/>
        <w:spacing w:before="97" w:line="224" w:lineRule="auto"/>
        <w:ind w:left="306"/>
        <w:textAlignment w:val="baseline"/>
        <w:outlineLvl w:val="2"/>
        <w:rPr>
          <w:rFonts w:hint="default" w:ascii="Times New Roman" w:hAnsi="Times New Roman" w:eastAsia="宋体" w:cs="Times New Roman"/>
          <w:b/>
          <w:bCs/>
          <w:color w:val="auto"/>
          <w:spacing w:val="-2"/>
          <w:sz w:val="30"/>
          <w:szCs w:val="30"/>
          <w:lang w:val="en-US" w:eastAsia="zh-CN"/>
        </w:rPr>
      </w:pPr>
      <w:bookmarkStart w:id="119" w:name="_Toc23729"/>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宋体" w:cs="Times New Roman"/>
          <w:b/>
          <w:bCs/>
          <w:color w:val="auto"/>
          <w:spacing w:val="-2"/>
          <w:sz w:val="30"/>
          <w:szCs w:val="30"/>
          <w:lang w:val="en-US" w:eastAsia="zh-CN"/>
        </w:rPr>
        <w:t>.1.6.土壤、植被及动物</w:t>
      </w:r>
      <w:bookmarkEnd w:id="119"/>
    </w:p>
    <w:p w14:paraId="6B14201A">
      <w:pPr>
        <w:pStyle w:val="9"/>
        <w:spacing w:line="354" w:lineRule="auto"/>
        <w:rPr>
          <w:rFonts w:hint="default" w:ascii="Times New Roman" w:hAnsi="Times New Roman" w:cs="Times New Roman"/>
          <w:color w:val="auto"/>
        </w:rPr>
      </w:pPr>
    </w:p>
    <w:p w14:paraId="3A9AD167">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沾益区共有7个土类，23个土属</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56个土种，2个变种，土壤覆盖面积2632</w:t>
      </w:r>
      <w:r>
        <w:rPr>
          <w:rFonts w:hint="default" w:ascii="Times New Roman" w:hAnsi="Times New Roman" w:eastAsia="宋体" w:cs="Times New Roman"/>
          <w:color w:val="auto"/>
          <w:sz w:val="24"/>
          <w:highlight w:val="none"/>
          <w:lang w:val="en-US" w:eastAsia="zh-CN"/>
        </w:rPr>
        <w:t>km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rPr>
        <w:t>，占总面积的92.32%。主要土壤类型为红壤，占土地总面积的74.8%，紫色土和水稻土分别占9.9%和5%，黄棕壤占1.7%，石灰岩土占0.1%，冲积土占0.8%，沼泽占0.08%。沾益区森林面积9.42万hm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森林覆盖率33.6%。境内有木本植物近40科200余种。优势树种有云南松、华山松、云南油杉、圆柏、桤木、栎类等；经济林木有花椒、板栗、核桃、梨、苹果、葡萄、蚕桑等；珍稀树种有银杏、香樟、黄杉、西南桦、黄连木、短粤海桐等。野生药用植物400余种，其中普遍分布的120余种。主要药材有天麻、茯苓、紫草、半夏、白岌、黄连等。</w:t>
      </w:r>
      <w:r>
        <w:rPr>
          <w:rFonts w:hint="default" w:ascii="Times New Roman" w:hAnsi="Times New Roman" w:eastAsia="宋体" w:cs="Times New Roman"/>
          <w:color w:val="auto"/>
          <w:sz w:val="24"/>
          <w:highlight w:val="none"/>
          <w:lang w:val="en-US" w:eastAsia="zh-CN"/>
        </w:rPr>
        <w:t>项目区</w:t>
      </w:r>
      <w:r>
        <w:rPr>
          <w:rFonts w:hint="default" w:ascii="Times New Roman" w:hAnsi="Times New Roman" w:eastAsia="宋体" w:cs="Times New Roman"/>
          <w:color w:val="auto"/>
          <w:sz w:val="24"/>
          <w:highlight w:val="none"/>
        </w:rPr>
        <w:t>植被主要分为森林植被、草地植被、园地和农田植被。其中，森林植被包括针叶林，针、阔叶混交林、绿阔叶林、灌木林等；草地植被主要是以林木破坏后的此生草地为主，生长有以禾木本、莎草科和蕨类植物为主的草本；栽培植被有经济林，其他有竹类等；农田植被主要为旱地，有部分水田，主要种植玉米、小麦、马铃薯、烟草、油菜等。</w:t>
      </w:r>
    </w:p>
    <w:p w14:paraId="3415C81D">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沾益区内尚存的大型野生哺乳动物极少，但是小型动物较多，有啮齿目松鼠科的灰松鼠，鼠科的小家鼠、褐家鼠，仓鼠科的田鼠，翼手目的蝙蝠，以及肉食目的狐、野猫、獾等。另外，境内也有大量鸟类，有斑鸠、猫头鹰、麻雀、大杜鹃、鹧鸪、喜鹊等。</w:t>
      </w:r>
      <w:r>
        <w:rPr>
          <w:rFonts w:hint="default" w:ascii="Times New Roman" w:hAnsi="Times New Roman" w:eastAsia="宋体" w:cs="Times New Roman"/>
          <w:color w:val="auto"/>
          <w:sz w:val="24"/>
          <w:highlight w:val="none"/>
          <w:lang w:val="en-US" w:eastAsia="zh-CN"/>
        </w:rPr>
        <w:t>根据</w:t>
      </w:r>
      <w:r>
        <w:rPr>
          <w:rFonts w:hint="default" w:ascii="Times New Roman" w:hAnsi="Times New Roman" w:eastAsia="宋体" w:cs="Times New Roman"/>
          <w:color w:val="auto"/>
          <w:sz w:val="24"/>
          <w:highlight w:val="none"/>
        </w:rPr>
        <w:t>现场踏勘，项目区内动物多样性贫乏，除小型鸟类、小型哺乳类及两栖爬行类等常见动物以外，已无大型野生动物、濒危保护物种及当地特有物种。</w:t>
      </w:r>
    </w:p>
    <w:p w14:paraId="70F15640">
      <w:pPr>
        <w:keepNext w:val="0"/>
        <w:keepLines w:val="0"/>
        <w:pageBreakBefore w:val="0"/>
        <w:widowControl/>
        <w:kinsoku w:val="0"/>
        <w:wordWrap/>
        <w:overflowPunct/>
        <w:topLinePunct w:val="0"/>
        <w:autoSpaceDE w:val="0"/>
        <w:autoSpaceDN w:val="0"/>
        <w:bidi w:val="0"/>
        <w:adjustRightInd w:val="0"/>
        <w:snapToGrid w:val="0"/>
        <w:spacing w:before="97" w:line="360" w:lineRule="auto"/>
        <w:ind w:left="306"/>
        <w:textAlignment w:val="baseline"/>
        <w:outlineLvl w:val="2"/>
        <w:rPr>
          <w:rFonts w:hint="default" w:ascii="Times New Roman" w:hAnsi="Times New Roman" w:eastAsia="宋体" w:cs="Times New Roman"/>
          <w:b/>
          <w:bCs/>
          <w:color w:val="auto"/>
          <w:spacing w:val="-2"/>
          <w:sz w:val="30"/>
          <w:szCs w:val="30"/>
          <w:lang w:val="en-US" w:eastAsia="zh-CN"/>
        </w:rPr>
      </w:pPr>
      <w:bookmarkStart w:id="120" w:name="_Toc20495"/>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宋体" w:cs="Times New Roman"/>
          <w:b/>
          <w:bCs/>
          <w:color w:val="auto"/>
          <w:spacing w:val="-2"/>
          <w:sz w:val="30"/>
          <w:szCs w:val="30"/>
          <w:lang w:val="en-US" w:eastAsia="zh-CN"/>
        </w:rPr>
        <w:t>.1.7矿产资源</w:t>
      </w:r>
      <w:bookmarkEnd w:id="120"/>
    </w:p>
    <w:p w14:paraId="7B64FB1A">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cs="Times New Roman"/>
          <w:color w:val="auto"/>
        </w:rPr>
      </w:pPr>
      <w:r>
        <w:rPr>
          <w:rFonts w:hint="default" w:ascii="Times New Roman" w:hAnsi="Times New Roman" w:eastAsia="宋体" w:cs="Times New Roman"/>
          <w:color w:val="auto"/>
          <w:sz w:val="24"/>
          <w:highlight w:val="none"/>
        </w:rPr>
        <w:t>沾益区境内矿产资源丰富，矿种多，主要有煤、磷、白云岩、铜、铁、石灰岩、黏土、建筑用沙等18种矿种，年产值在2亿元以上，开发利用前景巨大。煤，大多属于烟煤，主要分布罗木和炎方。截至2012年，两地煤储量1.2亿吨。磷矿主要分布在德泽乡老官营至热水塘一带，详查探明总储量2.97亿吨。白云岩主要分布西平镇望城坡、大龙潭一带，为特大优质白云岩矿，总储量9653万吨。耐火黏土主要分布炎方余家河一带，总储量263.85万吨。石灰岩，区境内分布较广，层位多，厚度大，总储藏量9126.75万吨。铅锌矿、钒、钼、铜、铁等矿在境内有一定储量。</w:t>
      </w:r>
    </w:p>
    <w:p w14:paraId="2D8B8A02">
      <w:pPr>
        <w:spacing w:before="335" w:line="225" w:lineRule="auto"/>
        <w:ind w:left="9"/>
        <w:outlineLvl w:val="1"/>
        <w:rPr>
          <w:rFonts w:hint="default" w:ascii="Times New Roman" w:hAnsi="Times New Roman" w:eastAsia="宋体" w:cs="Times New Roman"/>
          <w:color w:val="auto"/>
          <w:sz w:val="31"/>
          <w:szCs w:val="31"/>
        </w:rPr>
      </w:pPr>
      <w:bookmarkStart w:id="121" w:name="_Toc32469"/>
      <w:bookmarkStart w:id="122" w:name="_Toc26245"/>
      <w:bookmarkStart w:id="123" w:name="_Toc24372"/>
      <w:r>
        <w:rPr>
          <w:rFonts w:hint="eastAsia" w:ascii="Times New Roman" w:hAnsi="Times New Roman" w:eastAsia="宋体" w:cs="Times New Roman"/>
          <w:b/>
          <w:bCs/>
          <w:color w:val="auto"/>
          <w:spacing w:val="6"/>
          <w:sz w:val="31"/>
          <w:szCs w:val="31"/>
          <w:lang w:val="en-US" w:eastAsia="zh-CN"/>
        </w:rPr>
        <w:t>3</w:t>
      </w:r>
      <w:r>
        <w:rPr>
          <w:rFonts w:hint="default" w:ascii="Times New Roman" w:hAnsi="Times New Roman" w:eastAsia="Times New Roman" w:cs="Times New Roman"/>
          <w:b/>
          <w:bCs/>
          <w:color w:val="auto"/>
          <w:spacing w:val="6"/>
          <w:sz w:val="31"/>
          <w:szCs w:val="31"/>
        </w:rPr>
        <w:t>.2.</w:t>
      </w:r>
      <w:r>
        <w:rPr>
          <w:rFonts w:hint="default" w:ascii="Times New Roman" w:hAnsi="Times New Roman" w:eastAsia="宋体" w:cs="Times New Roman"/>
          <w:b/>
          <w:bCs/>
          <w:color w:val="auto"/>
          <w:spacing w:val="6"/>
          <w:sz w:val="31"/>
          <w:szCs w:val="31"/>
        </w:rPr>
        <w:t>环境质量现状调查与评价</w:t>
      </w:r>
      <w:bookmarkEnd w:id="121"/>
      <w:bookmarkEnd w:id="122"/>
      <w:bookmarkEnd w:id="123"/>
    </w:p>
    <w:p w14:paraId="0E65E3B2">
      <w:pPr>
        <w:pStyle w:val="9"/>
        <w:spacing w:line="348" w:lineRule="auto"/>
        <w:rPr>
          <w:rFonts w:hint="default" w:ascii="Times New Roman" w:hAnsi="Times New Roman" w:cs="Times New Roman"/>
          <w:color w:val="auto"/>
        </w:rPr>
      </w:pPr>
    </w:p>
    <w:p w14:paraId="4DCF1D53">
      <w:pPr>
        <w:keepNext w:val="0"/>
        <w:keepLines w:val="0"/>
        <w:pageBreakBefore w:val="0"/>
        <w:widowControl/>
        <w:kinsoku w:val="0"/>
        <w:wordWrap/>
        <w:overflowPunct/>
        <w:topLinePunct w:val="0"/>
        <w:autoSpaceDE w:val="0"/>
        <w:autoSpaceDN w:val="0"/>
        <w:bidi w:val="0"/>
        <w:adjustRightInd w:val="0"/>
        <w:snapToGrid w:val="0"/>
        <w:spacing w:before="136" w:line="221" w:lineRule="auto"/>
        <w:ind w:left="306"/>
        <w:textAlignment w:val="baseline"/>
        <w:outlineLvl w:val="2"/>
        <w:rPr>
          <w:rFonts w:hint="default" w:ascii="Times New Roman" w:hAnsi="Times New Roman" w:eastAsia="宋体" w:cs="Times New Roman"/>
          <w:color w:val="auto"/>
          <w:sz w:val="30"/>
          <w:szCs w:val="30"/>
        </w:rPr>
      </w:pPr>
      <w:bookmarkStart w:id="124" w:name="_Toc14481"/>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Times New Roman" w:cs="Times New Roman"/>
          <w:b/>
          <w:bCs/>
          <w:color w:val="auto"/>
          <w:spacing w:val="-2"/>
          <w:sz w:val="30"/>
          <w:szCs w:val="30"/>
        </w:rPr>
        <w:t>.2.1.</w:t>
      </w:r>
      <w:r>
        <w:rPr>
          <w:rFonts w:hint="default" w:ascii="Times New Roman" w:hAnsi="Times New Roman" w:eastAsia="宋体" w:cs="Times New Roman"/>
          <w:b/>
          <w:bCs/>
          <w:color w:val="auto"/>
          <w:spacing w:val="-2"/>
          <w:sz w:val="30"/>
          <w:szCs w:val="30"/>
        </w:rPr>
        <w:t>生态现状调查</w:t>
      </w:r>
      <w:bookmarkEnd w:id="124"/>
    </w:p>
    <w:p w14:paraId="677E561A">
      <w:pPr>
        <w:pStyle w:val="9"/>
        <w:spacing w:line="359" w:lineRule="auto"/>
        <w:rPr>
          <w:rFonts w:hint="default" w:ascii="Times New Roman" w:hAnsi="Times New Roman" w:cs="Times New Roman"/>
          <w:color w:val="auto"/>
        </w:rPr>
      </w:pPr>
    </w:p>
    <w:p w14:paraId="6A6AC2FC">
      <w:pPr>
        <w:bidi w:val="0"/>
        <w:spacing w:line="360" w:lineRule="auto"/>
        <w:ind w:firstLine="480" w:firstLineChars="200"/>
        <w:jc w:val="left"/>
        <w:rPr>
          <w:rFonts w:hint="default" w:ascii="Times New Roman" w:hAnsi="Times New Roman" w:cs="Times New Roman"/>
          <w:b/>
          <w:bCs/>
          <w:color w:val="auto"/>
          <w:sz w:val="24"/>
          <w:szCs w:val="24"/>
          <w:lang w:eastAsia="zh-CN"/>
        </w:rPr>
      </w:pPr>
      <w:r>
        <w:rPr>
          <w:rFonts w:hint="eastAsia" w:ascii="Times New Roman" w:hAnsi="Times New Roman" w:cs="Times New Roman"/>
          <w:b/>
          <w:bCs/>
          <w:color w:val="auto"/>
          <w:sz w:val="24"/>
          <w:szCs w:val="24"/>
          <w:lang w:val="en-US" w:eastAsia="zh-CN"/>
        </w:rPr>
        <w:t>一</w:t>
      </w:r>
      <w:r>
        <w:rPr>
          <w:rFonts w:hint="default" w:ascii="Times New Roman" w:hAnsi="Times New Roman" w:cs="Times New Roman"/>
          <w:b/>
          <w:bCs/>
          <w:color w:val="auto"/>
          <w:sz w:val="24"/>
          <w:szCs w:val="24"/>
          <w:lang w:eastAsia="zh-CN"/>
        </w:rPr>
        <w:t>、生态环境现状</w:t>
      </w:r>
    </w:p>
    <w:p w14:paraId="47B80F5A">
      <w:pPr>
        <w:bidi w:val="0"/>
        <w:spacing w:line="360" w:lineRule="auto"/>
        <w:ind w:firstLine="480" w:firstLineChars="200"/>
        <w:jc w:val="left"/>
        <w:rPr>
          <w:rFonts w:hint="default" w:ascii="Times New Roman" w:hAnsi="Times New Roman" w:cs="Times New Roman"/>
          <w:b/>
          <w:bCs/>
          <w:color w:val="auto"/>
          <w:sz w:val="24"/>
          <w:szCs w:val="24"/>
          <w:lang w:eastAsia="zh-CN"/>
        </w:rPr>
      </w:pPr>
      <w:r>
        <w:rPr>
          <w:rFonts w:hint="default" w:ascii="Times New Roman" w:hAnsi="Times New Roman" w:cs="Times New Roman"/>
          <w:b/>
          <w:bCs/>
          <w:color w:val="auto"/>
          <w:sz w:val="24"/>
          <w:szCs w:val="24"/>
          <w:lang w:eastAsia="zh-CN"/>
        </w:rPr>
        <w:t>1、陆生生态现状</w:t>
      </w:r>
    </w:p>
    <w:p w14:paraId="1DD9DD7E">
      <w:pPr>
        <w:bidi w:val="0"/>
        <w:spacing w:line="360" w:lineRule="auto"/>
        <w:ind w:firstLine="480" w:firstLineChars="200"/>
        <w:jc w:val="left"/>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（1）土地利用类型</w:t>
      </w:r>
    </w:p>
    <w:p w14:paraId="58F1B73A">
      <w:pPr>
        <w:bidi w:val="0"/>
        <w:spacing w:line="360" w:lineRule="auto"/>
        <w:ind w:firstLine="480" w:firstLineChars="200"/>
        <w:jc w:val="both"/>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项目占地</w:t>
      </w:r>
      <w:r>
        <w:rPr>
          <w:rFonts w:hint="default" w:ascii="Times New Roman" w:hAnsi="Times New Roman" w:cs="Times New Roman"/>
          <w:color w:val="auto"/>
          <w:sz w:val="24"/>
          <w:szCs w:val="24"/>
          <w:lang w:eastAsia="zh-CN"/>
        </w:rPr>
        <w:t>面积9</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eastAsia="zh-CN"/>
        </w:rPr>
        <w:t>8</w:t>
      </w:r>
      <w:r>
        <w:rPr>
          <w:rFonts w:hint="default"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lang w:eastAsia="zh-CN"/>
        </w:rPr>
        <w:t>hm</w:t>
      </w:r>
      <w:r>
        <w:rPr>
          <w:rFonts w:hint="default" w:ascii="Times New Roman" w:hAnsi="Times New Roman" w:cs="Times New Roman"/>
          <w:color w:val="auto"/>
          <w:sz w:val="24"/>
          <w:szCs w:val="24"/>
          <w:vertAlign w:val="superscript"/>
          <w:lang w:eastAsia="zh-CN"/>
        </w:rPr>
        <w:t>2</w:t>
      </w:r>
      <w:r>
        <w:rPr>
          <w:rFonts w:hint="default" w:ascii="Times New Roman" w:hAnsi="Times New Roman" w:cs="Times New Roman"/>
          <w:color w:val="auto"/>
          <w:sz w:val="24"/>
          <w:szCs w:val="24"/>
          <w:lang w:eastAsia="zh-CN"/>
        </w:rPr>
        <w:t>，</w:t>
      </w:r>
      <w:r>
        <w:rPr>
          <w:color w:val="auto"/>
          <w:spacing w:val="-4"/>
          <w:sz w:val="24"/>
          <w:szCs w:val="24"/>
        </w:rPr>
        <w:t>本</w:t>
      </w:r>
      <w:r>
        <w:rPr>
          <w:color w:val="auto"/>
          <w:spacing w:val="-1"/>
          <w:sz w:val="24"/>
          <w:szCs w:val="24"/>
        </w:rPr>
        <w:t>次生态影响评价按三级评价开展工作</w:t>
      </w:r>
      <w:r>
        <w:rPr>
          <w:rFonts w:hint="eastAsia" w:eastAsia="宋体"/>
          <w:color w:val="auto"/>
          <w:spacing w:val="-1"/>
          <w:sz w:val="24"/>
          <w:szCs w:val="24"/>
          <w:lang w:eastAsia="zh-CN"/>
        </w:rPr>
        <w:t>，</w:t>
      </w:r>
      <w:r>
        <w:rPr>
          <w:rFonts w:hint="default" w:ascii="Times New Roman" w:hAnsi="Times New Roman" w:cs="Times New Roman"/>
          <w:color w:val="auto"/>
          <w:sz w:val="24"/>
          <w:szCs w:val="24"/>
          <w:lang w:eastAsia="zh-CN"/>
        </w:rPr>
        <w:t>生态评价</w:t>
      </w:r>
      <w:r>
        <w:rPr>
          <w:rFonts w:hint="eastAsia" w:ascii="Times New Roman" w:hAnsi="Times New Roman" w:cs="Times New Roman"/>
          <w:color w:val="auto"/>
          <w:sz w:val="24"/>
          <w:szCs w:val="24"/>
          <w:lang w:val="en-US" w:eastAsia="zh-CN"/>
        </w:rPr>
        <w:t>范围</w:t>
      </w:r>
      <w:r>
        <w:rPr>
          <w:rFonts w:hint="default" w:ascii="Times New Roman" w:hAnsi="Times New Roman" w:cs="Times New Roman"/>
          <w:color w:val="auto"/>
          <w:sz w:val="24"/>
          <w:szCs w:val="24"/>
          <w:lang w:eastAsia="zh-CN"/>
        </w:rPr>
        <w:t>为</w:t>
      </w:r>
      <w:r>
        <w:rPr>
          <w:rFonts w:hint="default" w:ascii="Times New Roman" w:hAnsi="Times New Roman" w:cs="Times New Roman"/>
          <w:color w:val="auto"/>
          <w:spacing w:val="0"/>
          <w:w w:val="100"/>
          <w:sz w:val="24"/>
          <w:szCs w:val="24"/>
          <w:lang w:val="en-US" w:eastAsia="zh-CN"/>
        </w:rPr>
        <w:t>项目厂界外延300m+铁路线性工程</w:t>
      </w:r>
      <w:r>
        <w:rPr>
          <w:rFonts w:hint="default" w:ascii="Times New Roman" w:hAnsi="Times New Roman" w:cs="Times New Roman"/>
          <w:color w:val="auto"/>
          <w:spacing w:val="0"/>
          <w:w w:val="100"/>
          <w:sz w:val="24"/>
          <w:szCs w:val="24"/>
          <w:lang w:eastAsia="zh-CN"/>
        </w:rPr>
        <w:t>（</w:t>
      </w:r>
      <w:r>
        <w:rPr>
          <w:rFonts w:hint="default" w:ascii="Times New Roman" w:hAnsi="Times New Roman" w:cs="Times New Roman"/>
          <w:color w:val="auto"/>
          <w:spacing w:val="0"/>
          <w:w w:val="100"/>
          <w:sz w:val="24"/>
          <w:szCs w:val="24"/>
          <w:lang w:val="en-US" w:eastAsia="zh-CN"/>
        </w:rPr>
        <w:t>改建4条+本项目2条整体</w:t>
      </w:r>
      <w:r>
        <w:rPr>
          <w:rFonts w:hint="default" w:ascii="Times New Roman" w:hAnsi="Times New Roman" w:cs="Times New Roman"/>
          <w:color w:val="auto"/>
          <w:spacing w:val="0"/>
          <w:w w:val="100"/>
          <w:sz w:val="24"/>
          <w:szCs w:val="24"/>
          <w:lang w:eastAsia="zh-CN"/>
        </w:rPr>
        <w:t>）</w:t>
      </w:r>
      <w:r>
        <w:rPr>
          <w:rFonts w:hint="default" w:ascii="Times New Roman" w:hAnsi="Times New Roman" w:cs="Times New Roman"/>
          <w:color w:val="auto"/>
          <w:spacing w:val="0"/>
          <w:w w:val="100"/>
          <w:sz w:val="24"/>
          <w:szCs w:val="24"/>
          <w:lang w:val="en-US" w:eastAsia="zh-CN"/>
        </w:rPr>
        <w:t>外延300m为评价范围</w:t>
      </w:r>
      <w:r>
        <w:rPr>
          <w:rFonts w:hint="eastAsia" w:ascii="Times New Roman" w:hAnsi="Times New Roman" w:eastAsia="宋体" w:cs="Times New Roman"/>
          <w:color w:val="auto"/>
          <w:spacing w:val="0"/>
          <w:w w:val="100"/>
          <w:sz w:val="24"/>
          <w:szCs w:val="24"/>
          <w:lang w:eastAsia="zh-CN"/>
        </w:rPr>
        <w:t>，</w:t>
      </w:r>
      <w:r>
        <w:rPr>
          <w:rFonts w:hint="default" w:ascii="Times New Roman" w:hAnsi="Times New Roman" w:cs="Times New Roman"/>
          <w:color w:val="auto"/>
          <w:sz w:val="24"/>
          <w:szCs w:val="24"/>
          <w:lang w:val="en-US" w:eastAsia="zh-CN"/>
        </w:rPr>
        <w:t>评价范围面积总计</w:t>
      </w:r>
      <w:r>
        <w:rPr>
          <w:rFonts w:hint="eastAsia" w:ascii="Times New Roman" w:hAnsi="Times New Roman" w:cs="Times New Roman"/>
          <w:color w:val="auto"/>
          <w:sz w:val="24"/>
          <w:szCs w:val="24"/>
          <w:lang w:val="en-US" w:eastAsia="zh-CN"/>
        </w:rPr>
        <w:t>88.359</w:t>
      </w:r>
      <w:r>
        <w:rPr>
          <w:rFonts w:hint="default" w:ascii="Times New Roman" w:hAnsi="Times New Roman" w:cs="Times New Roman"/>
          <w:color w:val="auto"/>
          <w:sz w:val="24"/>
          <w:szCs w:val="24"/>
          <w:lang w:eastAsia="zh-CN"/>
        </w:rPr>
        <w:t>hm</w:t>
      </w:r>
      <w:r>
        <w:rPr>
          <w:rFonts w:hint="default" w:ascii="Times New Roman" w:hAnsi="Times New Roman" w:cs="Times New Roman"/>
          <w:color w:val="auto"/>
          <w:sz w:val="24"/>
          <w:szCs w:val="24"/>
          <w:vertAlign w:val="superscript"/>
          <w:lang w:eastAsia="zh-CN"/>
        </w:rPr>
        <w:t>2</w:t>
      </w:r>
      <w:r>
        <w:rPr>
          <w:rFonts w:hint="default" w:ascii="Times New Roman" w:hAnsi="Times New Roman" w:cs="Times New Roman"/>
          <w:color w:val="auto"/>
          <w:sz w:val="24"/>
          <w:szCs w:val="24"/>
          <w:lang w:eastAsia="zh-CN"/>
        </w:rPr>
        <w:t>，根据现状调查，并结合沾益花山土地使用现状图，项目区土地利用类型为</w:t>
      </w:r>
      <w:r>
        <w:rPr>
          <w:rFonts w:hint="eastAsia" w:ascii="Times New Roman" w:hAnsi="Times New Roman" w:cs="Times New Roman"/>
          <w:color w:val="auto"/>
          <w:sz w:val="24"/>
          <w:szCs w:val="24"/>
          <w:lang w:val="en-US" w:eastAsia="zh-CN"/>
        </w:rPr>
        <w:t>区域公共设施用地、铁路用地及</w:t>
      </w:r>
      <w:r>
        <w:rPr>
          <w:rFonts w:hint="default" w:ascii="Times New Roman" w:hAnsi="Times New Roman" w:cs="Times New Roman"/>
          <w:color w:val="auto"/>
          <w:sz w:val="24"/>
          <w:szCs w:val="24"/>
          <w:lang w:val="en-US" w:eastAsia="zh-CN"/>
        </w:rPr>
        <w:t>工业用</w:t>
      </w:r>
      <w:r>
        <w:rPr>
          <w:rFonts w:hint="default" w:ascii="Times New Roman" w:hAnsi="Times New Roman" w:cs="Times New Roman"/>
          <w:color w:val="auto"/>
          <w:sz w:val="24"/>
          <w:szCs w:val="24"/>
          <w:lang w:eastAsia="zh-CN"/>
        </w:rPr>
        <w:t>地，</w:t>
      </w:r>
      <w:r>
        <w:rPr>
          <w:rFonts w:hint="eastAsia" w:ascii="Times New Roman" w:hAnsi="Times New Roman" w:cs="Times New Roman"/>
          <w:color w:val="auto"/>
          <w:sz w:val="24"/>
          <w:szCs w:val="24"/>
          <w:lang w:val="en-US" w:eastAsia="zh-CN"/>
        </w:rPr>
        <w:t>其中区域公共设施用地（云维污水处理厂部分）面积为2.63hm</w:t>
      </w:r>
      <w:r>
        <w:rPr>
          <w:rFonts w:hint="eastAsia"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vertAlign w:val="baseline"/>
          <w:lang w:eastAsia="zh-CN"/>
        </w:rPr>
        <w:t>，</w:t>
      </w:r>
      <w:r>
        <w:rPr>
          <w:rFonts w:hint="eastAsia" w:ascii="Times New Roman" w:hAnsi="Times New Roman" w:cs="Times New Roman"/>
          <w:color w:val="auto"/>
          <w:sz w:val="24"/>
          <w:szCs w:val="24"/>
          <w:lang w:val="en-US" w:eastAsia="zh-CN"/>
        </w:rPr>
        <w:t>铁路用地面积为2.642</w:t>
      </w:r>
      <w:r>
        <w:rPr>
          <w:rFonts w:hint="default" w:ascii="Times New Roman" w:hAnsi="Times New Roman" w:cs="Times New Roman"/>
          <w:color w:val="auto"/>
          <w:sz w:val="24"/>
          <w:szCs w:val="24"/>
          <w:lang w:eastAsia="zh-CN"/>
        </w:rPr>
        <w:t>hm</w:t>
      </w:r>
      <w:r>
        <w:rPr>
          <w:rFonts w:hint="default" w:ascii="Times New Roman" w:hAnsi="Times New Roman" w:cs="Times New Roman"/>
          <w:color w:val="auto"/>
          <w:sz w:val="24"/>
          <w:szCs w:val="24"/>
          <w:vertAlign w:val="superscript"/>
          <w:lang w:eastAsia="zh-CN"/>
        </w:rPr>
        <w:t>2</w:t>
      </w:r>
      <w:r>
        <w:rPr>
          <w:rFonts w:hint="eastAsia" w:ascii="Times New Roman" w:hAnsi="Times New Roman" w:cs="Times New Roman"/>
          <w:color w:val="auto"/>
          <w:sz w:val="24"/>
          <w:szCs w:val="24"/>
          <w:vertAlign w:val="baseline"/>
          <w:lang w:eastAsia="zh-CN"/>
        </w:rPr>
        <w:t>，</w:t>
      </w:r>
      <w:r>
        <w:rPr>
          <w:rFonts w:hint="default" w:ascii="Times New Roman" w:hAnsi="Times New Roman" w:cs="Times New Roman"/>
          <w:color w:val="auto"/>
          <w:sz w:val="24"/>
          <w:szCs w:val="24"/>
          <w:lang w:val="en-US" w:eastAsia="zh-CN"/>
        </w:rPr>
        <w:t>工业用</w:t>
      </w:r>
      <w:r>
        <w:rPr>
          <w:rFonts w:hint="default" w:ascii="Times New Roman" w:hAnsi="Times New Roman" w:cs="Times New Roman"/>
          <w:color w:val="auto"/>
          <w:sz w:val="24"/>
          <w:szCs w:val="24"/>
          <w:lang w:eastAsia="zh-CN"/>
        </w:rPr>
        <w:t>地面积为</w:t>
      </w:r>
      <w:r>
        <w:rPr>
          <w:rFonts w:hint="eastAsia" w:ascii="Times New Roman" w:hAnsi="Times New Roman" w:cs="Times New Roman"/>
          <w:color w:val="auto"/>
          <w:sz w:val="24"/>
          <w:szCs w:val="24"/>
          <w:lang w:val="en-US" w:eastAsia="zh-CN"/>
        </w:rPr>
        <w:t>83.087</w:t>
      </w:r>
      <w:r>
        <w:rPr>
          <w:rFonts w:hint="default" w:ascii="Times New Roman" w:hAnsi="Times New Roman" w:cs="Times New Roman"/>
          <w:color w:val="auto"/>
          <w:sz w:val="24"/>
          <w:szCs w:val="24"/>
          <w:lang w:eastAsia="zh-CN"/>
        </w:rPr>
        <w:t>hm</w:t>
      </w:r>
      <w:r>
        <w:rPr>
          <w:rFonts w:hint="default" w:ascii="Times New Roman" w:hAnsi="Times New Roman" w:cs="Times New Roman"/>
          <w:color w:val="auto"/>
          <w:sz w:val="24"/>
          <w:szCs w:val="24"/>
          <w:vertAlign w:val="superscript"/>
          <w:lang w:eastAsia="zh-CN"/>
        </w:rPr>
        <w:t>2</w:t>
      </w:r>
      <w:r>
        <w:rPr>
          <w:rFonts w:hint="default" w:ascii="Times New Roman" w:hAnsi="Times New Roman" w:cs="Times New Roman"/>
          <w:color w:val="auto"/>
          <w:sz w:val="24"/>
          <w:szCs w:val="24"/>
          <w:lang w:eastAsia="zh-CN"/>
        </w:rPr>
        <w:t>。</w:t>
      </w:r>
    </w:p>
    <w:p w14:paraId="2356A4AE">
      <w:pPr>
        <w:bidi w:val="0"/>
        <w:spacing w:line="360" w:lineRule="auto"/>
        <w:ind w:firstLine="240" w:firstLineChars="100"/>
        <w:jc w:val="left"/>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（2）植被类型</w:t>
      </w:r>
    </w:p>
    <w:p w14:paraId="55610450">
      <w:pPr>
        <w:bidi w:val="0"/>
        <w:spacing w:line="360" w:lineRule="auto"/>
        <w:ind w:firstLine="480" w:firstLineChars="200"/>
        <w:jc w:val="left"/>
        <w:rPr>
          <w:rFonts w:hint="default" w:ascii="Times New Roman" w:hAnsi="Times New Roman" w:cs="Times New Roman"/>
          <w:color w:val="auto"/>
          <w:sz w:val="24"/>
          <w:szCs w:val="24"/>
          <w:lang w:eastAsia="zh-CN"/>
        </w:rPr>
      </w:pPr>
      <w:r>
        <w:rPr>
          <w:rFonts w:hint="default" w:ascii="Times New Roman" w:hAnsi="Times New Roman" w:eastAsia="宋体" w:cs="Times New Roman"/>
          <w:color w:val="auto"/>
          <w:sz w:val="24"/>
          <w:szCs w:val="24"/>
          <w:lang w:eastAsia="zh-CN"/>
        </w:rPr>
        <w:t>①</w:t>
      </w:r>
      <w:r>
        <w:rPr>
          <w:rFonts w:hint="default" w:ascii="Times New Roman" w:hAnsi="Times New Roman" w:cs="Times New Roman"/>
          <w:color w:val="auto"/>
          <w:sz w:val="24"/>
          <w:szCs w:val="24"/>
          <w:lang w:eastAsia="zh-CN"/>
        </w:rPr>
        <w:t>植被分类</w:t>
      </w:r>
    </w:p>
    <w:p w14:paraId="2E7A52AE">
      <w:pPr>
        <w:bidi w:val="0"/>
        <w:spacing w:line="360" w:lineRule="auto"/>
        <w:ind w:firstLine="480" w:firstLineChars="200"/>
        <w:jc w:val="left"/>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根据实地调查，评价区内</w:t>
      </w:r>
      <w:r>
        <w:rPr>
          <w:rFonts w:hint="default" w:ascii="Times New Roman" w:hAnsi="Times New Roman" w:cs="Times New Roman"/>
          <w:color w:val="auto"/>
          <w:sz w:val="24"/>
          <w:szCs w:val="24"/>
          <w:lang w:val="en-US" w:eastAsia="zh-CN"/>
        </w:rPr>
        <w:t>无</w:t>
      </w:r>
      <w:r>
        <w:rPr>
          <w:rFonts w:hint="default" w:ascii="Times New Roman" w:hAnsi="Times New Roman" w:cs="Times New Roman"/>
          <w:color w:val="auto"/>
          <w:sz w:val="24"/>
          <w:szCs w:val="24"/>
          <w:lang w:eastAsia="zh-CN"/>
        </w:rPr>
        <w:t>自然植被</w:t>
      </w:r>
      <w:r>
        <w:rPr>
          <w:rFonts w:hint="default" w:ascii="Times New Roman" w:hAnsi="Times New Roman" w:cs="Times New Roman"/>
          <w:color w:val="auto"/>
          <w:sz w:val="24"/>
          <w:szCs w:val="24"/>
          <w:lang w:val="en-US" w:eastAsia="zh-CN"/>
        </w:rPr>
        <w:t>及</w:t>
      </w:r>
      <w:r>
        <w:rPr>
          <w:rFonts w:hint="default" w:ascii="Times New Roman" w:hAnsi="Times New Roman" w:cs="Times New Roman"/>
          <w:color w:val="auto"/>
          <w:sz w:val="24"/>
          <w:szCs w:val="24"/>
          <w:lang w:eastAsia="zh-CN"/>
        </w:rPr>
        <w:t>人工植被，</w:t>
      </w:r>
      <w:r>
        <w:rPr>
          <w:rFonts w:hint="default" w:ascii="Times New Roman" w:hAnsi="Times New Roman" w:cs="Times New Roman"/>
          <w:color w:val="auto"/>
          <w:sz w:val="24"/>
          <w:szCs w:val="24"/>
          <w:lang w:val="en-US" w:eastAsia="zh-CN"/>
        </w:rPr>
        <w:t>以工业用地为主</w:t>
      </w:r>
      <w:r>
        <w:rPr>
          <w:rFonts w:hint="default" w:ascii="Times New Roman" w:hAnsi="Times New Roman" w:cs="Times New Roman"/>
          <w:color w:val="auto"/>
          <w:sz w:val="24"/>
          <w:szCs w:val="24"/>
          <w:lang w:eastAsia="zh-CN"/>
        </w:rPr>
        <w:t>。</w:t>
      </w:r>
    </w:p>
    <w:p w14:paraId="583D26CD">
      <w:pPr>
        <w:bidi w:val="0"/>
        <w:spacing w:line="360" w:lineRule="auto"/>
        <w:ind w:firstLine="480" w:firstLineChars="200"/>
        <w:jc w:val="both"/>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val="en-US" w:eastAsia="zh-CN"/>
        </w:rPr>
        <w:t>评价区</w:t>
      </w:r>
      <w:r>
        <w:rPr>
          <w:rFonts w:hint="default" w:ascii="Times New Roman" w:hAnsi="Times New Roman" w:cs="Times New Roman"/>
          <w:color w:val="auto"/>
          <w:sz w:val="24"/>
          <w:szCs w:val="24"/>
          <w:vertAlign w:val="baseline"/>
          <w:lang w:val="en-US" w:eastAsia="zh-CN"/>
        </w:rPr>
        <w:t>工业用地面</w:t>
      </w:r>
      <w:r>
        <w:rPr>
          <w:rFonts w:hint="default" w:ascii="Times New Roman" w:hAnsi="Times New Roman" w:cs="Times New Roman"/>
          <w:color w:val="auto"/>
          <w:sz w:val="24"/>
          <w:szCs w:val="24"/>
          <w:lang w:eastAsia="zh-CN"/>
        </w:rPr>
        <w:t>积为</w:t>
      </w:r>
      <w:r>
        <w:rPr>
          <w:rFonts w:hint="eastAsia" w:ascii="Times New Roman" w:hAnsi="Times New Roman" w:cs="Times New Roman"/>
          <w:color w:val="auto"/>
          <w:sz w:val="24"/>
          <w:szCs w:val="24"/>
          <w:lang w:val="en-US" w:eastAsia="zh-CN"/>
        </w:rPr>
        <w:t>83.087</w:t>
      </w:r>
      <w:r>
        <w:rPr>
          <w:rFonts w:hint="default" w:ascii="Times New Roman" w:hAnsi="Times New Roman" w:cs="Times New Roman"/>
          <w:color w:val="auto"/>
          <w:sz w:val="24"/>
          <w:szCs w:val="24"/>
          <w:lang w:eastAsia="zh-CN"/>
        </w:rPr>
        <w:t>hm</w:t>
      </w:r>
      <w:r>
        <w:rPr>
          <w:rFonts w:hint="default" w:ascii="Times New Roman" w:hAnsi="Times New Roman" w:cs="Times New Roman"/>
          <w:color w:val="auto"/>
          <w:sz w:val="24"/>
          <w:szCs w:val="24"/>
          <w:vertAlign w:val="superscript"/>
          <w:lang w:eastAsia="zh-CN"/>
        </w:rPr>
        <w:t>2</w:t>
      </w:r>
      <w:r>
        <w:rPr>
          <w:rFonts w:hint="default" w:ascii="Times New Roman" w:hAnsi="Times New Roman" w:cs="Times New Roman"/>
          <w:color w:val="auto"/>
          <w:sz w:val="24"/>
          <w:szCs w:val="24"/>
          <w:vertAlign w:val="baseline"/>
          <w:lang w:eastAsia="zh-CN"/>
        </w:rPr>
        <w:t>，</w:t>
      </w:r>
      <w:r>
        <w:rPr>
          <w:rFonts w:hint="default" w:ascii="Times New Roman" w:hAnsi="Times New Roman" w:cs="Times New Roman"/>
          <w:color w:val="auto"/>
          <w:sz w:val="24"/>
          <w:szCs w:val="24"/>
          <w:vertAlign w:val="baseline"/>
          <w:lang w:val="en-US" w:eastAsia="zh-CN"/>
        </w:rPr>
        <w:t>占评价区</w:t>
      </w:r>
      <w:r>
        <w:rPr>
          <w:rFonts w:hint="eastAsia" w:ascii="Times New Roman" w:hAnsi="Times New Roman" w:cs="Times New Roman"/>
          <w:color w:val="auto"/>
          <w:sz w:val="24"/>
          <w:szCs w:val="24"/>
          <w:vertAlign w:val="baseline"/>
          <w:lang w:val="en-US" w:eastAsia="zh-CN"/>
        </w:rPr>
        <w:t>94.03</w:t>
      </w:r>
      <w:r>
        <w:rPr>
          <w:rFonts w:hint="default" w:ascii="Times New Roman" w:hAnsi="Times New Roman" w:cs="Times New Roman"/>
          <w:color w:val="auto"/>
          <w:sz w:val="24"/>
          <w:szCs w:val="24"/>
          <w:vertAlign w:val="baseline"/>
          <w:lang w:val="en-US" w:eastAsia="zh-CN"/>
        </w:rPr>
        <w:t>%；</w:t>
      </w:r>
      <w:r>
        <w:rPr>
          <w:rFonts w:hint="eastAsia" w:ascii="Times New Roman" w:hAnsi="Times New Roman" w:cs="Times New Roman"/>
          <w:color w:val="auto"/>
          <w:sz w:val="24"/>
          <w:szCs w:val="24"/>
          <w:lang w:val="en-US" w:eastAsia="zh-CN"/>
        </w:rPr>
        <w:t>公共设施用地</w:t>
      </w:r>
      <w:r>
        <w:rPr>
          <w:rFonts w:hint="default" w:ascii="Times New Roman" w:hAnsi="Times New Roman" w:cs="Times New Roman"/>
          <w:color w:val="auto"/>
          <w:sz w:val="24"/>
          <w:szCs w:val="24"/>
          <w:vertAlign w:val="baseline"/>
          <w:lang w:val="en-US" w:eastAsia="zh-CN"/>
        </w:rPr>
        <w:t>面</w:t>
      </w:r>
      <w:r>
        <w:rPr>
          <w:rFonts w:hint="default" w:ascii="Times New Roman" w:hAnsi="Times New Roman" w:cs="Times New Roman"/>
          <w:color w:val="auto"/>
          <w:sz w:val="24"/>
          <w:szCs w:val="24"/>
          <w:lang w:eastAsia="zh-CN"/>
        </w:rPr>
        <w:t>积为</w:t>
      </w:r>
      <w:r>
        <w:rPr>
          <w:rFonts w:hint="eastAsia" w:ascii="Times New Roman" w:hAnsi="Times New Roman" w:cs="Times New Roman"/>
          <w:color w:val="auto"/>
          <w:sz w:val="24"/>
          <w:szCs w:val="24"/>
          <w:lang w:val="en-US" w:eastAsia="zh-CN"/>
        </w:rPr>
        <w:t>2.63hm</w:t>
      </w:r>
      <w:r>
        <w:rPr>
          <w:rFonts w:hint="eastAsia"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vertAlign w:val="baseline"/>
          <w:lang w:eastAsia="zh-CN"/>
        </w:rPr>
        <w:t>，</w:t>
      </w:r>
      <w:r>
        <w:rPr>
          <w:rFonts w:hint="default" w:ascii="Times New Roman" w:hAnsi="Times New Roman" w:cs="Times New Roman"/>
          <w:color w:val="auto"/>
          <w:sz w:val="24"/>
          <w:szCs w:val="24"/>
          <w:vertAlign w:val="baseline"/>
          <w:lang w:val="en-US" w:eastAsia="zh-CN"/>
        </w:rPr>
        <w:t>占评价区</w:t>
      </w:r>
      <w:r>
        <w:rPr>
          <w:rFonts w:hint="eastAsia" w:ascii="Times New Roman" w:hAnsi="Times New Roman" w:cs="Times New Roman"/>
          <w:color w:val="auto"/>
          <w:sz w:val="24"/>
          <w:szCs w:val="24"/>
          <w:vertAlign w:val="baseline"/>
          <w:lang w:val="en-US" w:eastAsia="zh-CN"/>
        </w:rPr>
        <w:t>2.98</w:t>
      </w:r>
      <w:r>
        <w:rPr>
          <w:rFonts w:hint="default" w:ascii="Times New Roman" w:hAnsi="Times New Roman" w:cs="Times New Roman"/>
          <w:color w:val="auto"/>
          <w:sz w:val="24"/>
          <w:szCs w:val="24"/>
          <w:vertAlign w:val="baseline"/>
          <w:lang w:val="en-US" w:eastAsia="zh-CN"/>
        </w:rPr>
        <w:t>%</w:t>
      </w:r>
      <w:r>
        <w:rPr>
          <w:rFonts w:hint="eastAsia" w:ascii="Times New Roman" w:hAnsi="Times New Roman" w:cs="Times New Roman"/>
          <w:color w:val="auto"/>
          <w:sz w:val="24"/>
          <w:szCs w:val="24"/>
          <w:vertAlign w:val="baseline"/>
          <w:lang w:val="en-US" w:eastAsia="zh-CN"/>
        </w:rPr>
        <w:t>；</w:t>
      </w:r>
      <w:r>
        <w:rPr>
          <w:rFonts w:hint="eastAsia" w:ascii="Times New Roman" w:hAnsi="Times New Roman" w:cs="Times New Roman"/>
          <w:color w:val="auto"/>
          <w:sz w:val="24"/>
          <w:szCs w:val="24"/>
          <w:lang w:val="en-US" w:eastAsia="zh-CN"/>
        </w:rPr>
        <w:t>铁路用地面积为2.642</w:t>
      </w:r>
      <w:r>
        <w:rPr>
          <w:rFonts w:hint="default" w:ascii="Times New Roman" w:hAnsi="Times New Roman" w:cs="Times New Roman"/>
          <w:color w:val="auto"/>
          <w:sz w:val="24"/>
          <w:szCs w:val="24"/>
          <w:lang w:eastAsia="zh-CN"/>
        </w:rPr>
        <w:t>hm</w:t>
      </w:r>
      <w:r>
        <w:rPr>
          <w:rFonts w:hint="default" w:ascii="Times New Roman" w:hAnsi="Times New Roman" w:cs="Times New Roman"/>
          <w:color w:val="auto"/>
          <w:sz w:val="24"/>
          <w:szCs w:val="24"/>
          <w:vertAlign w:val="superscript"/>
          <w:lang w:eastAsia="zh-CN"/>
        </w:rPr>
        <w:t>2</w:t>
      </w:r>
      <w:r>
        <w:rPr>
          <w:rFonts w:hint="eastAsia" w:ascii="Times New Roman" w:hAnsi="Times New Roman" w:cs="Times New Roman"/>
          <w:color w:val="auto"/>
          <w:sz w:val="24"/>
          <w:szCs w:val="24"/>
          <w:vertAlign w:val="baseline"/>
          <w:lang w:eastAsia="zh-CN"/>
        </w:rPr>
        <w:t>，</w:t>
      </w:r>
      <w:r>
        <w:rPr>
          <w:rFonts w:hint="default" w:ascii="Times New Roman" w:hAnsi="Times New Roman" w:cs="Times New Roman"/>
          <w:color w:val="auto"/>
          <w:sz w:val="24"/>
          <w:szCs w:val="24"/>
          <w:vertAlign w:val="baseline"/>
          <w:lang w:val="en-US" w:eastAsia="zh-CN"/>
        </w:rPr>
        <w:t>占评价区</w:t>
      </w:r>
      <w:r>
        <w:rPr>
          <w:rFonts w:hint="eastAsia" w:ascii="Times New Roman" w:hAnsi="Times New Roman" w:cs="Times New Roman"/>
          <w:color w:val="auto"/>
          <w:sz w:val="24"/>
          <w:szCs w:val="24"/>
          <w:vertAlign w:val="baseline"/>
          <w:lang w:val="en-US" w:eastAsia="zh-CN"/>
        </w:rPr>
        <w:t>2.99</w:t>
      </w:r>
      <w:r>
        <w:rPr>
          <w:rFonts w:hint="default" w:ascii="Times New Roman" w:hAnsi="Times New Roman" w:cs="Times New Roman"/>
          <w:color w:val="auto"/>
          <w:sz w:val="24"/>
          <w:szCs w:val="24"/>
          <w:vertAlign w:val="baseline"/>
          <w:lang w:val="en-US" w:eastAsia="zh-CN"/>
        </w:rPr>
        <w:t>%</w:t>
      </w:r>
      <w:r>
        <w:rPr>
          <w:rFonts w:hint="default" w:ascii="Times New Roman" w:hAnsi="Times New Roman" w:cs="Times New Roman"/>
          <w:color w:val="auto"/>
          <w:sz w:val="24"/>
          <w:szCs w:val="24"/>
          <w:lang w:val="en-US" w:eastAsia="zh-CN"/>
        </w:rPr>
        <w:t>。</w:t>
      </w:r>
    </w:p>
    <w:p w14:paraId="0174218E">
      <w:pPr>
        <w:bidi w:val="0"/>
        <w:spacing w:line="360" w:lineRule="auto"/>
        <w:ind w:firstLine="480" w:firstLineChars="200"/>
        <w:jc w:val="both"/>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根据实地调查并结合现有资料的查阅，本次生态评价范围内未发现《国家重点保护野生植物名录》（国家林业和草原局农业农村部公告2021年第15号）记载的保护植物分布；也未发现</w:t>
      </w:r>
      <w:r>
        <w:rPr>
          <w:rFonts w:hint="eastAsia" w:ascii="Times New Roman" w:hAnsi="Times New Roman" w:cs="Times New Roman"/>
          <w:color w:val="auto"/>
          <w:sz w:val="24"/>
          <w:szCs w:val="24"/>
          <w:lang w:val="en-US" w:eastAsia="zh-CN"/>
        </w:rPr>
        <w:t>《云南省重点保护野生植物名录》（云南省林业和草原局 云南省农业农村厅公告（2023年第11号））</w:t>
      </w:r>
      <w:r>
        <w:rPr>
          <w:rFonts w:hint="default" w:ascii="Times New Roman" w:hAnsi="Times New Roman" w:cs="Times New Roman"/>
          <w:color w:val="auto"/>
          <w:sz w:val="24"/>
          <w:szCs w:val="24"/>
          <w:lang w:val="en-US" w:eastAsia="zh-CN"/>
        </w:rPr>
        <w:t>记载的云南省保护植物，未发现古树名木，评价区内无生态保护物种分布。</w:t>
      </w:r>
    </w:p>
    <w:p w14:paraId="45D70B2C">
      <w:pPr>
        <w:bidi w:val="0"/>
        <w:spacing w:line="360" w:lineRule="auto"/>
        <w:ind w:firstLine="480" w:firstLineChars="200"/>
        <w:jc w:val="both"/>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（3）动物现状</w:t>
      </w:r>
    </w:p>
    <w:p w14:paraId="1FF6C465">
      <w:pPr>
        <w:bidi w:val="0"/>
        <w:spacing w:line="360" w:lineRule="auto"/>
        <w:ind w:firstLine="480" w:firstLineChars="200"/>
        <w:jc w:val="both"/>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经调查访问和沿途观察，评价区域野生动物种类及数量均较少，仅有鼠类、蛇类、麻雀等动物分布，无大型野生动物出没，未发现国家和省级重点保护的珍稀濒危动物，也无国家和省级重点保护的野生动物，评价区域内无生态保护物种分布。</w:t>
      </w:r>
    </w:p>
    <w:p w14:paraId="28B69B77">
      <w:pPr>
        <w:pStyle w:val="9"/>
        <w:spacing w:line="316" w:lineRule="auto"/>
        <w:rPr>
          <w:rFonts w:hint="default" w:ascii="Times New Roman" w:hAnsi="Times New Roman" w:cs="Times New Roman"/>
          <w:color w:val="auto"/>
        </w:rPr>
      </w:pPr>
    </w:p>
    <w:p w14:paraId="0F3385D2">
      <w:pPr>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rFonts w:hint="default" w:ascii="Times New Roman" w:hAnsi="Times New Roman" w:eastAsia="宋体" w:cs="Times New Roman"/>
          <w:color w:val="auto"/>
          <w:sz w:val="30"/>
          <w:szCs w:val="30"/>
        </w:rPr>
      </w:pPr>
      <w:bookmarkStart w:id="125" w:name="_Toc22306"/>
      <w:r>
        <w:rPr>
          <w:rFonts w:hint="eastAsia" w:ascii="Times New Roman" w:hAnsi="Times New Roman" w:eastAsia="宋体" w:cs="Times New Roman"/>
          <w:b/>
          <w:bCs/>
          <w:color w:val="auto"/>
          <w:spacing w:val="-3"/>
          <w:sz w:val="30"/>
          <w:szCs w:val="30"/>
          <w:lang w:val="en-US" w:eastAsia="zh-CN"/>
        </w:rPr>
        <w:t>3</w:t>
      </w:r>
      <w:r>
        <w:rPr>
          <w:rFonts w:hint="default" w:ascii="Times New Roman" w:hAnsi="Times New Roman" w:eastAsia="Times New Roman" w:cs="Times New Roman"/>
          <w:b/>
          <w:bCs/>
          <w:color w:val="auto"/>
          <w:spacing w:val="-3"/>
          <w:sz w:val="30"/>
          <w:szCs w:val="30"/>
        </w:rPr>
        <w:t>.2.</w:t>
      </w:r>
      <w:r>
        <w:rPr>
          <w:rFonts w:hint="default" w:ascii="Times New Roman" w:hAnsi="Times New Roman" w:eastAsia="宋体" w:cs="Times New Roman"/>
          <w:b/>
          <w:bCs/>
          <w:color w:val="auto"/>
          <w:spacing w:val="-3"/>
          <w:sz w:val="30"/>
          <w:szCs w:val="30"/>
          <w:lang w:val="en-US" w:eastAsia="zh-CN"/>
        </w:rPr>
        <w:t>2</w:t>
      </w:r>
      <w:r>
        <w:rPr>
          <w:rFonts w:hint="default" w:ascii="Times New Roman" w:hAnsi="Times New Roman" w:eastAsia="Times New Roman" w:cs="Times New Roman"/>
          <w:b/>
          <w:bCs/>
          <w:color w:val="auto"/>
          <w:spacing w:val="-3"/>
          <w:sz w:val="30"/>
          <w:szCs w:val="30"/>
        </w:rPr>
        <w:t>.</w:t>
      </w:r>
      <w:r>
        <w:rPr>
          <w:rFonts w:hint="default" w:ascii="Times New Roman" w:hAnsi="Times New Roman" w:eastAsia="宋体" w:cs="Times New Roman"/>
          <w:b/>
          <w:bCs/>
          <w:color w:val="auto"/>
          <w:spacing w:val="-3"/>
          <w:sz w:val="30"/>
          <w:szCs w:val="30"/>
        </w:rPr>
        <w:t>环境空气质量现状监测与评价</w:t>
      </w:r>
      <w:bookmarkEnd w:id="125"/>
    </w:p>
    <w:p w14:paraId="3983DE05">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项目所在地属于环境空气二类区，</w:t>
      </w:r>
      <w:r>
        <w:rPr>
          <w:rFonts w:hint="eastAsia" w:ascii="Times New Roman" w:hAnsi="Times New Roman" w:cs="Times New Roman"/>
          <w:color w:val="auto"/>
          <w:sz w:val="24"/>
          <w:szCs w:val="24"/>
          <w:lang w:val="en-US" w:eastAsia="zh-CN"/>
        </w:rPr>
        <w:t>环境</w:t>
      </w:r>
      <w:r>
        <w:rPr>
          <w:rFonts w:hint="default" w:ascii="Times New Roman" w:hAnsi="Times New Roman" w:cs="Times New Roman"/>
          <w:color w:val="auto"/>
          <w:sz w:val="24"/>
          <w:szCs w:val="24"/>
          <w:lang w:eastAsia="zh-CN"/>
        </w:rPr>
        <w:t>空气质量执行《环境空气质量标准》（GB 3095-20</w:t>
      </w:r>
      <w:r>
        <w:rPr>
          <w:rFonts w:hint="eastAsia" w:ascii="Times New Roman" w:hAnsi="Times New Roman" w:cs="Times New Roman"/>
          <w:color w:val="auto"/>
          <w:sz w:val="24"/>
          <w:szCs w:val="24"/>
          <w:lang w:eastAsia="zh-CN"/>
        </w:rPr>
        <w:t>26</w:t>
      </w:r>
      <w:r>
        <w:rPr>
          <w:rFonts w:hint="default" w:ascii="Times New Roman" w:hAnsi="Times New Roman" w:cs="Times New Roman"/>
          <w:color w:val="auto"/>
          <w:sz w:val="24"/>
          <w:szCs w:val="24"/>
          <w:lang w:eastAsia="zh-CN"/>
        </w:rPr>
        <w:t>）二级标准</w:t>
      </w:r>
      <w:r>
        <w:rPr>
          <w:rFonts w:hint="eastAsia" w:ascii="Times New Roman" w:hAnsi="Times New Roman" w:cs="Times New Roman"/>
          <w:color w:val="auto"/>
          <w:sz w:val="24"/>
          <w:szCs w:val="24"/>
          <w:lang w:eastAsia="zh-CN"/>
        </w:rPr>
        <w:t>。自</w:t>
      </w:r>
      <w:r>
        <w:rPr>
          <w:rFonts w:hint="eastAsia" w:ascii="Times New Roman" w:hAnsi="Times New Roman" w:cs="Times New Roman"/>
          <w:color w:val="auto"/>
          <w:sz w:val="24"/>
          <w:szCs w:val="24"/>
          <w:lang w:val="en-US" w:eastAsia="zh-CN"/>
        </w:rPr>
        <w:t>该</w:t>
      </w:r>
      <w:r>
        <w:rPr>
          <w:rFonts w:hint="eastAsia" w:ascii="Times New Roman" w:hAnsi="Times New Roman" w:cs="Times New Roman"/>
          <w:color w:val="auto"/>
          <w:sz w:val="24"/>
          <w:szCs w:val="24"/>
          <w:lang w:eastAsia="zh-CN"/>
        </w:rPr>
        <w:t>标准实施之日起至2030年12月31日止，环境空气污染物基本项目（表1）实施过渡阶段浓度限值；自2031年1月1日起，在全国范围内实施基本项目（表1）浓度限值</w:t>
      </w:r>
      <w:r>
        <w:rPr>
          <w:rFonts w:hint="default" w:ascii="Times New Roman" w:hAnsi="Times New Roman" w:cs="Times New Roman"/>
          <w:color w:val="auto"/>
          <w:sz w:val="24"/>
          <w:szCs w:val="24"/>
          <w:lang w:eastAsia="zh-CN"/>
        </w:rPr>
        <w:t>。</w:t>
      </w:r>
    </w:p>
    <w:p w14:paraId="75C6940A">
      <w:pPr>
        <w:pStyle w:val="5"/>
        <w:keepNext/>
        <w:keepLines/>
        <w:pageBreakBefore w:val="0"/>
        <w:widowControl w:val="0"/>
        <w:numPr>
          <w:ilvl w:val="0"/>
          <w:numId w:val="0"/>
        </w:numPr>
        <w:kinsoku/>
        <w:wordWrap/>
        <w:overflowPunct/>
        <w:topLinePunct w:val="0"/>
        <w:autoSpaceDE/>
        <w:autoSpaceDN/>
        <w:bidi w:val="0"/>
        <w:adjustRightInd/>
        <w:snapToGrid/>
        <w:spacing w:before="0" w:beforeLines="0"/>
        <w:textAlignment w:val="auto"/>
        <w:rPr>
          <w:rFonts w:hint="default" w:ascii="Times New Roman" w:hAnsi="Times New Roman" w:eastAsia="宋体" w:cs="Times New Roman"/>
          <w:caps w:val="0"/>
          <w:color w:val="auto"/>
          <w:spacing w:val="0"/>
          <w:highlight w:val="none"/>
          <w:lang w:val="en-US" w:eastAsia="zh-CN"/>
        </w:rPr>
      </w:pPr>
      <w:r>
        <w:rPr>
          <w:rFonts w:hint="eastAsia" w:ascii="Times New Roman" w:hAnsi="Times New Roman" w:cs="Times New Roman"/>
          <w:caps w:val="0"/>
          <w:color w:val="auto"/>
          <w:spacing w:val="0"/>
          <w:highlight w:val="none"/>
          <w:lang w:val="en-US" w:eastAsia="zh-CN"/>
        </w:rPr>
        <w:t>3.2.2.1</w:t>
      </w:r>
      <w:r>
        <w:rPr>
          <w:rFonts w:hint="default" w:ascii="Times New Roman" w:hAnsi="Times New Roman" w:eastAsia="宋体" w:cs="Times New Roman"/>
          <w:caps w:val="0"/>
          <w:color w:val="auto"/>
          <w:spacing w:val="0"/>
          <w:highlight w:val="none"/>
          <w:lang w:val="en-US" w:eastAsia="zh-CN"/>
        </w:rPr>
        <w:t xml:space="preserve"> 项目所在区域达标判断</w:t>
      </w:r>
    </w:p>
    <w:p w14:paraId="41FC082F">
      <w:pPr>
        <w:bidi w:val="0"/>
        <w:spacing w:line="360" w:lineRule="auto"/>
        <w:ind w:firstLine="480" w:firstLineChars="200"/>
        <w:jc w:val="both"/>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根据《曲靖市环境质量年报（202</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年）》，曲靖市20</w:t>
      </w:r>
      <w:r>
        <w:rPr>
          <w:rFonts w:hint="eastAsia" w:ascii="Times New Roman" w:hAnsi="Times New Roman" w:cs="Times New Roman"/>
          <w:color w:val="auto"/>
          <w:sz w:val="24"/>
          <w:szCs w:val="24"/>
          <w:lang w:val="en-US" w:eastAsia="zh-CN"/>
        </w:rPr>
        <w:t>25</w:t>
      </w:r>
      <w:r>
        <w:rPr>
          <w:rFonts w:hint="default" w:ascii="Times New Roman" w:hAnsi="Times New Roman" w:cs="Times New Roman"/>
          <w:color w:val="auto"/>
          <w:sz w:val="24"/>
          <w:szCs w:val="24"/>
          <w:lang w:eastAsia="zh-CN"/>
        </w:rPr>
        <w:t>年环境空气中SO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、NO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10</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2.5</w:t>
      </w:r>
      <w:r>
        <w:rPr>
          <w:rFonts w:hint="default" w:ascii="Times New Roman" w:hAnsi="Times New Roman" w:cs="Times New Roman"/>
          <w:color w:val="auto"/>
          <w:sz w:val="24"/>
          <w:szCs w:val="24"/>
          <w:lang w:eastAsia="zh-CN"/>
        </w:rPr>
        <w:t>年均浓度、CO24小时平均第95百分位数浓度及O</w:t>
      </w:r>
      <w:r>
        <w:rPr>
          <w:rFonts w:hint="default" w:ascii="Times New Roman" w:hAnsi="Times New Roman" w:cs="Times New Roman"/>
          <w:color w:val="auto"/>
          <w:sz w:val="24"/>
          <w:szCs w:val="24"/>
          <w:vertAlign w:val="subscript"/>
          <w:lang w:eastAsia="zh-CN"/>
        </w:rPr>
        <w:t>3</w:t>
      </w:r>
      <w:r>
        <w:rPr>
          <w:rFonts w:hint="default" w:ascii="Times New Roman" w:hAnsi="Times New Roman" w:cs="Times New Roman"/>
          <w:color w:val="auto"/>
          <w:sz w:val="24"/>
          <w:szCs w:val="24"/>
          <w:lang w:eastAsia="zh-CN"/>
        </w:rPr>
        <w:t>日最大8小时平均第90百分位数浓度均小于《环境空气质量标准》（GB3095-20</w:t>
      </w:r>
      <w:r>
        <w:rPr>
          <w:rFonts w:hint="eastAsia" w:ascii="Times New Roman" w:hAnsi="Times New Roman" w:cs="Times New Roman"/>
          <w:color w:val="auto"/>
          <w:sz w:val="24"/>
          <w:szCs w:val="24"/>
          <w:lang w:val="en-US" w:eastAsia="zh-CN"/>
        </w:rPr>
        <w:t>26</w:t>
      </w:r>
      <w:r>
        <w:rPr>
          <w:rFonts w:hint="default" w:ascii="Times New Roman" w:hAnsi="Times New Roman" w:cs="Times New Roman"/>
          <w:color w:val="auto"/>
          <w:sz w:val="24"/>
          <w:szCs w:val="24"/>
          <w:lang w:eastAsia="zh-CN"/>
        </w:rPr>
        <w:t>）二级标准，项目所在区域为环境空气质量达标区</w:t>
      </w:r>
      <w:r>
        <w:rPr>
          <w:rFonts w:hint="default" w:ascii="Times New Roman" w:hAnsi="Times New Roman" w:cs="Times New Roman"/>
          <w:color w:val="auto"/>
          <w:sz w:val="24"/>
          <w:szCs w:val="24"/>
          <w:lang w:val="en-US" w:eastAsia="zh-CN"/>
        </w:rPr>
        <w:t>。</w:t>
      </w:r>
    </w:p>
    <w:p w14:paraId="06E75206">
      <w:pPr>
        <w:bidi w:val="0"/>
        <w:spacing w:line="360" w:lineRule="auto"/>
        <w:ind w:firstLine="480" w:firstLineChars="200"/>
        <w:jc w:val="both"/>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w:t>
      </w:r>
      <w:r>
        <w:rPr>
          <w:rFonts w:hint="eastAsia" w:ascii="Times New Roman" w:hAnsi="Times New Roman" w:cs="Times New Roman"/>
          <w:color w:val="auto"/>
          <w:sz w:val="24"/>
          <w:szCs w:val="24"/>
          <w:lang w:val="en-US" w:eastAsia="zh-CN"/>
        </w:rPr>
        <w:t>2025</w:t>
      </w:r>
      <w:r>
        <w:rPr>
          <w:rFonts w:hint="default" w:ascii="Times New Roman" w:hAnsi="Times New Roman" w:cs="Times New Roman"/>
          <w:color w:val="auto"/>
          <w:sz w:val="24"/>
          <w:szCs w:val="24"/>
          <w:lang w:eastAsia="zh-CN"/>
        </w:rPr>
        <w:t>年曲靖市</w:t>
      </w:r>
      <w:r>
        <w:rPr>
          <w:rFonts w:hint="eastAsia" w:ascii="Times New Roman" w:hAnsi="Times New Roman" w:cs="Times New Roman"/>
          <w:color w:val="auto"/>
          <w:sz w:val="24"/>
          <w:szCs w:val="24"/>
          <w:lang w:val="en-US" w:eastAsia="zh-CN"/>
        </w:rPr>
        <w:t>沾益区</w:t>
      </w:r>
      <w:r>
        <w:rPr>
          <w:rFonts w:hint="default" w:ascii="Times New Roman" w:hAnsi="Times New Roman" w:cs="Times New Roman"/>
          <w:color w:val="auto"/>
          <w:sz w:val="24"/>
          <w:szCs w:val="24"/>
          <w:lang w:eastAsia="zh-CN"/>
        </w:rPr>
        <w:t>环境质量数据的统计，曲靖市</w:t>
      </w:r>
      <w:r>
        <w:rPr>
          <w:rFonts w:hint="eastAsia" w:ascii="Times New Roman" w:hAnsi="Times New Roman" w:cs="Times New Roman"/>
          <w:color w:val="auto"/>
          <w:sz w:val="24"/>
          <w:szCs w:val="24"/>
          <w:lang w:val="en-US" w:eastAsia="zh-CN"/>
        </w:rPr>
        <w:t>沾益区</w:t>
      </w:r>
      <w:r>
        <w:rPr>
          <w:rFonts w:hint="default" w:ascii="Times New Roman" w:hAnsi="Times New Roman" w:cs="Times New Roman"/>
          <w:color w:val="auto"/>
          <w:sz w:val="24"/>
          <w:szCs w:val="24"/>
          <w:lang w:eastAsia="zh-CN"/>
        </w:rPr>
        <w:t>202</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年SO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、NO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10</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2.5</w:t>
      </w:r>
      <w:r>
        <w:rPr>
          <w:rFonts w:hint="default" w:ascii="Times New Roman" w:hAnsi="Times New Roman" w:cs="Times New Roman"/>
          <w:color w:val="auto"/>
          <w:sz w:val="24"/>
          <w:szCs w:val="24"/>
          <w:lang w:eastAsia="zh-CN"/>
        </w:rPr>
        <w:t>年均浓度分别为</w:t>
      </w:r>
      <w:r>
        <w:rPr>
          <w:rFonts w:hint="eastAsia" w:ascii="Times New Roman" w:hAnsi="Times New Roman" w:cs="Times New Roman"/>
          <w:color w:val="auto"/>
          <w:sz w:val="24"/>
          <w:szCs w:val="24"/>
          <w:lang w:val="en-US" w:eastAsia="zh-CN"/>
        </w:rPr>
        <w:t>11</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13</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36</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23</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；CO24小时平均第95百分位数为</w:t>
      </w:r>
      <w:r>
        <w:rPr>
          <w:rFonts w:hint="eastAsia" w:ascii="Times New Roman" w:hAnsi="Times New Roman" w:cs="Times New Roman"/>
          <w:color w:val="auto"/>
          <w:sz w:val="24"/>
          <w:szCs w:val="24"/>
          <w:lang w:val="en-US" w:eastAsia="zh-CN"/>
        </w:rPr>
        <w:t>1.1</w:t>
      </w:r>
      <w:r>
        <w:rPr>
          <w:rFonts w:hint="default" w:ascii="Times New Roman" w:hAnsi="Times New Roman" w:cs="Times New Roman"/>
          <w:color w:val="auto"/>
          <w:sz w:val="24"/>
          <w:szCs w:val="24"/>
          <w:lang w:eastAsia="zh-CN"/>
        </w:rPr>
        <w:t>mg/m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，O</w:t>
      </w:r>
      <w:r>
        <w:rPr>
          <w:rFonts w:hint="default" w:ascii="Times New Roman" w:hAnsi="Times New Roman" w:cs="Times New Roman"/>
          <w:color w:val="auto"/>
          <w:sz w:val="24"/>
          <w:szCs w:val="24"/>
          <w:vertAlign w:val="subscript"/>
          <w:lang w:eastAsia="zh-CN"/>
        </w:rPr>
        <w:t>3</w:t>
      </w:r>
      <w:r>
        <w:rPr>
          <w:rFonts w:hint="default" w:ascii="Times New Roman" w:hAnsi="Times New Roman" w:cs="Times New Roman"/>
          <w:color w:val="auto"/>
          <w:sz w:val="24"/>
          <w:szCs w:val="24"/>
          <w:lang w:eastAsia="zh-CN"/>
        </w:rPr>
        <w:t>日最大8小时平均第90百分位数为</w:t>
      </w:r>
      <w:r>
        <w:rPr>
          <w:rFonts w:hint="eastAsia" w:ascii="Times New Roman" w:hAnsi="Times New Roman" w:cs="Times New Roman"/>
          <w:color w:val="auto"/>
          <w:sz w:val="24"/>
          <w:szCs w:val="24"/>
          <w:lang w:val="en-US" w:eastAsia="zh-CN"/>
        </w:rPr>
        <w:t>127</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，各污染物平均浓度均优于《环境空气质量标准》（GB3095-</w:t>
      </w:r>
      <w:r>
        <w:rPr>
          <w:rFonts w:hint="eastAsia" w:ascii="Times New Roman" w:hAnsi="Times New Roman" w:cs="Times New Roman"/>
          <w:color w:val="auto"/>
          <w:sz w:val="24"/>
          <w:szCs w:val="24"/>
          <w:lang w:val="en-US" w:eastAsia="zh-CN"/>
        </w:rPr>
        <w:t>2026</w:t>
      </w:r>
      <w:r>
        <w:rPr>
          <w:rFonts w:hint="default" w:ascii="Times New Roman" w:hAnsi="Times New Roman" w:cs="Times New Roman"/>
          <w:color w:val="auto"/>
          <w:sz w:val="24"/>
          <w:szCs w:val="24"/>
          <w:lang w:eastAsia="zh-CN"/>
        </w:rPr>
        <w:t>）中二级标准限值，由此判定曲靖市</w:t>
      </w:r>
      <w:r>
        <w:rPr>
          <w:rFonts w:hint="eastAsia" w:ascii="Times New Roman" w:hAnsi="Times New Roman" w:cs="Times New Roman"/>
          <w:color w:val="auto"/>
          <w:sz w:val="24"/>
          <w:szCs w:val="24"/>
          <w:lang w:val="en-US" w:eastAsia="zh-CN"/>
        </w:rPr>
        <w:t>沾益区</w:t>
      </w:r>
      <w:r>
        <w:rPr>
          <w:rFonts w:hint="default" w:ascii="Times New Roman" w:hAnsi="Times New Roman" w:cs="Times New Roman"/>
          <w:color w:val="auto"/>
          <w:sz w:val="24"/>
          <w:szCs w:val="24"/>
          <w:lang w:eastAsia="zh-CN"/>
        </w:rPr>
        <w:t>为达标区。</w:t>
      </w:r>
    </w:p>
    <w:p w14:paraId="4E3B8123">
      <w:pPr>
        <w:pStyle w:val="5"/>
        <w:keepNext/>
        <w:keepLines/>
        <w:pageBreakBefore w:val="0"/>
        <w:widowControl w:val="0"/>
        <w:numPr>
          <w:ilvl w:val="0"/>
          <w:numId w:val="0"/>
        </w:numPr>
        <w:kinsoku/>
        <w:wordWrap/>
        <w:overflowPunct/>
        <w:topLinePunct w:val="0"/>
        <w:autoSpaceDE/>
        <w:autoSpaceDN/>
        <w:bidi w:val="0"/>
        <w:adjustRightInd/>
        <w:snapToGrid/>
        <w:spacing w:before="0" w:beforeLines="0"/>
        <w:textAlignment w:val="auto"/>
        <w:rPr>
          <w:rFonts w:hint="default" w:ascii="Times New Roman" w:hAnsi="Times New Roman" w:eastAsia="宋体" w:cs="Times New Roman"/>
          <w:caps w:val="0"/>
          <w:color w:val="auto"/>
          <w:spacing w:val="0"/>
          <w:highlight w:val="none"/>
          <w:lang w:val="en-US" w:eastAsia="zh-CN"/>
        </w:rPr>
      </w:pPr>
      <w:r>
        <w:rPr>
          <w:rFonts w:hint="eastAsia" w:ascii="Times New Roman" w:hAnsi="Times New Roman" w:cs="Times New Roman"/>
          <w:caps w:val="0"/>
          <w:color w:val="auto"/>
          <w:spacing w:val="0"/>
          <w:highlight w:val="none"/>
          <w:lang w:val="en-US" w:eastAsia="zh-CN"/>
        </w:rPr>
        <w:t>3.2.2.1</w:t>
      </w:r>
      <w:r>
        <w:rPr>
          <w:rFonts w:hint="default" w:ascii="Times New Roman" w:hAnsi="Times New Roman" w:eastAsia="宋体" w:cs="Times New Roman"/>
          <w:caps w:val="0"/>
          <w:color w:val="auto"/>
          <w:spacing w:val="0"/>
          <w:highlight w:val="none"/>
          <w:lang w:val="en-US" w:eastAsia="zh-CN"/>
        </w:rPr>
        <w:t xml:space="preserve"> 其它污染物环境空气质量现状评价</w:t>
      </w:r>
    </w:p>
    <w:p w14:paraId="27D8E2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color w:val="auto"/>
          <w:spacing w:val="0"/>
          <w:sz w:val="24"/>
          <w:szCs w:val="24"/>
          <w:highlight w:val="none"/>
          <w:lang w:val="en-US" w:eastAsia="zh-CN"/>
        </w:rPr>
      </w:pPr>
      <w:r>
        <w:rPr>
          <w:rFonts w:hint="default" w:ascii="Times New Roman" w:hAnsi="Times New Roman" w:eastAsia="宋体" w:cs="Times New Roman"/>
          <w:b/>
          <w:bCs/>
          <w:caps w:val="0"/>
          <w:color w:val="auto"/>
          <w:spacing w:val="0"/>
          <w:kern w:val="2"/>
          <w:sz w:val="24"/>
          <w:szCs w:val="24"/>
          <w:highlight w:val="none"/>
          <w:lang w:val="en-US" w:eastAsia="zh-CN" w:bidi="ar-SA"/>
        </w:rPr>
        <w:t>（1）</w:t>
      </w:r>
      <w:r>
        <w:rPr>
          <w:rFonts w:hint="default" w:ascii="Times New Roman" w:hAnsi="Times New Roman" w:eastAsia="宋体" w:cs="Times New Roman"/>
          <w:b/>
          <w:bCs/>
          <w:caps w:val="0"/>
          <w:color w:val="auto"/>
          <w:spacing w:val="0"/>
          <w:sz w:val="24"/>
          <w:szCs w:val="24"/>
          <w:highlight w:val="none"/>
          <w:lang w:val="en-US" w:eastAsia="zh-CN"/>
        </w:rPr>
        <w:t>现状评价因子</w:t>
      </w:r>
    </w:p>
    <w:p w14:paraId="731D8950">
      <w:pPr>
        <w:bidi w:val="0"/>
        <w:spacing w:line="360" w:lineRule="auto"/>
        <w:ind w:firstLine="480" w:firstLineChars="200"/>
        <w:jc w:val="both"/>
        <w:rPr>
          <w:rFonts w:hint="default" w:ascii="Times New Roman" w:hAnsi="Times New Roman" w:eastAsia="宋体" w:cs="Times New Roman"/>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根据建设项目的工程概况、工艺特点和污染特征，经前文识别和筛选，</w:t>
      </w:r>
      <w:r>
        <w:rPr>
          <w:rFonts w:hint="default" w:ascii="Times New Roman" w:hAnsi="Times New Roman" w:eastAsia="宋体" w:cs="Times New Roman"/>
          <w:snapToGrid w:val="0"/>
          <w:color w:val="auto"/>
          <w:spacing w:val="0"/>
          <w:kern w:val="0"/>
          <w:sz w:val="24"/>
          <w:szCs w:val="24"/>
          <w:lang w:val="en-US" w:eastAsia="en-US" w:bidi="ar-SA"/>
        </w:rPr>
        <w:t>项目大气污染源主要是内燃机废气、道路扬尘、汽车尾气等，均为移动源，扩散速度快，对环境影响较小</w:t>
      </w:r>
      <w:r>
        <w:rPr>
          <w:rFonts w:hint="eastAsia" w:ascii="Times New Roman" w:hAnsi="Times New Roman" w:eastAsia="宋体" w:cs="Times New Roman"/>
          <w:snapToGrid w:val="0"/>
          <w:color w:val="auto"/>
          <w:spacing w:val="0"/>
          <w:kern w:val="0"/>
          <w:sz w:val="24"/>
          <w:szCs w:val="24"/>
          <w:lang w:val="en-US" w:eastAsia="zh-CN" w:bidi="ar-SA"/>
        </w:rPr>
        <w:t>，项目影响最大的是颗粒物</w:t>
      </w:r>
      <w:r>
        <w:rPr>
          <w:rFonts w:hint="default" w:ascii="Times New Roman" w:hAnsi="Times New Roman" w:eastAsia="宋体" w:cs="Times New Roman"/>
          <w:snapToGrid w:val="0"/>
          <w:color w:val="auto"/>
          <w:spacing w:val="0"/>
          <w:kern w:val="0"/>
          <w:sz w:val="24"/>
          <w:szCs w:val="24"/>
          <w:lang w:val="en-US" w:eastAsia="en-US" w:bidi="ar-SA"/>
        </w:rPr>
        <w:t>。</w:t>
      </w:r>
    </w:p>
    <w:p w14:paraId="0208621C">
      <w:pPr>
        <w:bidi w:val="0"/>
        <w:spacing w:line="360" w:lineRule="auto"/>
        <w:ind w:firstLine="480" w:firstLineChars="200"/>
        <w:jc w:val="both"/>
        <w:rPr>
          <w:rFonts w:hint="default" w:ascii="Times New Roman" w:hAnsi="Times New Roman" w:cs="Times New Roman"/>
          <w:color w:val="auto"/>
          <w:sz w:val="24"/>
          <w:szCs w:val="24"/>
          <w:lang w:eastAsia="zh-CN"/>
        </w:rPr>
      </w:pPr>
      <w:r>
        <w:rPr>
          <w:rFonts w:hint="default" w:ascii="Times New Roman" w:hAnsi="Times New Roman" w:eastAsia="宋体" w:cs="Times New Roman"/>
          <w:caps w:val="0"/>
          <w:color w:val="auto"/>
          <w:spacing w:val="0"/>
          <w:sz w:val="24"/>
          <w:szCs w:val="24"/>
          <w:highlight w:val="none"/>
          <w:lang w:val="en-US" w:eastAsia="zh-CN"/>
        </w:rPr>
        <w:t>确定环境空气质量现状评价因子为：</w:t>
      </w:r>
      <w:r>
        <w:rPr>
          <w:rFonts w:hint="default" w:ascii="Times New Roman" w:hAnsi="Times New Roman" w:eastAsia="宋体" w:cs="Times New Roman"/>
          <w:color w:val="auto"/>
          <w:sz w:val="24"/>
          <w:szCs w:val="24"/>
          <w:highlight w:val="none"/>
          <w:lang w:val="en-US" w:eastAsia="zh-CN"/>
        </w:rPr>
        <w:t>TSP</w:t>
      </w:r>
      <w:r>
        <w:rPr>
          <w:rFonts w:hint="default" w:ascii="Times New Roman" w:hAnsi="Times New Roman" w:eastAsia="宋体" w:cs="Times New Roman"/>
          <w:color w:val="auto"/>
          <w:spacing w:val="0"/>
          <w:position w:val="0"/>
          <w:sz w:val="24"/>
          <w:szCs w:val="24"/>
          <w:highlight w:val="none"/>
          <w:lang w:val="en-US" w:eastAsia="zh-CN"/>
        </w:rPr>
        <w:t>。</w:t>
      </w:r>
    </w:p>
    <w:p w14:paraId="591ED4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color w:val="auto"/>
          <w:spacing w:val="0"/>
          <w:sz w:val="24"/>
          <w:szCs w:val="24"/>
          <w:highlight w:val="none"/>
          <w:lang w:val="en-US" w:eastAsia="zh-CN"/>
        </w:rPr>
      </w:pPr>
      <w:r>
        <w:rPr>
          <w:rFonts w:hint="default" w:ascii="Times New Roman" w:hAnsi="Times New Roman" w:eastAsia="宋体" w:cs="Times New Roman"/>
          <w:b/>
          <w:bCs/>
          <w:caps w:val="0"/>
          <w:color w:val="auto"/>
          <w:spacing w:val="0"/>
          <w:kern w:val="2"/>
          <w:sz w:val="24"/>
          <w:szCs w:val="24"/>
          <w:highlight w:val="none"/>
          <w:lang w:val="en-US" w:eastAsia="zh-CN" w:bidi="ar-SA"/>
        </w:rPr>
        <w:t>（2）</w:t>
      </w:r>
      <w:r>
        <w:rPr>
          <w:rFonts w:hint="default" w:ascii="Times New Roman" w:hAnsi="Times New Roman" w:eastAsia="宋体" w:cs="Times New Roman"/>
          <w:b/>
          <w:bCs/>
          <w:color w:val="auto"/>
          <w:spacing w:val="0"/>
          <w:position w:val="0"/>
          <w:sz w:val="24"/>
          <w:szCs w:val="24"/>
          <w:highlight w:val="none"/>
          <w:lang w:val="en-US" w:eastAsia="zh-CN"/>
        </w:rPr>
        <w:t>环境质量现状数据来源</w:t>
      </w:r>
    </w:p>
    <w:p w14:paraId="29F67D9D">
      <w:pPr>
        <w:spacing w:line="360" w:lineRule="auto"/>
        <w:ind w:firstLine="470" w:firstLineChars="196"/>
        <w:jc w:val="both"/>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本项目</w:t>
      </w:r>
      <w:r>
        <w:rPr>
          <w:rFonts w:hint="default" w:ascii="Times New Roman" w:hAnsi="Times New Roman" w:eastAsia="宋体" w:cs="Times New Roman"/>
          <w:color w:val="auto"/>
          <w:sz w:val="24"/>
          <w:szCs w:val="24"/>
          <w:highlight w:val="none"/>
        </w:rPr>
        <w:t>区域环境空气质量中的</w:t>
      </w:r>
      <w:r>
        <w:rPr>
          <w:rFonts w:hint="default" w:ascii="Times New Roman" w:hAnsi="Times New Roman" w:eastAsia="宋体" w:cs="Times New Roman"/>
          <w:color w:val="auto"/>
          <w:sz w:val="24"/>
          <w:szCs w:val="24"/>
          <w:highlight w:val="none"/>
          <w:lang w:val="en-US" w:eastAsia="zh-CN"/>
        </w:rPr>
        <w:t>TSP</w:t>
      </w:r>
      <w:r>
        <w:rPr>
          <w:rFonts w:hint="default" w:ascii="Times New Roman" w:hAnsi="Times New Roman" w:eastAsia="宋体" w:cs="Times New Roman"/>
          <w:color w:val="auto"/>
          <w:sz w:val="24"/>
        </w:rPr>
        <w:t>引用</w:t>
      </w:r>
      <w:r>
        <w:rPr>
          <w:rFonts w:hint="default" w:ascii="Times New Roman" w:hAnsi="Times New Roman" w:eastAsia="宋体" w:cs="Times New Roman"/>
          <w:color w:val="auto"/>
          <w:sz w:val="24"/>
          <w:lang w:val="en-US" w:eastAsia="zh-CN"/>
        </w:rPr>
        <w:t>云南联风气体科技有限公司</w:t>
      </w:r>
      <w:r>
        <w:rPr>
          <w:rFonts w:hint="default" w:ascii="Times New Roman" w:hAnsi="Times New Roman" w:eastAsia="宋体" w:cs="Times New Roman"/>
          <w:color w:val="auto"/>
          <w:sz w:val="24"/>
        </w:rPr>
        <w:t>所做的</w:t>
      </w:r>
      <w:r>
        <w:rPr>
          <w:rFonts w:hint="default" w:ascii="Times New Roman" w:hAnsi="Times New Roman" w:eastAsia="宋体" w:cs="Times New Roman"/>
          <w:color w:val="auto"/>
          <w:sz w:val="24"/>
          <w:lang w:val="en-US" w:eastAsia="zh-CN"/>
        </w:rPr>
        <w:t>《云南联风气体科技有限公司特气项目检测》中监测点（</w:t>
      </w:r>
      <w:r>
        <w:rPr>
          <w:rFonts w:hint="default" w:ascii="Times New Roman" w:hAnsi="Times New Roman" w:cs="Times New Roman"/>
          <w:color w:val="auto"/>
          <w:sz w:val="24"/>
          <w:lang w:val="en-US" w:eastAsia="zh-CN"/>
        </w:rPr>
        <w:t>A2十里铺村103°53′2.539″</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25°43′42.627″</w:t>
      </w:r>
      <w:r>
        <w:rPr>
          <w:rFonts w:hint="default" w:ascii="Times New Roman" w:hAnsi="Times New Roman" w:eastAsia="宋体" w:cs="Times New Roman"/>
          <w:color w:val="auto"/>
          <w:sz w:val="24"/>
          <w:lang w:val="en-US" w:eastAsia="zh-CN"/>
        </w:rPr>
        <w:t>）监测数据，监测点位于本项目</w:t>
      </w:r>
      <w:r>
        <w:rPr>
          <w:rFonts w:hint="default" w:ascii="Times New Roman" w:hAnsi="Times New Roman" w:cs="Times New Roman"/>
          <w:color w:val="auto"/>
          <w:sz w:val="24"/>
          <w:lang w:val="en-US" w:eastAsia="zh-CN"/>
        </w:rPr>
        <w:t>东</w:t>
      </w:r>
      <w:r>
        <w:rPr>
          <w:rFonts w:hint="default" w:ascii="Times New Roman" w:hAnsi="Times New Roman" w:eastAsia="宋体" w:cs="Times New Roman"/>
          <w:color w:val="auto"/>
          <w:sz w:val="24"/>
          <w:lang w:val="en-US" w:eastAsia="zh-CN"/>
        </w:rPr>
        <w:t>南面2</w:t>
      </w:r>
      <w:r>
        <w:rPr>
          <w:rFonts w:hint="default" w:ascii="Times New Roman" w:hAnsi="Times New Roman" w:cs="Times New Roman"/>
          <w:color w:val="auto"/>
          <w:sz w:val="24"/>
          <w:lang w:val="en-US" w:eastAsia="zh-CN"/>
        </w:rPr>
        <w:t>470</w:t>
      </w:r>
      <w:r>
        <w:rPr>
          <w:rFonts w:hint="default" w:ascii="Times New Roman" w:hAnsi="Times New Roman" w:eastAsia="宋体" w:cs="Times New Roman"/>
          <w:color w:val="auto"/>
          <w:sz w:val="24"/>
          <w:lang w:val="en-US" w:eastAsia="zh-CN"/>
        </w:rPr>
        <w:t>m。其中监测时间：202</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val="en-US" w:eastAsia="zh-CN"/>
        </w:rPr>
        <w:t>年</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val="en-US" w:eastAsia="zh-CN"/>
        </w:rPr>
        <w:t>月2</w:t>
      </w: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lang w:val="en-US" w:eastAsia="zh-CN"/>
        </w:rPr>
        <w:t>日</w:t>
      </w:r>
      <w:r>
        <w:rPr>
          <w:rFonts w:hint="default" w:ascii="Times New Roman" w:hAnsi="Times New Roman" w:cs="Times New Roman"/>
          <w:color w:val="auto"/>
          <w:sz w:val="24"/>
          <w:lang w:val="en-US" w:eastAsia="zh-CN"/>
        </w:rPr>
        <w:t>—</w:t>
      </w:r>
      <w:r>
        <w:rPr>
          <w:rFonts w:hint="default" w:ascii="Times New Roman" w:hAnsi="Times New Roman" w:eastAsia="宋体" w:cs="Times New Roman"/>
          <w:color w:val="auto"/>
          <w:sz w:val="24"/>
          <w:lang w:val="en-US" w:eastAsia="zh-CN"/>
        </w:rPr>
        <w:t>202</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val="en-US" w:eastAsia="zh-CN"/>
        </w:rPr>
        <w:t>年</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val="en-US" w:eastAsia="zh-CN"/>
        </w:rPr>
        <w:t>月28日，连续监测</w:t>
      </w:r>
      <w:r>
        <w:rPr>
          <w:rFonts w:hint="default" w:ascii="Times New Roman" w:hAnsi="Times New Roman" w:cs="Times New Roman"/>
          <w:color w:val="auto"/>
          <w:sz w:val="24"/>
          <w:lang w:val="en-US" w:eastAsia="zh-CN"/>
        </w:rPr>
        <w:t>7</w:t>
      </w:r>
      <w:r>
        <w:rPr>
          <w:rFonts w:hint="default" w:ascii="Times New Roman" w:hAnsi="Times New Roman" w:eastAsia="宋体" w:cs="Times New Roman"/>
          <w:color w:val="auto"/>
          <w:sz w:val="24"/>
          <w:lang w:val="en-US" w:eastAsia="zh-CN"/>
        </w:rPr>
        <w:t>天。</w:t>
      </w:r>
    </w:p>
    <w:p w14:paraId="0BEFD9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aps w:val="0"/>
          <w:color w:val="auto"/>
          <w:spacing w:val="0"/>
          <w:sz w:val="24"/>
          <w:highlight w:val="none"/>
          <w:lang w:val="en-GB" w:eastAsia="zh-CN"/>
        </w:rPr>
        <w:t>《环境影响评价技术导则 大气环境》（HJ2.2-20</w:t>
      </w:r>
      <w:r>
        <w:rPr>
          <w:rFonts w:hint="default" w:ascii="Times New Roman" w:hAnsi="Times New Roman" w:eastAsia="宋体" w:cs="Times New Roman"/>
          <w:caps w:val="0"/>
          <w:color w:val="auto"/>
          <w:spacing w:val="0"/>
          <w:sz w:val="24"/>
          <w:highlight w:val="none"/>
          <w:lang w:val="en-US" w:eastAsia="zh-CN"/>
        </w:rPr>
        <w:t>1</w:t>
      </w:r>
      <w:r>
        <w:rPr>
          <w:rFonts w:hint="default" w:ascii="Times New Roman" w:hAnsi="Times New Roman" w:eastAsia="宋体" w:cs="Times New Roman"/>
          <w:caps w:val="0"/>
          <w:color w:val="auto"/>
          <w:spacing w:val="0"/>
          <w:sz w:val="24"/>
          <w:highlight w:val="none"/>
          <w:lang w:val="en-GB" w:eastAsia="zh-CN"/>
        </w:rPr>
        <w:t>8）</w:t>
      </w:r>
      <w:r>
        <w:rPr>
          <w:rFonts w:hint="default" w:ascii="Times New Roman" w:hAnsi="Times New Roman" w:eastAsia="宋体" w:cs="Times New Roman"/>
          <w:caps w:val="0"/>
          <w:color w:val="auto"/>
          <w:spacing w:val="0"/>
          <w:sz w:val="24"/>
          <w:highlight w:val="none"/>
          <w:lang w:val="en-US" w:eastAsia="zh-CN"/>
        </w:rPr>
        <w:t>6.2.2.2节</w:t>
      </w:r>
      <w:r>
        <w:rPr>
          <w:rFonts w:hint="default" w:ascii="Times New Roman" w:hAnsi="Times New Roman" w:eastAsia="宋体" w:cs="Times New Roman"/>
          <w:color w:val="auto"/>
          <w:sz w:val="24"/>
          <w:szCs w:val="24"/>
          <w:highlight w:val="none"/>
        </w:rPr>
        <w:t>中</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评价范围内没有环境空气质量监测网数据或公开发布的环境空气质量现状数据的，</w:t>
      </w:r>
      <w:r>
        <w:rPr>
          <w:rFonts w:hint="default" w:ascii="Times New Roman" w:hAnsi="Times New Roman" w:eastAsia="宋体" w:cs="Times New Roman"/>
          <w:caps w:val="0"/>
          <w:color w:val="auto"/>
          <w:spacing w:val="0"/>
          <w:sz w:val="24"/>
          <w:szCs w:val="24"/>
          <w:highlight w:val="none"/>
          <w:lang w:val="en-US" w:eastAsia="zh-CN"/>
        </w:rPr>
        <w:t>可收集评价范围内近3年与项目排放的其</w:t>
      </w:r>
      <w:r>
        <w:rPr>
          <w:rFonts w:hint="default" w:ascii="Times New Roman" w:hAnsi="Times New Roman" w:eastAsia="宋体" w:cs="Times New Roman"/>
          <w:caps w:val="0"/>
          <w:color w:val="auto"/>
          <w:spacing w:val="0"/>
          <w:sz w:val="24"/>
          <w:highlight w:val="none"/>
          <w:lang w:val="en-US" w:eastAsia="zh-CN"/>
        </w:rPr>
        <w:t>他污染物有关的历史监测资料。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项目引用的环境质量现状监测数据监测点位于项目</w:t>
      </w:r>
      <w:r>
        <w:rPr>
          <w:rFonts w:hint="default" w:ascii="Times New Roman" w:hAnsi="Times New Roman" w:eastAsia="宋体" w:cs="Times New Roman"/>
          <w:color w:val="auto"/>
          <w:sz w:val="24"/>
          <w:szCs w:val="24"/>
          <w:highlight w:val="none"/>
          <w:lang w:val="en-US" w:eastAsia="zh-CN"/>
        </w:rPr>
        <w:t>评价</w:t>
      </w:r>
      <w:r>
        <w:rPr>
          <w:rFonts w:hint="default" w:ascii="Times New Roman" w:hAnsi="Times New Roman" w:eastAsia="宋体" w:cs="Times New Roman"/>
          <w:color w:val="auto"/>
          <w:sz w:val="24"/>
          <w:szCs w:val="24"/>
          <w:highlight w:val="none"/>
        </w:rPr>
        <w:t>范围内，其时效性及空间范围均符合要求</w:t>
      </w:r>
      <w:r>
        <w:rPr>
          <w:rFonts w:hint="default" w:ascii="Times New Roman" w:hAnsi="Times New Roman" w:eastAsia="宋体" w:cs="Times New Roman"/>
          <w:color w:val="auto"/>
          <w:sz w:val="24"/>
          <w:szCs w:val="24"/>
          <w:highlight w:val="none"/>
          <w:lang w:eastAsia="zh-CN"/>
        </w:rPr>
        <w:t>。</w:t>
      </w:r>
    </w:p>
    <w:p w14:paraId="14F0A2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项目环境质量现状监测点位图详见附图</w:t>
      </w:r>
      <w:r>
        <w:rPr>
          <w:rFonts w:hint="eastAsia" w:ascii="Times New Roman" w:hAnsi="Times New Roman" w:eastAsia="宋体" w:cs="Times New Roman"/>
          <w:color w:val="auto"/>
          <w:sz w:val="24"/>
          <w:szCs w:val="24"/>
          <w:highlight w:val="none"/>
          <w:lang w:val="en-US" w:eastAsia="zh-CN"/>
        </w:rPr>
        <w:t>13</w:t>
      </w:r>
      <w:r>
        <w:rPr>
          <w:rFonts w:hint="default" w:ascii="Times New Roman" w:hAnsi="Times New Roman" w:eastAsia="宋体" w:cs="Times New Roman"/>
          <w:color w:val="auto"/>
          <w:sz w:val="24"/>
          <w:szCs w:val="24"/>
          <w:highlight w:val="none"/>
          <w:lang w:val="en-US" w:eastAsia="zh-CN"/>
        </w:rPr>
        <w:t>。</w:t>
      </w:r>
    </w:p>
    <w:p w14:paraId="4D7C63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color w:val="auto"/>
          <w:spacing w:val="0"/>
          <w:sz w:val="24"/>
          <w:szCs w:val="24"/>
          <w:highlight w:val="none"/>
          <w:lang w:val="en-US" w:eastAsia="zh-CN"/>
        </w:rPr>
      </w:pPr>
      <w:r>
        <w:rPr>
          <w:rFonts w:hint="default" w:ascii="Times New Roman" w:hAnsi="Times New Roman" w:eastAsia="宋体" w:cs="Times New Roman"/>
          <w:b/>
          <w:bCs/>
          <w:caps w:val="0"/>
          <w:color w:val="auto"/>
          <w:spacing w:val="0"/>
          <w:kern w:val="2"/>
          <w:sz w:val="24"/>
          <w:szCs w:val="24"/>
          <w:highlight w:val="none"/>
          <w:lang w:val="en-US" w:eastAsia="zh-CN" w:bidi="ar-SA"/>
        </w:rPr>
        <w:t>（3）</w:t>
      </w:r>
      <w:r>
        <w:rPr>
          <w:rFonts w:hint="default" w:ascii="Times New Roman" w:hAnsi="Times New Roman" w:eastAsia="宋体" w:cs="Times New Roman"/>
          <w:b/>
          <w:bCs/>
          <w:caps w:val="0"/>
          <w:color w:val="auto"/>
          <w:spacing w:val="0"/>
          <w:sz w:val="24"/>
          <w:szCs w:val="24"/>
          <w:highlight w:val="none"/>
          <w:lang w:val="en-US" w:eastAsia="zh-CN"/>
        </w:rPr>
        <w:t>补充监测数据的基本信息</w:t>
      </w:r>
    </w:p>
    <w:p w14:paraId="0750CF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本次评价</w:t>
      </w:r>
      <w:r>
        <w:rPr>
          <w:rFonts w:hint="default" w:ascii="Times New Roman" w:hAnsi="Times New Roman" w:eastAsia="宋体" w:cs="Times New Roman"/>
          <w:color w:val="auto"/>
          <w:spacing w:val="0"/>
          <w:position w:val="0"/>
          <w:sz w:val="24"/>
          <w:szCs w:val="24"/>
          <w:highlight w:val="none"/>
          <w:lang w:val="en-US" w:eastAsia="zh-CN"/>
        </w:rPr>
        <w:t>对</w:t>
      </w:r>
      <w:r>
        <w:rPr>
          <w:rFonts w:hint="default" w:ascii="Times New Roman" w:hAnsi="Times New Roman" w:eastAsia="宋体" w:cs="Times New Roman"/>
          <w:color w:val="auto"/>
          <w:sz w:val="24"/>
          <w:szCs w:val="24"/>
          <w:highlight w:val="none"/>
          <w:lang w:val="en-US" w:eastAsia="zh-CN"/>
        </w:rPr>
        <w:t>项目厂址下风向的TSP</w:t>
      </w:r>
      <w:r>
        <w:rPr>
          <w:rFonts w:hint="default" w:ascii="Times New Roman" w:hAnsi="Times New Roman" w:eastAsia="宋体" w:cs="Times New Roman"/>
          <w:color w:val="auto"/>
          <w:spacing w:val="0"/>
          <w:position w:val="0"/>
          <w:sz w:val="24"/>
          <w:szCs w:val="24"/>
          <w:highlight w:val="none"/>
          <w:lang w:val="en-US" w:eastAsia="zh-CN"/>
        </w:rPr>
        <w:t>环境质量现状数据进行补充监测，检测报告详见附件</w:t>
      </w:r>
      <w:r>
        <w:rPr>
          <w:rFonts w:hint="eastAsia" w:ascii="Times New Roman" w:hAnsi="Times New Roman" w:eastAsia="宋体" w:cs="Times New Roman"/>
          <w:color w:val="auto"/>
          <w:spacing w:val="0"/>
          <w:position w:val="0"/>
          <w:sz w:val="24"/>
          <w:szCs w:val="24"/>
          <w:highlight w:val="none"/>
          <w:lang w:val="en-US" w:eastAsia="zh-CN"/>
        </w:rPr>
        <w:t>13</w:t>
      </w:r>
      <w:r>
        <w:rPr>
          <w:rFonts w:hint="default" w:ascii="Times New Roman" w:hAnsi="Times New Roman" w:eastAsia="宋体" w:cs="Times New Roman"/>
          <w:color w:val="auto"/>
          <w:spacing w:val="0"/>
          <w:position w:val="0"/>
          <w:sz w:val="24"/>
          <w:szCs w:val="24"/>
          <w:highlight w:val="none"/>
          <w:lang w:val="en-US" w:eastAsia="zh-CN"/>
        </w:rPr>
        <w:t>。</w:t>
      </w:r>
    </w:p>
    <w:p w14:paraId="7D7EA0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本项目环境空气质量现状补充及引用监测数据的基本情况详见下表。</w:t>
      </w:r>
    </w:p>
    <w:p w14:paraId="3F3EADDE">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 xml:space="preserve">  TSP现状监测结果及评价一览表  单位：μg/m</w:t>
      </w:r>
      <w:r>
        <w:rPr>
          <w:rFonts w:hint="default" w:ascii="Times New Roman" w:hAnsi="Times New Roman" w:eastAsia="宋体" w:cs="Times New Roman"/>
          <w:b/>
          <w:bCs/>
          <w:caps w:val="0"/>
          <w:color w:val="auto"/>
          <w:spacing w:val="0"/>
          <w:sz w:val="21"/>
          <w:szCs w:val="21"/>
          <w:highlight w:val="none"/>
          <w:vertAlign w:val="superscript"/>
          <w:lang w:val="en-US" w:eastAsia="zh-CN"/>
        </w:rPr>
        <w:t>3</w:t>
      </w:r>
    </w:p>
    <w:tbl>
      <w:tblPr>
        <w:tblStyle w:val="21"/>
        <w:tblW w:w="5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593"/>
        <w:gridCol w:w="922"/>
        <w:gridCol w:w="1549"/>
        <w:gridCol w:w="1429"/>
        <w:gridCol w:w="1253"/>
        <w:gridCol w:w="1737"/>
      </w:tblGrid>
      <w:tr w14:paraId="2605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22" w:type="pct"/>
            <w:noWrap w:val="0"/>
            <w:vAlign w:val="center"/>
          </w:tcPr>
          <w:p w14:paraId="034F12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监测点</w:t>
            </w:r>
          </w:p>
          <w:p w14:paraId="6DEF57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名称</w:t>
            </w:r>
          </w:p>
        </w:tc>
        <w:tc>
          <w:tcPr>
            <w:tcW w:w="840" w:type="pct"/>
            <w:noWrap w:val="0"/>
            <w:vAlign w:val="center"/>
          </w:tcPr>
          <w:p w14:paraId="274C04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监测点坐标</w:t>
            </w:r>
          </w:p>
        </w:tc>
        <w:tc>
          <w:tcPr>
            <w:tcW w:w="486" w:type="pct"/>
            <w:noWrap w:val="0"/>
            <w:vAlign w:val="center"/>
          </w:tcPr>
          <w:p w14:paraId="7E383D0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监测</w:t>
            </w:r>
          </w:p>
          <w:p w14:paraId="4528B12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因子</w:t>
            </w:r>
          </w:p>
        </w:tc>
        <w:tc>
          <w:tcPr>
            <w:tcW w:w="817" w:type="pct"/>
            <w:noWrap w:val="0"/>
            <w:vAlign w:val="center"/>
          </w:tcPr>
          <w:p w14:paraId="7E98AB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监测时段</w:t>
            </w:r>
          </w:p>
        </w:tc>
        <w:tc>
          <w:tcPr>
            <w:tcW w:w="754" w:type="pct"/>
            <w:noWrap w:val="0"/>
            <w:vAlign w:val="center"/>
          </w:tcPr>
          <w:p w14:paraId="4C0F06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与项目位置关系</w:t>
            </w:r>
          </w:p>
        </w:tc>
        <w:tc>
          <w:tcPr>
            <w:tcW w:w="661" w:type="pct"/>
            <w:noWrap w:val="0"/>
            <w:vAlign w:val="center"/>
          </w:tcPr>
          <w:p w14:paraId="740D2A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监测时间</w:t>
            </w:r>
          </w:p>
        </w:tc>
        <w:tc>
          <w:tcPr>
            <w:tcW w:w="916" w:type="pct"/>
            <w:noWrap w:val="0"/>
            <w:vAlign w:val="center"/>
          </w:tcPr>
          <w:p w14:paraId="1D20BD2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bCs w:val="0"/>
                <w:caps w:val="0"/>
                <w:color w:val="auto"/>
                <w:spacing w:val="0"/>
                <w:kern w:val="0"/>
                <w:sz w:val="21"/>
                <w:szCs w:val="21"/>
                <w:highlight w:val="none"/>
                <w:lang w:val="en-US" w:eastAsia="zh-CN" w:bidi="ar-SA"/>
              </w:rPr>
              <w:t>数据来源</w:t>
            </w:r>
          </w:p>
        </w:tc>
      </w:tr>
      <w:tr w14:paraId="1F6F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22" w:type="pct"/>
            <w:noWrap w:val="0"/>
            <w:vAlign w:val="center"/>
          </w:tcPr>
          <w:p w14:paraId="6171E54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rPr>
              <w:t>A1项目厂址下风向</w:t>
            </w:r>
          </w:p>
        </w:tc>
        <w:tc>
          <w:tcPr>
            <w:tcW w:w="840" w:type="pct"/>
            <w:noWrap w:val="0"/>
            <w:vAlign w:val="center"/>
          </w:tcPr>
          <w:p w14:paraId="7E2422E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bidi="ar-SA"/>
              </w:rPr>
              <w:t>103°52'53.53"</w:t>
            </w:r>
          </w:p>
          <w:p w14:paraId="095EDEA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aps w:val="0"/>
                <w:color w:val="auto"/>
                <w:spacing w:val="0"/>
                <w:kern w:val="0"/>
                <w:sz w:val="21"/>
                <w:szCs w:val="21"/>
                <w:highlight w:val="no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bidi="ar-SA"/>
              </w:rPr>
              <w:t>25°45'04.96"</w:t>
            </w:r>
          </w:p>
        </w:tc>
        <w:tc>
          <w:tcPr>
            <w:tcW w:w="486" w:type="pct"/>
            <w:noWrap w:val="0"/>
            <w:vAlign w:val="center"/>
          </w:tcPr>
          <w:p w14:paraId="1402E4C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TSP</w:t>
            </w:r>
          </w:p>
        </w:tc>
        <w:tc>
          <w:tcPr>
            <w:tcW w:w="817" w:type="pct"/>
            <w:noWrap w:val="0"/>
            <w:vAlign w:val="center"/>
          </w:tcPr>
          <w:p w14:paraId="6623443B">
            <w:pPr>
              <w:pStyle w:val="12"/>
              <w:jc w:val="center"/>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连续7天采样，取24小时平均值</w:t>
            </w:r>
          </w:p>
        </w:tc>
        <w:tc>
          <w:tcPr>
            <w:tcW w:w="754" w:type="pct"/>
            <w:noWrap w:val="0"/>
            <w:vAlign w:val="center"/>
          </w:tcPr>
          <w:p w14:paraId="373005A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bidi="ar-SA"/>
              </w:rPr>
              <w:t>项目区</w:t>
            </w:r>
            <w:r>
              <w:rPr>
                <w:rFonts w:hint="default" w:ascii="Times New Roman" w:hAnsi="Times New Roman" w:eastAsia="宋体" w:cs="Times New Roman"/>
                <w:b w:val="0"/>
                <w:bCs/>
                <w:color w:val="auto"/>
                <w:kern w:val="0"/>
                <w:sz w:val="21"/>
                <w:szCs w:val="21"/>
                <w:highlight w:val="none"/>
                <w:lang w:val="en-US" w:eastAsia="zh-CN"/>
              </w:rPr>
              <w:t>厂址下风向</w:t>
            </w:r>
          </w:p>
        </w:tc>
        <w:tc>
          <w:tcPr>
            <w:tcW w:w="661" w:type="pct"/>
            <w:noWrap w:val="0"/>
            <w:vAlign w:val="center"/>
          </w:tcPr>
          <w:p w14:paraId="39E64B0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2026年6月4日~10日</w:t>
            </w:r>
          </w:p>
        </w:tc>
        <w:tc>
          <w:tcPr>
            <w:tcW w:w="916" w:type="pct"/>
            <w:noWrap w:val="0"/>
            <w:vAlign w:val="center"/>
          </w:tcPr>
          <w:p w14:paraId="34EF741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补充监测</w:t>
            </w:r>
          </w:p>
        </w:tc>
      </w:tr>
      <w:tr w14:paraId="4034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522" w:type="pct"/>
            <w:noWrap w:val="0"/>
            <w:vAlign w:val="center"/>
          </w:tcPr>
          <w:p w14:paraId="0B6A65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rPr>
              <w:t>A2</w:t>
            </w:r>
            <w:r>
              <w:rPr>
                <w:rFonts w:hint="default" w:ascii="Times New Roman" w:hAnsi="Times New Roman" w:eastAsia="宋体" w:cs="Times New Roman"/>
                <w:b w:val="0"/>
                <w:bCs/>
                <w:caps w:val="0"/>
                <w:color w:val="auto"/>
                <w:spacing w:val="0"/>
                <w:kern w:val="0"/>
                <w:sz w:val="21"/>
                <w:szCs w:val="21"/>
                <w:highlight w:val="none"/>
                <w:lang w:val="en-US" w:eastAsia="zh-CN" w:bidi="ar-SA"/>
              </w:rPr>
              <w:t>十里铺村</w:t>
            </w:r>
          </w:p>
        </w:tc>
        <w:tc>
          <w:tcPr>
            <w:tcW w:w="840" w:type="pct"/>
            <w:noWrap w:val="0"/>
            <w:vAlign w:val="center"/>
          </w:tcPr>
          <w:p w14:paraId="52720D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bidi="ar-SA"/>
              </w:rPr>
              <w:t>103°53′2.539″25°43′42.627″</w:t>
            </w:r>
          </w:p>
        </w:tc>
        <w:tc>
          <w:tcPr>
            <w:tcW w:w="486" w:type="pct"/>
            <w:noWrap w:val="0"/>
            <w:vAlign w:val="center"/>
          </w:tcPr>
          <w:p w14:paraId="61CCF6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TSP</w:t>
            </w:r>
          </w:p>
        </w:tc>
        <w:tc>
          <w:tcPr>
            <w:tcW w:w="817" w:type="pct"/>
            <w:noWrap w:val="0"/>
            <w:vAlign w:val="center"/>
          </w:tcPr>
          <w:p w14:paraId="6505E3CD">
            <w:pPr>
              <w:pStyle w:val="12"/>
              <w:jc w:val="center"/>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连续7天采样，取24小时平均值</w:t>
            </w:r>
          </w:p>
        </w:tc>
        <w:tc>
          <w:tcPr>
            <w:tcW w:w="754" w:type="pct"/>
            <w:noWrap w:val="0"/>
            <w:vAlign w:val="center"/>
          </w:tcPr>
          <w:p w14:paraId="4A1F754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bidi="ar-SA"/>
              </w:rPr>
              <w:t>本项目东南面</w:t>
            </w:r>
            <w:r>
              <w:rPr>
                <w:rFonts w:hint="eastAsia" w:ascii="Times New Roman" w:hAnsi="Times New Roman" w:eastAsia="宋体" w:cs="Times New Roman"/>
                <w:b w:val="0"/>
                <w:bCs/>
                <w:caps w:val="0"/>
                <w:color w:val="auto"/>
                <w:spacing w:val="0"/>
                <w:kern w:val="0"/>
                <w:sz w:val="21"/>
                <w:szCs w:val="21"/>
                <w:highlight w:val="none"/>
                <w:lang w:val="en-US" w:eastAsia="zh-CN" w:bidi="ar-SA"/>
              </w:rPr>
              <w:t>2350</w:t>
            </w:r>
            <w:r>
              <w:rPr>
                <w:rFonts w:hint="default" w:ascii="Times New Roman" w:hAnsi="Times New Roman" w:eastAsia="宋体" w:cs="Times New Roman"/>
                <w:b w:val="0"/>
                <w:bCs/>
                <w:caps w:val="0"/>
                <w:color w:val="auto"/>
                <w:spacing w:val="0"/>
                <w:kern w:val="0"/>
                <w:sz w:val="21"/>
                <w:szCs w:val="21"/>
                <w:highlight w:val="none"/>
                <w:lang w:val="en-US" w:eastAsia="zh-CN" w:bidi="ar-SA"/>
              </w:rPr>
              <w:t>m</w:t>
            </w:r>
            <w:r>
              <w:rPr>
                <w:rFonts w:hint="eastAsia" w:ascii="Times New Roman" w:hAnsi="Times New Roman" w:eastAsia="宋体" w:cs="Times New Roman"/>
                <w:b w:val="0"/>
                <w:bCs/>
                <w:caps w:val="0"/>
                <w:color w:val="auto"/>
                <w:spacing w:val="0"/>
                <w:kern w:val="0"/>
                <w:sz w:val="21"/>
                <w:szCs w:val="21"/>
                <w:highlight w:val="none"/>
                <w:lang w:val="en-US" w:eastAsia="zh-CN" w:bidi="ar-SA"/>
              </w:rPr>
              <w:t>，评价范围内</w:t>
            </w:r>
          </w:p>
        </w:tc>
        <w:tc>
          <w:tcPr>
            <w:tcW w:w="661" w:type="pct"/>
            <w:noWrap w:val="0"/>
            <w:vAlign w:val="center"/>
          </w:tcPr>
          <w:p w14:paraId="59CED1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color w:val="auto"/>
                <w:sz w:val="24"/>
                <w:lang w:val="en-US" w:eastAsia="zh-CN"/>
              </w:rPr>
              <w:t>202</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val="en-US" w:eastAsia="zh-CN"/>
              </w:rPr>
              <w:t>年</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val="en-US" w:eastAsia="zh-CN"/>
              </w:rPr>
              <w:t>月2</w:t>
            </w: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lang w:val="en-US" w:eastAsia="zh-CN"/>
              </w:rPr>
              <w:t>日</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color w:val="auto"/>
                <w:sz w:val="24"/>
                <w:lang w:val="en-US" w:eastAsia="zh-CN"/>
              </w:rPr>
              <w:t>28日</w:t>
            </w:r>
          </w:p>
        </w:tc>
        <w:tc>
          <w:tcPr>
            <w:tcW w:w="916" w:type="pct"/>
            <w:noWrap w:val="0"/>
            <w:vAlign w:val="center"/>
          </w:tcPr>
          <w:p w14:paraId="449F46C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bidi="ar-SA"/>
              </w:rPr>
              <w:t>引用“</w:t>
            </w:r>
            <w:r>
              <w:rPr>
                <w:rFonts w:hint="default" w:ascii="Times New Roman" w:hAnsi="Times New Roman" w:eastAsia="宋体" w:cs="Times New Roman"/>
                <w:b w:val="0"/>
                <w:bCs/>
                <w:color w:val="auto"/>
                <w:sz w:val="21"/>
                <w:szCs w:val="21"/>
                <w:highlight w:val="none"/>
              </w:rPr>
              <w:t>云南联风气体科技有限公司特气项目检测</w:t>
            </w:r>
            <w:r>
              <w:rPr>
                <w:rFonts w:hint="default" w:ascii="Times New Roman" w:hAnsi="Times New Roman" w:eastAsia="宋体" w:cs="Times New Roman"/>
                <w:b w:val="0"/>
                <w:bCs/>
                <w:caps w:val="0"/>
                <w:color w:val="auto"/>
                <w:spacing w:val="0"/>
                <w:kern w:val="0"/>
                <w:sz w:val="21"/>
                <w:szCs w:val="21"/>
                <w:highlight w:val="none"/>
                <w:lang w:val="en-US" w:eastAsia="zh-CN" w:bidi="ar-SA"/>
              </w:rPr>
              <w:t>”</w:t>
            </w:r>
          </w:p>
        </w:tc>
      </w:tr>
    </w:tbl>
    <w:p w14:paraId="522D53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color w:val="auto"/>
          <w:spacing w:val="0"/>
          <w:sz w:val="24"/>
          <w:szCs w:val="24"/>
          <w:highlight w:val="none"/>
          <w:lang w:val="en-US" w:eastAsia="zh-CN"/>
        </w:rPr>
      </w:pPr>
      <w:r>
        <w:rPr>
          <w:rFonts w:hint="default" w:ascii="Times New Roman" w:hAnsi="Times New Roman" w:eastAsia="宋体" w:cs="Times New Roman"/>
          <w:b/>
          <w:bCs/>
          <w:caps w:val="0"/>
          <w:color w:val="auto"/>
          <w:spacing w:val="0"/>
          <w:kern w:val="2"/>
          <w:sz w:val="24"/>
          <w:szCs w:val="24"/>
          <w:highlight w:val="none"/>
          <w:lang w:val="en-US" w:eastAsia="zh-CN" w:bidi="ar-SA"/>
        </w:rPr>
        <w:t>（4）</w:t>
      </w:r>
      <w:r>
        <w:rPr>
          <w:rFonts w:hint="default" w:ascii="Times New Roman" w:hAnsi="Times New Roman" w:eastAsia="宋体" w:cs="Times New Roman"/>
          <w:b/>
          <w:bCs/>
          <w:caps w:val="0"/>
          <w:color w:val="auto"/>
          <w:spacing w:val="0"/>
          <w:sz w:val="24"/>
          <w:szCs w:val="24"/>
          <w:highlight w:val="none"/>
          <w:lang w:val="en-US" w:eastAsia="zh-CN"/>
        </w:rPr>
        <w:t>评价方法</w:t>
      </w:r>
    </w:p>
    <w:p w14:paraId="745B66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sz w:val="24"/>
          <w:highlight w:val="none"/>
        </w:rPr>
        <w:t>现状评价采用单项质量指数法进行评价，其计算公式如下：</w:t>
      </w:r>
    </w:p>
    <w:p w14:paraId="48B7845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aps w:val="0"/>
          <w:color w:val="auto"/>
          <w:spacing w:val="0"/>
          <w:kern w:val="0"/>
          <w:sz w:val="24"/>
          <w:szCs w:val="24"/>
          <w:highlight w:val="none"/>
          <w:lang w:val="en-US" w:eastAsia="zh-CN" w:bidi="ar-SA"/>
        </w:rPr>
      </w:pPr>
      <w:r>
        <w:rPr>
          <w:rFonts w:hint="default" w:ascii="Times New Roman" w:hAnsi="Times New Roman" w:eastAsia="宋体" w:cs="Times New Roman"/>
          <w:caps w:val="0"/>
          <w:color w:val="auto"/>
          <w:spacing w:val="0"/>
          <w:kern w:val="0"/>
          <w:position w:val="-30"/>
          <w:sz w:val="24"/>
          <w:szCs w:val="24"/>
          <w:highlight w:val="none"/>
          <w:lang w:val="en-US" w:eastAsia="zh-CN" w:bidi="ar-SA"/>
        </w:rPr>
        <w:object>
          <v:shape id="_x0000_i1026" o:spt="75" type="#_x0000_t75" style="height:35pt;width:81pt;" o:ole="t" filled="f" o:preferrelative="t" stroked="f" coordsize="21600,21600">
            <v:path/>
            <v:fill on="f" alignshape="1" focussize="0,0"/>
            <v:stroke on="f"/>
            <v:imagedata r:id="rId38" o:title=""/>
            <o:lock v:ext="edit" aspectratio="t"/>
            <w10:wrap type="none"/>
            <w10:anchorlock/>
          </v:shape>
          <o:OLEObject Type="Embed" ProgID="Equation.3" ShapeID="_x0000_i1026" DrawAspect="Content" ObjectID="_1468075726" r:id="rId37">
            <o:LockedField>false</o:LockedField>
          </o:OLEObject>
        </w:object>
      </w:r>
    </w:p>
    <w:p w14:paraId="36BBA0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bidi="ar-SA"/>
        </w:rPr>
      </w:pPr>
      <w:r>
        <w:rPr>
          <w:rFonts w:hint="default" w:ascii="Times New Roman" w:hAnsi="Times New Roman" w:eastAsia="宋体" w:cs="Times New Roman"/>
          <w:caps w:val="0"/>
          <w:color w:val="auto"/>
          <w:spacing w:val="0"/>
          <w:kern w:val="0"/>
          <w:sz w:val="24"/>
          <w:szCs w:val="24"/>
          <w:highlight w:val="none"/>
          <w:lang w:val="en-US" w:eastAsia="zh-CN" w:bidi="ar-SA"/>
        </w:rPr>
        <w:t>其中：i—为某一种污染物；</w:t>
      </w:r>
    </w:p>
    <w:p w14:paraId="56B8DC7D">
      <w:pPr>
        <w:keepNext w:val="0"/>
        <w:keepLines w:val="0"/>
        <w:pageBreakBefore w:val="0"/>
        <w:widowControl w:val="0"/>
        <w:kinsoku/>
        <w:wordWrap/>
        <w:overflowPunct/>
        <w:topLinePunct w:val="0"/>
        <w:autoSpaceDE/>
        <w:autoSpaceDN/>
        <w:bidi w:val="0"/>
        <w:adjustRightInd/>
        <w:snapToGrid/>
        <w:spacing w:line="360" w:lineRule="auto"/>
        <w:ind w:firstLine="1080" w:firstLineChars="450"/>
        <w:jc w:val="both"/>
        <w:textAlignment w:val="auto"/>
        <w:rPr>
          <w:rFonts w:hint="default" w:ascii="Times New Roman" w:hAnsi="Times New Roman" w:eastAsia="宋体" w:cs="Times New Roman"/>
          <w:caps w:val="0"/>
          <w:color w:val="auto"/>
          <w:spacing w:val="0"/>
          <w:kern w:val="0"/>
          <w:sz w:val="24"/>
          <w:szCs w:val="24"/>
          <w:highlight w:val="none"/>
          <w:lang w:val="en-US" w:eastAsia="zh-CN" w:bidi="ar-SA"/>
        </w:rPr>
      </w:pPr>
      <w:r>
        <w:rPr>
          <w:rFonts w:hint="default" w:ascii="Times New Roman" w:hAnsi="Times New Roman" w:eastAsia="宋体" w:cs="Times New Roman"/>
          <w:caps w:val="0"/>
          <w:color w:val="auto"/>
          <w:spacing w:val="0"/>
          <w:kern w:val="0"/>
          <w:position w:val="-10"/>
          <w:sz w:val="24"/>
          <w:szCs w:val="24"/>
          <w:highlight w:val="none"/>
          <w:lang w:val="en-US" w:eastAsia="zh-CN" w:bidi="ar-SA"/>
        </w:rPr>
        <w:object>
          <v:shape id="_x0000_i1027" o:spt="75" type="#_x0000_t75" style="height:17pt;width:12pt;" o:ole="t" filled="f" stroked="f" coordsize="21600,21600">
            <v:path/>
            <v:fill on="f" focussize="0,0"/>
            <v:stroke on="f"/>
            <v:imagedata r:id="rId40" o:title=""/>
            <o:lock v:ext="edit" aspectratio="t"/>
            <w10:wrap type="none"/>
            <w10:anchorlock/>
          </v:shape>
          <o:OLEObject Type="Embed" ProgID="Equation.3" ShapeID="_x0000_i1027" DrawAspect="Content" ObjectID="_1468075727" r:id="rId39">
            <o:LockedField>false</o:LockedField>
          </o:OLEObject>
        </w:object>
      </w:r>
      <w:r>
        <w:rPr>
          <w:rFonts w:hint="default" w:ascii="Times New Roman" w:hAnsi="Times New Roman" w:eastAsia="宋体" w:cs="Times New Roman"/>
          <w:caps w:val="0"/>
          <w:color w:val="auto"/>
          <w:spacing w:val="0"/>
          <w:kern w:val="0"/>
          <w:sz w:val="24"/>
          <w:szCs w:val="24"/>
          <w:highlight w:val="none"/>
          <w:lang w:val="en-US" w:eastAsia="zh-CN" w:bidi="ar-SA"/>
        </w:rPr>
        <w:t>—为i种污染物的最大浓度占标率（%）；</w:t>
      </w:r>
    </w:p>
    <w:p w14:paraId="219963A6">
      <w:pPr>
        <w:keepNext w:val="0"/>
        <w:keepLines w:val="0"/>
        <w:pageBreakBefore w:val="0"/>
        <w:widowControl w:val="0"/>
        <w:kinsoku/>
        <w:wordWrap/>
        <w:overflowPunct/>
        <w:topLinePunct w:val="0"/>
        <w:autoSpaceDE/>
        <w:autoSpaceDN/>
        <w:bidi w:val="0"/>
        <w:adjustRightInd/>
        <w:snapToGrid/>
        <w:spacing w:line="360" w:lineRule="auto"/>
        <w:ind w:firstLine="1080" w:firstLineChars="450"/>
        <w:jc w:val="both"/>
        <w:textAlignment w:val="auto"/>
        <w:rPr>
          <w:rFonts w:hint="default" w:ascii="Times New Roman" w:hAnsi="Times New Roman" w:eastAsia="宋体" w:cs="Times New Roman"/>
          <w:caps w:val="0"/>
          <w:color w:val="auto"/>
          <w:spacing w:val="0"/>
          <w:kern w:val="0"/>
          <w:sz w:val="24"/>
          <w:szCs w:val="24"/>
          <w:highlight w:val="none"/>
          <w:lang w:val="en-US" w:eastAsia="zh-CN" w:bidi="ar-SA"/>
        </w:rPr>
      </w:pPr>
      <w:r>
        <w:rPr>
          <w:rFonts w:hint="default" w:ascii="Times New Roman" w:hAnsi="Times New Roman" w:eastAsia="宋体" w:cs="Times New Roman"/>
          <w:caps w:val="0"/>
          <w:color w:val="auto"/>
          <w:spacing w:val="0"/>
          <w:kern w:val="0"/>
          <w:position w:val="-10"/>
          <w:sz w:val="24"/>
          <w:szCs w:val="24"/>
          <w:highlight w:val="none"/>
          <w:lang w:val="en-US" w:eastAsia="zh-CN" w:bidi="ar-SA"/>
        </w:rPr>
        <w:object>
          <v:shape id="_x0000_i1028" o:spt="75" type="#_x0000_t75" style="height:17pt;width:13.95pt;" o:ole="t" filled="f" stroked="f" coordsize="21600,21600">
            <v:path/>
            <v:fill on="f" focussize="0,0"/>
            <v:stroke on="f"/>
            <v:imagedata r:id="rId42" o:title=""/>
            <o:lock v:ext="edit" aspectratio="t"/>
            <w10:wrap type="none"/>
            <w10:anchorlock/>
          </v:shape>
          <o:OLEObject Type="Embed" ProgID="Equation.3" ShapeID="_x0000_i1028" DrawAspect="Content" ObjectID="_1468075728" r:id="rId41">
            <o:LockedField>false</o:LockedField>
          </o:OLEObject>
        </w:object>
      </w:r>
      <w:r>
        <w:rPr>
          <w:rFonts w:hint="default" w:ascii="Times New Roman" w:hAnsi="Times New Roman" w:eastAsia="宋体" w:cs="Times New Roman"/>
          <w:caps w:val="0"/>
          <w:color w:val="auto"/>
          <w:spacing w:val="0"/>
          <w:kern w:val="0"/>
          <w:sz w:val="24"/>
          <w:szCs w:val="24"/>
          <w:highlight w:val="none"/>
          <w:lang w:val="en-US" w:eastAsia="zh-CN" w:bidi="ar-SA"/>
        </w:rPr>
        <w:t>—i种污染物的实测最大浓度值（mg/m</w:t>
      </w:r>
      <w:r>
        <w:rPr>
          <w:rFonts w:hint="default" w:ascii="Times New Roman" w:hAnsi="Times New Roman" w:eastAsia="宋体" w:cs="Times New Roman"/>
          <w:caps w:val="0"/>
          <w:color w:val="auto"/>
          <w:spacing w:val="0"/>
          <w:kern w:val="0"/>
          <w:sz w:val="24"/>
          <w:szCs w:val="24"/>
          <w:highlight w:val="none"/>
          <w:vertAlign w:val="superscript"/>
          <w:lang w:val="en-US" w:eastAsia="zh-CN" w:bidi="ar-SA"/>
        </w:rPr>
        <w:t>3</w:t>
      </w:r>
      <w:r>
        <w:rPr>
          <w:rFonts w:hint="default" w:ascii="Times New Roman" w:hAnsi="Times New Roman" w:eastAsia="宋体" w:cs="Times New Roman"/>
          <w:caps w:val="0"/>
          <w:color w:val="auto"/>
          <w:spacing w:val="0"/>
          <w:kern w:val="0"/>
          <w:sz w:val="24"/>
          <w:szCs w:val="24"/>
          <w:highlight w:val="none"/>
          <w:lang w:val="en-US" w:eastAsia="zh-CN" w:bidi="ar-SA"/>
        </w:rPr>
        <w:t>）；</w:t>
      </w:r>
    </w:p>
    <w:p w14:paraId="1172C12E">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default" w:ascii="Times New Roman" w:hAnsi="Times New Roman" w:eastAsia="宋体" w:cs="Times New Roman"/>
          <w:caps w:val="0"/>
          <w:color w:val="auto"/>
          <w:spacing w:val="0"/>
          <w:kern w:val="0"/>
          <w:sz w:val="24"/>
          <w:szCs w:val="24"/>
          <w:highlight w:val="none"/>
          <w:lang w:val="en-US" w:eastAsia="zh-CN" w:bidi="ar-SA"/>
        </w:rPr>
      </w:pPr>
      <w:r>
        <w:rPr>
          <w:rFonts w:hint="default" w:ascii="Times New Roman" w:hAnsi="Times New Roman" w:eastAsia="宋体" w:cs="Times New Roman"/>
          <w:caps w:val="0"/>
          <w:color w:val="auto"/>
          <w:spacing w:val="0"/>
          <w:kern w:val="0"/>
          <w:position w:val="-12"/>
          <w:sz w:val="24"/>
          <w:szCs w:val="24"/>
          <w:highlight w:val="none"/>
          <w:lang w:val="en-US" w:eastAsia="zh-CN" w:bidi="ar-SA"/>
        </w:rPr>
        <w:object>
          <v:shape id="_x0000_i1029" o:spt="75" type="#_x0000_t75" style="height:18pt;width:18pt;" o:ole="t" filled="f" stroked="f" coordsize="21600,21600">
            <v:path/>
            <v:fill on="f" focussize="0,0"/>
            <v:stroke on="f"/>
            <v:imagedata r:id="rId44" o:title=""/>
            <o:lock v:ext="edit" aspectratio="t"/>
            <w10:wrap type="none"/>
            <w10:anchorlock/>
          </v:shape>
          <o:OLEObject Type="Embed" ProgID="Equation.3" ShapeID="_x0000_i1029" DrawAspect="Content" ObjectID="_1468075729" r:id="rId43">
            <o:LockedField>false</o:LockedField>
          </o:OLEObject>
        </w:object>
      </w:r>
      <w:r>
        <w:rPr>
          <w:rFonts w:hint="default" w:ascii="Times New Roman" w:hAnsi="Times New Roman" w:eastAsia="宋体" w:cs="Times New Roman"/>
          <w:caps w:val="0"/>
          <w:color w:val="auto"/>
          <w:spacing w:val="0"/>
          <w:kern w:val="0"/>
          <w:sz w:val="24"/>
          <w:szCs w:val="24"/>
          <w:highlight w:val="none"/>
          <w:lang w:val="en-US" w:eastAsia="zh-CN" w:bidi="ar-SA"/>
        </w:rPr>
        <w:t>—i种污染物的环境空气质量标准值（mg/m</w:t>
      </w:r>
      <w:r>
        <w:rPr>
          <w:rFonts w:hint="default" w:ascii="Times New Roman" w:hAnsi="Times New Roman" w:eastAsia="宋体" w:cs="Times New Roman"/>
          <w:caps w:val="0"/>
          <w:color w:val="auto"/>
          <w:spacing w:val="0"/>
          <w:kern w:val="0"/>
          <w:sz w:val="24"/>
          <w:szCs w:val="24"/>
          <w:highlight w:val="none"/>
          <w:vertAlign w:val="superscript"/>
          <w:lang w:val="en-US" w:eastAsia="zh-CN" w:bidi="ar-SA"/>
        </w:rPr>
        <w:t>3</w:t>
      </w:r>
      <w:r>
        <w:rPr>
          <w:rFonts w:hint="default" w:ascii="Times New Roman" w:hAnsi="Times New Roman" w:eastAsia="宋体" w:cs="Times New Roman"/>
          <w:caps w:val="0"/>
          <w:color w:val="auto"/>
          <w:spacing w:val="0"/>
          <w:kern w:val="0"/>
          <w:sz w:val="24"/>
          <w:szCs w:val="24"/>
          <w:highlight w:val="none"/>
          <w:lang w:val="en-US" w:eastAsia="zh-CN" w:bidi="ar-SA"/>
        </w:rPr>
        <w:t>），一般选用GB3095中1h平均质量浓度的二级浓度限值。对仅有8h平均质量浓度限值、日平均质量浓度限值或年平均质量浓度限值的，可分别按2倍、3倍、6倍折算为1h平均质量浓度限值。</w:t>
      </w:r>
    </w:p>
    <w:p w14:paraId="11360B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bidi="ar-SA"/>
        </w:rPr>
      </w:pPr>
      <w:r>
        <w:rPr>
          <w:rFonts w:hint="default" w:ascii="Times New Roman" w:hAnsi="Times New Roman" w:eastAsia="宋体" w:cs="Times New Roman"/>
          <w:caps w:val="0"/>
          <w:color w:val="auto"/>
          <w:spacing w:val="0"/>
          <w:kern w:val="0"/>
          <w:sz w:val="24"/>
          <w:szCs w:val="24"/>
          <w:highlight w:val="none"/>
          <w:lang w:val="en-US" w:eastAsia="zh-CN" w:bidi="ar-SA"/>
        </w:rPr>
        <w:t>其中P</w:t>
      </w:r>
      <w:r>
        <w:rPr>
          <w:rFonts w:hint="default" w:ascii="Times New Roman" w:hAnsi="Times New Roman" w:eastAsia="宋体" w:cs="Times New Roman"/>
          <w:caps w:val="0"/>
          <w:color w:val="auto"/>
          <w:spacing w:val="0"/>
          <w:kern w:val="0"/>
          <w:sz w:val="24"/>
          <w:szCs w:val="24"/>
          <w:highlight w:val="none"/>
          <w:vertAlign w:val="subscript"/>
          <w:lang w:val="en-US" w:eastAsia="zh-CN" w:bidi="ar-SA"/>
        </w:rPr>
        <w:t>i</w:t>
      </w:r>
      <w:r>
        <w:rPr>
          <w:rFonts w:hint="default" w:ascii="Times New Roman" w:hAnsi="Times New Roman" w:eastAsia="宋体" w:cs="Times New Roman"/>
          <w:caps w:val="0"/>
          <w:color w:val="auto"/>
          <w:spacing w:val="0"/>
          <w:kern w:val="0"/>
          <w:sz w:val="24"/>
          <w:szCs w:val="24"/>
          <w:highlight w:val="none"/>
          <w:lang w:val="en-US" w:eastAsia="zh-CN" w:bidi="ar-SA"/>
        </w:rPr>
        <w:t>&lt;100%时，表示该污染物不超标，满足其评价标准要求；而P</w:t>
      </w:r>
      <w:r>
        <w:rPr>
          <w:rFonts w:hint="default" w:ascii="Times New Roman" w:hAnsi="Times New Roman" w:eastAsia="宋体" w:cs="Times New Roman"/>
          <w:caps w:val="0"/>
          <w:color w:val="auto"/>
          <w:spacing w:val="0"/>
          <w:kern w:val="0"/>
          <w:sz w:val="24"/>
          <w:szCs w:val="24"/>
          <w:highlight w:val="none"/>
          <w:vertAlign w:val="subscript"/>
          <w:lang w:val="en-US" w:eastAsia="zh-CN" w:bidi="ar-SA"/>
        </w:rPr>
        <w:t>i</w:t>
      </w:r>
      <w:r>
        <w:rPr>
          <w:rFonts w:hint="default" w:ascii="Times New Roman" w:hAnsi="Times New Roman" w:eastAsia="宋体" w:cs="Times New Roman"/>
          <w:caps w:val="0"/>
          <w:color w:val="auto"/>
          <w:spacing w:val="0"/>
          <w:kern w:val="0"/>
          <w:sz w:val="24"/>
          <w:szCs w:val="24"/>
          <w:highlight w:val="none"/>
          <w:lang w:val="en-US" w:eastAsia="zh-CN" w:bidi="ar-SA"/>
        </w:rPr>
        <w:t>≥100% 时，则表明该污染物超标。</w:t>
      </w:r>
    </w:p>
    <w:p w14:paraId="26FFAB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color w:val="auto"/>
          <w:spacing w:val="0"/>
          <w:sz w:val="24"/>
          <w:szCs w:val="24"/>
          <w:highlight w:val="none"/>
          <w:lang w:val="en-US" w:eastAsia="zh-CN"/>
        </w:rPr>
      </w:pPr>
      <w:r>
        <w:rPr>
          <w:rFonts w:hint="default" w:ascii="Times New Roman" w:hAnsi="Times New Roman" w:eastAsia="宋体" w:cs="Times New Roman"/>
          <w:b/>
          <w:bCs/>
          <w:caps w:val="0"/>
          <w:color w:val="auto"/>
          <w:spacing w:val="0"/>
          <w:kern w:val="2"/>
          <w:sz w:val="24"/>
          <w:szCs w:val="24"/>
          <w:highlight w:val="none"/>
          <w:lang w:val="en-US" w:eastAsia="zh-CN" w:bidi="ar-SA"/>
        </w:rPr>
        <w:t>（5）</w:t>
      </w:r>
      <w:r>
        <w:rPr>
          <w:rFonts w:hint="default" w:ascii="Times New Roman" w:hAnsi="Times New Roman" w:eastAsia="宋体" w:cs="Times New Roman"/>
          <w:b/>
          <w:bCs/>
          <w:caps w:val="0"/>
          <w:color w:val="auto"/>
          <w:spacing w:val="0"/>
          <w:sz w:val="24"/>
          <w:szCs w:val="24"/>
          <w:highlight w:val="none"/>
          <w:lang w:val="en-US" w:eastAsia="zh-CN"/>
        </w:rPr>
        <w:t>执行标准</w:t>
      </w:r>
    </w:p>
    <w:p w14:paraId="599867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olor w:val="auto"/>
          <w:sz w:val="24"/>
          <w:szCs w:val="24"/>
          <w:highlight w:val="none"/>
          <w:lang w:val="en-US" w:eastAsia="zh-CN"/>
        </w:rPr>
        <w:t>TSP执行《环境空气质量标准》（</w:t>
      </w:r>
      <w:r>
        <w:rPr>
          <w:rFonts w:hint="eastAsia" w:ascii="Times New Roman" w:hAnsi="Times New Roman" w:eastAsia="宋体" w:cs="Times New Roman"/>
          <w:color w:val="auto"/>
          <w:sz w:val="24"/>
          <w:szCs w:val="24"/>
          <w:highlight w:val="none"/>
          <w:lang w:val="en-US" w:eastAsia="zh-CN"/>
        </w:rPr>
        <w:t>GB3095-2026</w:t>
      </w:r>
      <w:r>
        <w:rPr>
          <w:rFonts w:hint="default" w:ascii="Times New Roman" w:hAnsi="Times New Roman" w:eastAsia="宋体" w:cs="Times New Roman"/>
          <w:color w:val="auto"/>
          <w:sz w:val="24"/>
          <w:szCs w:val="24"/>
          <w:highlight w:val="none"/>
          <w:lang w:val="en-US" w:eastAsia="zh-CN"/>
        </w:rPr>
        <w:t>）中二级标准要求。</w:t>
      </w:r>
    </w:p>
    <w:p w14:paraId="47626D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color w:val="auto"/>
          <w:spacing w:val="0"/>
          <w:sz w:val="24"/>
          <w:szCs w:val="24"/>
          <w:highlight w:val="none"/>
          <w:lang w:val="en-US" w:eastAsia="zh-CN"/>
        </w:rPr>
      </w:pPr>
      <w:r>
        <w:rPr>
          <w:rFonts w:hint="default" w:ascii="Times New Roman" w:hAnsi="Times New Roman" w:eastAsia="宋体" w:cs="Times New Roman"/>
          <w:b/>
          <w:bCs/>
          <w:caps w:val="0"/>
          <w:color w:val="auto"/>
          <w:spacing w:val="0"/>
          <w:kern w:val="2"/>
          <w:sz w:val="24"/>
          <w:szCs w:val="24"/>
          <w:highlight w:val="none"/>
          <w:lang w:val="en-US" w:eastAsia="zh-CN" w:bidi="ar-SA"/>
        </w:rPr>
        <w:t>（6）</w:t>
      </w:r>
      <w:r>
        <w:rPr>
          <w:rFonts w:hint="default" w:ascii="Times New Roman" w:hAnsi="Times New Roman" w:eastAsia="宋体" w:cs="Times New Roman"/>
          <w:b/>
          <w:bCs/>
          <w:caps w:val="0"/>
          <w:color w:val="auto"/>
          <w:spacing w:val="0"/>
          <w:sz w:val="24"/>
          <w:szCs w:val="24"/>
          <w:highlight w:val="none"/>
          <w:lang w:val="en-US" w:eastAsia="zh-CN"/>
        </w:rPr>
        <w:t>监测及评价结果</w:t>
      </w:r>
    </w:p>
    <w:p w14:paraId="3A045C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根据评价方法，对现状监测数据进行了达标统计，监测及评价结果见下表。</w:t>
      </w:r>
    </w:p>
    <w:p w14:paraId="16E9ECE2">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环境空气质量现状监测及评价结果一览表</w:t>
      </w:r>
    </w:p>
    <w:tbl>
      <w:tblPr>
        <w:tblStyle w:val="22"/>
        <w:tblW w:w="49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711"/>
        <w:gridCol w:w="1358"/>
        <w:gridCol w:w="1239"/>
        <w:gridCol w:w="1578"/>
        <w:gridCol w:w="1262"/>
        <w:gridCol w:w="872"/>
        <w:gridCol w:w="644"/>
      </w:tblGrid>
      <w:tr w14:paraId="227C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blHeader/>
          <w:jc w:val="center"/>
        </w:trPr>
        <w:tc>
          <w:tcPr>
            <w:tcW w:w="1451" w:type="dxa"/>
            <w:noWrap w:val="0"/>
            <w:vAlign w:val="center"/>
          </w:tcPr>
          <w:p w14:paraId="13C78780">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监测点位</w:t>
            </w:r>
          </w:p>
        </w:tc>
        <w:tc>
          <w:tcPr>
            <w:tcW w:w="711" w:type="dxa"/>
            <w:noWrap w:val="0"/>
            <w:vAlign w:val="center"/>
          </w:tcPr>
          <w:p w14:paraId="2167C54B">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污染物</w:t>
            </w:r>
          </w:p>
        </w:tc>
        <w:tc>
          <w:tcPr>
            <w:tcW w:w="1358" w:type="dxa"/>
            <w:noWrap w:val="0"/>
            <w:vAlign w:val="center"/>
          </w:tcPr>
          <w:p w14:paraId="61FEA3E6">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平均时间</w:t>
            </w:r>
          </w:p>
        </w:tc>
        <w:tc>
          <w:tcPr>
            <w:tcW w:w="1239" w:type="dxa"/>
            <w:noWrap w:val="0"/>
            <w:vAlign w:val="center"/>
          </w:tcPr>
          <w:p w14:paraId="0C649E01">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评价标准（μg/m</w:t>
            </w:r>
            <w:r>
              <w:rPr>
                <w:rFonts w:hint="default" w:ascii="Times New Roman" w:hAnsi="Times New Roman" w:eastAsia="宋体" w:cs="Times New Roman"/>
                <w:b/>
                <w:bCs/>
                <w:caps w:val="0"/>
                <w:color w:val="auto"/>
                <w:spacing w:val="0"/>
                <w:sz w:val="21"/>
                <w:szCs w:val="21"/>
                <w:highlight w:val="none"/>
                <w:vertAlign w:val="superscript"/>
                <w:lang w:val="en-US" w:eastAsia="zh-CN" w:bidi="ar-SA"/>
              </w:rPr>
              <w:t>3</w:t>
            </w:r>
            <w:r>
              <w:rPr>
                <w:rFonts w:hint="default" w:ascii="Times New Roman" w:hAnsi="Times New Roman" w:eastAsia="宋体" w:cs="Times New Roman"/>
                <w:b/>
                <w:bCs/>
                <w:caps w:val="0"/>
                <w:color w:val="auto"/>
                <w:spacing w:val="0"/>
                <w:sz w:val="21"/>
                <w:szCs w:val="21"/>
                <w:highlight w:val="none"/>
                <w:vertAlign w:val="baseline"/>
                <w:lang w:val="en-US" w:eastAsia="zh-CN" w:bidi="ar-SA"/>
              </w:rPr>
              <w:t>）</w:t>
            </w:r>
          </w:p>
        </w:tc>
        <w:tc>
          <w:tcPr>
            <w:tcW w:w="1579" w:type="dxa"/>
            <w:noWrap w:val="0"/>
            <w:vAlign w:val="center"/>
          </w:tcPr>
          <w:p w14:paraId="171673C2">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监测浓度范围（μg/m</w:t>
            </w:r>
            <w:r>
              <w:rPr>
                <w:rFonts w:hint="default" w:ascii="Times New Roman" w:hAnsi="Times New Roman" w:eastAsia="宋体" w:cs="Times New Roman"/>
                <w:b/>
                <w:bCs/>
                <w:caps w:val="0"/>
                <w:color w:val="auto"/>
                <w:spacing w:val="0"/>
                <w:sz w:val="21"/>
                <w:szCs w:val="21"/>
                <w:highlight w:val="none"/>
                <w:vertAlign w:val="superscript"/>
                <w:lang w:val="en-US" w:eastAsia="zh-CN" w:bidi="ar-SA"/>
              </w:rPr>
              <w:t>3</w:t>
            </w:r>
            <w:r>
              <w:rPr>
                <w:rFonts w:hint="default" w:ascii="Times New Roman" w:hAnsi="Times New Roman" w:eastAsia="宋体" w:cs="Times New Roman"/>
                <w:b/>
                <w:bCs/>
                <w:caps w:val="0"/>
                <w:color w:val="auto"/>
                <w:spacing w:val="0"/>
                <w:sz w:val="21"/>
                <w:szCs w:val="21"/>
                <w:highlight w:val="none"/>
                <w:vertAlign w:val="baseline"/>
                <w:lang w:val="en-US" w:eastAsia="zh-CN" w:bidi="ar-SA"/>
              </w:rPr>
              <w:t>）</w:t>
            </w:r>
          </w:p>
        </w:tc>
        <w:tc>
          <w:tcPr>
            <w:tcW w:w="1262" w:type="dxa"/>
            <w:noWrap w:val="0"/>
            <w:vAlign w:val="center"/>
          </w:tcPr>
          <w:p w14:paraId="2DA74F88">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最大浓度占标率（%）</w:t>
            </w:r>
          </w:p>
        </w:tc>
        <w:tc>
          <w:tcPr>
            <w:tcW w:w="872" w:type="dxa"/>
            <w:noWrap w:val="0"/>
            <w:vAlign w:val="center"/>
          </w:tcPr>
          <w:p w14:paraId="38365E33">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超标率（%）</w:t>
            </w:r>
          </w:p>
        </w:tc>
        <w:tc>
          <w:tcPr>
            <w:tcW w:w="644" w:type="dxa"/>
            <w:noWrap w:val="0"/>
            <w:vAlign w:val="center"/>
          </w:tcPr>
          <w:p w14:paraId="46FA4779">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达标</w:t>
            </w:r>
          </w:p>
          <w:p w14:paraId="1FD88AED">
            <w:pPr>
              <w:widowControl w:val="0"/>
              <w:autoSpaceDE w:val="0"/>
              <w:autoSpaceDN w:val="0"/>
              <w:adjustRightInd w:val="0"/>
              <w:jc w:val="center"/>
              <w:rPr>
                <w:rFonts w:hint="default" w:ascii="Times New Roman" w:hAnsi="Times New Roman" w:eastAsia="宋体" w:cs="Times New Roman"/>
                <w:b/>
                <w:bCs/>
                <w:caps w:val="0"/>
                <w:color w:val="auto"/>
                <w:spacing w:val="0"/>
                <w:sz w:val="21"/>
                <w:szCs w:val="21"/>
                <w:highlight w:val="none"/>
                <w:vertAlign w:val="baseline"/>
                <w:lang w:val="en-US" w:eastAsia="zh-CN" w:bidi="ar-SA"/>
              </w:rPr>
            </w:pPr>
            <w:r>
              <w:rPr>
                <w:rFonts w:hint="default" w:ascii="Times New Roman" w:hAnsi="Times New Roman" w:eastAsia="宋体" w:cs="Times New Roman"/>
                <w:b/>
                <w:bCs/>
                <w:caps w:val="0"/>
                <w:color w:val="auto"/>
                <w:spacing w:val="0"/>
                <w:sz w:val="21"/>
                <w:szCs w:val="21"/>
                <w:highlight w:val="none"/>
                <w:vertAlign w:val="baseline"/>
                <w:lang w:val="en-US" w:eastAsia="zh-CN" w:bidi="ar-SA"/>
              </w:rPr>
              <w:t>判定</w:t>
            </w:r>
          </w:p>
        </w:tc>
      </w:tr>
      <w:tr w14:paraId="5C54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1451" w:type="dxa"/>
            <w:noWrap w:val="0"/>
            <w:vAlign w:val="center"/>
          </w:tcPr>
          <w:p w14:paraId="64371D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lang w:val="en-US" w:eastAsia="zh-CN"/>
              </w:rPr>
              <w:t>A1项目厂址下风向</w:t>
            </w:r>
          </w:p>
        </w:tc>
        <w:tc>
          <w:tcPr>
            <w:tcW w:w="711" w:type="dxa"/>
            <w:noWrap w:val="0"/>
            <w:vAlign w:val="center"/>
          </w:tcPr>
          <w:p w14:paraId="54FB8042">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TSP</w:t>
            </w:r>
          </w:p>
        </w:tc>
        <w:tc>
          <w:tcPr>
            <w:tcW w:w="1358" w:type="dxa"/>
            <w:noWrap w:val="0"/>
            <w:vAlign w:val="center"/>
          </w:tcPr>
          <w:p w14:paraId="248FBBE1">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rPr>
              <w:t>24小时平均</w:t>
            </w:r>
          </w:p>
        </w:tc>
        <w:tc>
          <w:tcPr>
            <w:tcW w:w="1239" w:type="dxa"/>
            <w:noWrap w:val="0"/>
            <w:vAlign w:val="center"/>
          </w:tcPr>
          <w:p w14:paraId="43258172">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300</w:t>
            </w:r>
          </w:p>
        </w:tc>
        <w:tc>
          <w:tcPr>
            <w:tcW w:w="1579" w:type="dxa"/>
            <w:noWrap w:val="0"/>
            <w:vAlign w:val="center"/>
          </w:tcPr>
          <w:p w14:paraId="65B152D8">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eastAsia" w:ascii="Times New Roman" w:hAnsi="Times New Roman" w:eastAsia="宋体" w:cs="Times New Roman"/>
                <w:b w:val="0"/>
                <w:bCs/>
                <w:caps w:val="0"/>
                <w:color w:val="auto"/>
                <w:spacing w:val="0"/>
                <w:sz w:val="21"/>
                <w:szCs w:val="21"/>
                <w:highlight w:val="none"/>
                <w:vertAlign w:val="baseline"/>
                <w:lang w:val="en-US" w:eastAsia="zh-CN" w:bidi="ar-SA"/>
              </w:rPr>
              <w:t>85</w:t>
            </w: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w:t>
            </w:r>
            <w:r>
              <w:rPr>
                <w:rFonts w:hint="eastAsia" w:ascii="Times New Roman" w:hAnsi="Times New Roman" w:eastAsia="宋体" w:cs="Times New Roman"/>
                <w:b w:val="0"/>
                <w:bCs/>
                <w:caps w:val="0"/>
                <w:color w:val="auto"/>
                <w:spacing w:val="0"/>
                <w:sz w:val="21"/>
                <w:szCs w:val="21"/>
                <w:highlight w:val="none"/>
                <w:vertAlign w:val="baseline"/>
                <w:lang w:val="en-US" w:eastAsia="zh-CN" w:bidi="ar-SA"/>
              </w:rPr>
              <w:t>94</w:t>
            </w:r>
          </w:p>
        </w:tc>
        <w:tc>
          <w:tcPr>
            <w:tcW w:w="1262" w:type="dxa"/>
            <w:noWrap w:val="0"/>
            <w:vAlign w:val="center"/>
          </w:tcPr>
          <w:p w14:paraId="57C18C4D">
            <w:pPr>
              <w:keepNext w:val="0"/>
              <w:keepLines w:val="0"/>
              <w:widowControl/>
              <w:suppressLineNumbers w:val="0"/>
              <w:jc w:val="center"/>
              <w:textAlignment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31.33</w:t>
            </w:r>
          </w:p>
        </w:tc>
        <w:tc>
          <w:tcPr>
            <w:tcW w:w="872" w:type="dxa"/>
            <w:noWrap w:val="0"/>
            <w:vAlign w:val="center"/>
          </w:tcPr>
          <w:p w14:paraId="79E075B3">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eastAsia" w:ascii="Times New Roman" w:hAnsi="Times New Roman" w:eastAsia="宋体" w:cs="Times New Roman"/>
                <w:b w:val="0"/>
                <w:bCs/>
                <w:caps w:val="0"/>
                <w:color w:val="auto"/>
                <w:spacing w:val="0"/>
                <w:sz w:val="21"/>
                <w:szCs w:val="21"/>
                <w:highlight w:val="none"/>
                <w:vertAlign w:val="baseline"/>
                <w:lang w:val="en-US" w:eastAsia="zh-CN" w:bidi="ar-SA"/>
              </w:rPr>
              <w:t>0</w:t>
            </w:r>
          </w:p>
        </w:tc>
        <w:tc>
          <w:tcPr>
            <w:tcW w:w="644" w:type="dxa"/>
            <w:noWrap w:val="0"/>
            <w:vAlign w:val="center"/>
          </w:tcPr>
          <w:p w14:paraId="442FBAB7">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达标</w:t>
            </w:r>
          </w:p>
        </w:tc>
      </w:tr>
      <w:tr w14:paraId="6833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1451" w:type="dxa"/>
            <w:noWrap w:val="0"/>
            <w:vAlign w:val="center"/>
          </w:tcPr>
          <w:p w14:paraId="26EE267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lang w:val="en-US" w:eastAsia="zh-CN"/>
              </w:rPr>
              <w:t>A2</w:t>
            </w:r>
            <w:r>
              <w:rPr>
                <w:rFonts w:hint="default" w:ascii="Times New Roman" w:hAnsi="Times New Roman" w:eastAsia="宋体" w:cs="Times New Roman"/>
                <w:b w:val="0"/>
                <w:bCs/>
                <w:caps w:val="0"/>
                <w:color w:val="auto"/>
                <w:spacing w:val="0"/>
                <w:kern w:val="0"/>
                <w:sz w:val="21"/>
                <w:szCs w:val="21"/>
                <w:highlight w:val="none"/>
                <w:lang w:val="en-US" w:eastAsia="zh-CN" w:bidi="ar-SA"/>
              </w:rPr>
              <w:t>十里铺村</w:t>
            </w:r>
          </w:p>
        </w:tc>
        <w:tc>
          <w:tcPr>
            <w:tcW w:w="711" w:type="dxa"/>
            <w:noWrap w:val="0"/>
            <w:vAlign w:val="center"/>
          </w:tcPr>
          <w:p w14:paraId="6B196C0B">
            <w:pPr>
              <w:widowControl w:val="0"/>
              <w:autoSpaceDE w:val="0"/>
              <w:autoSpaceDN w:val="0"/>
              <w:adjustRightIn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TSP</w:t>
            </w:r>
          </w:p>
        </w:tc>
        <w:tc>
          <w:tcPr>
            <w:tcW w:w="1358" w:type="dxa"/>
            <w:noWrap w:val="0"/>
            <w:vAlign w:val="center"/>
          </w:tcPr>
          <w:p w14:paraId="5627FDE6">
            <w:pPr>
              <w:widowControl w:val="0"/>
              <w:autoSpaceDE w:val="0"/>
              <w:autoSpaceDN w:val="0"/>
              <w:adjustRightInd w:val="0"/>
              <w:jc w:val="center"/>
              <w:rPr>
                <w:rFonts w:hint="default" w:ascii="Times New Roman" w:hAnsi="Times New Roman" w:eastAsia="宋体" w:cs="Times New Roman"/>
                <w:b w:val="0"/>
                <w:bCs/>
                <w:caps w:val="0"/>
                <w:color w:val="auto"/>
                <w:spacing w:val="0"/>
                <w:kern w:val="2"/>
                <w:sz w:val="21"/>
                <w:szCs w:val="21"/>
                <w:highlight w:val="none"/>
                <w:vertAlign w:val="baseline"/>
                <w:lang w:val="en-US" w:eastAsia="zh-CN" w:bidi="ar-SA"/>
              </w:rPr>
            </w:pPr>
            <w:r>
              <w:rPr>
                <w:rFonts w:hint="default" w:ascii="Times New Roman" w:hAnsi="Times New Roman" w:eastAsia="宋体" w:cs="Times New Roman"/>
                <w:b w:val="0"/>
                <w:bCs/>
                <w:caps w:val="0"/>
                <w:color w:val="auto"/>
                <w:spacing w:val="0"/>
                <w:kern w:val="0"/>
                <w:sz w:val="21"/>
                <w:szCs w:val="21"/>
                <w:highlight w:val="none"/>
                <w:lang w:val="en-US" w:eastAsia="zh-CN"/>
              </w:rPr>
              <w:t>24小时平均</w:t>
            </w:r>
          </w:p>
        </w:tc>
        <w:tc>
          <w:tcPr>
            <w:tcW w:w="1239" w:type="dxa"/>
            <w:noWrap w:val="0"/>
            <w:vAlign w:val="center"/>
          </w:tcPr>
          <w:p w14:paraId="3DE7F8EA">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eastAsia" w:ascii="Times New Roman" w:hAnsi="Times New Roman" w:eastAsia="宋体" w:cs="Times New Roman"/>
                <w:b w:val="0"/>
                <w:bCs/>
                <w:caps w:val="0"/>
                <w:color w:val="auto"/>
                <w:spacing w:val="0"/>
                <w:sz w:val="21"/>
                <w:szCs w:val="21"/>
                <w:highlight w:val="none"/>
                <w:vertAlign w:val="baseline"/>
                <w:lang w:val="en-US" w:eastAsia="zh-CN" w:bidi="ar-SA"/>
              </w:rPr>
              <w:t>300</w:t>
            </w:r>
          </w:p>
        </w:tc>
        <w:tc>
          <w:tcPr>
            <w:tcW w:w="1579" w:type="dxa"/>
            <w:noWrap w:val="0"/>
            <w:vAlign w:val="center"/>
          </w:tcPr>
          <w:p w14:paraId="1E68EC9E">
            <w:pPr>
              <w:widowControl w:val="0"/>
              <w:autoSpaceDE w:val="0"/>
              <w:autoSpaceDN w:val="0"/>
              <w:adjustRightIn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39</w:t>
            </w: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w:t>
            </w:r>
            <w:r>
              <w:rPr>
                <w:rFonts w:hint="eastAsia" w:ascii="Times New Roman" w:hAnsi="Times New Roman" w:eastAsia="宋体" w:cs="Times New Roman"/>
                <w:b w:val="0"/>
                <w:bCs/>
                <w:caps w:val="0"/>
                <w:color w:val="auto"/>
                <w:spacing w:val="0"/>
                <w:sz w:val="21"/>
                <w:szCs w:val="21"/>
                <w:highlight w:val="none"/>
                <w:vertAlign w:val="baseline"/>
                <w:lang w:val="en-US" w:eastAsia="zh-CN" w:bidi="ar-SA"/>
              </w:rPr>
              <w:t>52</w:t>
            </w:r>
          </w:p>
        </w:tc>
        <w:tc>
          <w:tcPr>
            <w:tcW w:w="1262" w:type="dxa"/>
            <w:noWrap w:val="0"/>
            <w:vAlign w:val="center"/>
          </w:tcPr>
          <w:p w14:paraId="600A6E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17.33</w:t>
            </w:r>
          </w:p>
        </w:tc>
        <w:tc>
          <w:tcPr>
            <w:tcW w:w="872" w:type="dxa"/>
            <w:noWrap w:val="0"/>
            <w:vAlign w:val="center"/>
          </w:tcPr>
          <w:p w14:paraId="54472A13">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0</w:t>
            </w:r>
          </w:p>
        </w:tc>
        <w:tc>
          <w:tcPr>
            <w:tcW w:w="644" w:type="dxa"/>
            <w:noWrap w:val="0"/>
            <w:vAlign w:val="center"/>
          </w:tcPr>
          <w:p w14:paraId="30FD0E7D">
            <w:pPr>
              <w:widowControl w:val="0"/>
              <w:autoSpaceDE w:val="0"/>
              <w:autoSpaceDN w:val="0"/>
              <w:adjustRightInd w:val="0"/>
              <w:jc w:val="center"/>
              <w:rPr>
                <w:rFonts w:hint="default" w:ascii="Times New Roman" w:hAnsi="Times New Roman" w:eastAsia="宋体" w:cs="Times New Roman"/>
                <w:b w:val="0"/>
                <w:bCs/>
                <w:caps w:val="0"/>
                <w:color w:val="auto"/>
                <w:spacing w:val="0"/>
                <w:sz w:val="21"/>
                <w:szCs w:val="21"/>
                <w:highlight w:val="none"/>
                <w:vertAlign w:val="baseline"/>
                <w:lang w:val="en-US" w:eastAsia="zh-CN" w:bidi="ar-SA"/>
              </w:rPr>
            </w:pPr>
            <w:r>
              <w:rPr>
                <w:rFonts w:hint="default" w:ascii="Times New Roman" w:hAnsi="Times New Roman" w:eastAsia="宋体" w:cs="Times New Roman"/>
                <w:b w:val="0"/>
                <w:bCs/>
                <w:caps w:val="0"/>
                <w:color w:val="auto"/>
                <w:spacing w:val="0"/>
                <w:sz w:val="21"/>
                <w:szCs w:val="21"/>
                <w:highlight w:val="none"/>
                <w:vertAlign w:val="baseline"/>
                <w:lang w:val="en-US" w:eastAsia="zh-CN" w:bidi="ar-SA"/>
              </w:rPr>
              <w:t>达标</w:t>
            </w:r>
          </w:p>
        </w:tc>
      </w:tr>
    </w:tbl>
    <w:p w14:paraId="17C8F4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aps w:val="0"/>
          <w:color w:val="auto"/>
          <w:spacing w:val="0"/>
          <w:kern w:val="0"/>
          <w:sz w:val="24"/>
          <w:szCs w:val="24"/>
          <w:highlight w:val="none"/>
          <w:lang w:val="en-US" w:eastAsia="zh-CN" w:bidi="ar-SA"/>
        </w:rPr>
      </w:pPr>
      <w:r>
        <w:rPr>
          <w:rFonts w:hint="default" w:ascii="Times New Roman" w:hAnsi="Times New Roman" w:eastAsia="宋体" w:cs="Times New Roman"/>
          <w:caps w:val="0"/>
          <w:color w:val="auto"/>
          <w:spacing w:val="0"/>
          <w:kern w:val="0"/>
          <w:sz w:val="24"/>
          <w:szCs w:val="24"/>
          <w:highlight w:val="none"/>
          <w:lang w:val="en-US" w:eastAsia="zh-CN" w:bidi="ar-SA"/>
        </w:rPr>
        <w:t>根据监测及评价结果表可知：监测点位的TSP监测数据满足《环境空气质量标准》（</w:t>
      </w:r>
      <w:r>
        <w:rPr>
          <w:rFonts w:hint="eastAsia" w:ascii="Times New Roman" w:hAnsi="Times New Roman" w:eastAsia="宋体" w:cs="Times New Roman"/>
          <w:caps w:val="0"/>
          <w:color w:val="auto"/>
          <w:spacing w:val="0"/>
          <w:kern w:val="0"/>
          <w:sz w:val="24"/>
          <w:szCs w:val="24"/>
          <w:highlight w:val="none"/>
          <w:lang w:val="en-US" w:eastAsia="zh-CN" w:bidi="ar-SA"/>
        </w:rPr>
        <w:t>GB3095-2026</w:t>
      </w:r>
      <w:r>
        <w:rPr>
          <w:rFonts w:hint="default" w:ascii="Times New Roman" w:hAnsi="Times New Roman" w:eastAsia="宋体" w:cs="Times New Roman"/>
          <w:caps w:val="0"/>
          <w:color w:val="auto"/>
          <w:spacing w:val="0"/>
          <w:kern w:val="0"/>
          <w:sz w:val="24"/>
          <w:szCs w:val="24"/>
          <w:highlight w:val="none"/>
          <w:lang w:val="en-US" w:eastAsia="zh-CN" w:bidi="ar-SA"/>
        </w:rPr>
        <w:t>）中二级标准</w:t>
      </w:r>
      <w:r>
        <w:rPr>
          <w:rFonts w:hint="eastAsia" w:ascii="Times New Roman" w:hAnsi="Times New Roman" w:eastAsia="宋体" w:cs="Times New Roman"/>
          <w:caps w:val="0"/>
          <w:color w:val="auto"/>
          <w:spacing w:val="0"/>
          <w:kern w:val="0"/>
          <w:sz w:val="24"/>
          <w:szCs w:val="24"/>
          <w:highlight w:val="none"/>
          <w:lang w:val="en-US" w:eastAsia="zh-CN" w:bidi="ar-SA"/>
        </w:rPr>
        <w:t>限值</w:t>
      </w:r>
      <w:r>
        <w:rPr>
          <w:rFonts w:hint="default" w:ascii="Times New Roman" w:hAnsi="Times New Roman" w:eastAsia="宋体" w:cs="Times New Roman"/>
          <w:caps w:val="0"/>
          <w:color w:val="auto"/>
          <w:spacing w:val="0"/>
          <w:kern w:val="0"/>
          <w:sz w:val="24"/>
          <w:szCs w:val="24"/>
          <w:highlight w:val="none"/>
          <w:lang w:val="en-US" w:eastAsia="zh-CN" w:bidi="ar-SA"/>
        </w:rPr>
        <w:t>要求。各监测数据最大浓度占标率均小于100%，区域环境空气质量现状良好。</w:t>
      </w:r>
    </w:p>
    <w:p w14:paraId="0C4CB866">
      <w:pPr>
        <w:keepNext w:val="0"/>
        <w:keepLines w:val="0"/>
        <w:pageBreakBefore w:val="0"/>
        <w:widowControl/>
        <w:kinsoku w:val="0"/>
        <w:wordWrap/>
        <w:overflowPunct/>
        <w:topLinePunct w:val="0"/>
        <w:autoSpaceDE w:val="0"/>
        <w:autoSpaceDN w:val="0"/>
        <w:bidi w:val="0"/>
        <w:adjustRightInd/>
        <w:snapToGrid/>
        <w:spacing w:line="360" w:lineRule="auto"/>
        <w:ind w:left="0" w:firstLine="594" w:firstLineChars="200"/>
        <w:textAlignment w:val="baseline"/>
        <w:outlineLvl w:val="2"/>
        <w:rPr>
          <w:rFonts w:hint="default" w:ascii="Times New Roman" w:hAnsi="Times New Roman" w:eastAsia="宋体" w:cs="Times New Roman"/>
          <w:color w:val="auto"/>
          <w:sz w:val="30"/>
          <w:szCs w:val="30"/>
        </w:rPr>
      </w:pPr>
      <w:bookmarkStart w:id="126" w:name="_Toc32340"/>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Times New Roman" w:cs="Times New Roman"/>
          <w:b/>
          <w:bCs/>
          <w:color w:val="auto"/>
          <w:spacing w:val="-2"/>
          <w:sz w:val="30"/>
          <w:szCs w:val="30"/>
        </w:rPr>
        <w:t>.2.</w:t>
      </w:r>
      <w:r>
        <w:rPr>
          <w:rFonts w:hint="default" w:ascii="Times New Roman" w:hAnsi="Times New Roman" w:eastAsia="宋体" w:cs="Times New Roman"/>
          <w:b/>
          <w:bCs/>
          <w:color w:val="auto"/>
          <w:spacing w:val="-2"/>
          <w:sz w:val="30"/>
          <w:szCs w:val="30"/>
          <w:lang w:val="en-US" w:eastAsia="zh-CN"/>
        </w:rPr>
        <w:t>3</w:t>
      </w:r>
      <w:r>
        <w:rPr>
          <w:rFonts w:hint="default" w:ascii="Times New Roman" w:hAnsi="Times New Roman" w:eastAsia="Times New Roman" w:cs="Times New Roman"/>
          <w:b/>
          <w:bCs/>
          <w:color w:val="auto"/>
          <w:spacing w:val="-2"/>
          <w:sz w:val="30"/>
          <w:szCs w:val="30"/>
        </w:rPr>
        <w:t>.</w:t>
      </w:r>
      <w:r>
        <w:rPr>
          <w:rFonts w:hint="default" w:ascii="Times New Roman" w:hAnsi="Times New Roman" w:eastAsia="宋体" w:cs="Times New Roman"/>
          <w:b/>
          <w:bCs/>
          <w:color w:val="auto"/>
          <w:spacing w:val="-2"/>
          <w:sz w:val="30"/>
          <w:szCs w:val="30"/>
        </w:rPr>
        <w:t>地表水现状调查与评价</w:t>
      </w:r>
      <w:bookmarkEnd w:id="126"/>
    </w:p>
    <w:p w14:paraId="223C7253">
      <w:pPr>
        <w:pStyle w:val="5"/>
        <w:keepNext/>
        <w:keepLines/>
        <w:pageBreakBefore w:val="0"/>
        <w:widowControl w:val="0"/>
        <w:numPr>
          <w:ilvl w:val="0"/>
          <w:numId w:val="0"/>
        </w:numPr>
        <w:kinsoku/>
        <w:wordWrap/>
        <w:overflowPunct/>
        <w:topLinePunct w:val="0"/>
        <w:autoSpaceDE/>
        <w:autoSpaceDN/>
        <w:bidi w:val="0"/>
        <w:adjustRightInd/>
        <w:snapToGrid/>
        <w:spacing w:before="0" w:beforeLines="0"/>
        <w:textAlignment w:val="auto"/>
        <w:rPr>
          <w:rFonts w:hint="default" w:ascii="Times New Roman" w:hAnsi="Times New Roman" w:cs="Times New Roman"/>
          <w:caps w:val="0"/>
          <w:color w:val="auto"/>
          <w:spacing w:val="0"/>
          <w:highlight w:val="none"/>
          <w:lang w:val="en-US" w:eastAsia="zh-CN"/>
        </w:rPr>
      </w:pPr>
      <w:r>
        <w:rPr>
          <w:rFonts w:hint="eastAsia" w:ascii="Times New Roman" w:hAnsi="Times New Roman" w:cs="Times New Roman"/>
          <w:caps w:val="0"/>
          <w:color w:val="auto"/>
          <w:spacing w:val="0"/>
          <w:highlight w:val="none"/>
          <w:lang w:val="en-US" w:eastAsia="zh-CN"/>
        </w:rPr>
        <w:t>3</w:t>
      </w:r>
      <w:r>
        <w:rPr>
          <w:rFonts w:hint="default" w:ascii="Times New Roman" w:hAnsi="Times New Roman" w:cs="Times New Roman"/>
          <w:caps w:val="0"/>
          <w:color w:val="auto"/>
          <w:spacing w:val="0"/>
          <w:highlight w:val="none"/>
          <w:lang w:val="en-US" w:eastAsia="zh-CN"/>
        </w:rPr>
        <w:t>.2.3.1达标区判定</w:t>
      </w:r>
    </w:p>
    <w:p w14:paraId="00CCC1C3">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根据项目区周边地表水系分布情况，距离本</w:t>
      </w:r>
      <w:r>
        <w:rPr>
          <w:rFonts w:hint="default" w:ascii="Times New Roman" w:hAnsi="Times New Roman" w:cs="Times New Roman"/>
          <w:color w:val="auto"/>
          <w:sz w:val="24"/>
          <w:szCs w:val="24"/>
          <w:lang w:val="en-US" w:eastAsia="zh-CN"/>
        </w:rPr>
        <w:t>项目</w:t>
      </w:r>
      <w:r>
        <w:rPr>
          <w:rFonts w:hint="default" w:ascii="Times New Roman" w:hAnsi="Times New Roman" w:cs="Times New Roman"/>
          <w:color w:val="auto"/>
          <w:sz w:val="24"/>
          <w:szCs w:val="24"/>
          <w:lang w:eastAsia="zh-CN"/>
        </w:rPr>
        <w:t>最近的地表水为西北面约90m处的东干渠，汇入南盘江。南盘江沾益</w:t>
      </w:r>
      <w:r>
        <w:rPr>
          <w:rFonts w:hint="eastAsia" w:cs="Times New Roman"/>
          <w:color w:val="auto"/>
          <w:sz w:val="24"/>
          <w:szCs w:val="24"/>
          <w:lang w:eastAsia="zh-CN"/>
        </w:rPr>
        <w:t>－</w:t>
      </w:r>
      <w:r>
        <w:rPr>
          <w:rFonts w:hint="default" w:ascii="Times New Roman" w:hAnsi="Times New Roman" w:cs="Times New Roman"/>
          <w:color w:val="auto"/>
          <w:sz w:val="24"/>
          <w:szCs w:val="24"/>
          <w:lang w:eastAsia="zh-CN"/>
        </w:rPr>
        <w:t>宜良开发利用区中</w:t>
      </w:r>
      <w:r>
        <w:rPr>
          <w:rFonts w:hint="eastAsia" w:ascii="Times New Roman" w:hAnsi="Times New Roman" w:cs="Times New Roman"/>
          <w:color w:val="auto"/>
          <w:sz w:val="24"/>
          <w:szCs w:val="24"/>
          <w:lang w:eastAsia="zh-CN"/>
        </w:rPr>
        <w:t>南盘江沾益农业、工业、渔业用水区（南盘江陈方桥至沾益天生坝电站）</w:t>
      </w:r>
      <w:r>
        <w:rPr>
          <w:rFonts w:hint="default" w:ascii="Times New Roman" w:hAnsi="Times New Roman" w:cs="Times New Roman"/>
          <w:color w:val="auto"/>
          <w:sz w:val="24"/>
          <w:szCs w:val="24"/>
          <w:lang w:eastAsia="zh-CN"/>
        </w:rPr>
        <w:t>，规划水平年水质目标为Ⅲ类，执行《地表水环境质量标准》（GB3838-2002）Ⅲ类标准。</w:t>
      </w:r>
    </w:p>
    <w:p w14:paraId="37FCB080">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jc w:val="left"/>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根据曲靖市人民政府网站公布数据，距离项目较近的</w:t>
      </w:r>
      <w:r>
        <w:rPr>
          <w:rFonts w:hint="eastAsia" w:ascii="Times New Roman" w:hAnsi="Times New Roman" w:cs="Times New Roman"/>
          <w:color w:val="auto"/>
          <w:sz w:val="24"/>
          <w:szCs w:val="24"/>
          <w:lang w:val="en-US" w:eastAsia="zh-CN"/>
        </w:rPr>
        <w:t>下游</w:t>
      </w:r>
      <w:r>
        <w:rPr>
          <w:rFonts w:hint="default" w:ascii="Times New Roman" w:hAnsi="Times New Roman" w:cs="Times New Roman"/>
          <w:color w:val="auto"/>
          <w:sz w:val="24"/>
          <w:szCs w:val="24"/>
          <w:lang w:eastAsia="zh-CN"/>
        </w:rPr>
        <w:t>沾益天生坝电站断面属于省控断面，上游花山水库出口属于国控断面，两断面2024年</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2025年网站</w:t>
      </w:r>
      <w:r>
        <w:rPr>
          <w:rFonts w:hint="default" w:ascii="Times New Roman" w:hAnsi="Times New Roman" w:cs="Times New Roman"/>
          <w:color w:val="auto"/>
          <w:sz w:val="24"/>
          <w:szCs w:val="24"/>
          <w:lang w:eastAsia="zh-CN"/>
        </w:rPr>
        <w:t>公布数据</w:t>
      </w:r>
      <w:r>
        <w:rPr>
          <w:rFonts w:hint="eastAsia" w:ascii="Times New Roman" w:hAnsi="Times New Roman" w:cs="Times New Roman"/>
          <w:color w:val="auto"/>
          <w:sz w:val="24"/>
          <w:szCs w:val="24"/>
          <w:lang w:val="en-US" w:eastAsia="zh-CN"/>
        </w:rPr>
        <w:t>不完善</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lang w:eastAsia="zh-CN"/>
        </w:rPr>
        <w:t>水质情况如下：</w:t>
      </w:r>
    </w:p>
    <w:p w14:paraId="423C6FA8">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南盘江 2024 年花山水库出口和天生坝断面水质情况一览表</w:t>
      </w:r>
    </w:p>
    <w:tbl>
      <w:tblPr>
        <w:tblStyle w:val="22"/>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758"/>
        <w:gridCol w:w="433"/>
        <w:gridCol w:w="432"/>
        <w:gridCol w:w="413"/>
        <w:gridCol w:w="588"/>
        <w:gridCol w:w="570"/>
        <w:gridCol w:w="607"/>
        <w:gridCol w:w="588"/>
        <w:gridCol w:w="588"/>
        <w:gridCol w:w="589"/>
        <w:gridCol w:w="589"/>
        <w:gridCol w:w="589"/>
        <w:gridCol w:w="601"/>
        <w:gridCol w:w="781"/>
      </w:tblGrid>
      <w:tr w14:paraId="2CA4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4" w:type="dxa"/>
            <w:vMerge w:val="restart"/>
            <w:vAlign w:val="center"/>
          </w:tcPr>
          <w:p w14:paraId="454B74F7">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断面</w:t>
            </w:r>
          </w:p>
        </w:tc>
        <w:tc>
          <w:tcPr>
            <w:tcW w:w="758" w:type="dxa"/>
            <w:vMerge w:val="restart"/>
            <w:vAlign w:val="center"/>
          </w:tcPr>
          <w:p w14:paraId="5BBB5042">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类别</w:t>
            </w:r>
          </w:p>
        </w:tc>
        <w:tc>
          <w:tcPr>
            <w:tcW w:w="6587" w:type="dxa"/>
            <w:gridSpan w:val="12"/>
            <w:vAlign w:val="center"/>
          </w:tcPr>
          <w:p w14:paraId="6ED4AFD2">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水质现状（2024年1~12月份）</w:t>
            </w:r>
          </w:p>
        </w:tc>
        <w:tc>
          <w:tcPr>
            <w:tcW w:w="781" w:type="dxa"/>
            <w:vMerge w:val="restart"/>
            <w:vAlign w:val="center"/>
          </w:tcPr>
          <w:p w14:paraId="37315D65">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达标情况</w:t>
            </w:r>
          </w:p>
        </w:tc>
      </w:tr>
      <w:tr w14:paraId="4266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4" w:type="dxa"/>
            <w:vMerge w:val="continue"/>
            <w:vAlign w:val="center"/>
          </w:tcPr>
          <w:p w14:paraId="69E7B0CF">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sz w:val="21"/>
                <w:szCs w:val="21"/>
              </w:rPr>
            </w:pPr>
          </w:p>
        </w:tc>
        <w:tc>
          <w:tcPr>
            <w:tcW w:w="758" w:type="dxa"/>
            <w:vMerge w:val="continue"/>
            <w:vAlign w:val="center"/>
          </w:tcPr>
          <w:p w14:paraId="2D20E8C8">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sz w:val="21"/>
                <w:szCs w:val="21"/>
              </w:rPr>
            </w:pPr>
          </w:p>
        </w:tc>
        <w:tc>
          <w:tcPr>
            <w:tcW w:w="433" w:type="dxa"/>
            <w:vAlign w:val="center"/>
          </w:tcPr>
          <w:p w14:paraId="6A14AB71">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1</w:t>
            </w:r>
          </w:p>
        </w:tc>
        <w:tc>
          <w:tcPr>
            <w:tcW w:w="432" w:type="dxa"/>
            <w:vAlign w:val="center"/>
          </w:tcPr>
          <w:p w14:paraId="31589871">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2</w:t>
            </w:r>
          </w:p>
        </w:tc>
        <w:tc>
          <w:tcPr>
            <w:tcW w:w="413" w:type="dxa"/>
            <w:vAlign w:val="center"/>
          </w:tcPr>
          <w:p w14:paraId="6407CC66">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3</w:t>
            </w:r>
          </w:p>
        </w:tc>
        <w:tc>
          <w:tcPr>
            <w:tcW w:w="588" w:type="dxa"/>
            <w:vAlign w:val="center"/>
          </w:tcPr>
          <w:p w14:paraId="49C0E54C">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4</w:t>
            </w:r>
          </w:p>
        </w:tc>
        <w:tc>
          <w:tcPr>
            <w:tcW w:w="570" w:type="dxa"/>
            <w:vAlign w:val="center"/>
          </w:tcPr>
          <w:p w14:paraId="19ED1325">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5</w:t>
            </w:r>
          </w:p>
        </w:tc>
        <w:tc>
          <w:tcPr>
            <w:tcW w:w="607" w:type="dxa"/>
            <w:vAlign w:val="center"/>
          </w:tcPr>
          <w:p w14:paraId="570649D9">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6</w:t>
            </w:r>
          </w:p>
        </w:tc>
        <w:tc>
          <w:tcPr>
            <w:tcW w:w="588" w:type="dxa"/>
            <w:vAlign w:val="center"/>
          </w:tcPr>
          <w:p w14:paraId="3B15C7BF">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7</w:t>
            </w:r>
          </w:p>
        </w:tc>
        <w:tc>
          <w:tcPr>
            <w:tcW w:w="588" w:type="dxa"/>
            <w:vAlign w:val="center"/>
          </w:tcPr>
          <w:p w14:paraId="4F5AF7FC">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8</w:t>
            </w:r>
          </w:p>
        </w:tc>
        <w:tc>
          <w:tcPr>
            <w:tcW w:w="589" w:type="dxa"/>
            <w:vAlign w:val="center"/>
          </w:tcPr>
          <w:p w14:paraId="1E83153E">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9</w:t>
            </w:r>
          </w:p>
        </w:tc>
        <w:tc>
          <w:tcPr>
            <w:tcW w:w="589" w:type="dxa"/>
            <w:vAlign w:val="center"/>
          </w:tcPr>
          <w:p w14:paraId="20A39312">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10</w:t>
            </w:r>
          </w:p>
        </w:tc>
        <w:tc>
          <w:tcPr>
            <w:tcW w:w="589" w:type="dxa"/>
            <w:vAlign w:val="center"/>
          </w:tcPr>
          <w:p w14:paraId="3DDF87EC">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11</w:t>
            </w:r>
          </w:p>
        </w:tc>
        <w:tc>
          <w:tcPr>
            <w:tcW w:w="601" w:type="dxa"/>
            <w:vAlign w:val="center"/>
          </w:tcPr>
          <w:p w14:paraId="77EFC531">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b/>
                <w:bCs/>
                <w:color w:val="auto"/>
                <w:kern w:val="1"/>
                <w:sz w:val="21"/>
                <w:szCs w:val="21"/>
                <w:lang w:val="en-US" w:eastAsia="zh-CN"/>
              </w:rPr>
            </w:pPr>
            <w:r>
              <w:rPr>
                <w:rFonts w:hint="default" w:ascii="Times New Roman" w:hAnsi="Times New Roman" w:cs="Times New Roman" w:eastAsiaTheme="minorEastAsia"/>
                <w:b/>
                <w:bCs/>
                <w:color w:val="auto"/>
                <w:kern w:val="1"/>
                <w:sz w:val="21"/>
                <w:szCs w:val="21"/>
                <w:lang w:val="en-US" w:eastAsia="zh-CN"/>
              </w:rPr>
              <w:t>12</w:t>
            </w:r>
          </w:p>
        </w:tc>
        <w:tc>
          <w:tcPr>
            <w:tcW w:w="781" w:type="dxa"/>
            <w:vMerge w:val="continue"/>
            <w:vAlign w:val="center"/>
          </w:tcPr>
          <w:p w14:paraId="3CD1BE90">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color w:val="auto"/>
                <w:kern w:val="1"/>
                <w:sz w:val="21"/>
                <w:szCs w:val="21"/>
                <w:lang w:val="en-US" w:eastAsia="zh-CN"/>
              </w:rPr>
            </w:pPr>
          </w:p>
        </w:tc>
      </w:tr>
      <w:tr w14:paraId="602B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4" w:type="dxa"/>
            <w:vAlign w:val="center"/>
          </w:tcPr>
          <w:p w14:paraId="1259C090">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color w:val="auto"/>
                <w:kern w:val="1"/>
                <w:sz w:val="21"/>
                <w:szCs w:val="21"/>
                <w:lang w:val="en-US" w:eastAsia="zh-CN"/>
              </w:rPr>
            </w:pPr>
            <w:r>
              <w:rPr>
                <w:rFonts w:hint="default" w:ascii="Times New Roman" w:hAnsi="Times New Roman" w:cs="Times New Roman" w:eastAsiaTheme="minorEastAsia"/>
                <w:color w:val="auto"/>
                <w:kern w:val="1"/>
                <w:sz w:val="21"/>
                <w:szCs w:val="21"/>
                <w:lang w:val="en-US" w:eastAsia="zh-CN"/>
              </w:rPr>
              <w:t>花山水库出口</w:t>
            </w:r>
          </w:p>
        </w:tc>
        <w:tc>
          <w:tcPr>
            <w:tcW w:w="758" w:type="dxa"/>
            <w:vAlign w:val="center"/>
          </w:tcPr>
          <w:p w14:paraId="3FB705EB">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color w:val="auto"/>
                <w:kern w:val="1"/>
                <w:sz w:val="21"/>
                <w:szCs w:val="21"/>
                <w:lang w:val="en-US" w:eastAsia="zh-CN"/>
              </w:rPr>
            </w:pPr>
            <w:r>
              <w:rPr>
                <w:rFonts w:hint="default" w:ascii="Times New Roman" w:hAnsi="Times New Roman" w:cs="Times New Roman" w:eastAsiaTheme="minorEastAsia"/>
                <w:color w:val="auto"/>
                <w:kern w:val="1"/>
                <w:sz w:val="21"/>
                <w:szCs w:val="21"/>
                <w:lang w:val="en-US" w:eastAsia="zh-CN"/>
              </w:rPr>
              <w:t>Ⅱ类</w:t>
            </w:r>
          </w:p>
        </w:tc>
        <w:tc>
          <w:tcPr>
            <w:tcW w:w="433" w:type="dxa"/>
            <w:vAlign w:val="center"/>
          </w:tcPr>
          <w:p w14:paraId="5BD41BC3">
            <w:pPr>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Ⅰ</w:t>
            </w:r>
          </w:p>
        </w:tc>
        <w:tc>
          <w:tcPr>
            <w:tcW w:w="432" w:type="dxa"/>
            <w:vAlign w:val="center"/>
          </w:tcPr>
          <w:p w14:paraId="19F07AC0">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Ⅰ</w:t>
            </w:r>
          </w:p>
        </w:tc>
        <w:tc>
          <w:tcPr>
            <w:tcW w:w="413" w:type="dxa"/>
            <w:vAlign w:val="center"/>
          </w:tcPr>
          <w:p w14:paraId="2D374C26">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Ⅰ</w:t>
            </w:r>
          </w:p>
        </w:tc>
        <w:tc>
          <w:tcPr>
            <w:tcW w:w="588" w:type="dxa"/>
            <w:vAlign w:val="center"/>
          </w:tcPr>
          <w:p w14:paraId="1615C65F">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Ⅰ</w:t>
            </w:r>
          </w:p>
        </w:tc>
        <w:tc>
          <w:tcPr>
            <w:tcW w:w="570" w:type="dxa"/>
            <w:vAlign w:val="center"/>
          </w:tcPr>
          <w:p w14:paraId="5868FA6C">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607" w:type="dxa"/>
            <w:vAlign w:val="center"/>
          </w:tcPr>
          <w:p w14:paraId="1C890C78">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588" w:type="dxa"/>
            <w:vAlign w:val="center"/>
          </w:tcPr>
          <w:p w14:paraId="3C89E194">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Ⅰ</w:t>
            </w:r>
          </w:p>
        </w:tc>
        <w:tc>
          <w:tcPr>
            <w:tcW w:w="588" w:type="dxa"/>
            <w:vAlign w:val="center"/>
          </w:tcPr>
          <w:p w14:paraId="002D0F30">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Ⅰ</w:t>
            </w:r>
          </w:p>
        </w:tc>
        <w:tc>
          <w:tcPr>
            <w:tcW w:w="589" w:type="dxa"/>
            <w:vAlign w:val="center"/>
          </w:tcPr>
          <w:p w14:paraId="6BD675DA">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589" w:type="dxa"/>
            <w:vAlign w:val="center"/>
          </w:tcPr>
          <w:p w14:paraId="58683F60">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589" w:type="dxa"/>
            <w:vAlign w:val="center"/>
          </w:tcPr>
          <w:p w14:paraId="064944AA">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601" w:type="dxa"/>
            <w:vAlign w:val="center"/>
          </w:tcPr>
          <w:p w14:paraId="09C00E62">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Ⅰ</w:t>
            </w:r>
          </w:p>
        </w:tc>
        <w:tc>
          <w:tcPr>
            <w:tcW w:w="781" w:type="dxa"/>
            <w:vAlign w:val="center"/>
          </w:tcPr>
          <w:p w14:paraId="6CD1299C">
            <w:pPr>
              <w:keepNext w:val="0"/>
              <w:keepLines w:val="0"/>
              <w:pageBreakBefore w:val="0"/>
              <w:widowControl/>
              <w:kinsoku w:val="0"/>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达标</w:t>
            </w:r>
          </w:p>
        </w:tc>
      </w:tr>
      <w:tr w14:paraId="7367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4" w:type="dxa"/>
            <w:vAlign w:val="center"/>
          </w:tcPr>
          <w:p w14:paraId="73BE4E9B">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color w:val="auto"/>
                <w:kern w:val="1"/>
                <w:sz w:val="21"/>
                <w:szCs w:val="21"/>
                <w:lang w:val="en-US" w:eastAsia="zh-CN"/>
              </w:rPr>
            </w:pPr>
            <w:r>
              <w:rPr>
                <w:rFonts w:hint="default" w:ascii="Times New Roman" w:hAnsi="Times New Roman" w:cs="Times New Roman" w:eastAsiaTheme="minorEastAsia"/>
                <w:color w:val="auto"/>
                <w:kern w:val="1"/>
                <w:sz w:val="21"/>
                <w:szCs w:val="21"/>
                <w:lang w:val="en-US" w:eastAsia="zh-CN"/>
              </w:rPr>
              <w:t>天生坝</w:t>
            </w:r>
          </w:p>
        </w:tc>
        <w:tc>
          <w:tcPr>
            <w:tcW w:w="758" w:type="dxa"/>
            <w:vAlign w:val="center"/>
          </w:tcPr>
          <w:p w14:paraId="39BD8B92">
            <w:pPr>
              <w:keepNext w:val="0"/>
              <w:keepLines w:val="0"/>
              <w:pageBreakBefore w:val="0"/>
              <w:widowControl/>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cs="Times New Roman" w:eastAsiaTheme="minorEastAsia"/>
                <w:color w:val="auto"/>
                <w:kern w:val="1"/>
                <w:sz w:val="21"/>
                <w:szCs w:val="21"/>
                <w:lang w:val="en-US" w:eastAsia="zh-CN"/>
              </w:rPr>
            </w:pPr>
            <w:r>
              <w:rPr>
                <w:rFonts w:hint="default" w:ascii="Times New Roman" w:hAnsi="Times New Roman" w:cs="Times New Roman" w:eastAsiaTheme="minorEastAsia"/>
                <w:color w:val="auto"/>
                <w:kern w:val="1"/>
                <w:sz w:val="21"/>
                <w:szCs w:val="21"/>
                <w:lang w:val="en-US" w:eastAsia="zh-CN"/>
              </w:rPr>
              <w:t>Ⅲ类</w:t>
            </w:r>
          </w:p>
        </w:tc>
        <w:tc>
          <w:tcPr>
            <w:tcW w:w="433" w:type="dxa"/>
            <w:vAlign w:val="center"/>
          </w:tcPr>
          <w:p w14:paraId="1239A33A">
            <w:pPr>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Ⅱ</w:t>
            </w:r>
          </w:p>
        </w:tc>
        <w:tc>
          <w:tcPr>
            <w:tcW w:w="432" w:type="dxa"/>
            <w:vAlign w:val="center"/>
          </w:tcPr>
          <w:p w14:paraId="1B3B7A23">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413" w:type="dxa"/>
            <w:vAlign w:val="center"/>
          </w:tcPr>
          <w:p w14:paraId="383476A7">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588" w:type="dxa"/>
            <w:vAlign w:val="center"/>
          </w:tcPr>
          <w:p w14:paraId="1D7BDC7F">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570" w:type="dxa"/>
            <w:vAlign w:val="center"/>
          </w:tcPr>
          <w:p w14:paraId="16466DD5">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607" w:type="dxa"/>
            <w:vAlign w:val="center"/>
          </w:tcPr>
          <w:p w14:paraId="7D401F59">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588" w:type="dxa"/>
            <w:vAlign w:val="center"/>
          </w:tcPr>
          <w:p w14:paraId="72E63795">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588" w:type="dxa"/>
            <w:vAlign w:val="center"/>
          </w:tcPr>
          <w:p w14:paraId="32F7F0EB">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589" w:type="dxa"/>
            <w:vAlign w:val="center"/>
          </w:tcPr>
          <w:p w14:paraId="3EA151FD">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589" w:type="dxa"/>
            <w:vAlign w:val="center"/>
          </w:tcPr>
          <w:p w14:paraId="7EB3FDF4">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589" w:type="dxa"/>
            <w:vAlign w:val="center"/>
          </w:tcPr>
          <w:p w14:paraId="496C10B5">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Ⅲ</w:t>
            </w:r>
          </w:p>
        </w:tc>
        <w:tc>
          <w:tcPr>
            <w:tcW w:w="601" w:type="dxa"/>
            <w:vAlign w:val="center"/>
          </w:tcPr>
          <w:p w14:paraId="67A5FEB2">
            <w:pPr>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Ⅱ</w:t>
            </w:r>
          </w:p>
        </w:tc>
        <w:tc>
          <w:tcPr>
            <w:tcW w:w="781" w:type="dxa"/>
            <w:vAlign w:val="center"/>
          </w:tcPr>
          <w:p w14:paraId="1F3D887F">
            <w:pPr>
              <w:keepNext w:val="0"/>
              <w:keepLines w:val="0"/>
              <w:pageBreakBefore w:val="0"/>
              <w:widowControl/>
              <w:kinsoku w:val="0"/>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eastAsiaTheme="minorEastAsia"/>
                <w:color w:val="auto"/>
                <w:sz w:val="21"/>
                <w:szCs w:val="21"/>
                <w:vertAlign w:val="baseline"/>
                <w:lang w:eastAsia="zh-CN"/>
              </w:rPr>
            </w:pPr>
            <w:r>
              <w:rPr>
                <w:rFonts w:hint="default" w:ascii="Times New Roman" w:hAnsi="Times New Roman" w:cs="Times New Roman" w:eastAsiaTheme="minorEastAsia"/>
                <w:color w:val="auto"/>
                <w:sz w:val="21"/>
                <w:szCs w:val="21"/>
                <w:vertAlign w:val="baseline"/>
                <w:lang w:val="en-US" w:eastAsia="zh-CN"/>
              </w:rPr>
              <w:t>达标</w:t>
            </w:r>
          </w:p>
        </w:tc>
      </w:tr>
    </w:tbl>
    <w:p w14:paraId="5B62C8DA">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szCs w:val="24"/>
          <w:lang w:eastAsia="zh-CN"/>
        </w:rPr>
        <w:t>根据上表可以看出，项目所在区域上游花山水库出口国控断面2024年水质均能达到水功能区划</w:t>
      </w:r>
      <w:r>
        <w:rPr>
          <w:rFonts w:hint="default" w:ascii="Times New Roman" w:hAnsi="Times New Roman" w:cs="Times New Roman" w:eastAsiaTheme="minorEastAsia"/>
          <w:color w:val="auto"/>
          <w:kern w:val="1"/>
          <w:sz w:val="24"/>
          <w:szCs w:val="24"/>
          <w:lang w:val="en-US" w:eastAsia="zh-CN"/>
        </w:rPr>
        <w:t>Ⅱ</w:t>
      </w:r>
      <w:r>
        <w:rPr>
          <w:rFonts w:hint="default" w:ascii="Times New Roman" w:hAnsi="Times New Roman" w:cs="Times New Roman"/>
          <w:color w:val="auto"/>
          <w:sz w:val="24"/>
          <w:szCs w:val="24"/>
          <w:lang w:eastAsia="zh-CN"/>
        </w:rPr>
        <w:t>类的标准要求，下游南盘江天生坝省控断面2024年水质均能达到水功能区划Ⅲ类的标准要求，项目所在区域地表水环境为达标区。</w:t>
      </w:r>
    </w:p>
    <w:p w14:paraId="636BB96C">
      <w:pPr>
        <w:pStyle w:val="5"/>
        <w:keepNext/>
        <w:keepLines/>
        <w:pageBreakBefore w:val="0"/>
        <w:widowControl w:val="0"/>
        <w:numPr>
          <w:ilvl w:val="0"/>
          <w:numId w:val="0"/>
        </w:numPr>
        <w:kinsoku/>
        <w:wordWrap/>
        <w:overflowPunct/>
        <w:topLinePunct w:val="0"/>
        <w:autoSpaceDE/>
        <w:autoSpaceDN/>
        <w:bidi w:val="0"/>
        <w:adjustRightInd/>
        <w:snapToGrid/>
        <w:spacing w:before="0" w:beforeLines="0"/>
        <w:textAlignment w:val="auto"/>
        <w:rPr>
          <w:rFonts w:hint="default" w:ascii="Times New Roman" w:hAnsi="Times New Roman" w:cs="Times New Roman"/>
          <w:caps w:val="0"/>
          <w:color w:val="auto"/>
          <w:spacing w:val="0"/>
          <w:highlight w:val="none"/>
          <w:lang w:val="en-US" w:eastAsia="zh-CN"/>
        </w:rPr>
      </w:pPr>
      <w:r>
        <w:rPr>
          <w:rFonts w:hint="eastAsia" w:ascii="Times New Roman" w:hAnsi="Times New Roman" w:cs="Times New Roman"/>
          <w:caps w:val="0"/>
          <w:color w:val="auto"/>
          <w:spacing w:val="0"/>
          <w:highlight w:val="none"/>
          <w:lang w:val="en-US" w:eastAsia="zh-CN"/>
        </w:rPr>
        <w:t>3</w:t>
      </w:r>
      <w:r>
        <w:rPr>
          <w:rFonts w:hint="default" w:ascii="Times New Roman" w:hAnsi="Times New Roman" w:cs="Times New Roman"/>
          <w:caps w:val="0"/>
          <w:color w:val="auto"/>
          <w:spacing w:val="0"/>
          <w:highlight w:val="none"/>
          <w:lang w:val="en-US" w:eastAsia="zh-CN"/>
        </w:rPr>
        <w:t>.3.2.2引用的监测数据</w:t>
      </w:r>
    </w:p>
    <w:p w14:paraId="7EB140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根据前文分析，</w:t>
      </w:r>
      <w:r>
        <w:rPr>
          <w:rFonts w:hint="default" w:ascii="Times New Roman" w:hAnsi="Times New Roman" w:eastAsia="宋体" w:cs="Times New Roman"/>
          <w:caps w:val="0"/>
          <w:color w:val="auto"/>
          <w:spacing w:val="0"/>
          <w:sz w:val="24"/>
          <w:highlight w:val="none"/>
          <w:lang w:val="en-US" w:eastAsia="zh-CN"/>
        </w:rPr>
        <w:t>本项目地表水评价等级为三级B。本项目所在地表水体主要为</w:t>
      </w:r>
      <w:r>
        <w:rPr>
          <w:rFonts w:hint="eastAsia" w:ascii="Times New Roman" w:hAnsi="Times New Roman" w:eastAsia="宋体" w:cs="Times New Roman"/>
          <w:caps w:val="0"/>
          <w:color w:val="auto"/>
          <w:spacing w:val="0"/>
          <w:sz w:val="24"/>
          <w:highlight w:val="none"/>
          <w:lang w:val="en-US" w:eastAsia="zh-CN"/>
        </w:rPr>
        <w:t>东干渠和</w:t>
      </w:r>
      <w:r>
        <w:rPr>
          <w:rFonts w:hint="default" w:ascii="Times New Roman" w:hAnsi="Times New Roman" w:eastAsia="宋体" w:cs="Times New Roman"/>
          <w:caps w:val="0"/>
          <w:color w:val="auto"/>
          <w:spacing w:val="0"/>
          <w:sz w:val="24"/>
          <w:highlight w:val="none"/>
          <w:lang w:val="en-US" w:eastAsia="zh-CN"/>
        </w:rPr>
        <w:t>南盘江，为掌握项目区域地表水环境质量现状，本报告</w:t>
      </w:r>
      <w:r>
        <w:rPr>
          <w:rFonts w:hint="default" w:ascii="Times New Roman" w:hAnsi="Times New Roman" w:eastAsia="宋体" w:cs="Times New Roman"/>
          <w:color w:val="auto"/>
          <w:sz w:val="24"/>
          <w:szCs w:val="24"/>
          <w:highlight w:val="none"/>
          <w:vertAlign w:val="baseline"/>
          <w:lang w:val="en-US" w:eastAsia="zh-CN"/>
        </w:rPr>
        <w:t>引用</w:t>
      </w:r>
      <w:r>
        <w:rPr>
          <w:rFonts w:hint="eastAsia"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spacing w:val="0"/>
          <w:position w:val="0"/>
          <w:sz w:val="24"/>
          <w:szCs w:val="24"/>
          <w:highlight w:val="none"/>
          <w:lang w:val="en-US" w:eastAsia="zh-CN"/>
        </w:rPr>
        <w:t>引用了2024年7月9日～7月11日云南长源检测技术有限公司对W1南盘江东干渠汇入口上游100m，W2南盘江东干渠汇入口下游500m，W3南盘江东干渠汇入口下游1500m处进行了现状监测（检测报告编号：2024070501）。</w:t>
      </w:r>
    </w:p>
    <w:p w14:paraId="7D9C17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（1）监测因子：pH、DO、SS、CODcr、BOD</w:t>
      </w:r>
      <w:r>
        <w:rPr>
          <w:rFonts w:hint="default" w:ascii="Times New Roman" w:hAnsi="Times New Roman" w:eastAsia="宋体" w:cs="Times New Roman"/>
          <w:caps w:val="0"/>
          <w:color w:val="auto"/>
          <w:spacing w:val="0"/>
          <w:sz w:val="24"/>
          <w:szCs w:val="24"/>
          <w:highlight w:val="none"/>
          <w:vertAlign w:val="subscript"/>
          <w:lang w:val="en-US" w:eastAsia="zh-CN"/>
        </w:rPr>
        <w:t>5</w:t>
      </w:r>
      <w:r>
        <w:rPr>
          <w:rFonts w:hint="default" w:ascii="Times New Roman" w:hAnsi="Times New Roman" w:eastAsia="宋体" w:cs="Times New Roman"/>
          <w:caps w:val="0"/>
          <w:color w:val="auto"/>
          <w:spacing w:val="0"/>
          <w:sz w:val="24"/>
          <w:szCs w:val="24"/>
          <w:highlight w:val="none"/>
          <w:lang w:val="en-US" w:eastAsia="zh-CN"/>
        </w:rPr>
        <w:t>、NH</w:t>
      </w:r>
      <w:r>
        <w:rPr>
          <w:rFonts w:hint="default" w:ascii="Times New Roman" w:hAnsi="Times New Roman" w:eastAsia="宋体" w:cs="Times New Roman"/>
          <w:caps w:val="0"/>
          <w:color w:val="auto"/>
          <w:spacing w:val="0"/>
          <w:sz w:val="24"/>
          <w:szCs w:val="24"/>
          <w:highlight w:val="none"/>
          <w:vertAlign w:val="subscript"/>
          <w:lang w:val="en-US" w:eastAsia="zh-CN"/>
        </w:rPr>
        <w:t>3</w:t>
      </w:r>
      <w:r>
        <w:rPr>
          <w:rFonts w:hint="default" w:ascii="Times New Roman" w:hAnsi="Times New Roman" w:eastAsia="宋体" w:cs="Times New Roman"/>
          <w:caps w:val="0"/>
          <w:color w:val="auto"/>
          <w:spacing w:val="0"/>
          <w:sz w:val="24"/>
          <w:szCs w:val="24"/>
          <w:highlight w:val="none"/>
          <w:lang w:val="en-US" w:eastAsia="zh-CN"/>
        </w:rPr>
        <w:t>-N、TN、TP、硝酸盐氮、</w:t>
      </w:r>
    </w:p>
    <w:p w14:paraId="3C4C9C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氟化物、铜、氯化物、二氯甲烷、石油类等进行了监测。</w:t>
      </w:r>
    </w:p>
    <w:p w14:paraId="500FA8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（2）监测点位：共设3个监测点位，W1南盘江东干渠汇入口上游100m，W2南盘江东干渠汇入口下游500m，W3南盘江东干渠汇入口下游1500m处。</w:t>
      </w:r>
    </w:p>
    <w:p w14:paraId="43354C79">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项目地表水引用监测点位与项目的位置关系</w:t>
      </w:r>
    </w:p>
    <w:tbl>
      <w:tblPr>
        <w:tblStyle w:val="21"/>
        <w:tblW w:w="8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799"/>
        <w:gridCol w:w="2319"/>
        <w:gridCol w:w="2757"/>
      </w:tblGrid>
      <w:tr w14:paraId="156D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8" w:hRule="atLeast"/>
        </w:trPr>
        <w:tc>
          <w:tcPr>
            <w:tcW w:w="3799" w:type="dxa"/>
            <w:shd w:val="clear" w:color="auto" w:fill="auto"/>
            <w:tcMar>
              <w:top w:w="150" w:type="dxa"/>
              <w:left w:w="0" w:type="dxa"/>
              <w:bottom w:w="150" w:type="dxa"/>
              <w:right w:w="240" w:type="dxa"/>
            </w:tcMar>
            <w:vAlign w:val="center"/>
          </w:tcPr>
          <w:p w14:paraId="49E2B1F0">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b/>
                <w:bCs/>
                <w:i w:val="0"/>
                <w:iCs w:val="0"/>
                <w:caps w:val="0"/>
                <w:color w:val="auto"/>
                <w:spacing w:val="0"/>
                <w:sz w:val="21"/>
                <w:szCs w:val="21"/>
              </w:rPr>
            </w:pPr>
            <w:r>
              <w:rPr>
                <w:rFonts w:hint="default" w:ascii="Times New Roman" w:hAnsi="Times New Roman" w:cs="Times New Roman" w:eastAsiaTheme="minorEastAsia"/>
                <w:b/>
                <w:bCs/>
                <w:i w:val="0"/>
                <w:iCs w:val="0"/>
                <w:caps w:val="0"/>
                <w:color w:val="auto"/>
                <w:spacing w:val="0"/>
                <w:kern w:val="0"/>
                <w:sz w:val="21"/>
                <w:szCs w:val="21"/>
                <w:lang w:val="en-US" w:eastAsia="zh-CN" w:bidi="ar"/>
              </w:rPr>
              <w:t>监测点位</w:t>
            </w:r>
          </w:p>
        </w:tc>
        <w:tc>
          <w:tcPr>
            <w:tcW w:w="2319" w:type="dxa"/>
            <w:shd w:val="clear" w:color="auto" w:fill="auto"/>
            <w:tcMar>
              <w:top w:w="150" w:type="dxa"/>
              <w:left w:w="240" w:type="dxa"/>
              <w:bottom w:w="150" w:type="dxa"/>
              <w:right w:w="240" w:type="dxa"/>
            </w:tcMar>
            <w:vAlign w:val="center"/>
          </w:tcPr>
          <w:p w14:paraId="7B50D6D3">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b/>
                <w:bCs/>
                <w:i w:val="0"/>
                <w:iCs w:val="0"/>
                <w:caps w:val="0"/>
                <w:color w:val="auto"/>
                <w:spacing w:val="0"/>
                <w:sz w:val="21"/>
                <w:szCs w:val="21"/>
              </w:rPr>
            </w:pPr>
            <w:r>
              <w:rPr>
                <w:rFonts w:hint="default" w:ascii="Times New Roman" w:hAnsi="Times New Roman" w:cs="Times New Roman" w:eastAsiaTheme="minorEastAsia"/>
                <w:b/>
                <w:bCs/>
                <w:i w:val="0"/>
                <w:iCs w:val="0"/>
                <w:caps w:val="0"/>
                <w:color w:val="auto"/>
                <w:spacing w:val="0"/>
                <w:kern w:val="0"/>
                <w:sz w:val="21"/>
                <w:szCs w:val="21"/>
                <w:lang w:val="en-US" w:eastAsia="zh-CN" w:bidi="ar"/>
              </w:rPr>
              <w:t>与项目位置关系</w:t>
            </w:r>
          </w:p>
        </w:tc>
        <w:tc>
          <w:tcPr>
            <w:tcW w:w="2757" w:type="dxa"/>
            <w:shd w:val="clear" w:color="auto" w:fill="auto"/>
            <w:tcMar>
              <w:top w:w="150" w:type="dxa"/>
              <w:left w:w="240" w:type="dxa"/>
              <w:bottom w:w="150" w:type="dxa"/>
              <w:right w:w="240" w:type="dxa"/>
            </w:tcMar>
            <w:vAlign w:val="center"/>
          </w:tcPr>
          <w:p w14:paraId="1D944FD6">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b/>
                <w:bCs/>
                <w:i w:val="0"/>
                <w:iCs w:val="0"/>
                <w:caps w:val="0"/>
                <w:color w:val="auto"/>
                <w:spacing w:val="0"/>
                <w:sz w:val="21"/>
                <w:szCs w:val="21"/>
              </w:rPr>
            </w:pPr>
            <w:r>
              <w:rPr>
                <w:rFonts w:hint="default" w:ascii="Times New Roman" w:hAnsi="Times New Roman" w:cs="Times New Roman" w:eastAsiaTheme="minorEastAsia"/>
                <w:b/>
                <w:bCs/>
                <w:i w:val="0"/>
                <w:iCs w:val="0"/>
                <w:caps w:val="0"/>
                <w:color w:val="auto"/>
                <w:spacing w:val="0"/>
                <w:kern w:val="0"/>
                <w:sz w:val="21"/>
                <w:szCs w:val="21"/>
                <w:lang w:val="en-US" w:eastAsia="zh-CN" w:bidi="ar"/>
              </w:rPr>
              <w:t>与项目距离</w:t>
            </w:r>
          </w:p>
        </w:tc>
      </w:tr>
      <w:tr w14:paraId="5671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 w:hRule="atLeast"/>
        </w:trPr>
        <w:tc>
          <w:tcPr>
            <w:tcW w:w="3799" w:type="dxa"/>
            <w:shd w:val="clear" w:color="auto" w:fill="auto"/>
            <w:tcMar>
              <w:top w:w="150" w:type="dxa"/>
              <w:left w:w="0" w:type="dxa"/>
              <w:bottom w:w="150" w:type="dxa"/>
              <w:right w:w="240" w:type="dxa"/>
            </w:tcMar>
            <w:vAlign w:val="center"/>
          </w:tcPr>
          <w:p w14:paraId="1FAA224D">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W1南盘江东干渠汇入口上游100m处</w:t>
            </w:r>
          </w:p>
        </w:tc>
        <w:tc>
          <w:tcPr>
            <w:tcW w:w="2319" w:type="dxa"/>
            <w:shd w:val="clear" w:color="auto" w:fill="auto"/>
            <w:tcMar>
              <w:top w:w="150" w:type="dxa"/>
              <w:left w:w="240" w:type="dxa"/>
              <w:bottom w:w="150" w:type="dxa"/>
              <w:right w:w="240" w:type="dxa"/>
            </w:tcMar>
            <w:vAlign w:val="center"/>
          </w:tcPr>
          <w:p w14:paraId="07A363E8">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项目下游</w:t>
            </w:r>
          </w:p>
        </w:tc>
        <w:tc>
          <w:tcPr>
            <w:tcW w:w="2757" w:type="dxa"/>
            <w:shd w:val="clear" w:color="auto" w:fill="auto"/>
            <w:tcMar>
              <w:top w:w="150" w:type="dxa"/>
              <w:left w:w="240" w:type="dxa"/>
              <w:bottom w:w="150" w:type="dxa"/>
              <w:right w:w="0" w:type="dxa"/>
            </w:tcMar>
            <w:vAlign w:val="center"/>
          </w:tcPr>
          <w:p w14:paraId="30737B9B">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西南侧</w:t>
            </w:r>
            <w:r>
              <w:rPr>
                <w:rFonts w:hint="eastAsia" w:ascii="Times New Roman" w:hAnsi="Times New Roman" w:cs="Times New Roman" w:eastAsiaTheme="minorEastAsia"/>
                <w:i w:val="0"/>
                <w:iCs w:val="0"/>
                <w:caps w:val="0"/>
                <w:color w:val="auto"/>
                <w:spacing w:val="0"/>
                <w:kern w:val="0"/>
                <w:sz w:val="21"/>
                <w:szCs w:val="21"/>
                <w:lang w:val="en-US" w:eastAsia="zh-CN" w:bidi="ar"/>
              </w:rPr>
              <w:t>9000</w:t>
            </w:r>
            <w:r>
              <w:rPr>
                <w:rFonts w:hint="default" w:ascii="Times New Roman" w:hAnsi="Times New Roman" w:cs="Times New Roman" w:eastAsiaTheme="minorEastAsia"/>
                <w:i w:val="0"/>
                <w:iCs w:val="0"/>
                <w:caps w:val="0"/>
                <w:color w:val="auto"/>
                <w:spacing w:val="0"/>
                <w:kern w:val="0"/>
                <w:sz w:val="21"/>
                <w:szCs w:val="21"/>
                <w:lang w:val="en-US" w:eastAsia="zh-CN" w:bidi="ar"/>
              </w:rPr>
              <w:t>m处</w:t>
            </w:r>
          </w:p>
        </w:tc>
      </w:tr>
      <w:tr w14:paraId="7D9F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9" w:hRule="atLeast"/>
        </w:trPr>
        <w:tc>
          <w:tcPr>
            <w:tcW w:w="3799" w:type="dxa"/>
            <w:shd w:val="clear" w:color="auto" w:fill="auto"/>
            <w:tcMar>
              <w:top w:w="150" w:type="dxa"/>
              <w:left w:w="0" w:type="dxa"/>
              <w:bottom w:w="150" w:type="dxa"/>
              <w:right w:w="240" w:type="dxa"/>
            </w:tcMar>
            <w:vAlign w:val="center"/>
          </w:tcPr>
          <w:p w14:paraId="49279189">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W2南盘江东干渠汇入口下游500m处</w:t>
            </w:r>
          </w:p>
        </w:tc>
        <w:tc>
          <w:tcPr>
            <w:tcW w:w="2319" w:type="dxa"/>
            <w:shd w:val="clear" w:color="auto" w:fill="auto"/>
            <w:tcMar>
              <w:top w:w="150" w:type="dxa"/>
              <w:left w:w="240" w:type="dxa"/>
              <w:bottom w:w="150" w:type="dxa"/>
              <w:right w:w="240" w:type="dxa"/>
            </w:tcMar>
            <w:vAlign w:val="center"/>
          </w:tcPr>
          <w:p w14:paraId="7E3A92CF">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项目下游</w:t>
            </w:r>
          </w:p>
        </w:tc>
        <w:tc>
          <w:tcPr>
            <w:tcW w:w="2757" w:type="dxa"/>
            <w:shd w:val="clear" w:color="auto" w:fill="auto"/>
            <w:tcMar>
              <w:top w:w="150" w:type="dxa"/>
              <w:left w:w="240" w:type="dxa"/>
              <w:bottom w:w="150" w:type="dxa"/>
              <w:right w:w="0" w:type="dxa"/>
            </w:tcMar>
            <w:vAlign w:val="center"/>
          </w:tcPr>
          <w:p w14:paraId="3394FAA4">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西南侧</w:t>
            </w:r>
            <w:r>
              <w:rPr>
                <w:rFonts w:hint="eastAsia" w:ascii="Times New Roman" w:hAnsi="Times New Roman" w:cs="Times New Roman" w:eastAsiaTheme="minorEastAsia"/>
                <w:i w:val="0"/>
                <w:iCs w:val="0"/>
                <w:caps w:val="0"/>
                <w:color w:val="auto"/>
                <w:spacing w:val="0"/>
                <w:kern w:val="0"/>
                <w:sz w:val="21"/>
                <w:szCs w:val="21"/>
                <w:lang w:val="en-US" w:eastAsia="zh-CN" w:bidi="ar"/>
              </w:rPr>
              <w:t>9279</w:t>
            </w:r>
            <w:r>
              <w:rPr>
                <w:rFonts w:hint="default" w:ascii="Times New Roman" w:hAnsi="Times New Roman" w:cs="Times New Roman" w:eastAsiaTheme="minorEastAsia"/>
                <w:i w:val="0"/>
                <w:iCs w:val="0"/>
                <w:caps w:val="0"/>
                <w:color w:val="auto"/>
                <w:spacing w:val="0"/>
                <w:kern w:val="0"/>
                <w:sz w:val="21"/>
                <w:szCs w:val="21"/>
                <w:lang w:val="en-US" w:eastAsia="zh-CN" w:bidi="ar"/>
              </w:rPr>
              <w:t>m处</w:t>
            </w:r>
          </w:p>
        </w:tc>
      </w:tr>
      <w:tr w14:paraId="0A1B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 w:hRule="atLeast"/>
        </w:trPr>
        <w:tc>
          <w:tcPr>
            <w:tcW w:w="3799" w:type="dxa"/>
            <w:shd w:val="clear" w:color="auto" w:fill="auto"/>
            <w:tcMar>
              <w:top w:w="150" w:type="dxa"/>
              <w:left w:w="0" w:type="dxa"/>
              <w:bottom w:w="150" w:type="dxa"/>
              <w:right w:w="240" w:type="dxa"/>
            </w:tcMar>
            <w:vAlign w:val="center"/>
          </w:tcPr>
          <w:p w14:paraId="6AB09448">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W3南盘江东干渠汇入口下游1500m处</w:t>
            </w:r>
          </w:p>
        </w:tc>
        <w:tc>
          <w:tcPr>
            <w:tcW w:w="2319" w:type="dxa"/>
            <w:shd w:val="clear" w:color="auto" w:fill="auto"/>
            <w:tcMar>
              <w:top w:w="150" w:type="dxa"/>
              <w:left w:w="240" w:type="dxa"/>
              <w:bottom w:w="150" w:type="dxa"/>
              <w:right w:w="240" w:type="dxa"/>
            </w:tcMar>
            <w:vAlign w:val="center"/>
          </w:tcPr>
          <w:p w14:paraId="4412E90E">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项目下游</w:t>
            </w:r>
          </w:p>
        </w:tc>
        <w:tc>
          <w:tcPr>
            <w:tcW w:w="2757" w:type="dxa"/>
            <w:shd w:val="clear" w:color="auto" w:fill="auto"/>
            <w:tcMar>
              <w:top w:w="150" w:type="dxa"/>
              <w:left w:w="240" w:type="dxa"/>
              <w:bottom w:w="150" w:type="dxa"/>
              <w:right w:w="0" w:type="dxa"/>
            </w:tcMar>
            <w:vAlign w:val="center"/>
          </w:tcPr>
          <w:p w14:paraId="2BA97E1D">
            <w:pPr>
              <w:keepNext w:val="0"/>
              <w:keepLines w:val="0"/>
              <w:pageBreakBefore w:val="0"/>
              <w:widowControl/>
              <w:suppressLineNumbers w:val="0"/>
              <w:kinsoku/>
              <w:wordWrap/>
              <w:overflowPunct/>
              <w:topLinePunct w:val="0"/>
              <w:autoSpaceDE w:val="0"/>
              <w:autoSpaceDN w:val="0"/>
              <w:bidi w:val="0"/>
              <w:adjustRightInd/>
              <w:snapToGrid/>
              <w:ind w:firstLine="0" w:firstLineChars="0"/>
              <w:jc w:val="center"/>
              <w:textAlignment w:val="baseline"/>
              <w:rPr>
                <w:rFonts w:hint="default" w:ascii="Times New Roman" w:hAnsi="Times New Roman" w:cs="Times New Roman" w:eastAsiaTheme="minorEastAsia"/>
                <w:i w:val="0"/>
                <w:iCs w:val="0"/>
                <w:caps w:val="0"/>
                <w:color w:val="auto"/>
                <w:spacing w:val="0"/>
                <w:sz w:val="21"/>
                <w:szCs w:val="21"/>
              </w:rPr>
            </w:pPr>
            <w:r>
              <w:rPr>
                <w:rFonts w:hint="default" w:ascii="Times New Roman" w:hAnsi="Times New Roman" w:cs="Times New Roman" w:eastAsiaTheme="minorEastAsia"/>
                <w:i w:val="0"/>
                <w:iCs w:val="0"/>
                <w:caps w:val="0"/>
                <w:color w:val="auto"/>
                <w:spacing w:val="0"/>
                <w:kern w:val="0"/>
                <w:sz w:val="21"/>
                <w:szCs w:val="21"/>
                <w:lang w:val="en-US" w:eastAsia="zh-CN" w:bidi="ar"/>
              </w:rPr>
              <w:t>西南侧</w:t>
            </w:r>
            <w:r>
              <w:rPr>
                <w:rFonts w:hint="eastAsia" w:ascii="Times New Roman" w:hAnsi="Times New Roman" w:cs="Times New Roman" w:eastAsiaTheme="minorEastAsia"/>
                <w:i w:val="0"/>
                <w:iCs w:val="0"/>
                <w:caps w:val="0"/>
                <w:color w:val="auto"/>
                <w:spacing w:val="0"/>
                <w:kern w:val="0"/>
                <w:sz w:val="21"/>
                <w:szCs w:val="21"/>
                <w:lang w:val="en-US" w:eastAsia="zh-CN" w:bidi="ar"/>
              </w:rPr>
              <w:t>10230</w:t>
            </w:r>
            <w:r>
              <w:rPr>
                <w:rFonts w:hint="default" w:ascii="Times New Roman" w:hAnsi="Times New Roman" w:cs="Times New Roman" w:eastAsiaTheme="minorEastAsia"/>
                <w:i w:val="0"/>
                <w:iCs w:val="0"/>
                <w:caps w:val="0"/>
                <w:color w:val="auto"/>
                <w:spacing w:val="0"/>
                <w:kern w:val="0"/>
                <w:sz w:val="21"/>
                <w:szCs w:val="21"/>
                <w:lang w:val="en-US" w:eastAsia="zh-CN" w:bidi="ar"/>
              </w:rPr>
              <w:t>m处</w:t>
            </w:r>
          </w:p>
        </w:tc>
      </w:tr>
    </w:tbl>
    <w:p w14:paraId="4DBF34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snapToGrid w:val="0"/>
          <w:color w:val="auto"/>
          <w:kern w:val="0"/>
          <w:sz w:val="24"/>
          <w:szCs w:val="24"/>
          <w:lang w:val="en-US" w:eastAsia="en-US" w:bidi="ar-SA"/>
        </w:rPr>
        <w:t>（</w:t>
      </w:r>
      <w:r>
        <w:rPr>
          <w:rFonts w:hint="eastAsia" w:ascii="Times New Roman" w:hAnsi="Times New Roman" w:eastAsia="宋体" w:cs="Times New Roman"/>
          <w:b w:val="0"/>
          <w:bCs w:val="0"/>
          <w:snapToGrid w:val="0"/>
          <w:color w:val="auto"/>
          <w:kern w:val="0"/>
          <w:sz w:val="24"/>
          <w:szCs w:val="24"/>
          <w:lang w:val="en-US" w:eastAsia="zh-CN" w:bidi="ar-SA"/>
        </w:rPr>
        <w:t>3</w:t>
      </w:r>
      <w:r>
        <w:rPr>
          <w:rFonts w:hint="default" w:ascii="Times New Roman" w:hAnsi="Times New Roman" w:eastAsia="宋体" w:cs="Times New Roman"/>
          <w:b w:val="0"/>
          <w:bCs w:val="0"/>
          <w:snapToGrid w:val="0"/>
          <w:color w:val="auto"/>
          <w:kern w:val="0"/>
          <w:sz w:val="24"/>
          <w:szCs w:val="24"/>
          <w:lang w:val="en-US" w:eastAsia="en-US" w:bidi="ar-SA"/>
        </w:rPr>
        <w:t>）</w:t>
      </w:r>
      <w:r>
        <w:rPr>
          <w:rFonts w:hint="default" w:ascii="Times New Roman" w:hAnsi="Times New Roman" w:eastAsia="宋体" w:cs="Times New Roman"/>
          <w:b w:val="0"/>
          <w:bCs w:val="0"/>
          <w:color w:val="auto"/>
          <w:sz w:val="24"/>
          <w:szCs w:val="24"/>
        </w:rPr>
        <w:t>监测频率</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2024 年 7 月 9 日～7 月 11 日，连续采样 3 天，每天采样 1 次。</w:t>
      </w:r>
    </w:p>
    <w:p w14:paraId="4D77A8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snapToGrid w:val="0"/>
          <w:color w:val="auto"/>
          <w:kern w:val="0"/>
          <w:sz w:val="24"/>
          <w:szCs w:val="24"/>
          <w:lang w:val="en-US" w:eastAsia="zh-CN" w:bidi="ar-SA"/>
        </w:rPr>
        <w:t>（</w:t>
      </w:r>
      <w:r>
        <w:rPr>
          <w:rFonts w:hint="eastAsia" w:ascii="Times New Roman" w:hAnsi="Times New Roman" w:eastAsia="宋体" w:cs="Times New Roman"/>
          <w:b w:val="0"/>
          <w:bCs w:val="0"/>
          <w:snapToGrid w:val="0"/>
          <w:color w:val="auto"/>
          <w:kern w:val="0"/>
          <w:sz w:val="24"/>
          <w:szCs w:val="24"/>
          <w:lang w:val="en-US" w:eastAsia="zh-CN" w:bidi="ar-SA"/>
        </w:rPr>
        <w:t>4</w:t>
      </w:r>
      <w:r>
        <w:rPr>
          <w:rFonts w:hint="default" w:ascii="Times New Roman" w:hAnsi="Times New Roman" w:eastAsia="宋体" w:cs="Times New Roman"/>
          <w:b w:val="0"/>
          <w:bCs w:val="0"/>
          <w:snapToGrid w:val="0"/>
          <w:color w:val="auto"/>
          <w:kern w:val="0"/>
          <w:sz w:val="24"/>
          <w:szCs w:val="24"/>
          <w:lang w:val="en-US" w:eastAsia="zh-CN" w:bidi="ar-SA"/>
        </w:rPr>
        <w:t>）</w:t>
      </w:r>
      <w:r>
        <w:rPr>
          <w:rFonts w:hint="default" w:ascii="Times New Roman" w:hAnsi="Times New Roman" w:eastAsia="宋体" w:cs="Times New Roman"/>
          <w:b w:val="0"/>
          <w:bCs w:val="0"/>
          <w:color w:val="auto"/>
          <w:sz w:val="24"/>
          <w:szCs w:val="24"/>
          <w:lang w:val="en-US" w:eastAsia="zh-CN"/>
        </w:rPr>
        <w:t>评价方法</w:t>
      </w:r>
    </w:p>
    <w:p w14:paraId="5390C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szCs w:val="24"/>
          <w:highlight w:val="none"/>
        </w:rPr>
      </w:pPr>
      <w:r>
        <w:rPr>
          <w:rFonts w:hint="default" w:ascii="Times New Roman" w:hAnsi="Times New Roman" w:eastAsia="宋体" w:cs="Times New Roman"/>
          <w:caps w:val="0"/>
          <w:color w:val="auto"/>
          <w:spacing w:val="0"/>
          <w:sz w:val="24"/>
          <w:szCs w:val="24"/>
          <w:highlight w:val="none"/>
        </w:rPr>
        <w:t>水质现状评价方法采用单因子标准指数法，</w:t>
      </w:r>
      <w:r>
        <w:rPr>
          <w:rFonts w:hint="default" w:ascii="Times New Roman" w:hAnsi="Times New Roman" w:eastAsia="宋体" w:cs="Times New Roman"/>
          <w:caps w:val="0"/>
          <w:color w:val="auto"/>
          <w:spacing w:val="0"/>
          <w:sz w:val="24"/>
          <w:highlight w:val="none"/>
        </w:rPr>
        <w:t>当水质因子的标准指数≤1时，表明该水质因子在评价水体中的浓度符合水域功能及水环境质量标准的要求为达标。</w:t>
      </w:r>
      <w:r>
        <w:rPr>
          <w:rFonts w:hint="default" w:ascii="Times New Roman" w:hAnsi="Times New Roman" w:eastAsia="宋体" w:cs="Times New Roman"/>
          <w:caps w:val="0"/>
          <w:color w:val="auto"/>
          <w:spacing w:val="0"/>
          <w:sz w:val="24"/>
          <w:szCs w:val="24"/>
          <w:highlight w:val="none"/>
        </w:rPr>
        <w:t>其计算公式如下：</w:t>
      </w:r>
    </w:p>
    <w:p w14:paraId="52CAE5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rPr>
        <w:t>1）一般</w:t>
      </w:r>
      <w:r>
        <w:rPr>
          <w:rFonts w:hint="default" w:ascii="Times New Roman" w:hAnsi="Times New Roman" w:eastAsia="宋体" w:cs="Times New Roman"/>
          <w:caps w:val="0"/>
          <w:color w:val="auto"/>
          <w:spacing w:val="0"/>
          <w:sz w:val="24"/>
          <w:szCs w:val="24"/>
          <w:highlight w:val="none"/>
          <w:lang w:val="en-US" w:eastAsia="zh-CN"/>
        </w:rPr>
        <w:t>性</w:t>
      </w:r>
      <w:r>
        <w:rPr>
          <w:rFonts w:hint="default" w:ascii="Times New Roman" w:hAnsi="Times New Roman" w:eastAsia="宋体" w:cs="Times New Roman"/>
          <w:caps w:val="0"/>
          <w:color w:val="auto"/>
          <w:spacing w:val="0"/>
          <w:sz w:val="24"/>
          <w:szCs w:val="24"/>
          <w:highlight w:val="none"/>
        </w:rPr>
        <w:t>水质因子</w:t>
      </w:r>
      <w:r>
        <w:rPr>
          <w:rFonts w:hint="default" w:ascii="Times New Roman" w:hAnsi="Times New Roman" w:eastAsia="宋体" w:cs="Times New Roman"/>
          <w:caps w:val="0"/>
          <w:color w:val="auto"/>
          <w:spacing w:val="0"/>
          <w:sz w:val="24"/>
          <w:szCs w:val="24"/>
          <w:highlight w:val="none"/>
          <w:lang w:eastAsia="zh-CN"/>
        </w:rPr>
        <w:t>的</w:t>
      </w:r>
      <w:r>
        <w:rPr>
          <w:rFonts w:hint="default" w:ascii="Times New Roman" w:hAnsi="Times New Roman" w:eastAsia="宋体" w:cs="Times New Roman"/>
          <w:caps w:val="0"/>
          <w:color w:val="auto"/>
          <w:spacing w:val="0"/>
          <w:sz w:val="24"/>
          <w:szCs w:val="24"/>
          <w:highlight w:val="none"/>
          <w:lang w:val="en-US" w:eastAsia="zh-CN"/>
        </w:rPr>
        <w:t>指数计算公式</w:t>
      </w:r>
    </w:p>
    <w:p w14:paraId="7ABAFC64">
      <w:pPr>
        <w:spacing w:line="360" w:lineRule="auto"/>
        <w:ind w:firstLine="3360" w:firstLineChars="1400"/>
        <w:rPr>
          <w:rFonts w:hint="default" w:ascii="Times New Roman" w:hAnsi="Times New Roman" w:eastAsia="宋体" w:cs="Times New Roman"/>
          <w:caps w:val="0"/>
          <w:color w:val="auto"/>
          <w:spacing w:val="0"/>
          <w:sz w:val="24"/>
          <w:szCs w:val="24"/>
          <w:highlight w:val="none"/>
        </w:rPr>
      </w:pPr>
      <w:r>
        <w:rPr>
          <w:rFonts w:hint="default" w:ascii="Times New Roman" w:hAnsi="Times New Roman" w:eastAsia="宋体" w:cs="Times New Roman"/>
          <w:caps w:val="0"/>
          <w:color w:val="auto"/>
          <w:spacing w:val="0"/>
          <w:sz w:val="24"/>
          <w:szCs w:val="24"/>
          <w:highlight w:val="none"/>
        </w:rPr>
        <w:t xml:space="preserve"> </w:t>
      </w:r>
      <w:r>
        <w:rPr>
          <w:rFonts w:hint="default" w:ascii="Times New Roman" w:hAnsi="Times New Roman" w:eastAsia="宋体" w:cs="Times New Roman"/>
          <w:caps w:val="0"/>
          <w:color w:val="auto"/>
          <w:spacing w:val="0"/>
          <w:position w:val="-14"/>
          <w:sz w:val="24"/>
          <w:szCs w:val="24"/>
          <w:highlight w:val="none"/>
        </w:rPr>
        <w:object>
          <v:shape id="_x0000_i1030" o:spt="75" type="#_x0000_t75" style="height:18.75pt;width:69.75pt;" o:ole="t" filled="f" stroked="f" coordsize="21600,21600">
            <v:path/>
            <v:fill on="f" focussize="0,0"/>
            <v:stroke on="f"/>
            <v:imagedata r:id="rId46" o:title=""/>
            <o:lock v:ext="edit" grouping="f" rotation="f" text="f" aspectratio="t"/>
            <w10:wrap type="none"/>
            <w10:anchorlock/>
          </v:shape>
          <o:OLEObject Type="Embed" ProgID="Equation.3" ShapeID="_x0000_i1030" DrawAspect="Content" ObjectID="_1468075730" r:id="rId45">
            <o:LockedField>false</o:LockedField>
          </o:OLEObject>
        </w:object>
      </w:r>
    </w:p>
    <w:p w14:paraId="2DE5EC42">
      <w:pPr>
        <w:spacing w:line="360" w:lineRule="auto"/>
        <w:ind w:firstLine="600" w:firstLineChars="250"/>
        <w:rPr>
          <w:rFonts w:hint="default" w:ascii="Times New Roman" w:hAnsi="Times New Roman" w:eastAsia="宋体" w:cs="Times New Roman"/>
          <w:bCs/>
          <w:caps w:val="0"/>
          <w:color w:val="auto"/>
          <w:spacing w:val="0"/>
          <w:sz w:val="24"/>
          <w:szCs w:val="24"/>
          <w:highlight w:val="none"/>
        </w:rPr>
      </w:pPr>
      <w:r>
        <w:rPr>
          <w:rFonts w:hint="default" w:ascii="Times New Roman" w:hAnsi="Times New Roman" w:eastAsia="宋体" w:cs="Times New Roman"/>
          <w:caps w:val="0"/>
          <w:color w:val="auto"/>
          <w:spacing w:val="0"/>
          <w:sz w:val="24"/>
          <w:szCs w:val="24"/>
          <w:highlight w:val="none"/>
        </w:rPr>
        <w:t>式中：</w:t>
      </w:r>
      <w:r>
        <w:rPr>
          <w:rFonts w:hint="default" w:ascii="Times New Roman" w:hAnsi="Times New Roman" w:eastAsia="宋体" w:cs="Times New Roman"/>
          <w:bCs/>
          <w:caps w:val="0"/>
          <w:color w:val="auto"/>
          <w:spacing w:val="0"/>
          <w:sz w:val="24"/>
          <w:szCs w:val="24"/>
          <w:highlight w:val="none"/>
        </w:rPr>
        <w:object>
          <v:shape id="_x0000_i1031" o:spt="75" type="#_x0000_t75" style="height:18.75pt;width:18.75pt;" o:ole="t" filled="f" stroked="f" coordsize="21600,21600">
            <v:path/>
            <v:fill on="f" focussize="0,0"/>
            <v:stroke on="f"/>
            <v:imagedata r:id="rId48" o:title=""/>
            <o:lock v:ext="edit" grouping="f" rotation="f" text="f" aspectratio="t"/>
            <w10:wrap type="none"/>
            <w10:anchorlock/>
          </v:shape>
          <o:OLEObject Type="Embed" ProgID="Equation.3" ShapeID="_x0000_i1031" DrawAspect="Content" ObjectID="_1468075731" r:id="rId47">
            <o:LockedField>false</o:LockedField>
          </o:OLEObject>
        </w:object>
      </w:r>
      <w:r>
        <w:rPr>
          <w:rFonts w:hint="default" w:ascii="Times New Roman" w:hAnsi="Times New Roman" w:eastAsia="宋体" w:cs="Times New Roman"/>
          <w:bCs/>
          <w:caps w:val="0"/>
          <w:color w:val="auto"/>
          <w:spacing w:val="0"/>
          <w:sz w:val="24"/>
          <w:szCs w:val="24"/>
          <w:highlight w:val="none"/>
        </w:rPr>
        <w:t>——标准指数；</w:t>
      </w:r>
    </w:p>
    <w:p w14:paraId="6F0754F3">
      <w:pPr>
        <w:spacing w:line="360" w:lineRule="auto"/>
        <w:ind w:firstLine="1440" w:firstLineChars="600"/>
        <w:rPr>
          <w:rFonts w:hint="default" w:ascii="Times New Roman" w:hAnsi="Times New Roman" w:eastAsia="宋体" w:cs="Times New Roman"/>
          <w:caps w:val="0"/>
          <w:color w:val="auto"/>
          <w:spacing w:val="0"/>
          <w:sz w:val="24"/>
          <w:szCs w:val="24"/>
          <w:highlight w:val="none"/>
        </w:rPr>
      </w:pPr>
      <w:r>
        <w:rPr>
          <w:rFonts w:hint="default" w:ascii="Times New Roman" w:hAnsi="Times New Roman" w:eastAsia="宋体" w:cs="Times New Roman"/>
          <w:caps w:val="0"/>
          <w:color w:val="auto"/>
          <w:spacing w:val="0"/>
          <w:sz w:val="24"/>
          <w:szCs w:val="24"/>
          <w:highlight w:val="none"/>
        </w:rPr>
        <w:object>
          <v:shape id="_x0000_i1032" o:spt="75" type="#_x0000_t75" style="height:18.75pt;width:17.25pt;" o:ole="t" filled="f" o:preferrelative="t" stroked="f" coordsize="21600,21600">
            <v:path/>
            <v:fill on="f" focussize="0,0"/>
            <v:stroke on="f"/>
            <v:imagedata r:id="rId50" o:title=""/>
            <o:lock v:ext="edit" aspectratio="t"/>
            <w10:wrap type="none"/>
            <w10:anchorlock/>
          </v:shape>
          <o:OLEObject Type="Embed" ProgID="Equation.3" ShapeID="_x0000_i1032" DrawAspect="Content" ObjectID="_1468075732" r:id="rId49">
            <o:LockedField>false</o:LockedField>
          </o:OLEObject>
        </w:object>
      </w:r>
      <w:r>
        <w:rPr>
          <w:rFonts w:hint="default" w:ascii="Times New Roman" w:hAnsi="Times New Roman" w:eastAsia="宋体" w:cs="Times New Roman"/>
          <w:caps w:val="0"/>
          <w:color w:val="auto"/>
          <w:spacing w:val="0"/>
          <w:sz w:val="24"/>
          <w:szCs w:val="24"/>
          <w:highlight w:val="none"/>
        </w:rPr>
        <w:t>——评价因子i在j点的实测统计代表值，mg</w:t>
      </w:r>
      <w:r>
        <w:rPr>
          <w:rFonts w:hint="default" w:ascii="Times New Roman" w:hAnsi="Times New Roman" w:eastAsia="宋体" w:cs="Times New Roman"/>
          <w:caps w:val="0"/>
          <w:color w:val="auto"/>
          <w:spacing w:val="0"/>
          <w:sz w:val="24"/>
          <w:szCs w:val="24"/>
          <w:highlight w:val="none"/>
          <w:lang w:val="en-US" w:eastAsia="zh-CN"/>
        </w:rPr>
        <w:t>/L</w:t>
      </w:r>
      <w:r>
        <w:rPr>
          <w:rFonts w:hint="default" w:ascii="Times New Roman" w:hAnsi="Times New Roman" w:eastAsia="宋体" w:cs="Times New Roman"/>
          <w:caps w:val="0"/>
          <w:color w:val="auto"/>
          <w:spacing w:val="0"/>
          <w:sz w:val="24"/>
          <w:szCs w:val="24"/>
          <w:highlight w:val="none"/>
        </w:rPr>
        <w:t>；</w:t>
      </w:r>
    </w:p>
    <w:p w14:paraId="136CBCB1">
      <w:pPr>
        <w:spacing w:line="360" w:lineRule="auto"/>
        <w:ind w:firstLine="1320" w:firstLineChars="550"/>
        <w:rPr>
          <w:rFonts w:hint="default" w:ascii="Times New Roman" w:hAnsi="Times New Roman" w:eastAsia="宋体" w:cs="Times New Roman"/>
          <w:bCs/>
          <w:caps w:val="0"/>
          <w:color w:val="auto"/>
          <w:spacing w:val="0"/>
          <w:sz w:val="24"/>
          <w:szCs w:val="24"/>
          <w:highlight w:val="none"/>
        </w:rPr>
      </w:pPr>
      <w:r>
        <w:rPr>
          <w:rFonts w:hint="default" w:ascii="Times New Roman" w:hAnsi="Times New Roman" w:eastAsia="宋体" w:cs="Times New Roman"/>
          <w:bCs/>
          <w:caps w:val="0"/>
          <w:color w:val="auto"/>
          <w:spacing w:val="0"/>
          <w:sz w:val="24"/>
          <w:szCs w:val="24"/>
          <w:highlight w:val="none"/>
        </w:rPr>
        <w:object>
          <v:shape id="_x0000_i1033" o:spt="75" type="#_x0000_t75" style="height:18.75pt;width:18pt;" o:ole="t" filled="f" stroked="f" coordsize="21600,21600">
            <v:path/>
            <v:fill on="f" focussize="0,0"/>
            <v:stroke on="f"/>
            <v:imagedata r:id="rId52" o:title=""/>
            <o:lock v:ext="edit" grouping="f" rotation="f" text="f" aspectratio="t"/>
            <w10:wrap type="none"/>
            <w10:anchorlock/>
          </v:shape>
          <o:OLEObject Type="Embed" ProgID="Equation.3" ShapeID="_x0000_i1033" DrawAspect="Content" ObjectID="_1468075733" r:id="rId51">
            <o:LockedField>false</o:LockedField>
          </o:OLEObject>
        </w:object>
      </w:r>
      <w:r>
        <w:rPr>
          <w:rFonts w:hint="default" w:ascii="Times New Roman" w:hAnsi="Times New Roman" w:eastAsia="宋体" w:cs="Times New Roman"/>
          <w:bCs/>
          <w:caps w:val="0"/>
          <w:color w:val="auto"/>
          <w:spacing w:val="0"/>
          <w:sz w:val="24"/>
          <w:szCs w:val="24"/>
          <w:highlight w:val="none"/>
        </w:rPr>
        <w:t>——评价因子i的评价标准限值，mg/</w:t>
      </w:r>
      <w:r>
        <w:rPr>
          <w:rFonts w:hint="default" w:ascii="Times New Roman" w:hAnsi="Times New Roman" w:eastAsia="宋体" w:cs="Times New Roman"/>
          <w:bCs/>
          <w:caps w:val="0"/>
          <w:color w:val="auto"/>
          <w:spacing w:val="0"/>
          <w:sz w:val="24"/>
          <w:szCs w:val="24"/>
          <w:highlight w:val="none"/>
          <w:lang w:val="en-US" w:eastAsia="zh-CN"/>
        </w:rPr>
        <w:t>L</w:t>
      </w:r>
      <w:r>
        <w:rPr>
          <w:rFonts w:hint="default" w:ascii="Times New Roman" w:hAnsi="Times New Roman" w:eastAsia="宋体" w:cs="Times New Roman"/>
          <w:bCs/>
          <w:caps w:val="0"/>
          <w:color w:val="auto"/>
          <w:spacing w:val="0"/>
          <w:sz w:val="24"/>
          <w:szCs w:val="24"/>
          <w:highlight w:val="none"/>
        </w:rPr>
        <w:t>。</w:t>
      </w:r>
    </w:p>
    <w:p w14:paraId="084B7E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rPr>
        <w:t>2）</w:t>
      </w:r>
      <w:r>
        <w:rPr>
          <w:rFonts w:hint="default" w:ascii="Times New Roman" w:hAnsi="Times New Roman" w:eastAsia="宋体" w:cs="Times New Roman"/>
          <w:caps w:val="0"/>
          <w:color w:val="auto"/>
          <w:spacing w:val="0"/>
          <w:sz w:val="24"/>
          <w:highlight w:val="none"/>
          <w:lang w:val="en-US" w:eastAsia="zh-CN"/>
        </w:rPr>
        <w:t>溶解氧（DO）的标准指数计算公式</w:t>
      </w:r>
    </w:p>
    <w:p w14:paraId="583F308C">
      <w:pPr>
        <w:spacing w:line="360" w:lineRule="auto"/>
        <w:ind w:firstLine="550"/>
        <w:jc w:val="center"/>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olor w:val="auto"/>
        </w:rPr>
        <w:drawing>
          <wp:inline distT="0" distB="0" distL="114300" distR="114300">
            <wp:extent cx="2973705" cy="965835"/>
            <wp:effectExtent l="0" t="0" r="17145" b="5715"/>
            <wp:docPr id="2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8"/>
                    <pic:cNvPicPr>
                      <a:picLocks noChangeAspect="1"/>
                    </pic:cNvPicPr>
                  </pic:nvPicPr>
                  <pic:blipFill>
                    <a:blip r:embed="rId53"/>
                    <a:srcRect t="5653" b="3946"/>
                    <a:stretch>
                      <a:fillRect/>
                    </a:stretch>
                  </pic:blipFill>
                  <pic:spPr>
                    <a:xfrm>
                      <a:off x="0" y="0"/>
                      <a:ext cx="2973705" cy="965835"/>
                    </a:xfrm>
                    <a:prstGeom prst="rect">
                      <a:avLst/>
                    </a:prstGeom>
                    <a:noFill/>
                    <a:ln>
                      <a:noFill/>
                    </a:ln>
                  </pic:spPr>
                </pic:pic>
              </a:graphicData>
            </a:graphic>
          </wp:inline>
        </w:drawing>
      </w:r>
    </w:p>
    <w:p w14:paraId="2D7B490B">
      <w:pPr>
        <w:spacing w:line="360" w:lineRule="auto"/>
        <w:ind w:firstLine="550"/>
        <w:rPr>
          <w:rFonts w:hint="default" w:ascii="Times New Roman" w:hAnsi="Times New Roman" w:eastAsia="宋体" w:cs="Times New Roman"/>
          <w:caps w:val="0"/>
          <w:color w:val="auto"/>
          <w:spacing w:val="0"/>
          <w:sz w:val="24"/>
          <w:szCs w:val="24"/>
          <w:highlight w:val="none"/>
          <w:lang w:eastAsia="zh-CN"/>
        </w:rPr>
      </w:pPr>
      <w:r>
        <w:rPr>
          <w:rFonts w:hint="default" w:ascii="Times New Roman" w:hAnsi="Times New Roman" w:eastAsia="宋体" w:cs="Times New Roman"/>
          <w:caps w:val="0"/>
          <w:color w:val="auto"/>
          <w:spacing w:val="0"/>
          <w:sz w:val="24"/>
          <w:szCs w:val="24"/>
          <w:highlight w:val="none"/>
        </w:rPr>
        <w:t>式中：</w:t>
      </w:r>
      <w:r>
        <w:rPr>
          <w:rFonts w:hint="default" w:ascii="Times New Roman" w:hAnsi="Times New Roman" w:eastAsia="宋体" w:cs="Times New Roman"/>
          <w:color w:val="auto"/>
        </w:rPr>
        <w:drawing>
          <wp:inline distT="0" distB="0" distL="114300" distR="114300">
            <wp:extent cx="518160" cy="352425"/>
            <wp:effectExtent l="0" t="0" r="15240" b="9525"/>
            <wp:docPr id="21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9"/>
                    <pic:cNvPicPr>
                      <a:picLocks noChangeAspect="1"/>
                    </pic:cNvPicPr>
                  </pic:nvPicPr>
                  <pic:blipFill>
                    <a:blip r:embed="rId54"/>
                    <a:stretch>
                      <a:fillRect/>
                    </a:stretch>
                  </pic:blipFill>
                  <pic:spPr>
                    <a:xfrm>
                      <a:off x="0" y="0"/>
                      <a:ext cx="518160" cy="352425"/>
                    </a:xfrm>
                    <a:prstGeom prst="rect">
                      <a:avLst/>
                    </a:prstGeom>
                    <a:noFill/>
                    <a:ln>
                      <a:noFill/>
                    </a:ln>
                  </pic:spPr>
                </pic:pic>
              </a:graphicData>
            </a:graphic>
          </wp:inline>
        </w:drawing>
      </w:r>
      <w:r>
        <w:rPr>
          <w:rFonts w:hint="default" w:ascii="Times New Roman" w:hAnsi="Times New Roman" w:eastAsia="宋体" w:cs="Times New Roman"/>
          <w:bCs/>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rPr>
        <w:t>溶解氧的标准指数，大于1表明该水质因子超标</w:t>
      </w:r>
      <w:r>
        <w:rPr>
          <w:rFonts w:hint="default" w:ascii="Times New Roman" w:hAnsi="Times New Roman" w:eastAsia="宋体" w:cs="Times New Roman"/>
          <w:caps w:val="0"/>
          <w:color w:val="auto"/>
          <w:spacing w:val="0"/>
          <w:sz w:val="24"/>
          <w:szCs w:val="24"/>
          <w:highlight w:val="none"/>
          <w:lang w:eastAsia="zh-CN"/>
        </w:rPr>
        <w:t>；</w:t>
      </w:r>
    </w:p>
    <w:p w14:paraId="78E64D6D">
      <w:pPr>
        <w:spacing w:line="360" w:lineRule="auto"/>
        <w:ind w:firstLine="1470" w:firstLineChars="700"/>
        <w:rPr>
          <w:rFonts w:hint="default" w:ascii="Times New Roman" w:hAnsi="Times New Roman" w:eastAsia="宋体" w:cs="Times New Roman"/>
          <w:caps w:val="0"/>
          <w:color w:val="auto"/>
          <w:spacing w:val="0"/>
          <w:sz w:val="24"/>
          <w:szCs w:val="24"/>
          <w:highlight w:val="none"/>
          <w:lang w:eastAsia="zh-CN"/>
        </w:rPr>
      </w:pPr>
      <w:r>
        <w:rPr>
          <w:rFonts w:hint="default" w:ascii="Times New Roman" w:hAnsi="Times New Roman" w:eastAsia="宋体" w:cs="Times New Roman"/>
          <w:color w:val="auto"/>
        </w:rPr>
        <w:drawing>
          <wp:inline distT="0" distB="0" distL="114300" distR="114300">
            <wp:extent cx="412750" cy="290195"/>
            <wp:effectExtent l="0" t="0" r="6350" b="14605"/>
            <wp:docPr id="2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0"/>
                    <pic:cNvPicPr>
                      <a:picLocks noChangeAspect="1"/>
                    </pic:cNvPicPr>
                  </pic:nvPicPr>
                  <pic:blipFill>
                    <a:blip r:embed="rId55"/>
                    <a:stretch>
                      <a:fillRect/>
                    </a:stretch>
                  </pic:blipFill>
                  <pic:spPr>
                    <a:xfrm>
                      <a:off x="0" y="0"/>
                      <a:ext cx="412750" cy="290195"/>
                    </a:xfrm>
                    <a:prstGeom prst="rect">
                      <a:avLst/>
                    </a:prstGeom>
                    <a:noFill/>
                    <a:ln>
                      <a:noFill/>
                    </a:ln>
                  </pic:spPr>
                </pic:pic>
              </a:graphicData>
            </a:graphic>
          </wp:inline>
        </w:drawing>
      </w:r>
      <w:r>
        <w:rPr>
          <w:rFonts w:hint="default" w:ascii="Times New Roman" w:hAnsi="Times New Roman" w:eastAsia="宋体" w:cs="Times New Roman"/>
          <w:bCs/>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rPr>
        <w:t>溶解氧在j点的实测统计代表值，mg</w:t>
      </w:r>
      <w:r>
        <w:rPr>
          <w:rFonts w:hint="default" w:ascii="Times New Roman" w:hAnsi="Times New Roman" w:eastAsia="宋体" w:cs="Times New Roman"/>
          <w:caps w:val="0"/>
          <w:color w:val="auto"/>
          <w:spacing w:val="0"/>
          <w:sz w:val="24"/>
          <w:szCs w:val="24"/>
          <w:highlight w:val="none"/>
          <w:lang w:val="en-US" w:eastAsia="zh-CN"/>
        </w:rPr>
        <w:t>/</w:t>
      </w:r>
      <w:r>
        <w:rPr>
          <w:rFonts w:hint="default" w:ascii="Times New Roman" w:hAnsi="Times New Roman" w:eastAsia="宋体" w:cs="Times New Roman"/>
          <w:caps w:val="0"/>
          <w:color w:val="auto"/>
          <w:spacing w:val="0"/>
          <w:sz w:val="24"/>
          <w:szCs w:val="24"/>
          <w:highlight w:val="none"/>
        </w:rPr>
        <w:t>L</w:t>
      </w:r>
      <w:r>
        <w:rPr>
          <w:rFonts w:hint="default" w:ascii="Times New Roman" w:hAnsi="Times New Roman" w:eastAsia="宋体" w:cs="Times New Roman"/>
          <w:caps w:val="0"/>
          <w:color w:val="auto"/>
          <w:spacing w:val="0"/>
          <w:sz w:val="24"/>
          <w:szCs w:val="24"/>
          <w:highlight w:val="none"/>
          <w:lang w:eastAsia="zh-CN"/>
        </w:rPr>
        <w:t>；</w:t>
      </w:r>
    </w:p>
    <w:p w14:paraId="046504B5">
      <w:pPr>
        <w:spacing w:line="360" w:lineRule="auto"/>
        <w:ind w:firstLine="1470" w:firstLineChars="700"/>
        <w:rPr>
          <w:rFonts w:hint="default" w:ascii="Times New Roman" w:hAnsi="Times New Roman" w:eastAsia="宋体" w:cs="Times New Roman"/>
          <w:caps w:val="0"/>
          <w:color w:val="auto"/>
          <w:spacing w:val="0"/>
          <w:sz w:val="24"/>
          <w:szCs w:val="24"/>
          <w:highlight w:val="none"/>
        </w:rPr>
      </w:pPr>
      <w:r>
        <w:rPr>
          <w:rFonts w:hint="default" w:ascii="Times New Roman" w:hAnsi="Times New Roman" w:eastAsia="宋体" w:cs="Times New Roman"/>
          <w:color w:val="auto"/>
        </w:rPr>
        <w:drawing>
          <wp:inline distT="0" distB="0" distL="114300" distR="114300">
            <wp:extent cx="401320" cy="290830"/>
            <wp:effectExtent l="0" t="0" r="17780" b="13970"/>
            <wp:docPr id="21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
                    <pic:cNvPicPr>
                      <a:picLocks noChangeAspect="1"/>
                    </pic:cNvPicPr>
                  </pic:nvPicPr>
                  <pic:blipFill>
                    <a:blip r:embed="rId56"/>
                    <a:srcRect t="-1778" r="5247"/>
                    <a:stretch>
                      <a:fillRect/>
                    </a:stretch>
                  </pic:blipFill>
                  <pic:spPr>
                    <a:xfrm>
                      <a:off x="0" y="0"/>
                      <a:ext cx="401320" cy="290830"/>
                    </a:xfrm>
                    <a:prstGeom prst="rect">
                      <a:avLst/>
                    </a:prstGeom>
                    <a:noFill/>
                    <a:ln>
                      <a:noFill/>
                    </a:ln>
                  </pic:spPr>
                </pic:pic>
              </a:graphicData>
            </a:graphic>
          </wp:inline>
        </w:drawing>
      </w:r>
      <w:r>
        <w:rPr>
          <w:rFonts w:hint="default" w:ascii="Times New Roman" w:hAnsi="Times New Roman" w:eastAsia="宋体" w:cs="Times New Roman"/>
          <w:bCs/>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rPr>
        <w:t>溶解氧的水质评价标准限值，mg</w:t>
      </w:r>
      <w:r>
        <w:rPr>
          <w:rFonts w:hint="default" w:ascii="Times New Roman" w:hAnsi="Times New Roman" w:eastAsia="宋体" w:cs="Times New Roman"/>
          <w:caps w:val="0"/>
          <w:color w:val="auto"/>
          <w:spacing w:val="0"/>
          <w:sz w:val="24"/>
          <w:szCs w:val="24"/>
          <w:highlight w:val="none"/>
          <w:lang w:val="en-US" w:eastAsia="zh-CN"/>
        </w:rPr>
        <w:t>/</w:t>
      </w:r>
      <w:r>
        <w:rPr>
          <w:rFonts w:hint="default" w:ascii="Times New Roman" w:hAnsi="Times New Roman" w:eastAsia="宋体" w:cs="Times New Roman"/>
          <w:caps w:val="0"/>
          <w:color w:val="auto"/>
          <w:spacing w:val="0"/>
          <w:sz w:val="24"/>
          <w:szCs w:val="24"/>
          <w:highlight w:val="none"/>
        </w:rPr>
        <w:t>L</w:t>
      </w:r>
      <w:r>
        <w:rPr>
          <w:rFonts w:hint="default" w:ascii="Times New Roman" w:hAnsi="Times New Roman" w:eastAsia="宋体" w:cs="Times New Roman"/>
          <w:caps w:val="0"/>
          <w:color w:val="auto"/>
          <w:spacing w:val="0"/>
          <w:sz w:val="24"/>
          <w:szCs w:val="24"/>
          <w:highlight w:val="none"/>
          <w:lang w:eastAsia="zh-CN"/>
        </w:rPr>
        <w:t>；</w:t>
      </w:r>
    </w:p>
    <w:p w14:paraId="5B905461">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aps w:val="0"/>
          <w:color w:val="auto"/>
          <w:spacing w:val="0"/>
          <w:sz w:val="24"/>
          <w:szCs w:val="24"/>
          <w:highlight w:val="none"/>
          <w:lang w:eastAsia="zh-CN"/>
        </w:rPr>
      </w:pP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drawing>
          <wp:inline distT="0" distB="0" distL="114300" distR="114300">
            <wp:extent cx="386080" cy="296545"/>
            <wp:effectExtent l="0" t="0" r="13970" b="8255"/>
            <wp:docPr id="21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2"/>
                    <pic:cNvPicPr>
                      <a:picLocks noChangeAspect="1"/>
                    </pic:cNvPicPr>
                  </pic:nvPicPr>
                  <pic:blipFill>
                    <a:blip r:embed="rId57"/>
                    <a:srcRect l="4720" t="-223" r="3404" b="3435"/>
                    <a:stretch>
                      <a:fillRect/>
                    </a:stretch>
                  </pic:blipFill>
                  <pic:spPr>
                    <a:xfrm>
                      <a:off x="0" y="0"/>
                      <a:ext cx="386080" cy="296545"/>
                    </a:xfrm>
                    <a:prstGeom prst="rect">
                      <a:avLst/>
                    </a:prstGeom>
                    <a:noFill/>
                    <a:ln>
                      <a:noFill/>
                    </a:ln>
                  </pic:spPr>
                </pic:pic>
              </a:graphicData>
            </a:graphic>
          </wp:inline>
        </w:drawing>
      </w:r>
      <w:r>
        <w:rPr>
          <w:rFonts w:hint="default" w:ascii="Times New Roman" w:hAnsi="Times New Roman" w:eastAsia="宋体" w:cs="Times New Roman"/>
          <w:bCs/>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rPr>
        <w:t>饱和溶解氧浓度，mgL，对于河流，</w:t>
      </w:r>
      <w:r>
        <w:rPr>
          <w:rFonts w:hint="default" w:ascii="Times New Roman" w:hAnsi="Times New Roman" w:eastAsia="宋体" w:cs="Times New Roman"/>
          <w:color w:val="auto"/>
        </w:rPr>
        <w:drawing>
          <wp:inline distT="0" distB="0" distL="114300" distR="114300">
            <wp:extent cx="386080" cy="296545"/>
            <wp:effectExtent l="0" t="0" r="13970" b="8255"/>
            <wp:docPr id="21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3"/>
                    <pic:cNvPicPr>
                      <a:picLocks noChangeAspect="1"/>
                    </pic:cNvPicPr>
                  </pic:nvPicPr>
                  <pic:blipFill>
                    <a:blip r:embed="rId57"/>
                    <a:srcRect l="4720" t="-223" r="3404" b="3435"/>
                    <a:stretch>
                      <a:fillRect/>
                    </a:stretch>
                  </pic:blipFill>
                  <pic:spPr>
                    <a:xfrm>
                      <a:off x="0" y="0"/>
                      <a:ext cx="386080" cy="296545"/>
                    </a:xfrm>
                    <a:prstGeom prst="rect">
                      <a:avLst/>
                    </a:prstGeom>
                    <a:noFill/>
                    <a:ln>
                      <a:noFill/>
                    </a:ln>
                  </pic:spPr>
                </pic:pic>
              </a:graphicData>
            </a:graphic>
          </wp:inline>
        </w:drawing>
      </w:r>
      <w:r>
        <w:rPr>
          <w:rFonts w:hint="default" w:ascii="Times New Roman" w:hAnsi="Times New Roman" w:eastAsia="宋体" w:cs="Times New Roman"/>
          <w:caps w:val="0"/>
          <w:color w:val="auto"/>
          <w:spacing w:val="0"/>
          <w:sz w:val="24"/>
          <w:szCs w:val="24"/>
          <w:highlight w:val="none"/>
        </w:rPr>
        <w:t>=468/</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31.6+T</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，对于盐度比较高的湖泊、水库及入海河口、近岸海域，</w:t>
      </w:r>
      <w:r>
        <w:rPr>
          <w:rFonts w:hint="default" w:ascii="Times New Roman" w:hAnsi="Times New Roman" w:eastAsia="宋体" w:cs="Times New Roman"/>
          <w:color w:val="auto"/>
        </w:rPr>
        <w:drawing>
          <wp:inline distT="0" distB="0" distL="114300" distR="114300">
            <wp:extent cx="386080" cy="296545"/>
            <wp:effectExtent l="0" t="0" r="13970" b="8255"/>
            <wp:docPr id="21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4"/>
                    <pic:cNvPicPr>
                      <a:picLocks noChangeAspect="1"/>
                    </pic:cNvPicPr>
                  </pic:nvPicPr>
                  <pic:blipFill>
                    <a:blip r:embed="rId57"/>
                    <a:srcRect l="4720" t="-223" r="3404" b="3435"/>
                    <a:stretch>
                      <a:fillRect/>
                    </a:stretch>
                  </pic:blipFill>
                  <pic:spPr>
                    <a:xfrm>
                      <a:off x="0" y="0"/>
                      <a:ext cx="386080" cy="296545"/>
                    </a:xfrm>
                    <a:prstGeom prst="rect">
                      <a:avLst/>
                    </a:prstGeom>
                    <a:noFill/>
                    <a:ln>
                      <a:noFill/>
                    </a:ln>
                  </pic:spPr>
                </pic:pic>
              </a:graphicData>
            </a:graphic>
          </wp:inline>
        </w:drawing>
      </w:r>
      <w:r>
        <w:rPr>
          <w:rFonts w:hint="default" w:ascii="Times New Roman" w:hAnsi="Times New Roman" w:eastAsia="宋体" w:cs="Times New Roman"/>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491-2.65S</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33.5+T</w:t>
      </w:r>
      <w:r>
        <w:rPr>
          <w:rFonts w:hint="default" w:ascii="Times New Roman" w:hAnsi="Times New Roman" w:eastAsia="宋体" w:cs="Times New Roman"/>
          <w:caps w:val="0"/>
          <w:color w:val="auto"/>
          <w:spacing w:val="0"/>
          <w:sz w:val="24"/>
          <w:szCs w:val="24"/>
          <w:highlight w:val="none"/>
          <w:lang w:eastAsia="zh-CN"/>
        </w:rPr>
        <w:t>）；</w:t>
      </w:r>
    </w:p>
    <w:p w14:paraId="2F537E2A">
      <w:pPr>
        <w:spacing w:line="360" w:lineRule="auto"/>
        <w:ind w:firstLine="1680" w:firstLineChars="700"/>
        <w:rPr>
          <w:rFonts w:hint="default" w:ascii="Times New Roman" w:hAnsi="Times New Roman" w:eastAsia="宋体" w:cs="Times New Roman"/>
          <w:caps w:val="0"/>
          <w:color w:val="auto"/>
          <w:spacing w:val="0"/>
          <w:sz w:val="24"/>
          <w:szCs w:val="24"/>
          <w:highlight w:val="none"/>
          <w:lang w:eastAsia="zh-CN"/>
        </w:rPr>
      </w:pPr>
      <w:r>
        <w:rPr>
          <w:rFonts w:hint="default" w:ascii="Times New Roman" w:hAnsi="Times New Roman" w:eastAsia="宋体" w:cs="Times New Roman"/>
          <w:caps w:val="0"/>
          <w:color w:val="auto"/>
          <w:spacing w:val="0"/>
          <w:sz w:val="24"/>
          <w:szCs w:val="24"/>
          <w:highlight w:val="none"/>
        </w:rPr>
        <w:t>S</w:t>
      </w:r>
      <w:r>
        <w:rPr>
          <w:rFonts w:hint="default" w:ascii="Times New Roman" w:hAnsi="Times New Roman" w:eastAsia="宋体" w:cs="Times New Roman"/>
          <w:bCs/>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rPr>
        <w:t>实用盐度符号，量纲一</w:t>
      </w:r>
      <w:r>
        <w:rPr>
          <w:rFonts w:hint="default" w:ascii="Times New Roman" w:hAnsi="Times New Roman" w:eastAsia="宋体" w:cs="Times New Roman"/>
          <w:caps w:val="0"/>
          <w:color w:val="auto"/>
          <w:spacing w:val="0"/>
          <w:sz w:val="24"/>
          <w:szCs w:val="24"/>
          <w:highlight w:val="none"/>
          <w:lang w:eastAsia="zh-CN"/>
        </w:rPr>
        <w:t>；</w:t>
      </w:r>
    </w:p>
    <w:p w14:paraId="37D89EE1">
      <w:pPr>
        <w:spacing w:line="360" w:lineRule="auto"/>
        <w:ind w:firstLine="1680" w:firstLineChars="700"/>
        <w:rPr>
          <w:rFonts w:hint="default" w:ascii="Times New Roman" w:hAnsi="Times New Roman" w:eastAsia="宋体" w:cs="Times New Roman"/>
          <w:caps w:val="0"/>
          <w:color w:val="auto"/>
          <w:spacing w:val="0"/>
          <w:sz w:val="24"/>
          <w:szCs w:val="24"/>
          <w:highlight w:val="none"/>
          <w:lang w:eastAsia="zh-CN"/>
        </w:rPr>
      </w:pPr>
      <w:r>
        <w:rPr>
          <w:rFonts w:hint="default" w:ascii="Times New Roman" w:hAnsi="Times New Roman" w:eastAsia="宋体" w:cs="Times New Roman"/>
          <w:caps w:val="0"/>
          <w:color w:val="auto"/>
          <w:spacing w:val="0"/>
          <w:sz w:val="24"/>
          <w:szCs w:val="24"/>
          <w:highlight w:val="none"/>
        </w:rPr>
        <w:t>T</w:t>
      </w:r>
      <w:r>
        <w:rPr>
          <w:rFonts w:hint="default" w:ascii="Times New Roman" w:hAnsi="Times New Roman" w:eastAsia="宋体" w:cs="Times New Roman"/>
          <w:bCs/>
          <w:caps w:val="0"/>
          <w:color w:val="auto"/>
          <w:spacing w:val="0"/>
          <w:sz w:val="24"/>
          <w:szCs w:val="24"/>
          <w:highlight w:val="none"/>
        </w:rPr>
        <w:t>——</w:t>
      </w:r>
      <w:r>
        <w:rPr>
          <w:rFonts w:hint="default" w:ascii="Times New Roman" w:hAnsi="Times New Roman" w:eastAsia="宋体" w:cs="Times New Roman"/>
          <w:caps w:val="0"/>
          <w:color w:val="auto"/>
          <w:spacing w:val="0"/>
          <w:sz w:val="24"/>
          <w:szCs w:val="24"/>
          <w:highlight w:val="none"/>
        </w:rPr>
        <w:t>水温，℃</w:t>
      </w:r>
      <w:r>
        <w:rPr>
          <w:rFonts w:hint="default" w:ascii="Times New Roman" w:hAnsi="Times New Roman" w:eastAsia="宋体" w:cs="Times New Roman"/>
          <w:caps w:val="0"/>
          <w:color w:val="auto"/>
          <w:spacing w:val="0"/>
          <w:sz w:val="24"/>
          <w:szCs w:val="24"/>
          <w:highlight w:val="none"/>
          <w:lang w:eastAsia="zh-CN"/>
        </w:rPr>
        <w:t>。</w:t>
      </w:r>
    </w:p>
    <w:p w14:paraId="594D5902">
      <w:pPr>
        <w:pStyle w:val="12"/>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aps w:val="0"/>
          <w:color w:val="auto"/>
          <w:spacing w:val="0"/>
          <w:sz w:val="24"/>
          <w:szCs w:val="24"/>
          <w:highlight w:val="none"/>
          <w:lang w:val="en-US" w:eastAsia="zh-CN"/>
        </w:rPr>
        <w:t>根据水温及溶解氧的监测数据，计算得出项目属于</w:t>
      </w:r>
      <w:r>
        <w:rPr>
          <w:rFonts w:hint="default" w:ascii="Times New Roman" w:hAnsi="Times New Roman" w:eastAsia="宋体" w:cs="Times New Roman"/>
          <w:color w:val="auto"/>
          <w:sz w:val="24"/>
          <w:szCs w:val="24"/>
        </w:rPr>
        <w:drawing>
          <wp:inline distT="0" distB="0" distL="114300" distR="114300">
            <wp:extent cx="873760" cy="333375"/>
            <wp:effectExtent l="0" t="0" r="2540" b="9525"/>
            <wp:docPr id="21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5"/>
                    <pic:cNvPicPr>
                      <a:picLocks noChangeAspect="1"/>
                    </pic:cNvPicPr>
                  </pic:nvPicPr>
                  <pic:blipFill>
                    <a:blip r:embed="rId58"/>
                    <a:stretch>
                      <a:fillRect/>
                    </a:stretch>
                  </pic:blipFill>
                  <pic:spPr>
                    <a:xfrm>
                      <a:off x="0" y="0"/>
                      <a:ext cx="873760" cy="333375"/>
                    </a:xfrm>
                    <a:prstGeom prst="rect">
                      <a:avLst/>
                    </a:prstGeom>
                    <a:noFill/>
                    <a:ln>
                      <a:noFill/>
                    </a:ln>
                  </pic:spPr>
                </pic:pic>
              </a:graphicData>
            </a:graphic>
          </wp:inline>
        </w:drawing>
      </w:r>
      <w:r>
        <w:rPr>
          <w:rFonts w:hint="default" w:ascii="Times New Roman" w:hAnsi="Times New Roman" w:eastAsia="宋体" w:cs="Times New Roman"/>
          <w:color w:val="auto"/>
          <w:sz w:val="24"/>
          <w:szCs w:val="24"/>
          <w:lang w:eastAsia="zh-CN"/>
        </w:rPr>
        <w:t>的</w:t>
      </w:r>
      <w:r>
        <w:rPr>
          <w:rFonts w:hint="default" w:ascii="Times New Roman" w:hAnsi="Times New Roman" w:eastAsia="宋体" w:cs="Times New Roman"/>
          <w:color w:val="auto"/>
          <w:sz w:val="24"/>
          <w:szCs w:val="24"/>
          <w:lang w:val="en-US" w:eastAsia="zh-CN"/>
        </w:rPr>
        <w:t>情况。</w:t>
      </w:r>
    </w:p>
    <w:p w14:paraId="7CE0A30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aps w:val="0"/>
          <w:color w:val="auto"/>
          <w:spacing w:val="0"/>
          <w:sz w:val="24"/>
          <w:szCs w:val="24"/>
          <w:highlight w:val="none"/>
          <w:lang w:val="en-US" w:eastAsia="zh-CN"/>
        </w:rPr>
      </w:pPr>
      <w:r>
        <w:rPr>
          <w:rFonts w:hint="default" w:ascii="Times New Roman" w:hAnsi="Times New Roman" w:eastAsia="宋体" w:cs="Times New Roman"/>
          <w:caps w:val="0"/>
          <w:color w:val="auto"/>
          <w:spacing w:val="0"/>
          <w:sz w:val="24"/>
          <w:szCs w:val="24"/>
          <w:highlight w:val="none"/>
          <w:lang w:val="en-US" w:eastAsia="zh-CN"/>
        </w:rPr>
        <w:t>3</w:t>
      </w:r>
      <w:r>
        <w:rPr>
          <w:rFonts w:hint="default" w:ascii="Times New Roman" w:hAnsi="Times New Roman" w:eastAsia="宋体" w:cs="Times New Roman"/>
          <w:caps w:val="0"/>
          <w:color w:val="auto"/>
          <w:spacing w:val="0"/>
          <w:sz w:val="24"/>
          <w:szCs w:val="24"/>
          <w:highlight w:val="none"/>
        </w:rPr>
        <w:t>）pH</w:t>
      </w:r>
      <w:r>
        <w:rPr>
          <w:rFonts w:hint="default" w:ascii="Times New Roman" w:hAnsi="Times New Roman" w:eastAsia="宋体" w:cs="Times New Roman"/>
          <w:caps w:val="0"/>
          <w:color w:val="auto"/>
          <w:spacing w:val="0"/>
          <w:sz w:val="24"/>
          <w:szCs w:val="24"/>
          <w:highlight w:val="none"/>
          <w:lang w:eastAsia="zh-CN"/>
        </w:rPr>
        <w:t>的</w:t>
      </w:r>
      <w:r>
        <w:rPr>
          <w:rFonts w:hint="default" w:ascii="Times New Roman" w:hAnsi="Times New Roman" w:eastAsia="宋体" w:cs="Times New Roman"/>
          <w:caps w:val="0"/>
          <w:color w:val="auto"/>
          <w:spacing w:val="0"/>
          <w:sz w:val="24"/>
          <w:szCs w:val="24"/>
          <w:highlight w:val="none"/>
          <w:lang w:val="en-US" w:eastAsia="zh-CN"/>
        </w:rPr>
        <w:t>指数计算公式</w:t>
      </w:r>
    </w:p>
    <w:p w14:paraId="72C10E61">
      <w:pPr>
        <w:spacing w:line="360" w:lineRule="auto"/>
        <w:ind w:firstLine="550"/>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sz w:val="24"/>
          <w:highlight w:val="none"/>
        </w:rPr>
        <w:t>pH值——两端有限值，水质影响不同</w:t>
      </w:r>
    </w:p>
    <w:p w14:paraId="286A7197">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sz w:val="24"/>
          <w:highlight w:val="none"/>
        </w:rPr>
        <w:t xml:space="preserve">当pHj≤7.0时    </w:t>
      </w:r>
      <w:r>
        <w:rPr>
          <w:rFonts w:hint="default" w:ascii="Times New Roman" w:hAnsi="Times New Roman" w:eastAsia="宋体" w:cs="Times New Roman"/>
          <w:caps w:val="0"/>
          <w:color w:val="auto"/>
          <w:spacing w:val="0"/>
          <w:position w:val="-14"/>
          <w:highlight w:val="none"/>
        </w:rPr>
        <w:object>
          <v:shape id="_x0000_i1034" o:spt="75" type="#_x0000_t75" style="height:18.75pt;width:165pt;" o:ole="t" filled="f" stroked="f" coordsize="21600,21600">
            <v:path/>
            <v:fill on="f" focussize="0,0"/>
            <v:stroke on="f"/>
            <v:imagedata r:id="rId60" o:title=""/>
            <o:lock v:ext="edit" grouping="f" rotation="f" text="f" aspectratio="t"/>
            <w10:wrap type="none"/>
            <w10:anchorlock/>
          </v:shape>
          <o:OLEObject Type="Embed" ProgID="Equation.3" ShapeID="_x0000_i1034" DrawAspect="Content" ObjectID="_1468075734" r:id="rId59">
            <o:LockedField>false</o:LockedField>
          </o:OLEObject>
        </w:object>
      </w:r>
    </w:p>
    <w:p w14:paraId="245B042F">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sz w:val="24"/>
          <w:highlight w:val="none"/>
        </w:rPr>
        <w:t>当pHj</w:t>
      </w:r>
      <w:r>
        <w:rPr>
          <w:rFonts w:hint="default" w:ascii="Times New Roman" w:hAnsi="Times New Roman" w:eastAsia="宋体" w:cs="Times New Roman"/>
          <w:caps w:val="0"/>
          <w:color w:val="auto"/>
          <w:spacing w:val="0"/>
          <w:sz w:val="24"/>
          <w:highlight w:val="none"/>
          <w:lang w:eastAsia="zh-CN"/>
        </w:rPr>
        <w:t>﹥</w:t>
      </w:r>
      <w:r>
        <w:rPr>
          <w:rFonts w:hint="default" w:ascii="Times New Roman" w:hAnsi="Times New Roman" w:eastAsia="宋体" w:cs="Times New Roman"/>
          <w:caps w:val="0"/>
          <w:color w:val="auto"/>
          <w:spacing w:val="0"/>
          <w:sz w:val="24"/>
          <w:highlight w:val="none"/>
        </w:rPr>
        <w:t xml:space="preserve">7.0时    </w:t>
      </w:r>
      <w:r>
        <w:rPr>
          <w:rFonts w:hint="default" w:ascii="Times New Roman" w:hAnsi="Times New Roman" w:eastAsia="宋体" w:cs="Times New Roman"/>
          <w:caps w:val="0"/>
          <w:color w:val="auto"/>
          <w:spacing w:val="0"/>
          <w:position w:val="-14"/>
          <w:highlight w:val="none"/>
        </w:rPr>
        <w:object>
          <v:shape id="_x0000_i1035" o:spt="75" type="#_x0000_t75" style="height:18.75pt;width:164pt;" o:ole="t" filled="f" o:preferrelative="t" stroked="f" coordsize="21600,21600">
            <v:path/>
            <v:fill on="f" focussize="0,0"/>
            <v:stroke on="f"/>
            <v:imagedata r:id="rId62" o:title=""/>
            <o:lock v:ext="edit" grouping="f" rotation="f" text="f" aspectratio="t"/>
            <w10:wrap type="none"/>
            <w10:anchorlock/>
          </v:shape>
          <o:OLEObject Type="Embed" ProgID="Equation.3" ShapeID="_x0000_i1035" DrawAspect="Content" ObjectID="_1468075735" r:id="rId61">
            <o:LockedField>false</o:LockedField>
          </o:OLEObject>
        </w:object>
      </w:r>
    </w:p>
    <w:p w14:paraId="610E2793">
      <w:pPr>
        <w:spacing w:line="360" w:lineRule="auto"/>
        <w:ind w:firstLine="550"/>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sz w:val="24"/>
          <w:highlight w:val="none"/>
        </w:rPr>
        <w:t>式中，S</w:t>
      </w:r>
      <w:r>
        <w:rPr>
          <w:rFonts w:hint="default" w:ascii="Times New Roman" w:hAnsi="Times New Roman" w:eastAsia="宋体" w:cs="Times New Roman"/>
          <w:caps w:val="0"/>
          <w:color w:val="auto"/>
          <w:spacing w:val="0"/>
          <w:sz w:val="24"/>
          <w:highlight w:val="none"/>
          <w:vertAlign w:val="subscript"/>
        </w:rPr>
        <w:t>pHj</w:t>
      </w:r>
      <w:r>
        <w:rPr>
          <w:rFonts w:hint="default" w:ascii="Times New Roman" w:hAnsi="Times New Roman" w:eastAsia="宋体" w:cs="Times New Roman"/>
          <w:caps w:val="0"/>
          <w:color w:val="auto"/>
          <w:spacing w:val="0"/>
          <w:sz w:val="24"/>
          <w:highlight w:val="none"/>
        </w:rPr>
        <w:t>——pH的标准指数；</w:t>
      </w:r>
    </w:p>
    <w:p w14:paraId="4DAD378F">
      <w:pPr>
        <w:spacing w:line="360" w:lineRule="auto"/>
        <w:ind w:firstLine="1269" w:firstLineChars="529"/>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sz w:val="24"/>
          <w:highlight w:val="none"/>
        </w:rPr>
        <w:t>p</w:t>
      </w:r>
      <w:r>
        <w:rPr>
          <w:rFonts w:hint="default" w:ascii="Times New Roman" w:hAnsi="Times New Roman" w:eastAsia="宋体" w:cs="Times New Roman"/>
          <w:caps w:val="0"/>
          <w:color w:val="auto"/>
          <w:spacing w:val="0"/>
          <w:sz w:val="24"/>
          <w:highlight w:val="none"/>
          <w:vertAlign w:val="baseline"/>
        </w:rPr>
        <w:t>H</w:t>
      </w:r>
      <w:r>
        <w:rPr>
          <w:rFonts w:hint="default" w:ascii="Times New Roman" w:hAnsi="Times New Roman" w:eastAsia="宋体" w:cs="Times New Roman"/>
          <w:caps w:val="0"/>
          <w:color w:val="auto"/>
          <w:spacing w:val="0"/>
          <w:sz w:val="24"/>
          <w:highlight w:val="none"/>
          <w:vertAlign w:val="subscript"/>
        </w:rPr>
        <w:t>j</w:t>
      </w:r>
      <w:r>
        <w:rPr>
          <w:rFonts w:hint="default" w:ascii="Times New Roman" w:hAnsi="Times New Roman" w:eastAsia="宋体" w:cs="Times New Roman"/>
          <w:caps w:val="0"/>
          <w:color w:val="auto"/>
          <w:spacing w:val="0"/>
          <w:sz w:val="24"/>
          <w:highlight w:val="none"/>
        </w:rPr>
        <w:t>——pH实测统计代表值；</w:t>
      </w:r>
    </w:p>
    <w:p w14:paraId="308ACB8D">
      <w:pPr>
        <w:spacing w:line="360" w:lineRule="auto"/>
        <w:ind w:firstLine="1281" w:firstLineChars="610"/>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highlight w:val="none"/>
        </w:rPr>
        <w:object>
          <v:shape id="_x0000_i1036" o:spt="75" type="#_x0000_t75" style="height:18pt;width:27.75pt;" o:ole="t" filled="f" stroked="f" coordsize="21600,21600">
            <v:path/>
            <v:fill on="f" focussize="0,0"/>
            <v:stroke on="f"/>
            <v:imagedata r:id="rId64" o:title=""/>
            <o:lock v:ext="edit" grouping="f" rotation="f" text="f" aspectratio="t"/>
            <w10:wrap type="none"/>
            <w10:anchorlock/>
          </v:shape>
          <o:OLEObject Type="Embed" ProgID="Equation.3" ShapeID="_x0000_i1036" DrawAspect="Content" ObjectID="_1468075736" r:id="rId63">
            <o:LockedField>false</o:LockedField>
          </o:OLEObject>
        </w:object>
      </w:r>
      <w:r>
        <w:rPr>
          <w:rFonts w:hint="default" w:ascii="Times New Roman" w:hAnsi="Times New Roman" w:eastAsia="宋体" w:cs="Times New Roman"/>
          <w:caps w:val="0"/>
          <w:color w:val="auto"/>
          <w:spacing w:val="0"/>
          <w:sz w:val="24"/>
          <w:highlight w:val="none"/>
        </w:rPr>
        <w:t xml:space="preserve"> ——评价标准中的pH的下限值；</w:t>
      </w:r>
    </w:p>
    <w:p w14:paraId="12F48E40">
      <w:pPr>
        <w:spacing w:line="360" w:lineRule="auto"/>
        <w:ind w:firstLine="1260" w:firstLineChars="600"/>
        <w:rPr>
          <w:rFonts w:hint="default" w:ascii="Times New Roman" w:hAnsi="Times New Roman" w:eastAsia="宋体" w:cs="Times New Roman"/>
          <w:caps w:val="0"/>
          <w:color w:val="auto"/>
          <w:spacing w:val="0"/>
          <w:sz w:val="24"/>
          <w:highlight w:val="none"/>
        </w:rPr>
      </w:pPr>
      <w:r>
        <w:rPr>
          <w:rFonts w:hint="default" w:ascii="Times New Roman" w:hAnsi="Times New Roman" w:eastAsia="宋体" w:cs="Times New Roman"/>
          <w:caps w:val="0"/>
          <w:color w:val="auto"/>
          <w:spacing w:val="0"/>
          <w:highlight w:val="none"/>
        </w:rPr>
        <w:object>
          <v:shape id="_x0000_i1037" o:spt="75" type="#_x0000_t75" style="height:18pt;width:27.75pt;" o:ole="t" filled="f" stroked="f" coordsize="21600,21600">
            <v:path/>
            <v:fill on="f" focussize="0,0"/>
            <v:stroke on="f"/>
            <v:imagedata r:id="rId66" o:title=""/>
            <o:lock v:ext="edit" grouping="f" rotation="f" text="f" aspectratio="t"/>
            <w10:wrap type="none"/>
            <w10:anchorlock/>
          </v:shape>
          <o:OLEObject Type="Embed" ProgID="Equation.3" ShapeID="_x0000_i1037" DrawAspect="Content" ObjectID="_1468075737" r:id="rId65">
            <o:LockedField>false</o:LockedField>
          </o:OLEObject>
        </w:object>
      </w:r>
      <w:r>
        <w:rPr>
          <w:rFonts w:hint="default" w:ascii="Times New Roman" w:hAnsi="Times New Roman" w:eastAsia="宋体" w:cs="Times New Roman"/>
          <w:caps w:val="0"/>
          <w:color w:val="auto"/>
          <w:spacing w:val="0"/>
          <w:sz w:val="24"/>
          <w:highlight w:val="none"/>
        </w:rPr>
        <w:t xml:space="preserve"> ——评价标准中的pH的上限值。</w:t>
      </w:r>
    </w:p>
    <w:p w14:paraId="5B3ADF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snapToGrid w:val="0"/>
          <w:color w:val="auto"/>
          <w:kern w:val="0"/>
          <w:sz w:val="24"/>
          <w:szCs w:val="24"/>
          <w:lang w:val="en-US" w:eastAsia="zh-CN" w:bidi="ar-SA"/>
        </w:rPr>
        <w:t>（3）</w:t>
      </w:r>
      <w:r>
        <w:rPr>
          <w:rFonts w:hint="default" w:ascii="Times New Roman" w:hAnsi="Times New Roman" w:eastAsia="宋体" w:cs="Times New Roman"/>
          <w:b/>
          <w:bCs/>
          <w:color w:val="auto"/>
          <w:sz w:val="24"/>
          <w:szCs w:val="24"/>
          <w:lang w:val="en-US" w:eastAsia="zh-CN"/>
        </w:rPr>
        <w:t>评价标准</w:t>
      </w:r>
    </w:p>
    <w:p w14:paraId="5F010E50">
      <w:pPr>
        <w:spacing w:line="360" w:lineRule="auto"/>
        <w:ind w:firstLine="480" w:firstLineChars="200"/>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lang w:val="en-US" w:eastAsia="zh-CN"/>
        </w:rPr>
        <w:t>本次项目所在区域地表水评价执行《地表水环境质量标准》（GB3838-2002）Ⅲ类标准。</w:t>
      </w:r>
    </w:p>
    <w:p w14:paraId="5588B8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snapToGrid w:val="0"/>
          <w:color w:val="auto"/>
          <w:kern w:val="0"/>
          <w:sz w:val="24"/>
          <w:szCs w:val="24"/>
          <w:lang w:val="en-US" w:eastAsia="zh-CN" w:bidi="ar-SA"/>
        </w:rPr>
        <w:t>（4）</w:t>
      </w:r>
      <w:r>
        <w:rPr>
          <w:rFonts w:hint="default" w:ascii="Times New Roman" w:hAnsi="Times New Roman" w:eastAsia="宋体" w:cs="Times New Roman"/>
          <w:b/>
          <w:bCs/>
          <w:color w:val="auto"/>
          <w:sz w:val="24"/>
          <w:szCs w:val="24"/>
          <w:lang w:val="en-US" w:eastAsia="zh-CN"/>
        </w:rPr>
        <w:t>评价结果</w:t>
      </w:r>
    </w:p>
    <w:p w14:paraId="4EA376B0">
      <w:pPr>
        <w:spacing w:line="360" w:lineRule="auto"/>
        <w:ind w:firstLine="480" w:firstLineChars="200"/>
        <w:rPr>
          <w:rFonts w:hint="default" w:ascii="Times New Roman" w:hAnsi="Times New Roman" w:eastAsia="宋体" w:cs="Times New Roman"/>
          <w:caps w:val="0"/>
          <w:color w:val="auto"/>
          <w:spacing w:val="0"/>
          <w:sz w:val="24"/>
          <w:highlight w:val="none"/>
          <w:lang w:eastAsia="zh-CN"/>
        </w:rPr>
        <w:sectPr>
          <w:headerReference r:id="rId11" w:type="default"/>
          <w:pgSz w:w="11905" w:h="16840"/>
          <w:pgMar w:top="1161" w:right="1472" w:bottom="1209" w:left="1473" w:header="829" w:footer="1048" w:gutter="0"/>
          <w:pgNumType w:fmt="decimal"/>
          <w:cols w:space="720" w:num="1"/>
        </w:sectPr>
      </w:pPr>
      <w:r>
        <w:rPr>
          <w:rFonts w:hint="default" w:ascii="Times New Roman" w:hAnsi="Times New Roman" w:eastAsia="宋体" w:cs="Times New Roman"/>
          <w:caps w:val="0"/>
          <w:color w:val="auto"/>
          <w:spacing w:val="0"/>
          <w:sz w:val="24"/>
          <w:highlight w:val="none"/>
          <w:lang w:val="en-US" w:eastAsia="zh-CN"/>
        </w:rPr>
        <w:t>项目地表水评价</w:t>
      </w:r>
      <w:r>
        <w:rPr>
          <w:rFonts w:hint="default" w:ascii="Times New Roman" w:hAnsi="Times New Roman" w:eastAsia="宋体" w:cs="Times New Roman"/>
          <w:caps w:val="0"/>
          <w:color w:val="auto"/>
          <w:spacing w:val="0"/>
          <w:sz w:val="24"/>
          <w:highlight w:val="none"/>
          <w:lang w:eastAsia="zh-CN"/>
        </w:rPr>
        <w:t>结果</w:t>
      </w:r>
      <w:r>
        <w:rPr>
          <w:rFonts w:hint="default" w:ascii="Times New Roman" w:hAnsi="Times New Roman" w:eastAsia="宋体" w:cs="Times New Roman"/>
          <w:caps w:val="0"/>
          <w:color w:val="auto"/>
          <w:spacing w:val="0"/>
          <w:sz w:val="24"/>
          <w:highlight w:val="none"/>
          <w:lang w:val="en-US" w:eastAsia="zh-CN"/>
        </w:rPr>
        <w:t>详见下表</w:t>
      </w:r>
      <w:r>
        <w:rPr>
          <w:rFonts w:hint="default" w:ascii="Times New Roman" w:hAnsi="Times New Roman" w:eastAsia="宋体" w:cs="Times New Roman"/>
          <w:caps w:val="0"/>
          <w:color w:val="auto"/>
          <w:spacing w:val="0"/>
          <w:sz w:val="24"/>
          <w:highlight w:val="none"/>
          <w:lang w:eastAsia="zh-CN"/>
        </w:rPr>
        <w:t>。</w:t>
      </w:r>
    </w:p>
    <w:p w14:paraId="7F8E6E29">
      <w:pPr>
        <w:spacing w:line="360" w:lineRule="auto"/>
        <w:ind w:firstLine="480" w:firstLineChars="200"/>
        <w:rPr>
          <w:rFonts w:hint="default" w:ascii="Times New Roman" w:hAnsi="Times New Roman" w:eastAsia="宋体" w:cs="Times New Roman"/>
          <w:caps w:val="0"/>
          <w:color w:val="auto"/>
          <w:spacing w:val="0"/>
          <w:sz w:val="24"/>
          <w:highlight w:val="none"/>
          <w:lang w:val="en-US" w:eastAsia="zh-CN"/>
        </w:rPr>
      </w:pPr>
    </w:p>
    <w:p w14:paraId="216BEBD4">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水质评价结果表</w:t>
      </w:r>
    </w:p>
    <w:tbl>
      <w:tblPr>
        <w:tblStyle w:val="21"/>
        <w:tblW w:w="140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416"/>
        <w:gridCol w:w="1247"/>
        <w:gridCol w:w="611"/>
        <w:gridCol w:w="604"/>
        <w:gridCol w:w="788"/>
        <w:gridCol w:w="693"/>
        <w:gridCol w:w="1451"/>
        <w:gridCol w:w="611"/>
        <w:gridCol w:w="809"/>
        <w:gridCol w:w="604"/>
        <w:gridCol w:w="611"/>
        <w:gridCol w:w="611"/>
        <w:gridCol w:w="749"/>
        <w:gridCol w:w="612"/>
        <w:gridCol w:w="783"/>
        <w:gridCol w:w="881"/>
      </w:tblGrid>
      <w:tr w14:paraId="18EF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08" w:hRule="atLeast"/>
        </w:trPr>
        <w:tc>
          <w:tcPr>
            <w:tcW w:w="2457" w:type="dxa"/>
            <w:shd w:val="clear" w:color="auto" w:fill="auto"/>
            <w:noWrap/>
            <w:vAlign w:val="center"/>
          </w:tcPr>
          <w:p w14:paraId="04D9A4D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采样地点</w:t>
            </w:r>
          </w:p>
        </w:tc>
        <w:tc>
          <w:tcPr>
            <w:tcW w:w="1267" w:type="dxa"/>
            <w:shd w:val="clear" w:color="auto" w:fill="auto"/>
            <w:noWrap/>
            <w:vAlign w:val="center"/>
          </w:tcPr>
          <w:p w14:paraId="207DD36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监测日期</w:t>
            </w:r>
          </w:p>
        </w:tc>
        <w:tc>
          <w:tcPr>
            <w:tcW w:w="611" w:type="dxa"/>
            <w:shd w:val="clear" w:color="auto" w:fill="auto"/>
            <w:noWrap/>
            <w:vAlign w:val="center"/>
          </w:tcPr>
          <w:p w14:paraId="268042C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w:t>
            </w:r>
          </w:p>
        </w:tc>
        <w:tc>
          <w:tcPr>
            <w:tcW w:w="611" w:type="dxa"/>
            <w:shd w:val="clear" w:color="auto" w:fill="auto"/>
            <w:noWrap/>
            <w:vAlign w:val="center"/>
          </w:tcPr>
          <w:p w14:paraId="074C663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776" w:type="dxa"/>
            <w:shd w:val="clear" w:color="auto" w:fill="auto"/>
            <w:noWrap/>
            <w:vAlign w:val="center"/>
          </w:tcPr>
          <w:p w14:paraId="35971DA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CODer</w:t>
            </w:r>
          </w:p>
        </w:tc>
        <w:tc>
          <w:tcPr>
            <w:tcW w:w="684" w:type="dxa"/>
            <w:shd w:val="clear" w:color="auto" w:fill="auto"/>
            <w:noWrap/>
            <w:vAlign w:val="center"/>
          </w:tcPr>
          <w:p w14:paraId="36A306F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BOD₅</w:t>
            </w:r>
          </w:p>
        </w:tc>
        <w:tc>
          <w:tcPr>
            <w:tcW w:w="1427" w:type="dxa"/>
            <w:shd w:val="clear" w:color="auto" w:fill="auto"/>
            <w:noWrap/>
            <w:vAlign w:val="center"/>
          </w:tcPr>
          <w:p w14:paraId="5C8CD3E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t>
            </w:r>
          </w:p>
        </w:tc>
        <w:tc>
          <w:tcPr>
            <w:tcW w:w="611" w:type="dxa"/>
            <w:shd w:val="clear" w:color="auto" w:fill="auto"/>
            <w:noWrap/>
            <w:vAlign w:val="center"/>
          </w:tcPr>
          <w:p w14:paraId="0488FFC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TP</w:t>
            </w:r>
          </w:p>
        </w:tc>
        <w:tc>
          <w:tcPr>
            <w:tcW w:w="797" w:type="dxa"/>
            <w:shd w:val="clear" w:color="auto" w:fill="auto"/>
            <w:noWrap/>
            <w:vAlign w:val="center"/>
          </w:tcPr>
          <w:p w14:paraId="39B3D76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NH₃-N</w:t>
            </w:r>
          </w:p>
        </w:tc>
        <w:tc>
          <w:tcPr>
            <w:tcW w:w="611" w:type="dxa"/>
            <w:shd w:val="clear" w:color="auto" w:fill="auto"/>
            <w:noWrap/>
            <w:vAlign w:val="center"/>
          </w:tcPr>
          <w:p w14:paraId="312CBC4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TN</w:t>
            </w:r>
          </w:p>
        </w:tc>
        <w:tc>
          <w:tcPr>
            <w:tcW w:w="611" w:type="dxa"/>
            <w:shd w:val="clear" w:color="auto" w:fill="auto"/>
            <w:noWrap/>
            <w:vAlign w:val="center"/>
          </w:tcPr>
          <w:p w14:paraId="0B02565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石油类</w:t>
            </w:r>
          </w:p>
        </w:tc>
        <w:tc>
          <w:tcPr>
            <w:tcW w:w="611" w:type="dxa"/>
            <w:shd w:val="clear" w:color="auto" w:fill="auto"/>
            <w:noWrap/>
            <w:vAlign w:val="center"/>
          </w:tcPr>
          <w:p w14:paraId="4687807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氯化物</w:t>
            </w:r>
          </w:p>
        </w:tc>
        <w:tc>
          <w:tcPr>
            <w:tcW w:w="759" w:type="dxa"/>
            <w:shd w:val="clear" w:color="auto" w:fill="auto"/>
            <w:noWrap/>
            <w:vAlign w:val="center"/>
          </w:tcPr>
          <w:p w14:paraId="6978446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硝酸盐氮</w:t>
            </w:r>
          </w:p>
        </w:tc>
        <w:tc>
          <w:tcPr>
            <w:tcW w:w="611" w:type="dxa"/>
            <w:shd w:val="clear" w:color="auto" w:fill="auto"/>
            <w:noWrap/>
            <w:vAlign w:val="center"/>
          </w:tcPr>
          <w:p w14:paraId="7E68B4D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氟化物</w:t>
            </w:r>
          </w:p>
        </w:tc>
        <w:tc>
          <w:tcPr>
            <w:tcW w:w="770" w:type="dxa"/>
            <w:shd w:val="clear" w:color="auto" w:fill="auto"/>
            <w:noWrap/>
            <w:vAlign w:val="center"/>
          </w:tcPr>
          <w:p w14:paraId="38BD057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铜</w:t>
            </w:r>
          </w:p>
        </w:tc>
        <w:tc>
          <w:tcPr>
            <w:tcW w:w="867" w:type="dxa"/>
            <w:shd w:val="clear" w:color="auto" w:fill="auto"/>
            <w:noWrap/>
            <w:vAlign w:val="center"/>
          </w:tcPr>
          <w:p w14:paraId="7BD6AD6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二氯甲烷</w:t>
            </w:r>
          </w:p>
        </w:tc>
      </w:tr>
      <w:tr w14:paraId="6655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57" w:type="dxa"/>
            <w:vMerge w:val="restart"/>
            <w:shd w:val="clear" w:color="auto" w:fill="auto"/>
            <w:noWrap/>
            <w:vAlign w:val="center"/>
          </w:tcPr>
          <w:p w14:paraId="32B5E7D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W1南盘江东干渠汇入口上游100m处</w:t>
            </w:r>
          </w:p>
        </w:tc>
        <w:tc>
          <w:tcPr>
            <w:tcW w:w="1267" w:type="dxa"/>
            <w:shd w:val="clear" w:color="auto" w:fill="auto"/>
            <w:noWrap/>
            <w:vAlign w:val="center"/>
          </w:tcPr>
          <w:p w14:paraId="37440B3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2024.7.9</w:t>
            </w:r>
          </w:p>
        </w:tc>
        <w:tc>
          <w:tcPr>
            <w:tcW w:w="618" w:type="dxa"/>
            <w:shd w:val="clear" w:color="auto" w:fill="auto"/>
            <w:noWrap/>
            <w:vAlign w:val="center"/>
          </w:tcPr>
          <w:p w14:paraId="546976A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594" w:type="dxa"/>
            <w:shd w:val="clear" w:color="auto" w:fill="auto"/>
            <w:noWrap/>
            <w:vAlign w:val="center"/>
          </w:tcPr>
          <w:p w14:paraId="417941F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798" w:type="dxa"/>
            <w:shd w:val="clear" w:color="auto" w:fill="auto"/>
            <w:noWrap/>
            <w:vAlign w:val="center"/>
          </w:tcPr>
          <w:p w14:paraId="2AA5AF1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702" w:type="dxa"/>
            <w:shd w:val="clear" w:color="auto" w:fill="auto"/>
            <w:noWrap/>
            <w:vAlign w:val="center"/>
          </w:tcPr>
          <w:p w14:paraId="45A7006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474" w:type="dxa"/>
            <w:shd w:val="clear" w:color="auto" w:fill="auto"/>
            <w:noWrap/>
            <w:vAlign w:val="center"/>
          </w:tcPr>
          <w:p w14:paraId="15ECFC8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618" w:type="dxa"/>
            <w:shd w:val="clear" w:color="auto" w:fill="auto"/>
            <w:noWrap/>
            <w:vAlign w:val="center"/>
          </w:tcPr>
          <w:p w14:paraId="2854CCB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820" w:type="dxa"/>
            <w:shd w:val="clear" w:color="auto" w:fill="auto"/>
            <w:noWrap/>
            <w:vAlign w:val="center"/>
          </w:tcPr>
          <w:p w14:paraId="7C47BCD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0.093</w:t>
            </w:r>
          </w:p>
        </w:tc>
        <w:tc>
          <w:tcPr>
            <w:tcW w:w="594" w:type="dxa"/>
            <w:shd w:val="clear" w:color="auto" w:fill="auto"/>
            <w:noWrap/>
            <w:vAlign w:val="center"/>
          </w:tcPr>
          <w:p w14:paraId="06C74CF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4.65</w:t>
            </w:r>
          </w:p>
        </w:tc>
        <w:tc>
          <w:tcPr>
            <w:tcW w:w="618" w:type="dxa"/>
            <w:shd w:val="clear" w:color="auto" w:fill="auto"/>
            <w:noWrap/>
            <w:vAlign w:val="center"/>
          </w:tcPr>
          <w:p w14:paraId="6F1469F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w:t>
            </w:r>
          </w:p>
        </w:tc>
        <w:tc>
          <w:tcPr>
            <w:tcW w:w="618" w:type="dxa"/>
            <w:shd w:val="clear" w:color="auto" w:fill="auto"/>
            <w:noWrap/>
            <w:vAlign w:val="center"/>
          </w:tcPr>
          <w:p w14:paraId="0CFF836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736" w:type="dxa"/>
            <w:shd w:val="clear" w:color="auto" w:fill="auto"/>
            <w:noWrap/>
            <w:vAlign w:val="center"/>
          </w:tcPr>
          <w:p w14:paraId="48538BB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2.03</w:t>
            </w:r>
          </w:p>
        </w:tc>
        <w:tc>
          <w:tcPr>
            <w:tcW w:w="619" w:type="dxa"/>
            <w:shd w:val="clear" w:color="auto" w:fill="auto"/>
            <w:noWrap/>
            <w:vAlign w:val="center"/>
          </w:tcPr>
          <w:p w14:paraId="719D70D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0.32</w:t>
            </w:r>
          </w:p>
        </w:tc>
        <w:tc>
          <w:tcPr>
            <w:tcW w:w="793" w:type="dxa"/>
            <w:shd w:val="clear" w:color="auto" w:fill="auto"/>
            <w:noWrap/>
            <w:vAlign w:val="center"/>
          </w:tcPr>
          <w:p w14:paraId="79DC144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55A4C51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2E08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57" w:type="dxa"/>
            <w:vMerge w:val="continue"/>
            <w:shd w:val="clear" w:color="auto" w:fill="auto"/>
            <w:noWrap/>
            <w:vAlign w:val="center"/>
          </w:tcPr>
          <w:p w14:paraId="6F284465">
            <w:pPr>
              <w:jc w:val="center"/>
              <w:rPr>
                <w:rFonts w:hint="default" w:ascii="Times New Roman" w:hAnsi="Times New Roman" w:cs="Times New Roman"/>
                <w:i w:val="0"/>
                <w:iCs w:val="0"/>
                <w:color w:val="auto"/>
                <w:sz w:val="21"/>
                <w:szCs w:val="21"/>
                <w:u w:val="none"/>
              </w:rPr>
            </w:pPr>
          </w:p>
        </w:tc>
        <w:tc>
          <w:tcPr>
            <w:tcW w:w="1267" w:type="dxa"/>
            <w:shd w:val="clear" w:color="auto" w:fill="auto"/>
            <w:noWrap/>
            <w:vAlign w:val="center"/>
          </w:tcPr>
          <w:p w14:paraId="2C52A1A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2024.7.10</w:t>
            </w:r>
          </w:p>
        </w:tc>
        <w:tc>
          <w:tcPr>
            <w:tcW w:w="618" w:type="dxa"/>
            <w:shd w:val="clear" w:color="auto" w:fill="auto"/>
            <w:noWrap/>
            <w:vAlign w:val="center"/>
          </w:tcPr>
          <w:p w14:paraId="7C6B049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594" w:type="dxa"/>
            <w:shd w:val="clear" w:color="auto" w:fill="auto"/>
            <w:noWrap/>
            <w:vAlign w:val="center"/>
          </w:tcPr>
          <w:p w14:paraId="79EA357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798" w:type="dxa"/>
            <w:shd w:val="clear" w:color="auto" w:fill="auto"/>
            <w:noWrap/>
            <w:vAlign w:val="center"/>
          </w:tcPr>
          <w:p w14:paraId="2A16CF0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702" w:type="dxa"/>
            <w:shd w:val="clear" w:color="auto" w:fill="auto"/>
            <w:noWrap/>
            <w:vAlign w:val="center"/>
          </w:tcPr>
          <w:p w14:paraId="4451679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474" w:type="dxa"/>
            <w:shd w:val="clear" w:color="auto" w:fill="auto"/>
            <w:noWrap/>
            <w:vAlign w:val="center"/>
          </w:tcPr>
          <w:p w14:paraId="4460449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618" w:type="dxa"/>
            <w:shd w:val="clear" w:color="auto" w:fill="auto"/>
            <w:noWrap/>
            <w:vAlign w:val="center"/>
          </w:tcPr>
          <w:p w14:paraId="093B79B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820" w:type="dxa"/>
            <w:shd w:val="clear" w:color="auto" w:fill="auto"/>
            <w:noWrap/>
            <w:vAlign w:val="center"/>
          </w:tcPr>
          <w:p w14:paraId="11DC82A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0.112</w:t>
            </w:r>
          </w:p>
        </w:tc>
        <w:tc>
          <w:tcPr>
            <w:tcW w:w="594" w:type="dxa"/>
            <w:shd w:val="clear" w:color="auto" w:fill="auto"/>
            <w:noWrap/>
            <w:vAlign w:val="center"/>
          </w:tcPr>
          <w:p w14:paraId="20EFCB1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4.99</w:t>
            </w:r>
          </w:p>
        </w:tc>
        <w:tc>
          <w:tcPr>
            <w:tcW w:w="618" w:type="dxa"/>
            <w:shd w:val="clear" w:color="auto" w:fill="auto"/>
            <w:noWrap/>
            <w:vAlign w:val="center"/>
          </w:tcPr>
          <w:p w14:paraId="208F3FF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618" w:type="dxa"/>
            <w:shd w:val="clear" w:color="auto" w:fill="auto"/>
            <w:noWrap/>
            <w:vAlign w:val="center"/>
          </w:tcPr>
          <w:p w14:paraId="2BB6F26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p>
        </w:tc>
        <w:tc>
          <w:tcPr>
            <w:tcW w:w="736" w:type="dxa"/>
            <w:shd w:val="clear" w:color="auto" w:fill="auto"/>
            <w:noWrap/>
            <w:vAlign w:val="center"/>
          </w:tcPr>
          <w:p w14:paraId="710DBE1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1.99</w:t>
            </w:r>
          </w:p>
        </w:tc>
        <w:tc>
          <w:tcPr>
            <w:tcW w:w="619" w:type="dxa"/>
            <w:shd w:val="clear" w:color="auto" w:fill="auto"/>
            <w:noWrap/>
            <w:vAlign w:val="center"/>
          </w:tcPr>
          <w:p w14:paraId="1537153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0.33</w:t>
            </w:r>
          </w:p>
        </w:tc>
        <w:tc>
          <w:tcPr>
            <w:tcW w:w="793" w:type="dxa"/>
            <w:shd w:val="clear" w:color="auto" w:fill="auto"/>
            <w:noWrap/>
            <w:vAlign w:val="center"/>
          </w:tcPr>
          <w:p w14:paraId="4F45DB8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12B37BC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35A1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57" w:type="dxa"/>
            <w:vMerge w:val="continue"/>
            <w:shd w:val="clear" w:color="auto" w:fill="auto"/>
            <w:noWrap/>
            <w:vAlign w:val="center"/>
          </w:tcPr>
          <w:p w14:paraId="528A77BE">
            <w:pPr>
              <w:jc w:val="center"/>
              <w:rPr>
                <w:rFonts w:hint="default" w:ascii="Times New Roman" w:hAnsi="Times New Roman" w:cs="Times New Roman"/>
                <w:i w:val="0"/>
                <w:iCs w:val="0"/>
                <w:color w:val="auto"/>
                <w:sz w:val="21"/>
                <w:szCs w:val="21"/>
                <w:u w:val="none"/>
              </w:rPr>
            </w:pPr>
          </w:p>
        </w:tc>
        <w:tc>
          <w:tcPr>
            <w:tcW w:w="1267" w:type="dxa"/>
            <w:shd w:val="clear" w:color="auto" w:fill="auto"/>
            <w:noWrap/>
            <w:vAlign w:val="center"/>
          </w:tcPr>
          <w:p w14:paraId="503EE24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2024.7.11</w:t>
            </w:r>
          </w:p>
        </w:tc>
        <w:tc>
          <w:tcPr>
            <w:tcW w:w="618" w:type="dxa"/>
            <w:shd w:val="clear" w:color="auto" w:fill="auto"/>
            <w:noWrap/>
            <w:vAlign w:val="center"/>
          </w:tcPr>
          <w:p w14:paraId="114328B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594" w:type="dxa"/>
            <w:shd w:val="clear" w:color="auto" w:fill="auto"/>
            <w:noWrap/>
            <w:vAlign w:val="center"/>
          </w:tcPr>
          <w:p w14:paraId="5FA4E35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798" w:type="dxa"/>
            <w:shd w:val="clear" w:color="auto" w:fill="auto"/>
            <w:noWrap/>
            <w:vAlign w:val="center"/>
          </w:tcPr>
          <w:p w14:paraId="4C2F8E1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702" w:type="dxa"/>
            <w:shd w:val="clear" w:color="auto" w:fill="auto"/>
            <w:noWrap/>
            <w:vAlign w:val="center"/>
          </w:tcPr>
          <w:p w14:paraId="66E8972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1474" w:type="dxa"/>
            <w:shd w:val="clear" w:color="auto" w:fill="auto"/>
            <w:noWrap/>
            <w:vAlign w:val="center"/>
          </w:tcPr>
          <w:p w14:paraId="3DC9A2F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618" w:type="dxa"/>
            <w:shd w:val="clear" w:color="auto" w:fill="auto"/>
            <w:noWrap/>
            <w:vAlign w:val="center"/>
          </w:tcPr>
          <w:p w14:paraId="26952A1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820" w:type="dxa"/>
            <w:shd w:val="clear" w:color="auto" w:fill="auto"/>
            <w:noWrap/>
            <w:vAlign w:val="center"/>
          </w:tcPr>
          <w:p w14:paraId="2C5970F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0.106</w:t>
            </w:r>
          </w:p>
        </w:tc>
        <w:tc>
          <w:tcPr>
            <w:tcW w:w="594" w:type="dxa"/>
            <w:shd w:val="clear" w:color="auto" w:fill="auto"/>
            <w:noWrap/>
            <w:vAlign w:val="center"/>
          </w:tcPr>
          <w:p w14:paraId="415670C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4.79</w:t>
            </w:r>
          </w:p>
        </w:tc>
        <w:tc>
          <w:tcPr>
            <w:tcW w:w="618" w:type="dxa"/>
            <w:shd w:val="clear" w:color="auto" w:fill="auto"/>
            <w:noWrap/>
            <w:vAlign w:val="center"/>
          </w:tcPr>
          <w:p w14:paraId="1BA7DCD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618" w:type="dxa"/>
            <w:shd w:val="clear" w:color="auto" w:fill="auto"/>
            <w:noWrap/>
            <w:vAlign w:val="center"/>
          </w:tcPr>
          <w:p w14:paraId="4AA7108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736" w:type="dxa"/>
            <w:shd w:val="clear" w:color="auto" w:fill="auto"/>
            <w:noWrap/>
            <w:vAlign w:val="center"/>
          </w:tcPr>
          <w:p w14:paraId="3FFFF49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2.06</w:t>
            </w:r>
          </w:p>
        </w:tc>
        <w:tc>
          <w:tcPr>
            <w:tcW w:w="619" w:type="dxa"/>
            <w:shd w:val="clear" w:color="auto" w:fill="auto"/>
            <w:noWrap/>
            <w:vAlign w:val="center"/>
          </w:tcPr>
          <w:p w14:paraId="694B09B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0.35</w:t>
            </w:r>
          </w:p>
        </w:tc>
        <w:tc>
          <w:tcPr>
            <w:tcW w:w="793" w:type="dxa"/>
            <w:shd w:val="clear" w:color="auto" w:fill="auto"/>
            <w:noWrap/>
            <w:vAlign w:val="center"/>
          </w:tcPr>
          <w:p w14:paraId="7A0287C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777D479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6910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2F9B646A">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最大值</w:t>
            </w:r>
          </w:p>
        </w:tc>
        <w:tc>
          <w:tcPr>
            <w:tcW w:w="618" w:type="dxa"/>
            <w:shd w:val="clear" w:color="auto" w:fill="auto"/>
            <w:noWrap/>
            <w:vAlign w:val="center"/>
          </w:tcPr>
          <w:p w14:paraId="590CA69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594" w:type="dxa"/>
            <w:shd w:val="clear" w:color="auto" w:fill="auto"/>
            <w:noWrap/>
            <w:vAlign w:val="center"/>
          </w:tcPr>
          <w:p w14:paraId="4F1BA9E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798" w:type="dxa"/>
            <w:shd w:val="clear" w:color="auto" w:fill="auto"/>
            <w:noWrap/>
            <w:vAlign w:val="center"/>
          </w:tcPr>
          <w:p w14:paraId="67BEFE3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702" w:type="dxa"/>
            <w:shd w:val="clear" w:color="auto" w:fill="auto"/>
            <w:noWrap/>
            <w:vAlign w:val="center"/>
          </w:tcPr>
          <w:p w14:paraId="72702D5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474" w:type="dxa"/>
            <w:shd w:val="clear" w:color="auto" w:fill="auto"/>
            <w:noWrap/>
            <w:vAlign w:val="center"/>
          </w:tcPr>
          <w:p w14:paraId="5E46F89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7.2（最小值）</w:t>
            </w:r>
          </w:p>
        </w:tc>
        <w:tc>
          <w:tcPr>
            <w:tcW w:w="618" w:type="dxa"/>
            <w:shd w:val="clear" w:color="auto" w:fill="auto"/>
            <w:noWrap/>
            <w:vAlign w:val="center"/>
          </w:tcPr>
          <w:p w14:paraId="2A8891E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820" w:type="dxa"/>
            <w:shd w:val="clear" w:color="auto" w:fill="auto"/>
            <w:noWrap/>
            <w:vAlign w:val="center"/>
          </w:tcPr>
          <w:p w14:paraId="45D1D0C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0.112</w:t>
            </w:r>
          </w:p>
        </w:tc>
        <w:tc>
          <w:tcPr>
            <w:tcW w:w="594" w:type="dxa"/>
            <w:shd w:val="clear" w:color="auto" w:fill="auto"/>
            <w:noWrap/>
            <w:vAlign w:val="center"/>
          </w:tcPr>
          <w:p w14:paraId="28B616F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4.99</w:t>
            </w:r>
          </w:p>
        </w:tc>
        <w:tc>
          <w:tcPr>
            <w:tcW w:w="618" w:type="dxa"/>
            <w:shd w:val="clear" w:color="auto" w:fill="auto"/>
            <w:noWrap/>
            <w:vAlign w:val="center"/>
          </w:tcPr>
          <w:p w14:paraId="0A612C8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618" w:type="dxa"/>
            <w:shd w:val="clear" w:color="auto" w:fill="auto"/>
            <w:noWrap/>
            <w:vAlign w:val="center"/>
          </w:tcPr>
          <w:p w14:paraId="65541AB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736" w:type="dxa"/>
            <w:shd w:val="clear" w:color="auto" w:fill="auto"/>
            <w:noWrap/>
            <w:vAlign w:val="center"/>
          </w:tcPr>
          <w:p w14:paraId="7249AB0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2.06</w:t>
            </w:r>
          </w:p>
        </w:tc>
        <w:tc>
          <w:tcPr>
            <w:tcW w:w="619" w:type="dxa"/>
            <w:shd w:val="clear" w:color="auto" w:fill="auto"/>
            <w:noWrap/>
            <w:vAlign w:val="center"/>
          </w:tcPr>
          <w:p w14:paraId="5D175F2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0.35</w:t>
            </w:r>
          </w:p>
        </w:tc>
        <w:tc>
          <w:tcPr>
            <w:tcW w:w="793" w:type="dxa"/>
            <w:shd w:val="clear" w:color="auto" w:fill="auto"/>
            <w:noWrap/>
            <w:vAlign w:val="center"/>
          </w:tcPr>
          <w:p w14:paraId="004DD21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4BFCA78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6B8F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73B19A22">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标准</w:t>
            </w:r>
          </w:p>
        </w:tc>
        <w:tc>
          <w:tcPr>
            <w:tcW w:w="618" w:type="dxa"/>
            <w:shd w:val="clear" w:color="auto" w:fill="auto"/>
            <w:noWrap/>
            <w:vAlign w:val="center"/>
          </w:tcPr>
          <w:p w14:paraId="64109B7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594" w:type="dxa"/>
            <w:shd w:val="clear" w:color="auto" w:fill="auto"/>
            <w:noWrap/>
            <w:vAlign w:val="center"/>
          </w:tcPr>
          <w:p w14:paraId="13F3813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6A11730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702" w:type="dxa"/>
            <w:shd w:val="clear" w:color="auto" w:fill="auto"/>
            <w:noWrap/>
            <w:vAlign w:val="center"/>
          </w:tcPr>
          <w:p w14:paraId="53B9E74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74" w:type="dxa"/>
            <w:shd w:val="clear" w:color="auto" w:fill="auto"/>
            <w:noWrap/>
            <w:vAlign w:val="center"/>
          </w:tcPr>
          <w:p w14:paraId="5DD186A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18" w:type="dxa"/>
            <w:shd w:val="clear" w:color="auto" w:fill="auto"/>
            <w:noWrap/>
            <w:vAlign w:val="center"/>
          </w:tcPr>
          <w:p w14:paraId="589FFA4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820" w:type="dxa"/>
            <w:shd w:val="clear" w:color="auto" w:fill="auto"/>
            <w:noWrap/>
            <w:vAlign w:val="center"/>
          </w:tcPr>
          <w:p w14:paraId="175D2DE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594" w:type="dxa"/>
            <w:shd w:val="clear" w:color="auto" w:fill="auto"/>
            <w:noWrap/>
            <w:vAlign w:val="center"/>
          </w:tcPr>
          <w:p w14:paraId="219A125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2CDAE35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618" w:type="dxa"/>
            <w:shd w:val="clear" w:color="auto" w:fill="auto"/>
            <w:noWrap/>
            <w:vAlign w:val="center"/>
          </w:tcPr>
          <w:p w14:paraId="4B221DF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736" w:type="dxa"/>
            <w:shd w:val="clear" w:color="auto" w:fill="auto"/>
            <w:noWrap/>
            <w:vAlign w:val="center"/>
          </w:tcPr>
          <w:p w14:paraId="2DC3A3C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619" w:type="dxa"/>
            <w:shd w:val="clear" w:color="auto" w:fill="auto"/>
            <w:noWrap/>
            <w:vAlign w:val="center"/>
          </w:tcPr>
          <w:p w14:paraId="7145B8C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793" w:type="dxa"/>
            <w:shd w:val="clear" w:color="auto" w:fill="auto"/>
            <w:noWrap/>
            <w:vAlign w:val="center"/>
          </w:tcPr>
          <w:p w14:paraId="3BF250F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893" w:type="dxa"/>
            <w:shd w:val="clear" w:color="auto" w:fill="auto"/>
            <w:noWrap/>
            <w:vAlign w:val="center"/>
          </w:tcPr>
          <w:p w14:paraId="0F2B739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6517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27362E6C">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最大标准指数</w:t>
            </w:r>
          </w:p>
        </w:tc>
        <w:tc>
          <w:tcPr>
            <w:tcW w:w="618" w:type="dxa"/>
            <w:shd w:val="clear" w:color="auto" w:fill="auto"/>
            <w:noWrap/>
            <w:vAlign w:val="center"/>
          </w:tcPr>
          <w:p w14:paraId="3E49418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594" w:type="dxa"/>
            <w:shd w:val="clear" w:color="auto" w:fill="auto"/>
            <w:noWrap/>
            <w:vAlign w:val="center"/>
          </w:tcPr>
          <w:p w14:paraId="3CCBE8B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08AE55C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0.65</w:t>
            </w:r>
          </w:p>
        </w:tc>
        <w:tc>
          <w:tcPr>
            <w:tcW w:w="702" w:type="dxa"/>
            <w:shd w:val="clear" w:color="auto" w:fill="auto"/>
            <w:noWrap/>
            <w:vAlign w:val="center"/>
          </w:tcPr>
          <w:p w14:paraId="1EA5D08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w:t>
            </w:r>
          </w:p>
        </w:tc>
        <w:tc>
          <w:tcPr>
            <w:tcW w:w="1474" w:type="dxa"/>
            <w:shd w:val="clear" w:color="auto" w:fill="auto"/>
            <w:noWrap/>
            <w:vAlign w:val="center"/>
          </w:tcPr>
          <w:p w14:paraId="2A45451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0.69</w:t>
            </w:r>
          </w:p>
        </w:tc>
        <w:tc>
          <w:tcPr>
            <w:tcW w:w="618" w:type="dxa"/>
            <w:shd w:val="clear" w:color="auto" w:fill="auto"/>
            <w:noWrap/>
            <w:vAlign w:val="center"/>
          </w:tcPr>
          <w:p w14:paraId="49D2FDD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820" w:type="dxa"/>
            <w:shd w:val="clear" w:color="auto" w:fill="auto"/>
            <w:noWrap/>
            <w:vAlign w:val="center"/>
          </w:tcPr>
          <w:p w14:paraId="09449ED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0.112</w:t>
            </w:r>
          </w:p>
        </w:tc>
        <w:tc>
          <w:tcPr>
            <w:tcW w:w="594" w:type="dxa"/>
            <w:shd w:val="clear" w:color="auto" w:fill="auto"/>
            <w:noWrap/>
            <w:vAlign w:val="center"/>
          </w:tcPr>
          <w:p w14:paraId="6668507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58A3E2C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618" w:type="dxa"/>
            <w:shd w:val="clear" w:color="auto" w:fill="auto"/>
            <w:noWrap/>
            <w:vAlign w:val="center"/>
          </w:tcPr>
          <w:p w14:paraId="4AF00D7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0.18</w:t>
            </w:r>
          </w:p>
        </w:tc>
        <w:tc>
          <w:tcPr>
            <w:tcW w:w="736" w:type="dxa"/>
            <w:shd w:val="clear" w:color="auto" w:fill="auto"/>
            <w:noWrap/>
            <w:vAlign w:val="center"/>
          </w:tcPr>
          <w:p w14:paraId="35166A7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w:t>
            </w:r>
          </w:p>
        </w:tc>
        <w:tc>
          <w:tcPr>
            <w:tcW w:w="619" w:type="dxa"/>
            <w:shd w:val="clear" w:color="auto" w:fill="auto"/>
            <w:noWrap/>
            <w:vAlign w:val="center"/>
          </w:tcPr>
          <w:p w14:paraId="0A87E2F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0.35</w:t>
            </w:r>
          </w:p>
        </w:tc>
        <w:tc>
          <w:tcPr>
            <w:tcW w:w="793" w:type="dxa"/>
            <w:shd w:val="clear" w:color="auto" w:fill="auto"/>
            <w:noWrap/>
            <w:vAlign w:val="center"/>
          </w:tcPr>
          <w:p w14:paraId="3577435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93" w:type="dxa"/>
            <w:shd w:val="clear" w:color="auto" w:fill="auto"/>
            <w:noWrap/>
            <w:vAlign w:val="center"/>
          </w:tcPr>
          <w:p w14:paraId="0BAE3AB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E98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04DFFDD5">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达标情况</w:t>
            </w:r>
          </w:p>
        </w:tc>
        <w:tc>
          <w:tcPr>
            <w:tcW w:w="618" w:type="dxa"/>
            <w:shd w:val="clear" w:color="auto" w:fill="auto"/>
            <w:noWrap/>
            <w:vAlign w:val="center"/>
          </w:tcPr>
          <w:p w14:paraId="441F54B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594" w:type="dxa"/>
            <w:shd w:val="clear" w:color="auto" w:fill="auto"/>
            <w:noWrap/>
            <w:vAlign w:val="center"/>
          </w:tcPr>
          <w:p w14:paraId="4E5AB4B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2620393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02" w:type="dxa"/>
            <w:shd w:val="clear" w:color="auto" w:fill="auto"/>
            <w:noWrap/>
            <w:vAlign w:val="center"/>
          </w:tcPr>
          <w:p w14:paraId="39A0EBC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474" w:type="dxa"/>
            <w:shd w:val="clear" w:color="auto" w:fill="auto"/>
            <w:noWrap/>
            <w:vAlign w:val="center"/>
          </w:tcPr>
          <w:p w14:paraId="07CE2E8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8" w:type="dxa"/>
            <w:shd w:val="clear" w:color="auto" w:fill="auto"/>
            <w:noWrap/>
            <w:vAlign w:val="center"/>
          </w:tcPr>
          <w:p w14:paraId="3CDCA05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820" w:type="dxa"/>
            <w:shd w:val="clear" w:color="auto" w:fill="auto"/>
            <w:noWrap/>
            <w:vAlign w:val="center"/>
          </w:tcPr>
          <w:p w14:paraId="4C96F20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594" w:type="dxa"/>
            <w:shd w:val="clear" w:color="auto" w:fill="auto"/>
            <w:noWrap/>
            <w:vAlign w:val="center"/>
          </w:tcPr>
          <w:p w14:paraId="4911AA3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4E6B67E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8" w:type="dxa"/>
            <w:shd w:val="clear" w:color="auto" w:fill="auto"/>
            <w:noWrap/>
            <w:vAlign w:val="center"/>
          </w:tcPr>
          <w:p w14:paraId="768E655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36" w:type="dxa"/>
            <w:shd w:val="clear" w:color="auto" w:fill="auto"/>
            <w:noWrap/>
            <w:vAlign w:val="center"/>
          </w:tcPr>
          <w:p w14:paraId="43299E4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9" w:type="dxa"/>
            <w:shd w:val="clear" w:color="auto" w:fill="auto"/>
            <w:noWrap/>
            <w:vAlign w:val="center"/>
          </w:tcPr>
          <w:p w14:paraId="5F8CC75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93" w:type="dxa"/>
            <w:shd w:val="clear" w:color="auto" w:fill="auto"/>
            <w:noWrap/>
            <w:vAlign w:val="center"/>
          </w:tcPr>
          <w:p w14:paraId="1583559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893" w:type="dxa"/>
            <w:shd w:val="clear" w:color="auto" w:fill="auto"/>
            <w:noWrap/>
            <w:vAlign w:val="center"/>
          </w:tcPr>
          <w:p w14:paraId="6125A10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3FE8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2457" w:type="dxa"/>
            <w:vMerge w:val="restart"/>
            <w:shd w:val="clear" w:color="auto" w:fill="auto"/>
            <w:noWrap/>
            <w:vAlign w:val="center"/>
          </w:tcPr>
          <w:p w14:paraId="069D317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W2南盘江东干渠汇入口下游500m处</w:t>
            </w:r>
          </w:p>
        </w:tc>
        <w:tc>
          <w:tcPr>
            <w:tcW w:w="1267" w:type="dxa"/>
            <w:shd w:val="clear" w:color="auto" w:fill="auto"/>
            <w:noWrap/>
            <w:vAlign w:val="center"/>
          </w:tcPr>
          <w:p w14:paraId="18CDA73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2024.7.9</w:t>
            </w:r>
          </w:p>
        </w:tc>
        <w:tc>
          <w:tcPr>
            <w:tcW w:w="618" w:type="dxa"/>
            <w:shd w:val="clear" w:color="auto" w:fill="auto"/>
            <w:noWrap/>
            <w:vAlign w:val="center"/>
          </w:tcPr>
          <w:p w14:paraId="3730277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594" w:type="dxa"/>
            <w:shd w:val="clear" w:color="auto" w:fill="auto"/>
            <w:noWrap/>
            <w:vAlign w:val="center"/>
          </w:tcPr>
          <w:p w14:paraId="6DB8AB0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798" w:type="dxa"/>
            <w:shd w:val="clear" w:color="auto" w:fill="auto"/>
            <w:noWrap/>
            <w:vAlign w:val="center"/>
          </w:tcPr>
          <w:p w14:paraId="2685B34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702" w:type="dxa"/>
            <w:shd w:val="clear" w:color="auto" w:fill="auto"/>
            <w:noWrap/>
            <w:vAlign w:val="center"/>
          </w:tcPr>
          <w:p w14:paraId="55AEA5F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474" w:type="dxa"/>
            <w:shd w:val="clear" w:color="auto" w:fill="auto"/>
            <w:noWrap/>
            <w:vAlign w:val="center"/>
          </w:tcPr>
          <w:p w14:paraId="28FF35E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w:t>
            </w:r>
          </w:p>
        </w:tc>
        <w:tc>
          <w:tcPr>
            <w:tcW w:w="618" w:type="dxa"/>
            <w:shd w:val="clear" w:color="auto" w:fill="auto"/>
            <w:noWrap/>
            <w:vAlign w:val="center"/>
          </w:tcPr>
          <w:p w14:paraId="2BF8956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w:t>
            </w:r>
          </w:p>
        </w:tc>
        <w:tc>
          <w:tcPr>
            <w:tcW w:w="820" w:type="dxa"/>
            <w:shd w:val="clear" w:color="auto" w:fill="auto"/>
            <w:noWrap/>
            <w:vAlign w:val="center"/>
          </w:tcPr>
          <w:p w14:paraId="608E1C9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0.074</w:t>
            </w:r>
          </w:p>
        </w:tc>
        <w:tc>
          <w:tcPr>
            <w:tcW w:w="594" w:type="dxa"/>
            <w:shd w:val="clear" w:color="auto" w:fill="auto"/>
            <w:noWrap/>
            <w:vAlign w:val="center"/>
          </w:tcPr>
          <w:p w14:paraId="44EE1C0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5.66</w:t>
            </w:r>
          </w:p>
        </w:tc>
        <w:tc>
          <w:tcPr>
            <w:tcW w:w="618" w:type="dxa"/>
            <w:shd w:val="clear" w:color="auto" w:fill="auto"/>
            <w:noWrap/>
            <w:vAlign w:val="center"/>
          </w:tcPr>
          <w:p w14:paraId="29AD698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w:t>
            </w:r>
          </w:p>
        </w:tc>
        <w:tc>
          <w:tcPr>
            <w:tcW w:w="618" w:type="dxa"/>
            <w:shd w:val="clear" w:color="auto" w:fill="auto"/>
            <w:noWrap/>
            <w:vAlign w:val="center"/>
          </w:tcPr>
          <w:p w14:paraId="0C06419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736" w:type="dxa"/>
            <w:shd w:val="clear" w:color="auto" w:fill="auto"/>
            <w:noWrap/>
            <w:vAlign w:val="center"/>
          </w:tcPr>
          <w:p w14:paraId="5AC5D1E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2.32</w:t>
            </w:r>
          </w:p>
        </w:tc>
        <w:tc>
          <w:tcPr>
            <w:tcW w:w="619" w:type="dxa"/>
            <w:shd w:val="clear" w:color="auto" w:fill="auto"/>
            <w:noWrap/>
            <w:vAlign w:val="center"/>
          </w:tcPr>
          <w:p w14:paraId="7E0FF2D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0.42</w:t>
            </w:r>
          </w:p>
        </w:tc>
        <w:tc>
          <w:tcPr>
            <w:tcW w:w="793" w:type="dxa"/>
            <w:shd w:val="clear" w:color="auto" w:fill="auto"/>
            <w:noWrap/>
            <w:vAlign w:val="center"/>
          </w:tcPr>
          <w:p w14:paraId="46F3879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36630D1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11D9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57" w:type="dxa"/>
            <w:vMerge w:val="continue"/>
            <w:shd w:val="clear" w:color="auto" w:fill="auto"/>
            <w:noWrap/>
            <w:vAlign w:val="center"/>
          </w:tcPr>
          <w:p w14:paraId="0B618543">
            <w:pPr>
              <w:jc w:val="center"/>
              <w:rPr>
                <w:rFonts w:hint="default" w:ascii="Times New Roman" w:hAnsi="Times New Roman" w:cs="Times New Roman"/>
                <w:i w:val="0"/>
                <w:iCs w:val="0"/>
                <w:color w:val="auto"/>
                <w:sz w:val="21"/>
                <w:szCs w:val="21"/>
                <w:u w:val="none"/>
              </w:rPr>
            </w:pPr>
          </w:p>
        </w:tc>
        <w:tc>
          <w:tcPr>
            <w:tcW w:w="1267" w:type="dxa"/>
            <w:shd w:val="clear" w:color="auto" w:fill="auto"/>
            <w:noWrap/>
            <w:vAlign w:val="center"/>
          </w:tcPr>
          <w:p w14:paraId="402DAD8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2024.7.10</w:t>
            </w:r>
          </w:p>
        </w:tc>
        <w:tc>
          <w:tcPr>
            <w:tcW w:w="618" w:type="dxa"/>
            <w:shd w:val="clear" w:color="auto" w:fill="auto"/>
            <w:noWrap/>
            <w:vAlign w:val="center"/>
          </w:tcPr>
          <w:p w14:paraId="7B42A44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594" w:type="dxa"/>
            <w:shd w:val="clear" w:color="auto" w:fill="auto"/>
            <w:noWrap/>
            <w:vAlign w:val="center"/>
          </w:tcPr>
          <w:p w14:paraId="7D7ECEF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798" w:type="dxa"/>
            <w:shd w:val="clear" w:color="auto" w:fill="auto"/>
            <w:noWrap/>
            <w:vAlign w:val="center"/>
          </w:tcPr>
          <w:p w14:paraId="429CF2C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702" w:type="dxa"/>
            <w:shd w:val="clear" w:color="auto" w:fill="auto"/>
            <w:noWrap/>
            <w:vAlign w:val="center"/>
          </w:tcPr>
          <w:p w14:paraId="639B05D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1474" w:type="dxa"/>
            <w:shd w:val="clear" w:color="auto" w:fill="auto"/>
            <w:noWrap/>
            <w:vAlign w:val="center"/>
          </w:tcPr>
          <w:p w14:paraId="1A7E95E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618" w:type="dxa"/>
            <w:shd w:val="clear" w:color="auto" w:fill="auto"/>
            <w:noWrap/>
            <w:vAlign w:val="center"/>
          </w:tcPr>
          <w:p w14:paraId="6FBCB6D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820" w:type="dxa"/>
            <w:shd w:val="clear" w:color="auto" w:fill="auto"/>
            <w:noWrap/>
            <w:vAlign w:val="center"/>
          </w:tcPr>
          <w:p w14:paraId="298D33F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0.080</w:t>
            </w:r>
          </w:p>
        </w:tc>
        <w:tc>
          <w:tcPr>
            <w:tcW w:w="594" w:type="dxa"/>
            <w:shd w:val="clear" w:color="auto" w:fill="auto"/>
            <w:noWrap/>
            <w:vAlign w:val="center"/>
          </w:tcPr>
          <w:p w14:paraId="7A3E572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5.76</w:t>
            </w:r>
          </w:p>
        </w:tc>
        <w:tc>
          <w:tcPr>
            <w:tcW w:w="618" w:type="dxa"/>
            <w:shd w:val="clear" w:color="auto" w:fill="auto"/>
            <w:noWrap/>
            <w:vAlign w:val="center"/>
          </w:tcPr>
          <w:p w14:paraId="2B21602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w:t>
            </w:r>
          </w:p>
        </w:tc>
        <w:tc>
          <w:tcPr>
            <w:tcW w:w="618" w:type="dxa"/>
            <w:shd w:val="clear" w:color="auto" w:fill="auto"/>
            <w:noWrap/>
            <w:vAlign w:val="center"/>
          </w:tcPr>
          <w:p w14:paraId="0DA8BAE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w:t>
            </w:r>
          </w:p>
        </w:tc>
        <w:tc>
          <w:tcPr>
            <w:tcW w:w="736" w:type="dxa"/>
            <w:shd w:val="clear" w:color="auto" w:fill="auto"/>
            <w:noWrap/>
            <w:vAlign w:val="center"/>
          </w:tcPr>
          <w:p w14:paraId="0FDD708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2.27</w:t>
            </w:r>
          </w:p>
        </w:tc>
        <w:tc>
          <w:tcPr>
            <w:tcW w:w="619" w:type="dxa"/>
            <w:shd w:val="clear" w:color="auto" w:fill="auto"/>
            <w:noWrap/>
            <w:vAlign w:val="center"/>
          </w:tcPr>
          <w:p w14:paraId="6BA21D0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0.44</w:t>
            </w:r>
          </w:p>
        </w:tc>
        <w:tc>
          <w:tcPr>
            <w:tcW w:w="793" w:type="dxa"/>
            <w:shd w:val="clear" w:color="auto" w:fill="auto"/>
            <w:noWrap/>
            <w:vAlign w:val="center"/>
          </w:tcPr>
          <w:p w14:paraId="11ED333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425D44F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3546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57" w:type="dxa"/>
            <w:vMerge w:val="continue"/>
            <w:shd w:val="clear" w:color="auto" w:fill="auto"/>
            <w:noWrap/>
            <w:vAlign w:val="center"/>
          </w:tcPr>
          <w:p w14:paraId="07C02D04">
            <w:pPr>
              <w:jc w:val="center"/>
              <w:rPr>
                <w:rFonts w:hint="default" w:ascii="Times New Roman" w:hAnsi="Times New Roman" w:cs="Times New Roman"/>
                <w:i w:val="0"/>
                <w:iCs w:val="0"/>
                <w:color w:val="auto"/>
                <w:sz w:val="21"/>
                <w:szCs w:val="21"/>
                <w:u w:val="none"/>
              </w:rPr>
            </w:pPr>
          </w:p>
        </w:tc>
        <w:tc>
          <w:tcPr>
            <w:tcW w:w="1267" w:type="dxa"/>
            <w:shd w:val="clear" w:color="auto" w:fill="auto"/>
            <w:noWrap/>
            <w:vAlign w:val="center"/>
          </w:tcPr>
          <w:p w14:paraId="467D5C0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2024.7.11</w:t>
            </w:r>
          </w:p>
        </w:tc>
        <w:tc>
          <w:tcPr>
            <w:tcW w:w="618" w:type="dxa"/>
            <w:shd w:val="clear" w:color="auto" w:fill="auto"/>
            <w:noWrap/>
            <w:vAlign w:val="center"/>
          </w:tcPr>
          <w:p w14:paraId="07DD1E5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594" w:type="dxa"/>
            <w:shd w:val="clear" w:color="auto" w:fill="auto"/>
            <w:noWrap/>
            <w:vAlign w:val="center"/>
          </w:tcPr>
          <w:p w14:paraId="007B50A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798" w:type="dxa"/>
            <w:shd w:val="clear" w:color="auto" w:fill="auto"/>
            <w:noWrap/>
            <w:vAlign w:val="center"/>
          </w:tcPr>
          <w:p w14:paraId="3890EF0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702" w:type="dxa"/>
            <w:shd w:val="clear" w:color="auto" w:fill="auto"/>
            <w:noWrap/>
            <w:vAlign w:val="center"/>
          </w:tcPr>
          <w:p w14:paraId="2918FF8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474" w:type="dxa"/>
            <w:shd w:val="clear" w:color="auto" w:fill="auto"/>
            <w:noWrap/>
            <w:vAlign w:val="center"/>
          </w:tcPr>
          <w:p w14:paraId="2DD3ED0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618" w:type="dxa"/>
            <w:shd w:val="clear" w:color="auto" w:fill="auto"/>
            <w:noWrap/>
            <w:vAlign w:val="center"/>
          </w:tcPr>
          <w:p w14:paraId="04B8395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w:t>
            </w:r>
          </w:p>
        </w:tc>
        <w:tc>
          <w:tcPr>
            <w:tcW w:w="820" w:type="dxa"/>
            <w:shd w:val="clear" w:color="auto" w:fill="auto"/>
            <w:noWrap/>
            <w:vAlign w:val="center"/>
          </w:tcPr>
          <w:p w14:paraId="0144BDB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0.071</w:t>
            </w:r>
          </w:p>
        </w:tc>
        <w:tc>
          <w:tcPr>
            <w:tcW w:w="594" w:type="dxa"/>
            <w:shd w:val="clear" w:color="auto" w:fill="auto"/>
            <w:noWrap/>
            <w:vAlign w:val="center"/>
          </w:tcPr>
          <w:p w14:paraId="1CD2499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5.70</w:t>
            </w:r>
          </w:p>
        </w:tc>
        <w:tc>
          <w:tcPr>
            <w:tcW w:w="618" w:type="dxa"/>
            <w:shd w:val="clear" w:color="auto" w:fill="auto"/>
            <w:noWrap/>
            <w:vAlign w:val="center"/>
          </w:tcPr>
          <w:p w14:paraId="1499145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618" w:type="dxa"/>
            <w:shd w:val="clear" w:color="auto" w:fill="auto"/>
            <w:noWrap/>
            <w:vAlign w:val="center"/>
          </w:tcPr>
          <w:p w14:paraId="3A89C48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w:t>
            </w:r>
          </w:p>
        </w:tc>
        <w:tc>
          <w:tcPr>
            <w:tcW w:w="736" w:type="dxa"/>
            <w:shd w:val="clear" w:color="auto" w:fill="auto"/>
            <w:noWrap/>
            <w:vAlign w:val="center"/>
          </w:tcPr>
          <w:p w14:paraId="2AC2083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2.25</w:t>
            </w:r>
          </w:p>
        </w:tc>
        <w:tc>
          <w:tcPr>
            <w:tcW w:w="619" w:type="dxa"/>
            <w:shd w:val="clear" w:color="auto" w:fill="auto"/>
            <w:noWrap/>
            <w:vAlign w:val="center"/>
          </w:tcPr>
          <w:p w14:paraId="5B4254D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0.41</w:t>
            </w:r>
          </w:p>
        </w:tc>
        <w:tc>
          <w:tcPr>
            <w:tcW w:w="793" w:type="dxa"/>
            <w:shd w:val="clear" w:color="auto" w:fill="auto"/>
            <w:noWrap/>
            <w:vAlign w:val="center"/>
          </w:tcPr>
          <w:p w14:paraId="1815F03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367227C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4259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70A8E36A">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最大值</w:t>
            </w:r>
          </w:p>
        </w:tc>
        <w:tc>
          <w:tcPr>
            <w:tcW w:w="618" w:type="dxa"/>
            <w:shd w:val="clear" w:color="auto" w:fill="auto"/>
            <w:noWrap/>
            <w:vAlign w:val="center"/>
          </w:tcPr>
          <w:p w14:paraId="4915007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594" w:type="dxa"/>
            <w:shd w:val="clear" w:color="auto" w:fill="auto"/>
            <w:noWrap/>
            <w:vAlign w:val="center"/>
          </w:tcPr>
          <w:p w14:paraId="5E12620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798" w:type="dxa"/>
            <w:shd w:val="clear" w:color="auto" w:fill="auto"/>
            <w:noWrap/>
            <w:vAlign w:val="center"/>
          </w:tcPr>
          <w:p w14:paraId="3C55AD0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702" w:type="dxa"/>
            <w:shd w:val="clear" w:color="auto" w:fill="auto"/>
            <w:noWrap/>
            <w:vAlign w:val="center"/>
          </w:tcPr>
          <w:p w14:paraId="55ACC45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1474" w:type="dxa"/>
            <w:shd w:val="clear" w:color="auto" w:fill="auto"/>
            <w:noWrap/>
            <w:vAlign w:val="center"/>
          </w:tcPr>
          <w:p w14:paraId="3640A1A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7.0（最小值）</w:t>
            </w:r>
          </w:p>
        </w:tc>
        <w:tc>
          <w:tcPr>
            <w:tcW w:w="618" w:type="dxa"/>
            <w:shd w:val="clear" w:color="auto" w:fill="auto"/>
            <w:noWrap/>
            <w:vAlign w:val="center"/>
          </w:tcPr>
          <w:p w14:paraId="4039C17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w:t>
            </w:r>
          </w:p>
        </w:tc>
        <w:tc>
          <w:tcPr>
            <w:tcW w:w="820" w:type="dxa"/>
            <w:shd w:val="clear" w:color="auto" w:fill="auto"/>
            <w:noWrap/>
            <w:vAlign w:val="center"/>
          </w:tcPr>
          <w:p w14:paraId="6F0A758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0.080</w:t>
            </w:r>
          </w:p>
        </w:tc>
        <w:tc>
          <w:tcPr>
            <w:tcW w:w="594" w:type="dxa"/>
            <w:shd w:val="clear" w:color="auto" w:fill="auto"/>
            <w:noWrap/>
            <w:vAlign w:val="center"/>
          </w:tcPr>
          <w:p w14:paraId="723C9CA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5.76</w:t>
            </w:r>
          </w:p>
        </w:tc>
        <w:tc>
          <w:tcPr>
            <w:tcW w:w="618" w:type="dxa"/>
            <w:shd w:val="clear" w:color="auto" w:fill="auto"/>
            <w:noWrap/>
            <w:vAlign w:val="center"/>
          </w:tcPr>
          <w:p w14:paraId="72ADEE6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w:t>
            </w:r>
          </w:p>
        </w:tc>
        <w:tc>
          <w:tcPr>
            <w:tcW w:w="618" w:type="dxa"/>
            <w:shd w:val="clear" w:color="auto" w:fill="auto"/>
            <w:noWrap/>
            <w:vAlign w:val="center"/>
          </w:tcPr>
          <w:p w14:paraId="1A08D00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w:t>
            </w:r>
          </w:p>
        </w:tc>
        <w:tc>
          <w:tcPr>
            <w:tcW w:w="736" w:type="dxa"/>
            <w:shd w:val="clear" w:color="auto" w:fill="auto"/>
            <w:noWrap/>
            <w:vAlign w:val="center"/>
          </w:tcPr>
          <w:p w14:paraId="5CAE59A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2.27</w:t>
            </w:r>
          </w:p>
        </w:tc>
        <w:tc>
          <w:tcPr>
            <w:tcW w:w="619" w:type="dxa"/>
            <w:shd w:val="clear" w:color="auto" w:fill="auto"/>
            <w:noWrap/>
            <w:vAlign w:val="center"/>
          </w:tcPr>
          <w:p w14:paraId="1753FC0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0.44</w:t>
            </w:r>
          </w:p>
        </w:tc>
        <w:tc>
          <w:tcPr>
            <w:tcW w:w="793" w:type="dxa"/>
            <w:shd w:val="clear" w:color="auto" w:fill="auto"/>
            <w:noWrap/>
            <w:vAlign w:val="center"/>
          </w:tcPr>
          <w:p w14:paraId="6A6CF6B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13DA8EF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220B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4D3A7894">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标准</w:t>
            </w:r>
          </w:p>
        </w:tc>
        <w:tc>
          <w:tcPr>
            <w:tcW w:w="618" w:type="dxa"/>
            <w:shd w:val="clear" w:color="auto" w:fill="auto"/>
            <w:noWrap/>
            <w:vAlign w:val="center"/>
          </w:tcPr>
          <w:p w14:paraId="25863BC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594" w:type="dxa"/>
            <w:shd w:val="clear" w:color="auto" w:fill="auto"/>
            <w:noWrap/>
            <w:vAlign w:val="center"/>
          </w:tcPr>
          <w:p w14:paraId="6226DE9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3B48E7E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702" w:type="dxa"/>
            <w:shd w:val="clear" w:color="auto" w:fill="auto"/>
            <w:noWrap/>
            <w:vAlign w:val="center"/>
          </w:tcPr>
          <w:p w14:paraId="769B62F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74" w:type="dxa"/>
            <w:shd w:val="clear" w:color="auto" w:fill="auto"/>
            <w:noWrap/>
            <w:vAlign w:val="center"/>
          </w:tcPr>
          <w:p w14:paraId="68B7C74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18" w:type="dxa"/>
            <w:shd w:val="clear" w:color="auto" w:fill="auto"/>
            <w:noWrap/>
            <w:vAlign w:val="center"/>
          </w:tcPr>
          <w:p w14:paraId="7008F71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820" w:type="dxa"/>
            <w:shd w:val="clear" w:color="auto" w:fill="auto"/>
            <w:noWrap/>
            <w:vAlign w:val="center"/>
          </w:tcPr>
          <w:p w14:paraId="6422B8A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594" w:type="dxa"/>
            <w:shd w:val="clear" w:color="auto" w:fill="auto"/>
            <w:noWrap/>
            <w:vAlign w:val="center"/>
          </w:tcPr>
          <w:p w14:paraId="3F34CDB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5DFC907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618" w:type="dxa"/>
            <w:shd w:val="clear" w:color="auto" w:fill="auto"/>
            <w:noWrap/>
            <w:vAlign w:val="center"/>
          </w:tcPr>
          <w:p w14:paraId="4B573B6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736" w:type="dxa"/>
            <w:shd w:val="clear" w:color="auto" w:fill="auto"/>
            <w:noWrap/>
            <w:vAlign w:val="center"/>
          </w:tcPr>
          <w:p w14:paraId="061C038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619" w:type="dxa"/>
            <w:shd w:val="clear" w:color="auto" w:fill="auto"/>
            <w:noWrap/>
            <w:vAlign w:val="center"/>
          </w:tcPr>
          <w:p w14:paraId="22CC7B5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793" w:type="dxa"/>
            <w:shd w:val="clear" w:color="auto" w:fill="auto"/>
            <w:noWrap/>
            <w:vAlign w:val="center"/>
          </w:tcPr>
          <w:p w14:paraId="6587908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893" w:type="dxa"/>
            <w:shd w:val="clear" w:color="auto" w:fill="auto"/>
            <w:noWrap/>
            <w:vAlign w:val="center"/>
          </w:tcPr>
          <w:p w14:paraId="0642418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530B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3CA52315">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最大标准指数</w:t>
            </w:r>
          </w:p>
        </w:tc>
        <w:tc>
          <w:tcPr>
            <w:tcW w:w="618" w:type="dxa"/>
            <w:shd w:val="clear" w:color="auto" w:fill="auto"/>
            <w:noWrap/>
            <w:vAlign w:val="center"/>
          </w:tcPr>
          <w:p w14:paraId="144C37A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594" w:type="dxa"/>
            <w:shd w:val="clear" w:color="auto" w:fill="auto"/>
            <w:noWrap/>
            <w:vAlign w:val="center"/>
          </w:tcPr>
          <w:p w14:paraId="712A6DA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0E3D5AA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0.55</w:t>
            </w:r>
          </w:p>
        </w:tc>
        <w:tc>
          <w:tcPr>
            <w:tcW w:w="702" w:type="dxa"/>
            <w:shd w:val="clear" w:color="auto" w:fill="auto"/>
            <w:noWrap/>
            <w:vAlign w:val="center"/>
          </w:tcPr>
          <w:p w14:paraId="2626212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0.53</w:t>
            </w:r>
          </w:p>
        </w:tc>
        <w:tc>
          <w:tcPr>
            <w:tcW w:w="1474" w:type="dxa"/>
            <w:shd w:val="clear" w:color="auto" w:fill="auto"/>
            <w:noWrap/>
            <w:vAlign w:val="center"/>
          </w:tcPr>
          <w:p w14:paraId="3EFAB71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0.71</w:t>
            </w:r>
          </w:p>
        </w:tc>
        <w:tc>
          <w:tcPr>
            <w:tcW w:w="618" w:type="dxa"/>
            <w:shd w:val="clear" w:color="auto" w:fill="auto"/>
            <w:noWrap/>
            <w:vAlign w:val="center"/>
          </w:tcPr>
          <w:p w14:paraId="0BC1435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0.45</w:t>
            </w:r>
          </w:p>
        </w:tc>
        <w:tc>
          <w:tcPr>
            <w:tcW w:w="820" w:type="dxa"/>
            <w:shd w:val="clear" w:color="auto" w:fill="auto"/>
            <w:noWrap/>
            <w:vAlign w:val="center"/>
          </w:tcPr>
          <w:p w14:paraId="003C1EE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0.080</w:t>
            </w:r>
          </w:p>
        </w:tc>
        <w:tc>
          <w:tcPr>
            <w:tcW w:w="594" w:type="dxa"/>
            <w:shd w:val="clear" w:color="auto" w:fill="auto"/>
            <w:noWrap/>
            <w:vAlign w:val="center"/>
          </w:tcPr>
          <w:p w14:paraId="7498BCF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0A1AED6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w:t>
            </w:r>
          </w:p>
        </w:tc>
        <w:tc>
          <w:tcPr>
            <w:tcW w:w="618" w:type="dxa"/>
            <w:shd w:val="clear" w:color="auto" w:fill="auto"/>
            <w:noWrap/>
            <w:vAlign w:val="center"/>
          </w:tcPr>
          <w:p w14:paraId="698B987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w:t>
            </w:r>
          </w:p>
        </w:tc>
        <w:tc>
          <w:tcPr>
            <w:tcW w:w="736" w:type="dxa"/>
            <w:shd w:val="clear" w:color="auto" w:fill="auto"/>
            <w:noWrap/>
            <w:vAlign w:val="center"/>
          </w:tcPr>
          <w:p w14:paraId="6651EA3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w:t>
            </w:r>
          </w:p>
        </w:tc>
        <w:tc>
          <w:tcPr>
            <w:tcW w:w="619" w:type="dxa"/>
            <w:shd w:val="clear" w:color="auto" w:fill="auto"/>
            <w:noWrap/>
            <w:vAlign w:val="center"/>
          </w:tcPr>
          <w:p w14:paraId="3B1CC6B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0.44</w:t>
            </w:r>
          </w:p>
        </w:tc>
        <w:tc>
          <w:tcPr>
            <w:tcW w:w="793" w:type="dxa"/>
            <w:shd w:val="clear" w:color="auto" w:fill="auto"/>
            <w:noWrap/>
            <w:vAlign w:val="center"/>
          </w:tcPr>
          <w:p w14:paraId="1284081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93" w:type="dxa"/>
            <w:shd w:val="clear" w:color="auto" w:fill="auto"/>
            <w:noWrap/>
            <w:vAlign w:val="center"/>
          </w:tcPr>
          <w:p w14:paraId="296CFB8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71D8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211B6336">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达标情况</w:t>
            </w:r>
          </w:p>
        </w:tc>
        <w:tc>
          <w:tcPr>
            <w:tcW w:w="618" w:type="dxa"/>
            <w:shd w:val="clear" w:color="auto" w:fill="auto"/>
            <w:noWrap/>
            <w:vAlign w:val="center"/>
          </w:tcPr>
          <w:p w14:paraId="3D619E8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594" w:type="dxa"/>
            <w:shd w:val="clear" w:color="auto" w:fill="auto"/>
            <w:noWrap/>
            <w:vAlign w:val="center"/>
          </w:tcPr>
          <w:p w14:paraId="2E8B644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351C27F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02" w:type="dxa"/>
            <w:shd w:val="clear" w:color="auto" w:fill="auto"/>
            <w:noWrap/>
            <w:vAlign w:val="center"/>
          </w:tcPr>
          <w:p w14:paraId="3616062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474" w:type="dxa"/>
            <w:shd w:val="clear" w:color="auto" w:fill="auto"/>
            <w:noWrap/>
            <w:vAlign w:val="center"/>
          </w:tcPr>
          <w:p w14:paraId="1E6CC5F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8" w:type="dxa"/>
            <w:shd w:val="clear" w:color="auto" w:fill="auto"/>
            <w:noWrap/>
            <w:vAlign w:val="center"/>
          </w:tcPr>
          <w:p w14:paraId="591B7D3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820" w:type="dxa"/>
            <w:shd w:val="clear" w:color="auto" w:fill="auto"/>
            <w:noWrap/>
            <w:vAlign w:val="center"/>
          </w:tcPr>
          <w:p w14:paraId="46AE51B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不达标</w:t>
            </w:r>
          </w:p>
        </w:tc>
        <w:tc>
          <w:tcPr>
            <w:tcW w:w="594" w:type="dxa"/>
            <w:shd w:val="clear" w:color="auto" w:fill="auto"/>
            <w:noWrap/>
            <w:vAlign w:val="center"/>
          </w:tcPr>
          <w:p w14:paraId="68A0C3B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0741D09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8" w:type="dxa"/>
            <w:shd w:val="clear" w:color="auto" w:fill="auto"/>
            <w:noWrap/>
            <w:vAlign w:val="center"/>
          </w:tcPr>
          <w:p w14:paraId="79ECE05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36" w:type="dxa"/>
            <w:shd w:val="clear" w:color="auto" w:fill="auto"/>
            <w:noWrap/>
            <w:vAlign w:val="center"/>
          </w:tcPr>
          <w:p w14:paraId="6A4AFAE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9" w:type="dxa"/>
            <w:shd w:val="clear" w:color="auto" w:fill="auto"/>
            <w:noWrap/>
            <w:vAlign w:val="center"/>
          </w:tcPr>
          <w:p w14:paraId="43E9E6E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93" w:type="dxa"/>
            <w:shd w:val="clear" w:color="auto" w:fill="auto"/>
            <w:noWrap/>
            <w:vAlign w:val="center"/>
          </w:tcPr>
          <w:p w14:paraId="2B093D6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893" w:type="dxa"/>
            <w:shd w:val="clear" w:color="auto" w:fill="auto"/>
            <w:noWrap/>
            <w:vAlign w:val="center"/>
          </w:tcPr>
          <w:p w14:paraId="4AF9C93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4846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57" w:type="dxa"/>
            <w:vMerge w:val="restart"/>
            <w:shd w:val="clear" w:color="auto" w:fill="auto"/>
            <w:noWrap/>
            <w:vAlign w:val="center"/>
          </w:tcPr>
          <w:p w14:paraId="5FF40AA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W3南盘江东干渠汇入口下游1500m</w:t>
            </w:r>
          </w:p>
        </w:tc>
        <w:tc>
          <w:tcPr>
            <w:tcW w:w="1267" w:type="dxa"/>
            <w:shd w:val="clear" w:color="auto" w:fill="auto"/>
            <w:noWrap/>
            <w:vAlign w:val="center"/>
          </w:tcPr>
          <w:p w14:paraId="567CAF7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2024.7.9</w:t>
            </w:r>
          </w:p>
        </w:tc>
        <w:tc>
          <w:tcPr>
            <w:tcW w:w="618" w:type="dxa"/>
            <w:shd w:val="clear" w:color="auto" w:fill="auto"/>
            <w:noWrap/>
            <w:vAlign w:val="center"/>
          </w:tcPr>
          <w:p w14:paraId="1D2279D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w:t>
            </w:r>
          </w:p>
        </w:tc>
        <w:tc>
          <w:tcPr>
            <w:tcW w:w="594" w:type="dxa"/>
            <w:shd w:val="clear" w:color="auto" w:fill="auto"/>
            <w:noWrap/>
            <w:vAlign w:val="center"/>
          </w:tcPr>
          <w:p w14:paraId="66D1C7E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798" w:type="dxa"/>
            <w:shd w:val="clear" w:color="auto" w:fill="auto"/>
            <w:noWrap/>
            <w:vAlign w:val="center"/>
          </w:tcPr>
          <w:p w14:paraId="087AABB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702" w:type="dxa"/>
            <w:shd w:val="clear" w:color="auto" w:fill="auto"/>
            <w:noWrap/>
            <w:vAlign w:val="center"/>
          </w:tcPr>
          <w:p w14:paraId="6956443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474" w:type="dxa"/>
            <w:shd w:val="clear" w:color="auto" w:fill="auto"/>
            <w:noWrap/>
            <w:vAlign w:val="center"/>
          </w:tcPr>
          <w:p w14:paraId="41FF86C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618" w:type="dxa"/>
            <w:shd w:val="clear" w:color="auto" w:fill="auto"/>
            <w:noWrap/>
            <w:vAlign w:val="center"/>
          </w:tcPr>
          <w:p w14:paraId="12DCBDC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820" w:type="dxa"/>
            <w:shd w:val="clear" w:color="auto" w:fill="auto"/>
            <w:noWrap/>
            <w:vAlign w:val="center"/>
          </w:tcPr>
          <w:p w14:paraId="07891C1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0.086</w:t>
            </w:r>
          </w:p>
        </w:tc>
        <w:tc>
          <w:tcPr>
            <w:tcW w:w="594" w:type="dxa"/>
            <w:shd w:val="clear" w:color="auto" w:fill="auto"/>
            <w:noWrap/>
            <w:vAlign w:val="center"/>
          </w:tcPr>
          <w:p w14:paraId="24420BA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6.13</w:t>
            </w:r>
          </w:p>
        </w:tc>
        <w:tc>
          <w:tcPr>
            <w:tcW w:w="618" w:type="dxa"/>
            <w:shd w:val="clear" w:color="auto" w:fill="auto"/>
            <w:noWrap/>
            <w:vAlign w:val="center"/>
          </w:tcPr>
          <w:p w14:paraId="6A02345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w:t>
            </w:r>
          </w:p>
        </w:tc>
        <w:tc>
          <w:tcPr>
            <w:tcW w:w="618" w:type="dxa"/>
            <w:shd w:val="clear" w:color="auto" w:fill="auto"/>
            <w:noWrap/>
            <w:vAlign w:val="center"/>
          </w:tcPr>
          <w:p w14:paraId="6A87F20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736" w:type="dxa"/>
            <w:shd w:val="clear" w:color="auto" w:fill="auto"/>
            <w:noWrap/>
            <w:vAlign w:val="center"/>
          </w:tcPr>
          <w:p w14:paraId="55427B0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3.22</w:t>
            </w:r>
          </w:p>
        </w:tc>
        <w:tc>
          <w:tcPr>
            <w:tcW w:w="619" w:type="dxa"/>
            <w:shd w:val="clear" w:color="auto" w:fill="auto"/>
            <w:noWrap/>
            <w:vAlign w:val="center"/>
          </w:tcPr>
          <w:p w14:paraId="4237D86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0.44</w:t>
            </w:r>
          </w:p>
        </w:tc>
        <w:tc>
          <w:tcPr>
            <w:tcW w:w="793" w:type="dxa"/>
            <w:shd w:val="clear" w:color="auto" w:fill="auto"/>
            <w:noWrap/>
            <w:vAlign w:val="center"/>
          </w:tcPr>
          <w:p w14:paraId="6AE2FCD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69CF6FB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6EE5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57" w:type="dxa"/>
            <w:vMerge w:val="continue"/>
            <w:shd w:val="clear" w:color="auto" w:fill="auto"/>
            <w:noWrap/>
            <w:vAlign w:val="center"/>
          </w:tcPr>
          <w:p w14:paraId="77CC4D43">
            <w:pPr>
              <w:jc w:val="center"/>
              <w:rPr>
                <w:rFonts w:hint="default" w:ascii="Times New Roman" w:hAnsi="Times New Roman" w:cs="Times New Roman"/>
                <w:i w:val="0"/>
                <w:iCs w:val="0"/>
                <w:color w:val="auto"/>
                <w:sz w:val="21"/>
                <w:szCs w:val="21"/>
                <w:u w:val="none"/>
              </w:rPr>
            </w:pPr>
          </w:p>
        </w:tc>
        <w:tc>
          <w:tcPr>
            <w:tcW w:w="1267" w:type="dxa"/>
            <w:shd w:val="clear" w:color="auto" w:fill="auto"/>
            <w:noWrap/>
            <w:vAlign w:val="center"/>
          </w:tcPr>
          <w:p w14:paraId="08829B3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2024.7.10</w:t>
            </w:r>
          </w:p>
        </w:tc>
        <w:tc>
          <w:tcPr>
            <w:tcW w:w="618" w:type="dxa"/>
            <w:shd w:val="clear" w:color="auto" w:fill="auto"/>
            <w:noWrap/>
            <w:vAlign w:val="center"/>
          </w:tcPr>
          <w:p w14:paraId="5353F82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594" w:type="dxa"/>
            <w:shd w:val="clear" w:color="auto" w:fill="auto"/>
            <w:noWrap/>
            <w:vAlign w:val="center"/>
          </w:tcPr>
          <w:p w14:paraId="6697A0C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798" w:type="dxa"/>
            <w:shd w:val="clear" w:color="auto" w:fill="auto"/>
            <w:noWrap/>
            <w:vAlign w:val="center"/>
          </w:tcPr>
          <w:p w14:paraId="68DB779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702" w:type="dxa"/>
            <w:shd w:val="clear" w:color="auto" w:fill="auto"/>
            <w:noWrap/>
            <w:vAlign w:val="center"/>
          </w:tcPr>
          <w:p w14:paraId="69E54A1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474" w:type="dxa"/>
            <w:shd w:val="clear" w:color="auto" w:fill="auto"/>
            <w:noWrap/>
            <w:vAlign w:val="center"/>
          </w:tcPr>
          <w:p w14:paraId="40738D6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618" w:type="dxa"/>
            <w:shd w:val="clear" w:color="auto" w:fill="auto"/>
            <w:noWrap/>
            <w:vAlign w:val="center"/>
          </w:tcPr>
          <w:p w14:paraId="26AEC07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820" w:type="dxa"/>
            <w:shd w:val="clear" w:color="auto" w:fill="auto"/>
            <w:noWrap/>
            <w:vAlign w:val="center"/>
          </w:tcPr>
          <w:p w14:paraId="7E28FA0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0.077</w:t>
            </w:r>
          </w:p>
        </w:tc>
        <w:tc>
          <w:tcPr>
            <w:tcW w:w="594" w:type="dxa"/>
            <w:shd w:val="clear" w:color="auto" w:fill="auto"/>
            <w:noWrap/>
            <w:vAlign w:val="center"/>
          </w:tcPr>
          <w:p w14:paraId="2BC7092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5.84</w:t>
            </w:r>
          </w:p>
        </w:tc>
        <w:tc>
          <w:tcPr>
            <w:tcW w:w="618" w:type="dxa"/>
            <w:shd w:val="clear" w:color="auto" w:fill="auto"/>
            <w:noWrap/>
            <w:vAlign w:val="center"/>
          </w:tcPr>
          <w:p w14:paraId="08A0534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618" w:type="dxa"/>
            <w:shd w:val="clear" w:color="auto" w:fill="auto"/>
            <w:noWrap/>
            <w:vAlign w:val="center"/>
          </w:tcPr>
          <w:p w14:paraId="12323A9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w:t>
            </w:r>
          </w:p>
        </w:tc>
        <w:tc>
          <w:tcPr>
            <w:tcW w:w="736" w:type="dxa"/>
            <w:shd w:val="clear" w:color="auto" w:fill="auto"/>
            <w:noWrap/>
            <w:vAlign w:val="center"/>
          </w:tcPr>
          <w:p w14:paraId="1791C48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3.25</w:t>
            </w:r>
          </w:p>
        </w:tc>
        <w:tc>
          <w:tcPr>
            <w:tcW w:w="619" w:type="dxa"/>
            <w:shd w:val="clear" w:color="auto" w:fill="auto"/>
            <w:noWrap/>
            <w:vAlign w:val="center"/>
          </w:tcPr>
          <w:p w14:paraId="1FA8711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0.46</w:t>
            </w:r>
          </w:p>
        </w:tc>
        <w:tc>
          <w:tcPr>
            <w:tcW w:w="793" w:type="dxa"/>
            <w:shd w:val="clear" w:color="auto" w:fill="auto"/>
            <w:noWrap/>
            <w:vAlign w:val="center"/>
          </w:tcPr>
          <w:p w14:paraId="39E3936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1304D01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4A32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2457" w:type="dxa"/>
            <w:vMerge w:val="continue"/>
            <w:shd w:val="clear" w:color="auto" w:fill="auto"/>
            <w:noWrap/>
            <w:vAlign w:val="center"/>
          </w:tcPr>
          <w:p w14:paraId="62827B3C">
            <w:pPr>
              <w:jc w:val="center"/>
              <w:rPr>
                <w:rFonts w:hint="default" w:ascii="Times New Roman" w:hAnsi="Times New Roman" w:cs="Times New Roman"/>
                <w:i w:val="0"/>
                <w:iCs w:val="0"/>
                <w:color w:val="auto"/>
                <w:sz w:val="21"/>
                <w:szCs w:val="21"/>
                <w:u w:val="none"/>
              </w:rPr>
            </w:pPr>
          </w:p>
        </w:tc>
        <w:tc>
          <w:tcPr>
            <w:tcW w:w="1267" w:type="dxa"/>
            <w:shd w:val="clear" w:color="auto" w:fill="auto"/>
            <w:noWrap/>
            <w:vAlign w:val="center"/>
          </w:tcPr>
          <w:p w14:paraId="31BD7A9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2024.7.11</w:t>
            </w:r>
          </w:p>
        </w:tc>
        <w:tc>
          <w:tcPr>
            <w:tcW w:w="618" w:type="dxa"/>
            <w:shd w:val="clear" w:color="auto" w:fill="auto"/>
            <w:noWrap/>
            <w:vAlign w:val="center"/>
          </w:tcPr>
          <w:p w14:paraId="5565F9B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594" w:type="dxa"/>
            <w:shd w:val="clear" w:color="auto" w:fill="auto"/>
            <w:noWrap/>
            <w:vAlign w:val="center"/>
          </w:tcPr>
          <w:p w14:paraId="50A82CB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798" w:type="dxa"/>
            <w:shd w:val="clear" w:color="auto" w:fill="auto"/>
            <w:noWrap/>
            <w:vAlign w:val="center"/>
          </w:tcPr>
          <w:p w14:paraId="369F504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702" w:type="dxa"/>
            <w:shd w:val="clear" w:color="auto" w:fill="auto"/>
            <w:noWrap/>
            <w:vAlign w:val="center"/>
          </w:tcPr>
          <w:p w14:paraId="5C04B88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474" w:type="dxa"/>
            <w:shd w:val="clear" w:color="auto" w:fill="auto"/>
            <w:noWrap/>
            <w:vAlign w:val="center"/>
          </w:tcPr>
          <w:p w14:paraId="79EA80D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618" w:type="dxa"/>
            <w:shd w:val="clear" w:color="auto" w:fill="auto"/>
            <w:noWrap/>
            <w:vAlign w:val="center"/>
          </w:tcPr>
          <w:p w14:paraId="02CE9C3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820" w:type="dxa"/>
            <w:shd w:val="clear" w:color="auto" w:fill="auto"/>
            <w:noWrap/>
            <w:vAlign w:val="center"/>
          </w:tcPr>
          <w:p w14:paraId="6B685E5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0.092</w:t>
            </w:r>
          </w:p>
        </w:tc>
        <w:tc>
          <w:tcPr>
            <w:tcW w:w="594" w:type="dxa"/>
            <w:shd w:val="clear" w:color="auto" w:fill="auto"/>
            <w:noWrap/>
            <w:vAlign w:val="center"/>
          </w:tcPr>
          <w:p w14:paraId="2FEA208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5.91</w:t>
            </w:r>
          </w:p>
        </w:tc>
        <w:tc>
          <w:tcPr>
            <w:tcW w:w="618" w:type="dxa"/>
            <w:shd w:val="clear" w:color="auto" w:fill="auto"/>
            <w:noWrap/>
            <w:vAlign w:val="center"/>
          </w:tcPr>
          <w:p w14:paraId="76125C1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w:t>
            </w:r>
          </w:p>
        </w:tc>
        <w:tc>
          <w:tcPr>
            <w:tcW w:w="618" w:type="dxa"/>
            <w:shd w:val="clear" w:color="auto" w:fill="auto"/>
            <w:noWrap/>
            <w:vAlign w:val="center"/>
          </w:tcPr>
          <w:p w14:paraId="084E04D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736" w:type="dxa"/>
            <w:shd w:val="clear" w:color="auto" w:fill="auto"/>
            <w:noWrap/>
            <w:vAlign w:val="center"/>
          </w:tcPr>
          <w:p w14:paraId="0E6AF39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3.20</w:t>
            </w:r>
          </w:p>
        </w:tc>
        <w:tc>
          <w:tcPr>
            <w:tcW w:w="619" w:type="dxa"/>
            <w:shd w:val="clear" w:color="auto" w:fill="auto"/>
            <w:noWrap/>
            <w:vAlign w:val="center"/>
          </w:tcPr>
          <w:p w14:paraId="3C26ED7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0.42</w:t>
            </w:r>
          </w:p>
        </w:tc>
        <w:tc>
          <w:tcPr>
            <w:tcW w:w="793" w:type="dxa"/>
            <w:shd w:val="clear" w:color="auto" w:fill="auto"/>
            <w:noWrap/>
            <w:vAlign w:val="center"/>
          </w:tcPr>
          <w:p w14:paraId="5B2F235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1B29F8D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1227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7DA819B5">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最大值</w:t>
            </w:r>
          </w:p>
        </w:tc>
        <w:tc>
          <w:tcPr>
            <w:tcW w:w="618" w:type="dxa"/>
            <w:shd w:val="clear" w:color="auto" w:fill="auto"/>
            <w:noWrap/>
            <w:vAlign w:val="center"/>
          </w:tcPr>
          <w:p w14:paraId="35FA4CB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594" w:type="dxa"/>
            <w:shd w:val="clear" w:color="auto" w:fill="auto"/>
            <w:noWrap/>
            <w:vAlign w:val="center"/>
          </w:tcPr>
          <w:p w14:paraId="583415F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798" w:type="dxa"/>
            <w:shd w:val="clear" w:color="auto" w:fill="auto"/>
            <w:noWrap/>
            <w:vAlign w:val="center"/>
          </w:tcPr>
          <w:p w14:paraId="3A3A8F7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702" w:type="dxa"/>
            <w:shd w:val="clear" w:color="auto" w:fill="auto"/>
            <w:noWrap/>
            <w:vAlign w:val="center"/>
          </w:tcPr>
          <w:p w14:paraId="0448207D">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474" w:type="dxa"/>
            <w:shd w:val="clear" w:color="auto" w:fill="auto"/>
            <w:noWrap/>
            <w:vAlign w:val="center"/>
          </w:tcPr>
          <w:p w14:paraId="26F0BBB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7.3（最小值）</w:t>
            </w:r>
          </w:p>
        </w:tc>
        <w:tc>
          <w:tcPr>
            <w:tcW w:w="618" w:type="dxa"/>
            <w:shd w:val="clear" w:color="auto" w:fill="auto"/>
            <w:noWrap/>
            <w:vAlign w:val="center"/>
          </w:tcPr>
          <w:p w14:paraId="31D59AA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820" w:type="dxa"/>
            <w:shd w:val="clear" w:color="auto" w:fill="auto"/>
            <w:noWrap/>
            <w:vAlign w:val="center"/>
          </w:tcPr>
          <w:p w14:paraId="1CE9BFF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0.092</w:t>
            </w:r>
          </w:p>
        </w:tc>
        <w:tc>
          <w:tcPr>
            <w:tcW w:w="594" w:type="dxa"/>
            <w:shd w:val="clear" w:color="auto" w:fill="auto"/>
            <w:noWrap/>
            <w:vAlign w:val="center"/>
          </w:tcPr>
          <w:p w14:paraId="5258661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6.13</w:t>
            </w:r>
          </w:p>
        </w:tc>
        <w:tc>
          <w:tcPr>
            <w:tcW w:w="618" w:type="dxa"/>
            <w:shd w:val="clear" w:color="auto" w:fill="auto"/>
            <w:noWrap/>
            <w:vAlign w:val="center"/>
          </w:tcPr>
          <w:p w14:paraId="22E9280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618" w:type="dxa"/>
            <w:shd w:val="clear" w:color="auto" w:fill="auto"/>
            <w:noWrap/>
            <w:vAlign w:val="center"/>
          </w:tcPr>
          <w:p w14:paraId="26096D7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w:t>
            </w:r>
          </w:p>
        </w:tc>
        <w:tc>
          <w:tcPr>
            <w:tcW w:w="736" w:type="dxa"/>
            <w:shd w:val="clear" w:color="auto" w:fill="auto"/>
            <w:noWrap/>
            <w:vAlign w:val="center"/>
          </w:tcPr>
          <w:p w14:paraId="14D0135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3.25</w:t>
            </w:r>
          </w:p>
        </w:tc>
        <w:tc>
          <w:tcPr>
            <w:tcW w:w="619" w:type="dxa"/>
            <w:shd w:val="clear" w:color="auto" w:fill="auto"/>
            <w:noWrap/>
            <w:vAlign w:val="center"/>
          </w:tcPr>
          <w:p w14:paraId="3BE0A2D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0.46</w:t>
            </w:r>
          </w:p>
        </w:tc>
        <w:tc>
          <w:tcPr>
            <w:tcW w:w="793" w:type="dxa"/>
            <w:shd w:val="clear" w:color="auto" w:fill="auto"/>
            <w:noWrap/>
            <w:vAlign w:val="center"/>
          </w:tcPr>
          <w:p w14:paraId="6D82053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0.001L</w:t>
            </w:r>
          </w:p>
        </w:tc>
        <w:tc>
          <w:tcPr>
            <w:tcW w:w="893" w:type="dxa"/>
            <w:shd w:val="clear" w:color="auto" w:fill="auto"/>
            <w:noWrap/>
            <w:vAlign w:val="center"/>
          </w:tcPr>
          <w:p w14:paraId="4DD6DFF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0.0005L</w:t>
            </w:r>
          </w:p>
        </w:tc>
      </w:tr>
      <w:tr w14:paraId="4811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29C29491">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标准</w:t>
            </w:r>
          </w:p>
        </w:tc>
        <w:tc>
          <w:tcPr>
            <w:tcW w:w="618" w:type="dxa"/>
            <w:shd w:val="clear" w:color="auto" w:fill="auto"/>
            <w:noWrap/>
            <w:vAlign w:val="center"/>
          </w:tcPr>
          <w:p w14:paraId="4D555DA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594" w:type="dxa"/>
            <w:shd w:val="clear" w:color="auto" w:fill="auto"/>
            <w:noWrap/>
            <w:vAlign w:val="center"/>
          </w:tcPr>
          <w:p w14:paraId="47A3058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487C7F2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702" w:type="dxa"/>
            <w:shd w:val="clear" w:color="auto" w:fill="auto"/>
            <w:noWrap/>
            <w:vAlign w:val="center"/>
          </w:tcPr>
          <w:p w14:paraId="1342E7A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74" w:type="dxa"/>
            <w:shd w:val="clear" w:color="auto" w:fill="auto"/>
            <w:noWrap/>
            <w:vAlign w:val="center"/>
          </w:tcPr>
          <w:p w14:paraId="5723F35C">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18" w:type="dxa"/>
            <w:shd w:val="clear" w:color="auto" w:fill="auto"/>
            <w:noWrap/>
            <w:vAlign w:val="center"/>
          </w:tcPr>
          <w:p w14:paraId="64AFCC6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820" w:type="dxa"/>
            <w:shd w:val="clear" w:color="auto" w:fill="auto"/>
            <w:noWrap/>
            <w:vAlign w:val="center"/>
          </w:tcPr>
          <w:p w14:paraId="1C976B9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594" w:type="dxa"/>
            <w:shd w:val="clear" w:color="auto" w:fill="auto"/>
            <w:noWrap/>
            <w:vAlign w:val="center"/>
          </w:tcPr>
          <w:p w14:paraId="4DD4863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5F34574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618" w:type="dxa"/>
            <w:shd w:val="clear" w:color="auto" w:fill="auto"/>
            <w:noWrap/>
            <w:vAlign w:val="center"/>
          </w:tcPr>
          <w:p w14:paraId="6329FE8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736" w:type="dxa"/>
            <w:shd w:val="clear" w:color="auto" w:fill="auto"/>
            <w:noWrap/>
            <w:vAlign w:val="center"/>
          </w:tcPr>
          <w:p w14:paraId="539E1E9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619" w:type="dxa"/>
            <w:shd w:val="clear" w:color="auto" w:fill="auto"/>
            <w:noWrap/>
            <w:vAlign w:val="center"/>
          </w:tcPr>
          <w:p w14:paraId="7CB05902">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793" w:type="dxa"/>
            <w:shd w:val="clear" w:color="auto" w:fill="auto"/>
            <w:noWrap/>
            <w:vAlign w:val="center"/>
          </w:tcPr>
          <w:p w14:paraId="68A179F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893" w:type="dxa"/>
            <w:shd w:val="clear" w:color="auto" w:fill="auto"/>
            <w:noWrap/>
            <w:vAlign w:val="center"/>
          </w:tcPr>
          <w:p w14:paraId="73CA6A7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67D1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3724" w:type="dxa"/>
            <w:gridSpan w:val="2"/>
            <w:shd w:val="clear" w:color="auto" w:fill="auto"/>
            <w:noWrap/>
            <w:vAlign w:val="center"/>
          </w:tcPr>
          <w:p w14:paraId="060AC7ED">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最大标准指数</w:t>
            </w:r>
          </w:p>
        </w:tc>
        <w:tc>
          <w:tcPr>
            <w:tcW w:w="618" w:type="dxa"/>
            <w:shd w:val="clear" w:color="auto" w:fill="auto"/>
            <w:noWrap/>
            <w:vAlign w:val="center"/>
          </w:tcPr>
          <w:p w14:paraId="07CBA9D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594" w:type="dxa"/>
            <w:shd w:val="clear" w:color="auto" w:fill="auto"/>
            <w:noWrap/>
            <w:vAlign w:val="center"/>
          </w:tcPr>
          <w:p w14:paraId="2342F31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1FD1B46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702" w:type="dxa"/>
            <w:shd w:val="clear" w:color="auto" w:fill="auto"/>
            <w:noWrap/>
            <w:vAlign w:val="center"/>
          </w:tcPr>
          <w:p w14:paraId="3016E330">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1474" w:type="dxa"/>
            <w:shd w:val="clear" w:color="auto" w:fill="auto"/>
            <w:noWrap/>
            <w:vAlign w:val="center"/>
          </w:tcPr>
          <w:p w14:paraId="2FE0B38E">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0.68</w:t>
            </w:r>
          </w:p>
        </w:tc>
        <w:tc>
          <w:tcPr>
            <w:tcW w:w="618" w:type="dxa"/>
            <w:shd w:val="clear" w:color="auto" w:fill="auto"/>
            <w:noWrap/>
            <w:vAlign w:val="center"/>
          </w:tcPr>
          <w:p w14:paraId="0045D1D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820" w:type="dxa"/>
            <w:shd w:val="clear" w:color="auto" w:fill="auto"/>
            <w:noWrap/>
            <w:vAlign w:val="center"/>
          </w:tcPr>
          <w:p w14:paraId="6E8CA65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0.092</w:t>
            </w:r>
          </w:p>
        </w:tc>
        <w:tc>
          <w:tcPr>
            <w:tcW w:w="594" w:type="dxa"/>
            <w:shd w:val="clear" w:color="auto" w:fill="auto"/>
            <w:noWrap/>
            <w:vAlign w:val="center"/>
          </w:tcPr>
          <w:p w14:paraId="57295F17">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59293226">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618" w:type="dxa"/>
            <w:shd w:val="clear" w:color="auto" w:fill="auto"/>
            <w:noWrap/>
            <w:vAlign w:val="center"/>
          </w:tcPr>
          <w:p w14:paraId="270A3C0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0.19</w:t>
            </w:r>
          </w:p>
        </w:tc>
        <w:tc>
          <w:tcPr>
            <w:tcW w:w="736" w:type="dxa"/>
            <w:shd w:val="clear" w:color="auto" w:fill="auto"/>
            <w:noWrap/>
            <w:vAlign w:val="center"/>
          </w:tcPr>
          <w:p w14:paraId="0B05C78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0.33</w:t>
            </w:r>
          </w:p>
        </w:tc>
        <w:tc>
          <w:tcPr>
            <w:tcW w:w="619" w:type="dxa"/>
            <w:shd w:val="clear" w:color="auto" w:fill="auto"/>
            <w:noWrap/>
            <w:vAlign w:val="center"/>
          </w:tcPr>
          <w:p w14:paraId="5449BA0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0.46</w:t>
            </w:r>
          </w:p>
        </w:tc>
        <w:tc>
          <w:tcPr>
            <w:tcW w:w="793" w:type="dxa"/>
            <w:shd w:val="clear" w:color="auto" w:fill="auto"/>
            <w:noWrap/>
            <w:vAlign w:val="center"/>
          </w:tcPr>
          <w:p w14:paraId="25C0AF3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93" w:type="dxa"/>
            <w:shd w:val="clear" w:color="auto" w:fill="auto"/>
            <w:noWrap/>
            <w:vAlign w:val="center"/>
          </w:tcPr>
          <w:p w14:paraId="7D2EDF2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272D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724" w:type="dxa"/>
            <w:gridSpan w:val="2"/>
            <w:shd w:val="clear" w:color="auto" w:fill="auto"/>
            <w:noWrap/>
            <w:vAlign w:val="center"/>
          </w:tcPr>
          <w:p w14:paraId="7969D735">
            <w:pPr>
              <w:jc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达标情况</w:t>
            </w:r>
          </w:p>
        </w:tc>
        <w:tc>
          <w:tcPr>
            <w:tcW w:w="618" w:type="dxa"/>
            <w:shd w:val="clear" w:color="auto" w:fill="auto"/>
            <w:noWrap/>
            <w:vAlign w:val="center"/>
          </w:tcPr>
          <w:p w14:paraId="3513D931">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594" w:type="dxa"/>
            <w:shd w:val="clear" w:color="auto" w:fill="auto"/>
            <w:noWrap/>
            <w:vAlign w:val="center"/>
          </w:tcPr>
          <w:p w14:paraId="394C5E9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98" w:type="dxa"/>
            <w:shd w:val="clear" w:color="auto" w:fill="auto"/>
            <w:noWrap/>
            <w:vAlign w:val="center"/>
          </w:tcPr>
          <w:p w14:paraId="2DC585E9">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02" w:type="dxa"/>
            <w:shd w:val="clear" w:color="auto" w:fill="auto"/>
            <w:noWrap/>
            <w:vAlign w:val="center"/>
          </w:tcPr>
          <w:p w14:paraId="40C0958F">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474" w:type="dxa"/>
            <w:shd w:val="clear" w:color="auto" w:fill="auto"/>
            <w:noWrap/>
            <w:vAlign w:val="center"/>
          </w:tcPr>
          <w:p w14:paraId="2656E67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8" w:type="dxa"/>
            <w:shd w:val="clear" w:color="auto" w:fill="auto"/>
            <w:noWrap/>
            <w:vAlign w:val="center"/>
          </w:tcPr>
          <w:p w14:paraId="559B086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820" w:type="dxa"/>
            <w:shd w:val="clear" w:color="auto" w:fill="auto"/>
            <w:noWrap/>
            <w:vAlign w:val="center"/>
          </w:tcPr>
          <w:p w14:paraId="5F093EAA">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594" w:type="dxa"/>
            <w:shd w:val="clear" w:color="auto" w:fill="auto"/>
            <w:noWrap/>
            <w:vAlign w:val="center"/>
          </w:tcPr>
          <w:p w14:paraId="432CB29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18" w:type="dxa"/>
            <w:shd w:val="clear" w:color="auto" w:fill="auto"/>
            <w:noWrap/>
            <w:vAlign w:val="center"/>
          </w:tcPr>
          <w:p w14:paraId="794374E3">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8" w:type="dxa"/>
            <w:shd w:val="clear" w:color="auto" w:fill="auto"/>
            <w:noWrap/>
            <w:vAlign w:val="center"/>
          </w:tcPr>
          <w:p w14:paraId="4D8ADCF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36" w:type="dxa"/>
            <w:shd w:val="clear" w:color="auto" w:fill="auto"/>
            <w:noWrap/>
            <w:vAlign w:val="center"/>
          </w:tcPr>
          <w:p w14:paraId="735A6F44">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619" w:type="dxa"/>
            <w:shd w:val="clear" w:color="auto" w:fill="auto"/>
            <w:noWrap/>
            <w:vAlign w:val="center"/>
          </w:tcPr>
          <w:p w14:paraId="39402DDB">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793" w:type="dxa"/>
            <w:shd w:val="clear" w:color="auto" w:fill="auto"/>
            <w:noWrap/>
            <w:vAlign w:val="center"/>
          </w:tcPr>
          <w:p w14:paraId="4B42E275">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893" w:type="dxa"/>
            <w:shd w:val="clear" w:color="auto" w:fill="auto"/>
            <w:noWrap/>
            <w:vAlign w:val="center"/>
          </w:tcPr>
          <w:p w14:paraId="69D9B038">
            <w:pPr>
              <w:keepNext w:val="0"/>
              <w:keepLines w:val="0"/>
              <w:widowControl/>
              <w:suppressLineNumbers w:val="0"/>
              <w:jc w:val="center"/>
              <w:textAlignment w:val="bottom"/>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r>
    </w:tbl>
    <w:p w14:paraId="5164CB7E">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olor w:val="auto"/>
          <w:sz w:val="24"/>
          <w:highlight w:val="none"/>
          <w:lang w:val="en-US" w:eastAsia="zh-CN"/>
        </w:rPr>
        <w:sectPr>
          <w:pgSz w:w="16840" w:h="11905" w:orient="landscape"/>
          <w:pgMar w:top="1473" w:right="1161" w:bottom="1472" w:left="1209" w:header="829" w:footer="1048" w:gutter="0"/>
          <w:pgNumType w:fmt="decimal"/>
          <w:cols w:space="720" w:num="1"/>
        </w:sectPr>
      </w:pPr>
    </w:p>
    <w:p w14:paraId="5D3DEAD6">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从上表可以看出，项目所在地W1南盘江东干渠汇入口上游100m，W2南盘江东干渠汇入口下游500m，W3南盘江东干渠汇入口下游1500m除TN外所有监测因子均能满足《地表水环境质量标准》（GB3838-2002）中Ⅲ类标准。</w:t>
      </w:r>
    </w:p>
    <w:p w14:paraId="2A20D012">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olor w:val="auto"/>
          <w:sz w:val="24"/>
          <w:highlight w:val="none"/>
          <w:lang w:val="en-US" w:eastAsia="zh-CN"/>
        </w:rPr>
        <w:t>但根据《地表水环境质量评价办法（试行）》中“地表水水质评价指标为：《地表水环境质量标准》（GB3838-2002）表1中除水温、总氮、粪大肠菌群以外的21项指标。水温、总氮、粪大肠菌群作为参考指标单独评价（河流总氮除外）”。故TN不作为W1南盘江东干渠汇入口上游100m，W2南盘江东干渠汇入口下游500m，W3南盘江东干渠汇入口下游1500m处水质是否达标的考核指标，故W1南盘江东干渠汇入口上游100m，W2南盘江东干渠汇入口下游 500m，W3南盘江东干渠汇入口下游1500m处能满足《地表水环境质量标准》（GB3838-2002）Ⅲ类水质标准。</w:t>
      </w:r>
    </w:p>
    <w:p w14:paraId="0F4B1CBC">
      <w:pPr>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rFonts w:hint="default" w:ascii="Times New Roman" w:hAnsi="Times New Roman" w:eastAsia="宋体" w:cs="Times New Roman"/>
          <w:color w:val="auto"/>
          <w:sz w:val="30"/>
          <w:szCs w:val="30"/>
        </w:rPr>
      </w:pPr>
      <w:bookmarkStart w:id="127" w:name="_Toc3456"/>
      <w:r>
        <w:rPr>
          <w:rFonts w:hint="eastAsia" w:ascii="Times New Roman" w:hAnsi="Times New Roman" w:eastAsia="宋体" w:cs="Times New Roman"/>
          <w:b/>
          <w:bCs/>
          <w:color w:val="auto"/>
          <w:spacing w:val="-2"/>
          <w:sz w:val="30"/>
          <w:szCs w:val="30"/>
          <w:lang w:val="en-US" w:eastAsia="zh-CN"/>
        </w:rPr>
        <w:t>3</w:t>
      </w:r>
      <w:r>
        <w:rPr>
          <w:rFonts w:hint="default" w:ascii="Times New Roman" w:hAnsi="Times New Roman" w:eastAsia="Times New Roman" w:cs="Times New Roman"/>
          <w:b/>
          <w:bCs/>
          <w:color w:val="auto"/>
          <w:spacing w:val="-2"/>
          <w:sz w:val="30"/>
          <w:szCs w:val="30"/>
        </w:rPr>
        <w:t>.2.</w:t>
      </w:r>
      <w:r>
        <w:rPr>
          <w:rFonts w:hint="eastAsia" w:ascii="Times New Roman" w:hAnsi="Times New Roman" w:eastAsia="宋体" w:cs="Times New Roman"/>
          <w:b/>
          <w:bCs/>
          <w:color w:val="auto"/>
          <w:spacing w:val="-2"/>
          <w:sz w:val="30"/>
          <w:szCs w:val="30"/>
          <w:lang w:val="en-US" w:eastAsia="zh-CN"/>
        </w:rPr>
        <w:t>4</w:t>
      </w:r>
      <w:r>
        <w:rPr>
          <w:rFonts w:hint="default" w:ascii="Times New Roman" w:hAnsi="Times New Roman" w:eastAsia="Times New Roman" w:cs="Times New Roman"/>
          <w:b/>
          <w:bCs/>
          <w:color w:val="auto"/>
          <w:spacing w:val="-2"/>
          <w:sz w:val="30"/>
          <w:szCs w:val="30"/>
        </w:rPr>
        <w:t>.</w:t>
      </w:r>
      <w:r>
        <w:rPr>
          <w:rFonts w:hint="eastAsia" w:ascii="Times New Roman" w:hAnsi="Times New Roman" w:eastAsia="宋体" w:cs="Times New Roman"/>
          <w:b/>
          <w:bCs/>
          <w:color w:val="auto"/>
          <w:spacing w:val="-2"/>
          <w:sz w:val="30"/>
          <w:szCs w:val="30"/>
          <w:lang w:val="en-US" w:eastAsia="zh-CN"/>
        </w:rPr>
        <w:t>地下水</w:t>
      </w:r>
      <w:r>
        <w:rPr>
          <w:rFonts w:hint="default" w:ascii="Times New Roman" w:hAnsi="Times New Roman" w:eastAsia="宋体" w:cs="Times New Roman"/>
          <w:b/>
          <w:bCs/>
          <w:color w:val="auto"/>
          <w:spacing w:val="-2"/>
          <w:sz w:val="30"/>
          <w:szCs w:val="30"/>
        </w:rPr>
        <w:t>现状调查与评价</w:t>
      </w:r>
      <w:bookmarkEnd w:id="127"/>
    </w:p>
    <w:p w14:paraId="7DA3D58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outlineLvl w:val="3"/>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3.2.4.1 </w:t>
      </w:r>
      <w:r>
        <w:rPr>
          <w:rFonts w:hint="default" w:ascii="Times New Roman" w:hAnsi="Times New Roman" w:cs="Times New Roman"/>
          <w:b/>
          <w:bCs/>
          <w:color w:val="auto"/>
          <w:sz w:val="24"/>
          <w:szCs w:val="24"/>
          <w:highlight w:val="none"/>
          <w:lang w:val="en-US" w:eastAsia="zh-CN"/>
        </w:rPr>
        <w:t>水位监测数据</w:t>
      </w:r>
    </w:p>
    <w:p w14:paraId="14ABFAF7">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本次工作通过现状调查与资料收集的形式，针对评价区地下水水位开展了监测工作，监测频次为</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期（丰），丰水期监测时间为：2026年</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月。监测点位分布于评价</w:t>
      </w:r>
      <w:r>
        <w:rPr>
          <w:rFonts w:hint="eastAsia" w:ascii="Times New Roman" w:hAnsi="Times New Roman" w:cs="Times New Roman"/>
          <w:color w:val="auto"/>
          <w:sz w:val="24"/>
          <w:szCs w:val="24"/>
          <w:highlight w:val="none"/>
          <w:lang w:val="en-US" w:eastAsia="zh-CN"/>
        </w:rPr>
        <w:t>范围内</w:t>
      </w:r>
      <w:r>
        <w:rPr>
          <w:rFonts w:hint="default" w:ascii="Times New Roman" w:hAnsi="Times New Roman" w:cs="Times New Roman"/>
          <w:color w:val="auto"/>
          <w:sz w:val="24"/>
          <w:szCs w:val="24"/>
          <w:highlight w:val="none"/>
          <w:lang w:val="en-US" w:eastAsia="zh-CN"/>
        </w:rPr>
        <w:t>上游、中部、侧缘和下游区域：共计</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个水位监测点位。</w:t>
      </w:r>
    </w:p>
    <w:p w14:paraId="3BF6C01E">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评价区水位监测一览表</w:t>
      </w:r>
    </w:p>
    <w:tbl>
      <w:tblPr>
        <w:tblStyle w:val="21"/>
        <w:tblW w:w="53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1259"/>
        <w:gridCol w:w="1454"/>
        <w:gridCol w:w="1437"/>
        <w:gridCol w:w="1126"/>
        <w:gridCol w:w="699"/>
        <w:gridCol w:w="888"/>
        <w:gridCol w:w="808"/>
        <w:gridCol w:w="969"/>
      </w:tblGrid>
      <w:tr w14:paraId="3694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vMerge w:val="restart"/>
            <w:noWrap/>
            <w:vAlign w:val="center"/>
          </w:tcPr>
          <w:p w14:paraId="6AA06CAB">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编号</w:t>
            </w:r>
          </w:p>
        </w:tc>
        <w:tc>
          <w:tcPr>
            <w:tcW w:w="1259" w:type="dxa"/>
            <w:vMerge w:val="restart"/>
            <w:noWrap/>
            <w:vAlign w:val="center"/>
          </w:tcPr>
          <w:p w14:paraId="559FBA60">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类型</w:t>
            </w:r>
          </w:p>
        </w:tc>
        <w:tc>
          <w:tcPr>
            <w:tcW w:w="2891" w:type="dxa"/>
            <w:gridSpan w:val="2"/>
            <w:noWrap/>
            <w:vAlign w:val="center"/>
          </w:tcPr>
          <w:p w14:paraId="689496B3">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坐标</w:t>
            </w:r>
          </w:p>
        </w:tc>
        <w:tc>
          <w:tcPr>
            <w:tcW w:w="1126" w:type="dxa"/>
            <w:vMerge w:val="restart"/>
            <w:noWrap/>
            <w:vAlign w:val="center"/>
          </w:tcPr>
          <w:p w14:paraId="14059BDF">
            <w:pPr>
              <w:pStyle w:val="45"/>
              <w:bidi w:val="0"/>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bCs/>
                <w:i w:val="0"/>
                <w:iCs w:val="0"/>
                <w:color w:val="auto"/>
                <w:kern w:val="0"/>
                <w:sz w:val="21"/>
                <w:szCs w:val="21"/>
                <w:lang w:val="en-US" w:eastAsia="zh-CN" w:bidi="ar"/>
              </w:rPr>
              <w:t>含水层岩性及地层代号</w:t>
            </w:r>
          </w:p>
        </w:tc>
        <w:tc>
          <w:tcPr>
            <w:tcW w:w="699" w:type="dxa"/>
            <w:vMerge w:val="restart"/>
            <w:noWrap w:val="0"/>
            <w:vAlign w:val="center"/>
          </w:tcPr>
          <w:p w14:paraId="4AFB4993">
            <w:pPr>
              <w:pStyle w:val="45"/>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孔口</w:t>
            </w:r>
          </w:p>
          <w:p w14:paraId="4C6566B7">
            <w:pPr>
              <w:pStyle w:val="45"/>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标高</w:t>
            </w:r>
          </w:p>
          <w:p w14:paraId="73203717">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（m）</w:t>
            </w:r>
          </w:p>
        </w:tc>
        <w:tc>
          <w:tcPr>
            <w:tcW w:w="888" w:type="dxa"/>
            <w:vMerge w:val="restart"/>
            <w:noWrap w:val="0"/>
            <w:vAlign w:val="center"/>
          </w:tcPr>
          <w:p w14:paraId="54277864">
            <w:pPr>
              <w:pStyle w:val="45"/>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井深</w:t>
            </w:r>
          </w:p>
          <w:p w14:paraId="726FCB69">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（m）</w:t>
            </w:r>
          </w:p>
        </w:tc>
        <w:tc>
          <w:tcPr>
            <w:tcW w:w="808" w:type="dxa"/>
            <w:vMerge w:val="restart"/>
            <w:noWrap w:val="0"/>
            <w:vAlign w:val="center"/>
          </w:tcPr>
          <w:p w14:paraId="4709A947">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水位埋深（m）</w:t>
            </w:r>
          </w:p>
        </w:tc>
        <w:tc>
          <w:tcPr>
            <w:tcW w:w="969" w:type="dxa"/>
            <w:vMerge w:val="restart"/>
            <w:noWrap w:val="0"/>
            <w:vAlign w:val="center"/>
          </w:tcPr>
          <w:p w14:paraId="0BDB2183">
            <w:pPr>
              <w:pStyle w:val="45"/>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水位</w:t>
            </w:r>
          </w:p>
          <w:p w14:paraId="10821888">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（m）</w:t>
            </w:r>
          </w:p>
        </w:tc>
      </w:tr>
      <w:tr w14:paraId="40C9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vMerge w:val="continue"/>
            <w:noWrap/>
            <w:vAlign w:val="center"/>
          </w:tcPr>
          <w:p w14:paraId="794DB494">
            <w:pPr>
              <w:pStyle w:val="45"/>
              <w:bidi w:val="0"/>
              <w:rPr>
                <w:rFonts w:hint="default" w:ascii="Times New Roman" w:hAnsi="Times New Roman" w:cs="Times New Roman"/>
                <w:b/>
                <w:bCs/>
                <w:color w:val="auto"/>
                <w:sz w:val="21"/>
                <w:szCs w:val="21"/>
                <w:highlight w:val="none"/>
              </w:rPr>
            </w:pPr>
          </w:p>
        </w:tc>
        <w:tc>
          <w:tcPr>
            <w:tcW w:w="1259" w:type="dxa"/>
            <w:vMerge w:val="continue"/>
            <w:noWrap/>
            <w:vAlign w:val="center"/>
          </w:tcPr>
          <w:p w14:paraId="55A97BAE">
            <w:pPr>
              <w:pStyle w:val="45"/>
              <w:bidi w:val="0"/>
              <w:rPr>
                <w:rFonts w:hint="default" w:ascii="Times New Roman" w:hAnsi="Times New Roman" w:cs="Times New Roman"/>
                <w:b/>
                <w:bCs/>
                <w:color w:val="auto"/>
                <w:sz w:val="21"/>
                <w:szCs w:val="21"/>
                <w:highlight w:val="none"/>
              </w:rPr>
            </w:pPr>
          </w:p>
        </w:tc>
        <w:tc>
          <w:tcPr>
            <w:tcW w:w="1454" w:type="dxa"/>
            <w:noWrap/>
            <w:vAlign w:val="center"/>
          </w:tcPr>
          <w:p w14:paraId="42C59DE9">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E</w:t>
            </w:r>
          </w:p>
        </w:tc>
        <w:tc>
          <w:tcPr>
            <w:tcW w:w="1437" w:type="dxa"/>
            <w:noWrap/>
            <w:vAlign w:val="center"/>
          </w:tcPr>
          <w:p w14:paraId="22730085">
            <w:pPr>
              <w:pStyle w:val="45"/>
              <w:bidi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N</w:t>
            </w:r>
          </w:p>
        </w:tc>
        <w:tc>
          <w:tcPr>
            <w:tcW w:w="1126" w:type="dxa"/>
            <w:vMerge w:val="continue"/>
            <w:noWrap/>
            <w:vAlign w:val="center"/>
          </w:tcPr>
          <w:p w14:paraId="6C882399">
            <w:pPr>
              <w:pStyle w:val="45"/>
              <w:bidi w:val="0"/>
              <w:rPr>
                <w:rFonts w:hint="default" w:ascii="Times New Roman" w:hAnsi="Times New Roman" w:cs="Times New Roman"/>
                <w:color w:val="auto"/>
                <w:sz w:val="21"/>
                <w:szCs w:val="21"/>
                <w:highlight w:val="none"/>
              </w:rPr>
            </w:pPr>
          </w:p>
        </w:tc>
        <w:tc>
          <w:tcPr>
            <w:tcW w:w="699" w:type="dxa"/>
            <w:vMerge w:val="continue"/>
            <w:noWrap w:val="0"/>
            <w:vAlign w:val="center"/>
          </w:tcPr>
          <w:p w14:paraId="443A077E">
            <w:pPr>
              <w:pStyle w:val="45"/>
              <w:bidi w:val="0"/>
              <w:rPr>
                <w:rFonts w:hint="default" w:ascii="Times New Roman" w:hAnsi="Times New Roman" w:cs="Times New Roman"/>
                <w:color w:val="auto"/>
                <w:sz w:val="21"/>
                <w:szCs w:val="21"/>
                <w:highlight w:val="none"/>
              </w:rPr>
            </w:pPr>
          </w:p>
        </w:tc>
        <w:tc>
          <w:tcPr>
            <w:tcW w:w="888" w:type="dxa"/>
            <w:vMerge w:val="continue"/>
            <w:noWrap w:val="0"/>
            <w:vAlign w:val="center"/>
          </w:tcPr>
          <w:p w14:paraId="70EBFE7F">
            <w:pPr>
              <w:pStyle w:val="45"/>
              <w:bidi w:val="0"/>
              <w:rPr>
                <w:rFonts w:hint="default" w:ascii="Times New Roman" w:hAnsi="Times New Roman" w:cs="Times New Roman"/>
                <w:color w:val="auto"/>
                <w:sz w:val="21"/>
                <w:szCs w:val="21"/>
                <w:highlight w:val="none"/>
              </w:rPr>
            </w:pPr>
          </w:p>
        </w:tc>
        <w:tc>
          <w:tcPr>
            <w:tcW w:w="808" w:type="dxa"/>
            <w:vMerge w:val="continue"/>
            <w:noWrap w:val="0"/>
            <w:vAlign w:val="center"/>
          </w:tcPr>
          <w:p w14:paraId="0CC55087">
            <w:pPr>
              <w:pStyle w:val="45"/>
              <w:bidi w:val="0"/>
              <w:rPr>
                <w:rFonts w:hint="default" w:ascii="Times New Roman" w:hAnsi="Times New Roman" w:cs="Times New Roman"/>
                <w:color w:val="auto"/>
                <w:sz w:val="21"/>
                <w:szCs w:val="21"/>
                <w:highlight w:val="none"/>
              </w:rPr>
            </w:pPr>
          </w:p>
        </w:tc>
        <w:tc>
          <w:tcPr>
            <w:tcW w:w="969" w:type="dxa"/>
            <w:vMerge w:val="continue"/>
            <w:noWrap w:val="0"/>
            <w:vAlign w:val="center"/>
          </w:tcPr>
          <w:p w14:paraId="21FD2B5F">
            <w:pPr>
              <w:pStyle w:val="45"/>
              <w:bidi w:val="0"/>
              <w:rPr>
                <w:rFonts w:hint="default" w:ascii="Times New Roman" w:hAnsi="Times New Roman" w:cs="Times New Roman"/>
                <w:color w:val="auto"/>
                <w:sz w:val="21"/>
                <w:szCs w:val="21"/>
                <w:highlight w:val="none"/>
              </w:rPr>
            </w:pPr>
          </w:p>
        </w:tc>
      </w:tr>
      <w:tr w14:paraId="2A82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6280FD3F">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J1</w:t>
            </w:r>
          </w:p>
        </w:tc>
        <w:tc>
          <w:tcPr>
            <w:tcW w:w="1259" w:type="dxa"/>
            <w:noWrap/>
            <w:vAlign w:val="center"/>
          </w:tcPr>
          <w:p w14:paraId="2F2AAD91">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评价区上游监测井</w:t>
            </w:r>
          </w:p>
        </w:tc>
        <w:tc>
          <w:tcPr>
            <w:tcW w:w="1454" w:type="dxa"/>
            <w:noWrap/>
            <w:vAlign w:val="center"/>
          </w:tcPr>
          <w:p w14:paraId="72D51A22">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103°52'52.17"</w:t>
            </w:r>
          </w:p>
        </w:tc>
        <w:tc>
          <w:tcPr>
            <w:tcW w:w="1437" w:type="dxa"/>
            <w:noWrap/>
            <w:vAlign w:val="center"/>
          </w:tcPr>
          <w:p w14:paraId="53E1585C">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25°45'04.44"</w:t>
            </w:r>
          </w:p>
        </w:tc>
        <w:tc>
          <w:tcPr>
            <w:tcW w:w="1126" w:type="dxa"/>
            <w:noWrap/>
            <w:vAlign w:val="center"/>
          </w:tcPr>
          <w:p w14:paraId="5736F89D">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699" w:type="dxa"/>
            <w:noWrap/>
            <w:vAlign w:val="center"/>
          </w:tcPr>
          <w:p w14:paraId="6F927DE4">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1973</w:t>
            </w:r>
          </w:p>
        </w:tc>
        <w:tc>
          <w:tcPr>
            <w:tcW w:w="888" w:type="dxa"/>
            <w:noWrap/>
            <w:vAlign w:val="center"/>
          </w:tcPr>
          <w:p w14:paraId="4BB91E20">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29.5</w:t>
            </w:r>
          </w:p>
        </w:tc>
        <w:tc>
          <w:tcPr>
            <w:tcW w:w="808" w:type="dxa"/>
            <w:noWrap/>
            <w:vAlign w:val="center"/>
          </w:tcPr>
          <w:p w14:paraId="4D720119">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4.8</w:t>
            </w:r>
          </w:p>
        </w:tc>
        <w:tc>
          <w:tcPr>
            <w:tcW w:w="969" w:type="dxa"/>
            <w:noWrap/>
            <w:vAlign w:val="center"/>
          </w:tcPr>
          <w:p w14:paraId="64C3F5B4">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1968.2</w:t>
            </w:r>
          </w:p>
        </w:tc>
      </w:tr>
      <w:tr w14:paraId="43E8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22C2D810">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J2</w:t>
            </w:r>
          </w:p>
        </w:tc>
        <w:tc>
          <w:tcPr>
            <w:tcW w:w="1259" w:type="dxa"/>
            <w:noWrap w:val="0"/>
            <w:vAlign w:val="center"/>
          </w:tcPr>
          <w:p w14:paraId="0047DE18">
            <w:pPr>
              <w:pStyle w:val="45"/>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评价区污染监测井</w:t>
            </w:r>
          </w:p>
        </w:tc>
        <w:tc>
          <w:tcPr>
            <w:tcW w:w="1454" w:type="dxa"/>
            <w:noWrap/>
            <w:vAlign w:val="center"/>
          </w:tcPr>
          <w:p w14:paraId="6644FDDA">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103°52'45.98"</w:t>
            </w:r>
          </w:p>
        </w:tc>
        <w:tc>
          <w:tcPr>
            <w:tcW w:w="1437" w:type="dxa"/>
            <w:noWrap/>
            <w:vAlign w:val="center"/>
          </w:tcPr>
          <w:p w14:paraId="0540B148">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25°44'52.92"</w:t>
            </w:r>
          </w:p>
        </w:tc>
        <w:tc>
          <w:tcPr>
            <w:tcW w:w="1126" w:type="dxa"/>
            <w:noWrap/>
            <w:vAlign w:val="center"/>
          </w:tcPr>
          <w:p w14:paraId="485423E7">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699" w:type="dxa"/>
            <w:noWrap/>
            <w:vAlign w:val="center"/>
          </w:tcPr>
          <w:p w14:paraId="00CA6CC0">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1975</w:t>
            </w:r>
          </w:p>
        </w:tc>
        <w:tc>
          <w:tcPr>
            <w:tcW w:w="888" w:type="dxa"/>
            <w:noWrap/>
            <w:vAlign w:val="center"/>
          </w:tcPr>
          <w:p w14:paraId="3A49F4A0">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32.4</w:t>
            </w:r>
          </w:p>
        </w:tc>
        <w:tc>
          <w:tcPr>
            <w:tcW w:w="808" w:type="dxa"/>
            <w:noWrap/>
            <w:vAlign w:val="center"/>
          </w:tcPr>
          <w:p w14:paraId="19728017">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7.6</w:t>
            </w:r>
          </w:p>
        </w:tc>
        <w:tc>
          <w:tcPr>
            <w:tcW w:w="969" w:type="dxa"/>
            <w:noWrap/>
            <w:vAlign w:val="center"/>
          </w:tcPr>
          <w:p w14:paraId="5140348D">
            <w:pPr>
              <w:pStyle w:val="45"/>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1967.4</w:t>
            </w:r>
          </w:p>
        </w:tc>
      </w:tr>
      <w:tr w14:paraId="71EE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2369DB35">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J3</w:t>
            </w: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曲靖大为焦化制气地下水监测井DX01</w:t>
            </w:r>
          </w:p>
        </w:tc>
        <w:tc>
          <w:tcPr>
            <w:tcW w:w="1259" w:type="dxa"/>
            <w:noWrap w:val="0"/>
            <w:vAlign w:val="center"/>
          </w:tcPr>
          <w:p w14:paraId="43719028">
            <w:pPr>
              <w:bidi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评价区下游污染扩散监测井</w:t>
            </w:r>
          </w:p>
        </w:tc>
        <w:tc>
          <w:tcPr>
            <w:tcW w:w="1454" w:type="dxa"/>
            <w:noWrap/>
            <w:vAlign w:val="center"/>
          </w:tcPr>
          <w:p w14:paraId="74DD13E2">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sz w:val="21"/>
                <w:szCs w:val="21"/>
              </w:rPr>
              <w:t>103°52'41.97"</w:t>
            </w:r>
          </w:p>
        </w:tc>
        <w:tc>
          <w:tcPr>
            <w:tcW w:w="1437" w:type="dxa"/>
            <w:noWrap/>
            <w:vAlign w:val="center"/>
          </w:tcPr>
          <w:p w14:paraId="23EC3006">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sz w:val="21"/>
                <w:szCs w:val="21"/>
              </w:rPr>
              <w:t>25°44'45.68"</w:t>
            </w:r>
          </w:p>
        </w:tc>
        <w:tc>
          <w:tcPr>
            <w:tcW w:w="1126" w:type="dxa"/>
            <w:noWrap/>
            <w:vAlign w:val="center"/>
          </w:tcPr>
          <w:p w14:paraId="11B15D95">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699" w:type="dxa"/>
            <w:noWrap/>
            <w:vAlign w:val="center"/>
          </w:tcPr>
          <w:p w14:paraId="21005D20">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1973</w:t>
            </w:r>
          </w:p>
        </w:tc>
        <w:tc>
          <w:tcPr>
            <w:tcW w:w="888" w:type="dxa"/>
            <w:shd w:val="clear" w:color="auto" w:fill="auto"/>
            <w:noWrap/>
            <w:vAlign w:val="center"/>
          </w:tcPr>
          <w:p w14:paraId="4B1CABB3">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30.4</w:t>
            </w:r>
          </w:p>
        </w:tc>
        <w:tc>
          <w:tcPr>
            <w:tcW w:w="808" w:type="dxa"/>
            <w:noWrap/>
            <w:vAlign w:val="center"/>
          </w:tcPr>
          <w:p w14:paraId="7CC7FA3E">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6.25</w:t>
            </w:r>
          </w:p>
        </w:tc>
        <w:tc>
          <w:tcPr>
            <w:tcW w:w="969" w:type="dxa"/>
            <w:shd w:val="clear" w:color="auto" w:fill="auto"/>
            <w:noWrap/>
            <w:vAlign w:val="center"/>
          </w:tcPr>
          <w:p w14:paraId="37A3B4DB">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1966.7</w:t>
            </w:r>
          </w:p>
        </w:tc>
      </w:tr>
      <w:tr w14:paraId="6D24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01886B19">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曲靖大为焦化制气地下水监测井DX02</w:t>
            </w:r>
          </w:p>
        </w:tc>
        <w:tc>
          <w:tcPr>
            <w:tcW w:w="1259" w:type="dxa"/>
            <w:noWrap w:val="0"/>
            <w:vAlign w:val="center"/>
          </w:tcPr>
          <w:p w14:paraId="42562C58">
            <w:pPr>
              <w:bidi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评价区下游扩散点</w:t>
            </w:r>
          </w:p>
        </w:tc>
        <w:tc>
          <w:tcPr>
            <w:tcW w:w="1454" w:type="dxa"/>
            <w:noWrap/>
            <w:vAlign w:val="center"/>
          </w:tcPr>
          <w:p w14:paraId="202C7420">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sz w:val="21"/>
                <w:szCs w:val="21"/>
              </w:rPr>
              <w:t>103°52'23.77"</w:t>
            </w:r>
          </w:p>
        </w:tc>
        <w:tc>
          <w:tcPr>
            <w:tcW w:w="1437" w:type="dxa"/>
            <w:noWrap/>
            <w:vAlign w:val="center"/>
          </w:tcPr>
          <w:p w14:paraId="3A1CD7D1">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sz w:val="21"/>
                <w:szCs w:val="21"/>
              </w:rPr>
              <w:t>25°44'36.34"</w:t>
            </w:r>
          </w:p>
        </w:tc>
        <w:tc>
          <w:tcPr>
            <w:tcW w:w="1126" w:type="dxa"/>
            <w:noWrap/>
            <w:vAlign w:val="center"/>
          </w:tcPr>
          <w:p w14:paraId="354ADF81">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699" w:type="dxa"/>
            <w:noWrap/>
            <w:vAlign w:val="center"/>
          </w:tcPr>
          <w:p w14:paraId="61FE0336">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1966</w:t>
            </w:r>
          </w:p>
        </w:tc>
        <w:tc>
          <w:tcPr>
            <w:tcW w:w="888" w:type="dxa"/>
            <w:shd w:val="clear" w:color="auto" w:fill="auto"/>
            <w:noWrap/>
            <w:vAlign w:val="center"/>
          </w:tcPr>
          <w:p w14:paraId="6092D52C">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30.5</w:t>
            </w:r>
          </w:p>
        </w:tc>
        <w:tc>
          <w:tcPr>
            <w:tcW w:w="808" w:type="dxa"/>
            <w:noWrap/>
            <w:vAlign w:val="center"/>
          </w:tcPr>
          <w:p w14:paraId="77B001C9">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6.5</w:t>
            </w:r>
          </w:p>
        </w:tc>
        <w:tc>
          <w:tcPr>
            <w:tcW w:w="969" w:type="dxa"/>
            <w:shd w:val="clear" w:color="auto" w:fill="auto"/>
            <w:noWrap/>
            <w:vAlign w:val="center"/>
          </w:tcPr>
          <w:p w14:paraId="0E38A181">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1959.5</w:t>
            </w:r>
          </w:p>
        </w:tc>
      </w:tr>
      <w:tr w14:paraId="4126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64AA6292">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曲靖大为焦化制气地下水监测井DX03</w:t>
            </w:r>
          </w:p>
        </w:tc>
        <w:tc>
          <w:tcPr>
            <w:tcW w:w="1259" w:type="dxa"/>
            <w:noWrap w:val="0"/>
            <w:vAlign w:val="center"/>
          </w:tcPr>
          <w:p w14:paraId="66BD1091">
            <w:pPr>
              <w:bidi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评价区内侧向及下游扩散点</w:t>
            </w:r>
          </w:p>
        </w:tc>
        <w:tc>
          <w:tcPr>
            <w:tcW w:w="1454" w:type="dxa"/>
            <w:noWrap/>
            <w:vAlign w:val="center"/>
          </w:tcPr>
          <w:p w14:paraId="59658EBB">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sz w:val="21"/>
                <w:szCs w:val="21"/>
              </w:rPr>
              <w:t>103°52'32.07"</w:t>
            </w:r>
          </w:p>
        </w:tc>
        <w:tc>
          <w:tcPr>
            <w:tcW w:w="1437" w:type="dxa"/>
            <w:noWrap/>
            <w:vAlign w:val="center"/>
          </w:tcPr>
          <w:p w14:paraId="10A47D22">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strike w:val="0"/>
                <w:dstrike w:val="0"/>
                <w:color w:val="auto"/>
                <w:sz w:val="21"/>
                <w:szCs w:val="21"/>
              </w:rPr>
              <w:t>25°44'20.45"</w:t>
            </w:r>
          </w:p>
        </w:tc>
        <w:tc>
          <w:tcPr>
            <w:tcW w:w="1126" w:type="dxa"/>
            <w:noWrap/>
            <w:vAlign w:val="center"/>
          </w:tcPr>
          <w:p w14:paraId="396C4303">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699" w:type="dxa"/>
            <w:noWrap/>
            <w:vAlign w:val="center"/>
          </w:tcPr>
          <w:p w14:paraId="0E3438A5">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1967</w:t>
            </w:r>
          </w:p>
        </w:tc>
        <w:tc>
          <w:tcPr>
            <w:tcW w:w="888" w:type="dxa"/>
            <w:shd w:val="clear" w:color="auto" w:fill="auto"/>
            <w:noWrap/>
            <w:vAlign w:val="center"/>
          </w:tcPr>
          <w:p w14:paraId="072FC115">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31.8</w:t>
            </w:r>
          </w:p>
        </w:tc>
        <w:tc>
          <w:tcPr>
            <w:tcW w:w="808" w:type="dxa"/>
            <w:noWrap/>
            <w:vAlign w:val="center"/>
          </w:tcPr>
          <w:p w14:paraId="0C600D23">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w:t>
            </w:r>
          </w:p>
        </w:tc>
        <w:tc>
          <w:tcPr>
            <w:tcW w:w="969" w:type="dxa"/>
            <w:shd w:val="clear" w:color="auto" w:fill="auto"/>
            <w:noWrap/>
            <w:vAlign w:val="center"/>
          </w:tcPr>
          <w:p w14:paraId="4A172133">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1961.0</w:t>
            </w:r>
          </w:p>
        </w:tc>
      </w:tr>
      <w:tr w14:paraId="0320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457528E7">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迤堵村2#水井</w:t>
            </w:r>
          </w:p>
        </w:tc>
        <w:tc>
          <w:tcPr>
            <w:tcW w:w="1259" w:type="dxa"/>
            <w:noWrap w:val="0"/>
            <w:vAlign w:val="center"/>
          </w:tcPr>
          <w:p w14:paraId="24D48DAC">
            <w:pPr>
              <w:pStyle w:val="45"/>
              <w:bidi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评价区</w:t>
            </w:r>
            <w:r>
              <w:rPr>
                <w:rFonts w:hint="eastAsia" w:ascii="Times New Roman" w:hAnsi="Times New Roman" w:cs="Times New Roman"/>
                <w:color w:val="auto"/>
                <w:sz w:val="21"/>
                <w:szCs w:val="21"/>
                <w:highlight w:val="none"/>
                <w:lang w:val="en-US" w:eastAsia="zh-CN"/>
              </w:rPr>
              <w:t>侧</w:t>
            </w:r>
            <w:r>
              <w:rPr>
                <w:rFonts w:hint="default" w:ascii="Times New Roman" w:hAnsi="Times New Roman" w:cs="Times New Roman"/>
                <w:color w:val="auto"/>
                <w:sz w:val="21"/>
                <w:szCs w:val="21"/>
                <w:highlight w:val="none"/>
                <w:lang w:val="en-US" w:eastAsia="zh-CN"/>
              </w:rPr>
              <w:t>下游扩散点</w:t>
            </w:r>
          </w:p>
        </w:tc>
        <w:tc>
          <w:tcPr>
            <w:tcW w:w="1454" w:type="dxa"/>
            <w:noWrap/>
            <w:vAlign w:val="center"/>
          </w:tcPr>
          <w:p w14:paraId="1BF47204">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103°51′53.91″</w:t>
            </w:r>
          </w:p>
        </w:tc>
        <w:tc>
          <w:tcPr>
            <w:tcW w:w="1437" w:type="dxa"/>
            <w:noWrap/>
            <w:vAlign w:val="center"/>
          </w:tcPr>
          <w:p w14:paraId="64365507">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br w:type="textWrapping"/>
            </w:r>
            <w:r>
              <w:rPr>
                <w:rFonts w:hint="default" w:ascii="Times New Roman" w:hAnsi="Times New Roman" w:eastAsia="宋体" w:cs="Times New Roman"/>
                <w:b w:val="0"/>
                <w:bCs w:val="0"/>
                <w:i w:val="0"/>
                <w:iCs w:val="0"/>
                <w:color w:val="auto"/>
                <w:kern w:val="0"/>
                <w:sz w:val="21"/>
                <w:szCs w:val="21"/>
                <w:lang w:val="en-US" w:eastAsia="zh-CN" w:bidi="ar"/>
              </w:rPr>
              <w:t>25°45′0.78″</w:t>
            </w:r>
          </w:p>
        </w:tc>
        <w:tc>
          <w:tcPr>
            <w:tcW w:w="1126" w:type="dxa"/>
            <w:noWrap/>
            <w:vAlign w:val="center"/>
          </w:tcPr>
          <w:p w14:paraId="550FA28A">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粘土(Q₄ᵃˡ)</w:t>
            </w:r>
          </w:p>
        </w:tc>
        <w:tc>
          <w:tcPr>
            <w:tcW w:w="699" w:type="dxa"/>
            <w:noWrap/>
            <w:vAlign w:val="center"/>
          </w:tcPr>
          <w:p w14:paraId="2D074172">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1959</w:t>
            </w:r>
          </w:p>
        </w:tc>
        <w:tc>
          <w:tcPr>
            <w:tcW w:w="888" w:type="dxa"/>
            <w:shd w:val="clear" w:color="auto" w:fill="auto"/>
            <w:noWrap/>
            <w:vAlign w:val="center"/>
          </w:tcPr>
          <w:p w14:paraId="79EEB92D">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12</w:t>
            </w:r>
          </w:p>
        </w:tc>
        <w:tc>
          <w:tcPr>
            <w:tcW w:w="808" w:type="dxa"/>
            <w:noWrap/>
            <w:vAlign w:val="center"/>
          </w:tcPr>
          <w:p w14:paraId="7559EB01">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2.52</w:t>
            </w:r>
          </w:p>
        </w:tc>
        <w:tc>
          <w:tcPr>
            <w:tcW w:w="969" w:type="dxa"/>
            <w:shd w:val="clear" w:color="auto" w:fill="auto"/>
            <w:noWrap/>
            <w:vAlign w:val="center"/>
          </w:tcPr>
          <w:p w14:paraId="7FF27D73">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1956.48</w:t>
            </w:r>
          </w:p>
        </w:tc>
      </w:tr>
      <w:tr w14:paraId="5A24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42F9A653">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胡家小村水井</w:t>
            </w:r>
          </w:p>
        </w:tc>
        <w:tc>
          <w:tcPr>
            <w:tcW w:w="1259" w:type="dxa"/>
            <w:noWrap w:val="0"/>
            <w:vAlign w:val="center"/>
          </w:tcPr>
          <w:p w14:paraId="507F2748">
            <w:pPr>
              <w:bidi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评价区</w:t>
            </w:r>
            <w:r>
              <w:rPr>
                <w:rFonts w:hint="eastAsia" w:ascii="Times New Roman" w:hAnsi="Times New Roman" w:cs="Times New Roman"/>
                <w:color w:val="auto"/>
                <w:sz w:val="21"/>
                <w:szCs w:val="21"/>
                <w:highlight w:val="none"/>
                <w:lang w:val="en-US" w:eastAsia="zh-CN"/>
              </w:rPr>
              <w:t>侧</w:t>
            </w:r>
            <w:r>
              <w:rPr>
                <w:rFonts w:hint="default" w:ascii="Times New Roman" w:hAnsi="Times New Roman" w:cs="Times New Roman"/>
                <w:color w:val="auto"/>
                <w:sz w:val="21"/>
                <w:szCs w:val="21"/>
                <w:highlight w:val="none"/>
                <w:lang w:val="en-US" w:eastAsia="zh-CN"/>
              </w:rPr>
              <w:t>下游扩散点</w:t>
            </w:r>
          </w:p>
        </w:tc>
        <w:tc>
          <w:tcPr>
            <w:tcW w:w="1454" w:type="dxa"/>
            <w:noWrap/>
            <w:vAlign w:val="center"/>
          </w:tcPr>
          <w:p w14:paraId="453B9527">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103°51′54.90″</w:t>
            </w:r>
          </w:p>
        </w:tc>
        <w:tc>
          <w:tcPr>
            <w:tcW w:w="1437" w:type="dxa"/>
            <w:noWrap/>
            <w:vAlign w:val="center"/>
          </w:tcPr>
          <w:p w14:paraId="7190619F">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25°44′37.83″</w:t>
            </w:r>
          </w:p>
        </w:tc>
        <w:tc>
          <w:tcPr>
            <w:tcW w:w="1126" w:type="dxa"/>
            <w:noWrap/>
            <w:vAlign w:val="center"/>
          </w:tcPr>
          <w:p w14:paraId="24D612EB">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粘土(Q₄ᵃˡ)</w:t>
            </w:r>
          </w:p>
        </w:tc>
        <w:tc>
          <w:tcPr>
            <w:tcW w:w="699" w:type="dxa"/>
            <w:noWrap/>
            <w:vAlign w:val="center"/>
          </w:tcPr>
          <w:p w14:paraId="111B32F8">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1956</w:t>
            </w:r>
          </w:p>
        </w:tc>
        <w:tc>
          <w:tcPr>
            <w:tcW w:w="888" w:type="dxa"/>
            <w:shd w:val="clear" w:color="auto" w:fill="auto"/>
            <w:noWrap/>
            <w:vAlign w:val="center"/>
          </w:tcPr>
          <w:p w14:paraId="7E2BA05C">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11</w:t>
            </w:r>
          </w:p>
        </w:tc>
        <w:tc>
          <w:tcPr>
            <w:tcW w:w="808" w:type="dxa"/>
            <w:noWrap/>
            <w:vAlign w:val="center"/>
          </w:tcPr>
          <w:p w14:paraId="0ADB8D82">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2.14</w:t>
            </w:r>
          </w:p>
        </w:tc>
        <w:tc>
          <w:tcPr>
            <w:tcW w:w="969" w:type="dxa"/>
            <w:shd w:val="clear" w:color="auto" w:fill="auto"/>
            <w:noWrap/>
            <w:vAlign w:val="center"/>
          </w:tcPr>
          <w:p w14:paraId="52C8E6DA">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1953.86</w:t>
            </w:r>
          </w:p>
        </w:tc>
      </w:tr>
      <w:tr w14:paraId="39D0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8" w:type="dxa"/>
            <w:noWrap/>
            <w:vAlign w:val="center"/>
          </w:tcPr>
          <w:p w14:paraId="377ADB62">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晏家塘村水井</w:t>
            </w:r>
          </w:p>
        </w:tc>
        <w:tc>
          <w:tcPr>
            <w:tcW w:w="1259" w:type="dxa"/>
            <w:noWrap w:val="0"/>
            <w:vAlign w:val="center"/>
          </w:tcPr>
          <w:p w14:paraId="78B90042">
            <w:pPr>
              <w:bidi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评价区</w:t>
            </w:r>
            <w:r>
              <w:rPr>
                <w:rFonts w:hint="eastAsia" w:ascii="Times New Roman" w:hAnsi="Times New Roman" w:cs="Times New Roman"/>
                <w:color w:val="auto"/>
                <w:sz w:val="21"/>
                <w:szCs w:val="21"/>
                <w:highlight w:val="none"/>
                <w:lang w:val="en-US" w:eastAsia="zh-CN"/>
              </w:rPr>
              <w:t>侧</w:t>
            </w:r>
            <w:r>
              <w:rPr>
                <w:rFonts w:hint="default" w:ascii="Times New Roman" w:hAnsi="Times New Roman" w:cs="Times New Roman"/>
                <w:color w:val="auto"/>
                <w:sz w:val="21"/>
                <w:szCs w:val="21"/>
                <w:highlight w:val="none"/>
                <w:lang w:val="en-US" w:eastAsia="zh-CN"/>
              </w:rPr>
              <w:t>下游扩散点</w:t>
            </w:r>
          </w:p>
        </w:tc>
        <w:tc>
          <w:tcPr>
            <w:tcW w:w="1454" w:type="dxa"/>
            <w:noWrap/>
            <w:vAlign w:val="center"/>
          </w:tcPr>
          <w:p w14:paraId="3B46BAED">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103°51′35.22</w:t>
            </w:r>
          </w:p>
        </w:tc>
        <w:tc>
          <w:tcPr>
            <w:tcW w:w="1437" w:type="dxa"/>
            <w:noWrap/>
            <w:vAlign w:val="center"/>
          </w:tcPr>
          <w:p w14:paraId="610D0890">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25°44′23.32″</w:t>
            </w:r>
          </w:p>
        </w:tc>
        <w:tc>
          <w:tcPr>
            <w:tcW w:w="1126" w:type="dxa"/>
            <w:noWrap/>
            <w:vAlign w:val="center"/>
          </w:tcPr>
          <w:p w14:paraId="3E71B465">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粘土(Q₄ᵃˡ)</w:t>
            </w:r>
          </w:p>
        </w:tc>
        <w:tc>
          <w:tcPr>
            <w:tcW w:w="699" w:type="dxa"/>
            <w:noWrap/>
            <w:vAlign w:val="center"/>
          </w:tcPr>
          <w:p w14:paraId="0959C5B1">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1956</w:t>
            </w:r>
          </w:p>
        </w:tc>
        <w:tc>
          <w:tcPr>
            <w:tcW w:w="888" w:type="dxa"/>
            <w:shd w:val="clear" w:color="auto" w:fill="auto"/>
            <w:noWrap/>
            <w:vAlign w:val="center"/>
          </w:tcPr>
          <w:p w14:paraId="7068A465">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13</w:t>
            </w:r>
          </w:p>
        </w:tc>
        <w:tc>
          <w:tcPr>
            <w:tcW w:w="808" w:type="dxa"/>
            <w:noWrap/>
            <w:vAlign w:val="center"/>
          </w:tcPr>
          <w:p w14:paraId="18E294E2">
            <w:pPr>
              <w:keepNext w:val="0"/>
              <w:keepLines w:val="0"/>
              <w:widowControl/>
              <w:suppressLineNumbers w:val="0"/>
              <w:wordWrap/>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3.08</w:t>
            </w:r>
          </w:p>
        </w:tc>
        <w:tc>
          <w:tcPr>
            <w:tcW w:w="969" w:type="dxa"/>
            <w:shd w:val="clear" w:color="auto" w:fill="auto"/>
            <w:noWrap/>
            <w:vAlign w:val="center"/>
          </w:tcPr>
          <w:p w14:paraId="789F2C0C">
            <w:pPr>
              <w:keepNext w:val="0"/>
              <w:keepLines w:val="0"/>
              <w:widowControl/>
              <w:suppressLineNumbers w:val="0"/>
              <w:wordWrap/>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lang w:val="en-US" w:eastAsia="zh-CN" w:bidi="ar"/>
              </w:rPr>
              <w:t>1952.92</w:t>
            </w:r>
          </w:p>
        </w:tc>
      </w:tr>
    </w:tbl>
    <w:p w14:paraId="4D24FFE7">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outlineLvl w:val="3"/>
        <w:rPr>
          <w:rFonts w:hint="default" w:ascii="Times New Roman" w:hAnsi="Times New Roman" w:eastAsia="宋体" w:cs="Times New Roman"/>
          <w:caps w:val="0"/>
          <w:color w:val="auto"/>
          <w:spacing w:val="0"/>
          <w:sz w:val="24"/>
          <w:highlight w:val="none"/>
          <w:lang w:val="en-US" w:eastAsia="zh-CN"/>
        </w:rPr>
      </w:pPr>
      <w:r>
        <w:rPr>
          <w:rFonts w:hint="eastAsia" w:ascii="Times New Roman" w:hAnsi="Times New Roman" w:eastAsia="宋体" w:cs="Times New Roman"/>
          <w:caps w:val="0"/>
          <w:color w:val="auto"/>
          <w:spacing w:val="0"/>
          <w:sz w:val="24"/>
          <w:highlight w:val="none"/>
          <w:lang w:val="en-US" w:eastAsia="zh-CN"/>
        </w:rPr>
        <w:t>3.2.4.2水质检测</w:t>
      </w:r>
    </w:p>
    <w:p w14:paraId="357012AA">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lang w:val="en-US" w:eastAsia="zh-CN"/>
        </w:rPr>
        <w:t>本项目所在地水文地质单元地下水执行《地下水环境质量标准》（GB/T14848-2017）</w:t>
      </w:r>
      <w:r>
        <w:rPr>
          <w:rFonts w:hint="default" w:ascii="Times New Roman" w:hAnsi="Times New Roman" w:eastAsia="宋体" w:cs="Times New Roman"/>
          <w:caps w:val="0"/>
          <w:color w:val="auto"/>
          <w:spacing w:val="0"/>
          <w:sz w:val="24"/>
          <w:highlight w:val="none"/>
          <w:lang w:val="en-US" w:eastAsia="zh-CN"/>
        </w:rPr>
        <w:fldChar w:fldCharType="begin"/>
      </w:r>
      <w:r>
        <w:rPr>
          <w:rFonts w:hint="default" w:ascii="Times New Roman" w:hAnsi="Times New Roman" w:eastAsia="宋体" w:cs="Times New Roman"/>
          <w:caps w:val="0"/>
          <w:color w:val="auto"/>
          <w:spacing w:val="0"/>
          <w:sz w:val="24"/>
          <w:highlight w:val="none"/>
          <w:lang w:val="en-US" w:eastAsia="zh-CN"/>
        </w:rPr>
        <w:instrText xml:space="preserve"> = 4 \* ROMAN </w:instrText>
      </w:r>
      <w:r>
        <w:rPr>
          <w:rFonts w:hint="default" w:ascii="Times New Roman" w:hAnsi="Times New Roman" w:eastAsia="宋体" w:cs="Times New Roman"/>
          <w:caps w:val="0"/>
          <w:color w:val="auto"/>
          <w:spacing w:val="0"/>
          <w:sz w:val="24"/>
          <w:highlight w:val="none"/>
          <w:lang w:val="en-US" w:eastAsia="zh-CN"/>
        </w:rPr>
        <w:fldChar w:fldCharType="separate"/>
      </w:r>
      <w:r>
        <w:rPr>
          <w:rFonts w:hint="default" w:ascii="Times New Roman" w:hAnsi="Times New Roman" w:eastAsia="宋体" w:cs="Times New Roman"/>
          <w:caps w:val="0"/>
          <w:color w:val="auto"/>
          <w:spacing w:val="0"/>
          <w:sz w:val="24"/>
          <w:highlight w:val="none"/>
          <w:lang w:val="en-US" w:eastAsia="zh-CN"/>
        </w:rPr>
        <w:t>Ⅲ</w:t>
      </w:r>
      <w:r>
        <w:rPr>
          <w:rFonts w:hint="default" w:ascii="Times New Roman" w:hAnsi="Times New Roman" w:eastAsia="宋体" w:cs="Times New Roman"/>
          <w:caps w:val="0"/>
          <w:color w:val="auto"/>
          <w:spacing w:val="0"/>
          <w:sz w:val="24"/>
          <w:highlight w:val="none"/>
          <w:lang w:val="en-US" w:eastAsia="zh-CN"/>
        </w:rPr>
        <w:fldChar w:fldCharType="end"/>
      </w:r>
      <w:r>
        <w:rPr>
          <w:rFonts w:hint="default" w:ascii="Times New Roman" w:hAnsi="Times New Roman" w:eastAsia="宋体" w:cs="Times New Roman"/>
          <w:caps w:val="0"/>
          <w:color w:val="auto"/>
          <w:spacing w:val="0"/>
          <w:sz w:val="24"/>
          <w:highlight w:val="none"/>
          <w:lang w:val="en-US" w:eastAsia="zh-CN"/>
        </w:rPr>
        <w:t>类标准，</w:t>
      </w:r>
      <w:r>
        <w:rPr>
          <w:rFonts w:hint="default" w:ascii="Times New Roman" w:hAnsi="Times New Roman" w:cs="Times New Roman"/>
          <w:color w:val="auto"/>
          <w:sz w:val="24"/>
          <w:szCs w:val="24"/>
          <w:lang w:val="en-US" w:eastAsia="zh-CN"/>
        </w:rPr>
        <w:t>本项目周边不存在集中或分散式饮用水源，故</w:t>
      </w:r>
      <w:r>
        <w:rPr>
          <w:rFonts w:hint="default" w:ascii="Times New Roman" w:hAnsi="Times New Roman" w:eastAsia="宋体" w:cs="Times New Roman"/>
          <w:color w:val="auto"/>
          <w:sz w:val="24"/>
          <w:szCs w:val="24"/>
        </w:rPr>
        <w:t>地下水敏感程度为不敏感</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综合</w:t>
      </w:r>
      <w:r>
        <w:rPr>
          <w:rFonts w:hint="default" w:ascii="Times New Roman" w:hAnsi="Times New Roman" w:eastAsia="宋体" w:cs="Times New Roman"/>
          <w:color w:val="auto"/>
          <w:sz w:val="24"/>
          <w:szCs w:val="24"/>
          <w:lang w:val="en-US" w:eastAsia="zh-CN"/>
        </w:rPr>
        <w:t>判定</w:t>
      </w:r>
      <w:r>
        <w:rPr>
          <w:rFonts w:hint="default" w:ascii="Times New Roman" w:hAnsi="Times New Roman" w:cs="Times New Roman"/>
          <w:color w:val="auto"/>
          <w:sz w:val="24"/>
          <w:szCs w:val="24"/>
          <w:lang w:val="en-US" w:eastAsia="zh-CN"/>
        </w:rPr>
        <w:t>本项目</w:t>
      </w:r>
      <w:r>
        <w:rPr>
          <w:rFonts w:hint="default" w:ascii="Times New Roman" w:hAnsi="Times New Roman" w:eastAsia="宋体" w:cs="Times New Roman"/>
          <w:color w:val="auto"/>
          <w:sz w:val="24"/>
          <w:szCs w:val="24"/>
        </w:rPr>
        <w:t>地下水评价等级为</w:t>
      </w:r>
      <w:r>
        <w:rPr>
          <w:rFonts w:hint="default" w:ascii="Times New Roman" w:hAnsi="Times New Roman" w:cs="Times New Roman"/>
          <w:color w:val="auto"/>
          <w:sz w:val="24"/>
          <w:szCs w:val="24"/>
          <w:lang w:eastAsia="zh-CN"/>
        </w:rPr>
        <w:t>三级</w:t>
      </w:r>
      <w:r>
        <w:rPr>
          <w:rFonts w:hint="default" w:ascii="Times New Roman" w:hAnsi="Times New Roman" w:eastAsia="宋体" w:cs="Times New Roman"/>
          <w:color w:val="auto"/>
          <w:sz w:val="24"/>
          <w:szCs w:val="24"/>
        </w:rPr>
        <w:t>。</w:t>
      </w:r>
      <w:bookmarkStart w:id="128" w:name="_Toc9110"/>
      <w:bookmarkStart w:id="129" w:name="_Toc4644"/>
      <w:bookmarkStart w:id="130" w:name="_Toc19931"/>
      <w:r>
        <w:rPr>
          <w:rFonts w:hint="default" w:ascii="Times New Roman" w:hAnsi="Times New Roman" w:eastAsia="宋体" w:cs="Times New Roman"/>
          <w:caps w:val="0"/>
          <w:color w:val="auto"/>
          <w:spacing w:val="0"/>
          <w:sz w:val="24"/>
          <w:highlight w:val="none"/>
          <w:lang w:val="en-US" w:eastAsia="zh-CN"/>
        </w:rPr>
        <w:t>本项目所在地水文地质单元地下水执行《地下水环境质量标准》（GB/T14848-2017）</w:t>
      </w:r>
      <w:r>
        <w:rPr>
          <w:rFonts w:hint="default" w:ascii="Times New Roman" w:hAnsi="Times New Roman" w:eastAsia="宋体" w:cs="Times New Roman"/>
          <w:caps w:val="0"/>
          <w:color w:val="auto"/>
          <w:spacing w:val="0"/>
          <w:sz w:val="24"/>
          <w:highlight w:val="none"/>
          <w:lang w:val="en-US" w:eastAsia="zh-CN"/>
        </w:rPr>
        <w:fldChar w:fldCharType="begin"/>
      </w:r>
      <w:r>
        <w:rPr>
          <w:rFonts w:hint="default" w:ascii="Times New Roman" w:hAnsi="Times New Roman" w:eastAsia="宋体" w:cs="Times New Roman"/>
          <w:caps w:val="0"/>
          <w:color w:val="auto"/>
          <w:spacing w:val="0"/>
          <w:sz w:val="24"/>
          <w:highlight w:val="none"/>
          <w:lang w:val="en-US" w:eastAsia="zh-CN"/>
        </w:rPr>
        <w:instrText xml:space="preserve"> = 4 \* ROMAN </w:instrText>
      </w:r>
      <w:r>
        <w:rPr>
          <w:rFonts w:hint="default" w:ascii="Times New Roman" w:hAnsi="Times New Roman" w:eastAsia="宋体" w:cs="Times New Roman"/>
          <w:caps w:val="0"/>
          <w:color w:val="auto"/>
          <w:spacing w:val="0"/>
          <w:sz w:val="24"/>
          <w:highlight w:val="none"/>
          <w:lang w:val="en-US" w:eastAsia="zh-CN"/>
        </w:rPr>
        <w:fldChar w:fldCharType="separate"/>
      </w:r>
      <w:r>
        <w:rPr>
          <w:rFonts w:hint="default" w:ascii="Times New Roman" w:hAnsi="Times New Roman" w:eastAsia="宋体" w:cs="Times New Roman"/>
          <w:caps w:val="0"/>
          <w:color w:val="auto"/>
          <w:spacing w:val="0"/>
          <w:sz w:val="24"/>
          <w:highlight w:val="none"/>
          <w:lang w:val="en-US" w:eastAsia="zh-CN"/>
        </w:rPr>
        <w:t>Ⅲ</w:t>
      </w:r>
      <w:r>
        <w:rPr>
          <w:rFonts w:hint="default" w:ascii="Times New Roman" w:hAnsi="Times New Roman" w:eastAsia="宋体" w:cs="Times New Roman"/>
          <w:caps w:val="0"/>
          <w:color w:val="auto"/>
          <w:spacing w:val="0"/>
          <w:sz w:val="24"/>
          <w:highlight w:val="none"/>
          <w:lang w:val="en-US" w:eastAsia="zh-CN"/>
        </w:rPr>
        <w:fldChar w:fldCharType="end"/>
      </w:r>
      <w:r>
        <w:rPr>
          <w:rFonts w:hint="default" w:ascii="Times New Roman" w:hAnsi="Times New Roman" w:eastAsia="宋体" w:cs="Times New Roman"/>
          <w:caps w:val="0"/>
          <w:color w:val="auto"/>
          <w:spacing w:val="0"/>
          <w:sz w:val="24"/>
          <w:highlight w:val="none"/>
          <w:lang w:val="en-US" w:eastAsia="zh-CN"/>
        </w:rPr>
        <w:t>类标准</w:t>
      </w:r>
      <w:r>
        <w:rPr>
          <w:rFonts w:hint="eastAsia" w:ascii="Times New Roman" w:hAnsi="Times New Roman" w:eastAsia="宋体" w:cs="Times New Roman"/>
          <w:caps w:val="0"/>
          <w:color w:val="auto"/>
          <w:spacing w:val="0"/>
          <w:sz w:val="24"/>
          <w:highlight w:val="none"/>
          <w:lang w:val="en-US" w:eastAsia="zh-CN"/>
        </w:rPr>
        <w:t>。</w:t>
      </w:r>
    </w:p>
    <w:p w14:paraId="248FF29C">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lang w:val="en-US" w:eastAsia="zh-CN"/>
        </w:rPr>
        <w:t>为了解项目区域地下水现状，本次评价委托</w:t>
      </w:r>
      <w:r>
        <w:rPr>
          <w:rFonts w:hint="eastAsia" w:ascii="Times New Roman" w:hAnsi="Times New Roman" w:eastAsia="宋体" w:cs="Times New Roman"/>
          <w:caps w:val="0"/>
          <w:color w:val="auto"/>
          <w:spacing w:val="0"/>
          <w:sz w:val="24"/>
          <w:highlight w:val="none"/>
          <w:lang w:val="en-US" w:eastAsia="zh-CN"/>
        </w:rPr>
        <w:t>国瑞检测科技(云南)有限公司</w:t>
      </w:r>
      <w:r>
        <w:rPr>
          <w:rFonts w:hint="default" w:ascii="Times New Roman" w:hAnsi="Times New Roman" w:eastAsia="宋体" w:cs="Times New Roman"/>
          <w:caps w:val="0"/>
          <w:color w:val="auto"/>
          <w:spacing w:val="0"/>
          <w:sz w:val="24"/>
          <w:highlight w:val="none"/>
          <w:lang w:val="en-US" w:eastAsia="zh-CN"/>
        </w:rPr>
        <w:t>于</w:t>
      </w:r>
      <w:r>
        <w:rPr>
          <w:rFonts w:hint="eastAsia" w:ascii="Times New Roman" w:hAnsi="Times New Roman" w:eastAsia="宋体" w:cs="Times New Roman"/>
          <w:caps w:val="0"/>
          <w:color w:val="auto"/>
          <w:spacing w:val="0"/>
          <w:sz w:val="24"/>
          <w:highlight w:val="none"/>
          <w:lang w:val="en-US" w:eastAsia="zh-CN"/>
        </w:rPr>
        <w:t>2026</w:t>
      </w:r>
      <w:r>
        <w:rPr>
          <w:rFonts w:hint="default" w:ascii="Times New Roman" w:hAnsi="Times New Roman" w:eastAsia="宋体" w:cs="Times New Roman"/>
          <w:caps w:val="0"/>
          <w:color w:val="auto"/>
          <w:spacing w:val="0"/>
          <w:sz w:val="24"/>
          <w:highlight w:val="none"/>
          <w:lang w:val="en-US" w:eastAsia="zh-CN"/>
        </w:rPr>
        <w:t>年</w:t>
      </w:r>
      <w:r>
        <w:rPr>
          <w:rFonts w:hint="eastAsia" w:ascii="Times New Roman" w:hAnsi="Times New Roman" w:eastAsia="宋体" w:cs="Times New Roman"/>
          <w:caps w:val="0"/>
          <w:color w:val="auto"/>
          <w:spacing w:val="0"/>
          <w:sz w:val="24"/>
          <w:highlight w:val="none"/>
          <w:lang w:val="en-US" w:eastAsia="zh-CN"/>
        </w:rPr>
        <w:t>7</w:t>
      </w:r>
      <w:r>
        <w:rPr>
          <w:rFonts w:hint="default" w:ascii="Times New Roman" w:hAnsi="Times New Roman" w:eastAsia="宋体" w:cs="Times New Roman"/>
          <w:caps w:val="0"/>
          <w:color w:val="auto"/>
          <w:spacing w:val="0"/>
          <w:sz w:val="24"/>
          <w:highlight w:val="none"/>
          <w:lang w:val="en-US" w:eastAsia="zh-CN"/>
        </w:rPr>
        <w:t>月</w:t>
      </w:r>
      <w:r>
        <w:rPr>
          <w:rFonts w:hint="eastAsia" w:ascii="Times New Roman" w:hAnsi="Times New Roman" w:eastAsia="宋体" w:cs="Times New Roman"/>
          <w:caps w:val="0"/>
          <w:color w:val="auto"/>
          <w:spacing w:val="0"/>
          <w:sz w:val="24"/>
          <w:highlight w:val="none"/>
          <w:lang w:val="en-US" w:eastAsia="zh-CN"/>
        </w:rPr>
        <w:t>1</w:t>
      </w:r>
      <w:r>
        <w:rPr>
          <w:rFonts w:hint="default" w:ascii="Times New Roman" w:hAnsi="Times New Roman" w:eastAsia="宋体" w:cs="Times New Roman"/>
          <w:caps w:val="0"/>
          <w:color w:val="auto"/>
          <w:spacing w:val="0"/>
          <w:sz w:val="24"/>
          <w:highlight w:val="none"/>
          <w:lang w:val="en-US" w:eastAsia="zh-CN"/>
        </w:rPr>
        <w:t>日～202</w:t>
      </w:r>
      <w:r>
        <w:rPr>
          <w:rFonts w:hint="eastAsia" w:ascii="Times New Roman" w:hAnsi="Times New Roman" w:eastAsia="宋体" w:cs="Times New Roman"/>
          <w:caps w:val="0"/>
          <w:color w:val="auto"/>
          <w:spacing w:val="0"/>
          <w:sz w:val="24"/>
          <w:highlight w:val="none"/>
          <w:lang w:val="en-US" w:eastAsia="zh-CN"/>
        </w:rPr>
        <w:t>6</w:t>
      </w:r>
      <w:r>
        <w:rPr>
          <w:rFonts w:hint="default" w:ascii="Times New Roman" w:hAnsi="Times New Roman" w:eastAsia="宋体" w:cs="Times New Roman"/>
          <w:caps w:val="0"/>
          <w:color w:val="auto"/>
          <w:spacing w:val="0"/>
          <w:sz w:val="24"/>
          <w:highlight w:val="none"/>
          <w:lang w:val="en-US" w:eastAsia="zh-CN"/>
        </w:rPr>
        <w:t>年</w:t>
      </w:r>
      <w:r>
        <w:rPr>
          <w:rFonts w:hint="eastAsia" w:ascii="Times New Roman" w:hAnsi="Times New Roman" w:eastAsia="宋体" w:cs="Times New Roman"/>
          <w:caps w:val="0"/>
          <w:color w:val="auto"/>
          <w:spacing w:val="0"/>
          <w:sz w:val="24"/>
          <w:highlight w:val="none"/>
          <w:lang w:val="en-US" w:eastAsia="zh-CN"/>
        </w:rPr>
        <w:t>7</w:t>
      </w:r>
      <w:r>
        <w:rPr>
          <w:rFonts w:hint="default" w:ascii="Times New Roman" w:hAnsi="Times New Roman" w:eastAsia="宋体" w:cs="Times New Roman"/>
          <w:caps w:val="0"/>
          <w:color w:val="auto"/>
          <w:spacing w:val="0"/>
          <w:sz w:val="24"/>
          <w:highlight w:val="none"/>
          <w:lang w:val="en-US" w:eastAsia="zh-CN"/>
        </w:rPr>
        <w:t>月</w:t>
      </w:r>
      <w:r>
        <w:rPr>
          <w:rFonts w:hint="eastAsia" w:ascii="Times New Roman" w:hAnsi="Times New Roman" w:eastAsia="宋体" w:cs="Times New Roman"/>
          <w:caps w:val="0"/>
          <w:color w:val="auto"/>
          <w:spacing w:val="0"/>
          <w:sz w:val="24"/>
          <w:highlight w:val="none"/>
          <w:lang w:val="en-US" w:eastAsia="zh-CN"/>
        </w:rPr>
        <w:t>2</w:t>
      </w:r>
      <w:r>
        <w:rPr>
          <w:rFonts w:hint="default" w:ascii="Times New Roman" w:hAnsi="Times New Roman" w:eastAsia="宋体" w:cs="Times New Roman"/>
          <w:caps w:val="0"/>
          <w:color w:val="auto"/>
          <w:spacing w:val="0"/>
          <w:sz w:val="24"/>
          <w:highlight w:val="none"/>
          <w:lang w:val="en-US" w:eastAsia="zh-CN"/>
        </w:rPr>
        <w:t>日对评价区进行了地下水环境质量现状检测，根据</w:t>
      </w:r>
      <w:r>
        <w:rPr>
          <w:rFonts w:hint="eastAsia" w:ascii="Times New Roman" w:hAnsi="Times New Roman" w:eastAsia="宋体" w:cs="Times New Roman"/>
          <w:caps w:val="0"/>
          <w:color w:val="auto"/>
          <w:spacing w:val="0"/>
          <w:sz w:val="24"/>
          <w:highlight w:val="none"/>
          <w:lang w:val="en-US" w:eastAsia="zh-CN"/>
        </w:rPr>
        <w:t>国瑞检测科技(云南)有限公司2026</w:t>
      </w:r>
      <w:r>
        <w:rPr>
          <w:rFonts w:hint="default" w:ascii="Times New Roman" w:hAnsi="Times New Roman" w:eastAsia="宋体" w:cs="Times New Roman"/>
          <w:caps w:val="0"/>
          <w:color w:val="auto"/>
          <w:spacing w:val="0"/>
          <w:sz w:val="24"/>
          <w:highlight w:val="none"/>
          <w:lang w:val="en-US" w:eastAsia="zh-CN"/>
        </w:rPr>
        <w:t>年</w:t>
      </w:r>
      <w:r>
        <w:rPr>
          <w:rFonts w:hint="eastAsia" w:ascii="Times New Roman" w:hAnsi="Times New Roman" w:eastAsia="宋体" w:cs="Times New Roman"/>
          <w:caps w:val="0"/>
          <w:color w:val="auto"/>
          <w:spacing w:val="0"/>
          <w:sz w:val="24"/>
          <w:highlight w:val="none"/>
          <w:lang w:val="en-US" w:eastAsia="zh-CN"/>
        </w:rPr>
        <w:t>7</w:t>
      </w:r>
      <w:r>
        <w:rPr>
          <w:rFonts w:hint="default" w:ascii="Times New Roman" w:hAnsi="Times New Roman" w:eastAsia="宋体" w:cs="Times New Roman"/>
          <w:caps w:val="0"/>
          <w:color w:val="auto"/>
          <w:spacing w:val="0"/>
          <w:sz w:val="24"/>
          <w:highlight w:val="none"/>
          <w:lang w:val="en-US" w:eastAsia="zh-CN"/>
        </w:rPr>
        <w:t>月15日出具的《</w:t>
      </w:r>
      <w:r>
        <w:rPr>
          <w:rFonts w:hint="eastAsia" w:ascii="Times New Roman" w:hAnsi="Times New Roman" w:eastAsia="宋体" w:cs="Times New Roman"/>
          <w:caps w:val="0"/>
          <w:color w:val="auto"/>
          <w:spacing w:val="0"/>
          <w:sz w:val="24"/>
          <w:highlight w:val="none"/>
          <w:lang w:val="en-US" w:eastAsia="zh-CN"/>
        </w:rPr>
        <w:t>云南曲煤焦化实业发展有限公司集装箱堆场提质改造项目地下水补充监测</w:t>
      </w:r>
      <w:r>
        <w:rPr>
          <w:rFonts w:hint="default" w:ascii="Times New Roman" w:hAnsi="Times New Roman" w:eastAsia="宋体" w:cs="Times New Roman"/>
          <w:caps w:val="0"/>
          <w:color w:val="auto"/>
          <w:spacing w:val="0"/>
          <w:sz w:val="24"/>
          <w:highlight w:val="none"/>
          <w:lang w:val="en-US" w:eastAsia="zh-CN"/>
        </w:rPr>
        <w:t>（项目编号：</w:t>
      </w:r>
      <w:r>
        <w:rPr>
          <w:rFonts w:hint="eastAsia" w:ascii="Times New Roman" w:hAnsi="Times New Roman" w:eastAsia="宋体" w:cs="Times New Roman"/>
          <w:caps w:val="0"/>
          <w:color w:val="auto"/>
          <w:spacing w:val="0"/>
          <w:sz w:val="24"/>
          <w:highlight w:val="none"/>
          <w:lang w:val="en-US" w:eastAsia="zh-CN"/>
        </w:rPr>
        <w:t>GR20260630009</w:t>
      </w:r>
      <w:r>
        <w:rPr>
          <w:rFonts w:hint="default" w:ascii="Times New Roman" w:hAnsi="Times New Roman" w:eastAsia="宋体" w:cs="Times New Roman"/>
          <w:caps w:val="0"/>
          <w:color w:val="auto"/>
          <w:spacing w:val="0"/>
          <w:sz w:val="24"/>
          <w:highlight w:val="none"/>
          <w:lang w:val="en-US" w:eastAsia="zh-CN"/>
        </w:rPr>
        <w:t>》，详见附件</w:t>
      </w:r>
      <w:r>
        <w:rPr>
          <w:rFonts w:hint="eastAsia" w:ascii="Times New Roman" w:hAnsi="Times New Roman" w:eastAsia="宋体" w:cs="Times New Roman"/>
          <w:caps w:val="0"/>
          <w:color w:val="auto"/>
          <w:spacing w:val="0"/>
          <w:sz w:val="24"/>
          <w:highlight w:val="none"/>
          <w:lang w:val="en-US" w:eastAsia="zh-CN"/>
        </w:rPr>
        <w:t>14</w:t>
      </w:r>
      <w:r>
        <w:rPr>
          <w:rFonts w:hint="default" w:ascii="Times New Roman" w:hAnsi="Times New Roman" w:eastAsia="宋体" w:cs="Times New Roman"/>
          <w:caps w:val="0"/>
          <w:color w:val="auto"/>
          <w:spacing w:val="0"/>
          <w:sz w:val="24"/>
          <w:highlight w:val="none"/>
          <w:lang w:val="en-US" w:eastAsia="zh-CN"/>
        </w:rPr>
        <w:t>。</w:t>
      </w:r>
      <w:bookmarkEnd w:id="128"/>
      <w:bookmarkEnd w:id="129"/>
      <w:bookmarkEnd w:id="130"/>
    </w:p>
    <w:p w14:paraId="1CCADE12">
      <w:pPr>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lang w:val="en-US" w:eastAsia="zh-CN"/>
        </w:rPr>
        <w:t>检测项目：基本水质因子</w:t>
      </w:r>
      <w:r>
        <w:rPr>
          <w:rFonts w:hint="default" w:ascii="Times New Roman" w:hAnsi="Times New Roman" w:cs="Times New Roman"/>
          <w:color w:val="auto"/>
          <w:sz w:val="24"/>
          <w:szCs w:val="24"/>
          <w:lang w:val="en-US" w:eastAsia="zh-CN"/>
        </w:rPr>
        <w:t>K</w:t>
      </w:r>
      <w:r>
        <w:rPr>
          <w:rFonts w:hint="default" w:ascii="Times New Roman" w:hAnsi="Times New Roman" w:cs="Times New Roman"/>
          <w:color w:val="auto"/>
          <w:sz w:val="24"/>
          <w:szCs w:val="24"/>
          <w:vertAlign w:val="superscript"/>
          <w:lang w:val="en-US" w:eastAsia="zh-CN"/>
        </w:rPr>
        <w:t>+</w:t>
      </w:r>
      <w:r>
        <w:rPr>
          <w:rFonts w:hint="default" w:ascii="Times New Roman" w:hAnsi="Times New Roman" w:cs="Times New Roman"/>
          <w:color w:val="auto"/>
          <w:sz w:val="24"/>
          <w:szCs w:val="24"/>
          <w:vertAlign w:val="baseline"/>
          <w:lang w:val="en-US" w:eastAsia="zh-CN"/>
        </w:rPr>
        <w:t>、</w:t>
      </w:r>
      <w:r>
        <w:rPr>
          <w:rFonts w:hint="default" w:ascii="Times New Roman" w:hAnsi="Times New Roman" w:cs="Times New Roman"/>
          <w:color w:val="auto"/>
          <w:sz w:val="24"/>
          <w:szCs w:val="24"/>
          <w:lang w:val="en-US" w:eastAsia="zh-CN"/>
        </w:rPr>
        <w:t>Na</w:t>
      </w:r>
      <w:r>
        <w:rPr>
          <w:rFonts w:hint="default" w:ascii="Times New Roman" w:hAnsi="Times New Roman" w:cs="Times New Roman"/>
          <w:color w:val="auto"/>
          <w:sz w:val="24"/>
          <w:szCs w:val="24"/>
          <w:vertAlign w:val="superscript"/>
          <w:lang w:val="en-US" w:eastAsia="zh-CN"/>
        </w:rPr>
        <w:t>+</w:t>
      </w:r>
      <w:r>
        <w:rPr>
          <w:rFonts w:hint="default" w:ascii="Times New Roman" w:hAnsi="Times New Roman" w:cs="Times New Roman"/>
          <w:color w:val="auto"/>
          <w:sz w:val="24"/>
          <w:szCs w:val="24"/>
          <w:lang w:val="en-US" w:eastAsia="zh-CN"/>
        </w:rPr>
        <w:t>、Ca</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lang w:val="en-US" w:eastAsia="zh-CN"/>
        </w:rPr>
        <w:t>、Mg</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lang w:val="en-US" w:eastAsia="zh-CN"/>
        </w:rPr>
        <w:t>、CO</w:t>
      </w:r>
      <w:r>
        <w:rPr>
          <w:rFonts w:hint="default" w:ascii="Times New Roman" w:hAnsi="Times New Roman" w:cs="Times New Roman"/>
          <w:color w:val="auto"/>
          <w:sz w:val="24"/>
          <w:szCs w:val="24"/>
          <w:vertAlign w:val="subscript"/>
          <w:lang w:val="en-US" w:eastAsia="zh-CN"/>
        </w:rPr>
        <w:t>3</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lang w:val="en-US" w:eastAsia="zh-CN"/>
        </w:rPr>
        <w:t>、HCO</w:t>
      </w:r>
      <w:r>
        <w:rPr>
          <w:rFonts w:hint="default" w:ascii="Times New Roman" w:hAnsi="Times New Roman" w:cs="Times New Roman"/>
          <w:color w:val="auto"/>
          <w:sz w:val="24"/>
          <w:szCs w:val="24"/>
          <w:vertAlign w:val="subscript"/>
          <w:lang w:val="en-US" w:eastAsia="zh-CN"/>
        </w:rPr>
        <w:t>3</w:t>
      </w:r>
      <w:r>
        <w:rPr>
          <w:rFonts w:hint="default" w:ascii="Times New Roman" w:hAnsi="Times New Roman" w:cs="Times New Roman"/>
          <w:color w:val="auto"/>
          <w:sz w:val="24"/>
          <w:szCs w:val="24"/>
          <w:vertAlign w:val="superscript"/>
          <w:lang w:val="en-US" w:eastAsia="zh-CN"/>
        </w:rPr>
        <w:t>-</w:t>
      </w:r>
      <w:r>
        <w:rPr>
          <w:rFonts w:hint="default" w:ascii="Times New Roman" w:hAnsi="Times New Roman" w:cs="Times New Roman"/>
          <w:color w:val="auto"/>
          <w:sz w:val="24"/>
          <w:szCs w:val="24"/>
          <w:lang w:val="en-US" w:eastAsia="zh-CN"/>
        </w:rPr>
        <w:t>、Cl</w:t>
      </w:r>
      <w:r>
        <w:rPr>
          <w:rFonts w:hint="default" w:ascii="Times New Roman" w:hAnsi="Times New Roman" w:cs="Times New Roman"/>
          <w:color w:val="auto"/>
          <w:sz w:val="24"/>
          <w:szCs w:val="24"/>
          <w:vertAlign w:val="superscript"/>
          <w:lang w:val="en-US" w:eastAsia="zh-CN"/>
        </w:rPr>
        <w:t>-</w:t>
      </w:r>
      <w:r>
        <w:rPr>
          <w:rFonts w:hint="default" w:ascii="Times New Roman" w:hAnsi="Times New Roman" w:cs="Times New Roman"/>
          <w:color w:val="auto"/>
          <w:sz w:val="24"/>
          <w:szCs w:val="24"/>
          <w:lang w:val="en-US" w:eastAsia="zh-CN"/>
        </w:rPr>
        <w:t>、SO</w:t>
      </w:r>
      <w:r>
        <w:rPr>
          <w:rFonts w:hint="default" w:ascii="Times New Roman" w:hAnsi="Times New Roman" w:cs="Times New Roman"/>
          <w:color w:val="auto"/>
          <w:sz w:val="24"/>
          <w:szCs w:val="24"/>
          <w:vertAlign w:val="subscript"/>
          <w:lang w:val="en-US" w:eastAsia="zh-CN"/>
        </w:rPr>
        <w:t>4</w:t>
      </w:r>
      <w:r>
        <w:rPr>
          <w:rFonts w:hint="default"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vertAlign w:val="baseline"/>
          <w:lang w:val="en-US" w:eastAsia="zh-CN"/>
        </w:rPr>
        <w:t>、pH、氨氮、硝酸盐、亚硝酸盐、挥发性酚类、氰化物、砷、汞、六价铬、总硬度、铅、氟、镉、铁、锰、溶解性总固体、高锰酸盐指数、硫酸盐、氯化物、总大肠菌群、细菌总数、苯、甲苯、二甲苯；共32项</w:t>
      </w:r>
      <w:r>
        <w:rPr>
          <w:rFonts w:hint="default" w:ascii="Times New Roman" w:hAnsi="Times New Roman" w:eastAsia="宋体" w:cs="Times New Roman"/>
          <w:caps w:val="0"/>
          <w:color w:val="auto"/>
          <w:spacing w:val="0"/>
          <w:sz w:val="24"/>
          <w:highlight w:val="none"/>
          <w:lang w:val="en-US" w:eastAsia="zh-CN"/>
        </w:rPr>
        <w:t>。</w:t>
      </w:r>
    </w:p>
    <w:p w14:paraId="2D1DC220">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lang w:val="en-US" w:eastAsia="zh-CN"/>
        </w:rPr>
        <w:t>监测点位：共设置</w:t>
      </w:r>
      <w:r>
        <w:rPr>
          <w:rFonts w:hint="eastAsia" w:ascii="Times New Roman" w:hAnsi="Times New Roman" w:eastAsia="宋体" w:cs="Times New Roman"/>
          <w:caps w:val="0"/>
          <w:color w:val="auto"/>
          <w:spacing w:val="0"/>
          <w:sz w:val="24"/>
          <w:highlight w:val="none"/>
          <w:lang w:val="en-US" w:eastAsia="zh-CN"/>
        </w:rPr>
        <w:t>3</w:t>
      </w:r>
      <w:r>
        <w:rPr>
          <w:rFonts w:hint="default" w:ascii="Times New Roman" w:hAnsi="Times New Roman" w:eastAsia="宋体" w:cs="Times New Roman"/>
          <w:caps w:val="0"/>
          <w:color w:val="auto"/>
          <w:spacing w:val="0"/>
          <w:sz w:val="24"/>
          <w:highlight w:val="none"/>
          <w:lang w:val="en-US" w:eastAsia="zh-CN"/>
        </w:rPr>
        <w:t>个监测点，</w:t>
      </w:r>
      <w:r>
        <w:rPr>
          <w:rFonts w:hint="eastAsia" w:ascii="Times New Roman" w:hAnsi="Times New Roman" w:eastAsia="宋体" w:cs="Times New Roman"/>
          <w:caps w:val="0"/>
          <w:color w:val="auto"/>
          <w:spacing w:val="0"/>
          <w:sz w:val="24"/>
          <w:highlight w:val="none"/>
          <w:lang w:val="en-US" w:eastAsia="zh-CN"/>
        </w:rPr>
        <w:t>项目区新建背景监测点（上游）J1、项目区新建项目区污染监测井J2、下游污染扩散监测井（曲靖大为焦化制气地下水监测井DX01）（下游）J3，共3个点位</w:t>
      </w:r>
      <w:r>
        <w:rPr>
          <w:rFonts w:hint="default" w:ascii="Times New Roman" w:hAnsi="Times New Roman" w:eastAsia="宋体" w:cs="Times New Roman"/>
          <w:caps w:val="0"/>
          <w:color w:val="auto"/>
          <w:spacing w:val="0"/>
          <w:sz w:val="24"/>
          <w:highlight w:val="none"/>
          <w:lang w:val="en-US" w:eastAsia="zh-CN"/>
        </w:rPr>
        <w:t>。</w:t>
      </w:r>
    </w:p>
    <w:p w14:paraId="4DF184C7">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lang w:val="en-US" w:eastAsia="zh-CN"/>
        </w:rPr>
        <w:t>（3）监测频率：连续监测</w:t>
      </w:r>
      <w:r>
        <w:rPr>
          <w:rFonts w:hint="eastAsia" w:ascii="Times New Roman" w:hAnsi="Times New Roman" w:eastAsia="宋体" w:cs="Times New Roman"/>
          <w:caps w:val="0"/>
          <w:color w:val="auto"/>
          <w:spacing w:val="0"/>
          <w:sz w:val="24"/>
          <w:highlight w:val="none"/>
          <w:lang w:val="en-US" w:eastAsia="zh-CN"/>
        </w:rPr>
        <w:t>2</w:t>
      </w:r>
      <w:r>
        <w:rPr>
          <w:rFonts w:hint="default" w:ascii="Times New Roman" w:hAnsi="Times New Roman" w:eastAsia="宋体" w:cs="Times New Roman"/>
          <w:caps w:val="0"/>
          <w:color w:val="auto"/>
          <w:spacing w:val="0"/>
          <w:sz w:val="24"/>
          <w:highlight w:val="none"/>
          <w:lang w:val="en-US" w:eastAsia="zh-CN"/>
        </w:rPr>
        <w:t>天，每天检测1次。</w:t>
      </w:r>
    </w:p>
    <w:p w14:paraId="1C964002">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宋体" w:cs="Times New Roman"/>
          <w:caps w:val="0"/>
          <w:color w:val="auto"/>
          <w:spacing w:val="0"/>
          <w:sz w:val="24"/>
          <w:highlight w:val="none"/>
          <w:lang w:val="en-US" w:eastAsia="zh-CN"/>
        </w:rPr>
      </w:pPr>
      <w:r>
        <w:rPr>
          <w:rFonts w:hint="default" w:ascii="Times New Roman" w:hAnsi="Times New Roman" w:eastAsia="宋体" w:cs="Times New Roman"/>
          <w:caps w:val="0"/>
          <w:color w:val="auto"/>
          <w:spacing w:val="0"/>
          <w:sz w:val="24"/>
          <w:highlight w:val="none"/>
          <w:lang w:val="en-US" w:eastAsia="zh-CN"/>
        </w:rPr>
        <w:t>（4）分析方法及评价标准：地下水采样、分析方法严格按照国家环境保护局颁布的《环境监测分析方法》有关规定进行，地下水基本水质因子和化学特征因子执行《地下水环境质量标准》（GB/T14848-2017）</w:t>
      </w:r>
      <w:r>
        <w:rPr>
          <w:rFonts w:hint="default" w:ascii="Times New Roman" w:hAnsi="Times New Roman" w:eastAsia="宋体" w:cs="Times New Roman"/>
          <w:caps w:val="0"/>
          <w:color w:val="auto"/>
          <w:spacing w:val="0"/>
          <w:sz w:val="24"/>
          <w:highlight w:val="none"/>
          <w:lang w:val="en-US" w:eastAsia="zh-CN"/>
        </w:rPr>
        <w:fldChar w:fldCharType="begin"/>
      </w:r>
      <w:r>
        <w:rPr>
          <w:rFonts w:hint="default" w:ascii="Times New Roman" w:hAnsi="Times New Roman" w:eastAsia="宋体" w:cs="Times New Roman"/>
          <w:caps w:val="0"/>
          <w:color w:val="auto"/>
          <w:spacing w:val="0"/>
          <w:sz w:val="24"/>
          <w:highlight w:val="none"/>
          <w:lang w:val="en-US" w:eastAsia="zh-CN"/>
        </w:rPr>
        <w:instrText xml:space="preserve"> = 4 \* ROMAN </w:instrText>
      </w:r>
      <w:r>
        <w:rPr>
          <w:rFonts w:hint="default" w:ascii="Times New Roman" w:hAnsi="Times New Roman" w:eastAsia="宋体" w:cs="Times New Roman"/>
          <w:caps w:val="0"/>
          <w:color w:val="auto"/>
          <w:spacing w:val="0"/>
          <w:sz w:val="24"/>
          <w:highlight w:val="none"/>
          <w:lang w:val="en-US" w:eastAsia="zh-CN"/>
        </w:rPr>
        <w:fldChar w:fldCharType="separate"/>
      </w:r>
      <w:r>
        <w:rPr>
          <w:rFonts w:hint="default" w:ascii="Times New Roman" w:hAnsi="Times New Roman" w:eastAsia="宋体" w:cs="Times New Roman"/>
          <w:caps w:val="0"/>
          <w:color w:val="auto"/>
          <w:spacing w:val="0"/>
          <w:sz w:val="24"/>
          <w:highlight w:val="none"/>
          <w:lang w:val="en-US" w:eastAsia="zh-CN"/>
        </w:rPr>
        <w:t>Ⅲ</w:t>
      </w:r>
      <w:r>
        <w:rPr>
          <w:rFonts w:hint="default" w:ascii="Times New Roman" w:hAnsi="Times New Roman" w:eastAsia="宋体" w:cs="Times New Roman"/>
          <w:caps w:val="0"/>
          <w:color w:val="auto"/>
          <w:spacing w:val="0"/>
          <w:sz w:val="24"/>
          <w:highlight w:val="none"/>
          <w:lang w:val="en-US" w:eastAsia="zh-CN"/>
        </w:rPr>
        <w:fldChar w:fldCharType="end"/>
      </w:r>
      <w:r>
        <w:rPr>
          <w:rFonts w:hint="default" w:ascii="Times New Roman" w:hAnsi="Times New Roman" w:eastAsia="宋体" w:cs="Times New Roman"/>
          <w:caps w:val="0"/>
          <w:color w:val="auto"/>
          <w:spacing w:val="0"/>
          <w:sz w:val="24"/>
          <w:highlight w:val="none"/>
          <w:lang w:val="en-US" w:eastAsia="zh-CN"/>
        </w:rPr>
        <w:t>类标准限值。</w:t>
      </w:r>
    </w:p>
    <w:p w14:paraId="523BE0B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bookmarkStart w:id="131" w:name="_Toc31667"/>
      <w:bookmarkStart w:id="132" w:name="_Toc23652"/>
      <w:r>
        <w:rPr>
          <w:rFonts w:hint="default" w:ascii="Times New Roman" w:hAnsi="Times New Roman" w:eastAsia="宋体" w:cs="Times New Roman"/>
          <w:b/>
          <w:bCs/>
          <w:color w:val="auto"/>
          <w:sz w:val="24"/>
          <w:szCs w:val="24"/>
          <w:highlight w:val="none"/>
          <w:lang w:val="en-US" w:eastAsia="zh-CN"/>
        </w:rPr>
        <w:t>（</w:t>
      </w:r>
      <w:r>
        <w:rPr>
          <w:rFonts w:hint="eastAsia"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lang w:val="en-US" w:eastAsia="zh-CN"/>
        </w:rPr>
        <w:t>）执行标准与评价方法</w:t>
      </w:r>
      <w:bookmarkEnd w:id="131"/>
      <w:bookmarkEnd w:id="132"/>
    </w:p>
    <w:p w14:paraId="20D022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执</w:t>
      </w:r>
      <w:r>
        <w:rPr>
          <w:rFonts w:hint="default" w:ascii="Times New Roman" w:hAnsi="Times New Roman" w:eastAsia="宋体" w:cs="Times New Roman"/>
          <w:color w:val="auto"/>
          <w:sz w:val="24"/>
          <w:szCs w:val="24"/>
          <w:highlight w:val="none"/>
        </w:rPr>
        <w:t>行《地下水质量标准》（GB/T14848-2017）中Ⅲ类标准。</w:t>
      </w:r>
      <w:r>
        <w:rPr>
          <w:rFonts w:hint="default" w:ascii="Times New Roman" w:hAnsi="Times New Roman" w:eastAsia="宋体" w:cs="Times New Roman"/>
          <w:color w:val="auto"/>
          <w:sz w:val="24"/>
          <w:szCs w:val="24"/>
          <w:highlight w:val="none"/>
          <w:lang w:val="en-US" w:eastAsia="zh-CN"/>
        </w:rPr>
        <w:t>地下水水质现状评价方法采用单项水质参数标准指数法进行评价，计算公式如下：</w:t>
      </w:r>
    </w:p>
    <w:p w14:paraId="2EC2612B">
      <w:pPr>
        <w:spacing w:line="360" w:lineRule="auto"/>
        <w:ind w:firstLine="55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1）一般</w:t>
      </w:r>
      <w:r>
        <w:rPr>
          <w:rFonts w:hint="default" w:ascii="Times New Roman" w:hAnsi="Times New Roman" w:eastAsia="宋体" w:cs="Times New Roman"/>
          <w:color w:val="auto"/>
          <w:sz w:val="24"/>
          <w:szCs w:val="24"/>
          <w:highlight w:val="none"/>
          <w:lang w:val="en-US" w:eastAsia="zh-CN"/>
        </w:rPr>
        <w:t>污染物的标准指数</w:t>
      </w:r>
    </w:p>
    <w:p w14:paraId="7DA52928">
      <w:pPr>
        <w:spacing w:line="360" w:lineRule="auto"/>
        <w:ind w:firstLine="2781" w:firstLineChars="115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position w:val="-30"/>
          <w:sz w:val="24"/>
          <w:szCs w:val="24"/>
          <w:highlight w:val="none"/>
        </w:rPr>
        <w:object>
          <v:shape id="_x0000_i1038" o:spt="75" type="#_x0000_t75" style="height:35pt;width:44pt;" o:ole="t" filled="f" o:preferrelative="t" stroked="f" coordsize="21600,21600">
            <v:path/>
            <v:fill on="f" focussize="0,0"/>
            <v:stroke on="f"/>
            <v:imagedata r:id="rId68" o:title=""/>
            <o:lock v:ext="edit" aspectratio="t"/>
            <w10:wrap type="none"/>
            <w10:anchorlock/>
          </v:shape>
          <o:OLEObject Type="Embed" ProgID="Equation.KSEE3" ShapeID="_x0000_i1038" DrawAspect="Content" ObjectID="_1468075738" r:id="rId67">
            <o:LockedField>false</o:LockedField>
          </o:OLEObject>
        </w:object>
      </w:r>
    </w:p>
    <w:p w14:paraId="4A3F9060">
      <w:pPr>
        <w:spacing w:line="360" w:lineRule="auto"/>
        <w:ind w:firstLine="600" w:firstLineChars="25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lang w:val="en-US" w:eastAsia="zh-CN"/>
        </w:rPr>
        <w:t>P</w:t>
      </w:r>
      <w:r>
        <w:rPr>
          <w:rFonts w:hint="default" w:ascii="Times New Roman" w:hAnsi="Times New Roman" w:eastAsia="宋体" w:cs="Times New Roman"/>
          <w:color w:val="auto"/>
          <w:sz w:val="24"/>
          <w:szCs w:val="24"/>
          <w:highlight w:val="none"/>
          <w:vertAlign w:val="subscript"/>
          <w:lang w:val="en-US" w:eastAsia="zh-CN"/>
        </w:rPr>
        <w:t>i</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bCs/>
          <w:color w:val="auto"/>
          <w:sz w:val="24"/>
          <w:szCs w:val="24"/>
          <w:highlight w:val="none"/>
          <w:lang w:val="en-US" w:eastAsia="zh-CN"/>
        </w:rPr>
        <w:t>第i个水质因子的标准指数，无量纲</w:t>
      </w:r>
      <w:r>
        <w:rPr>
          <w:rFonts w:hint="default" w:ascii="Times New Roman" w:hAnsi="Times New Roman" w:eastAsia="宋体" w:cs="Times New Roman"/>
          <w:bCs/>
          <w:color w:val="auto"/>
          <w:sz w:val="24"/>
          <w:szCs w:val="24"/>
          <w:highlight w:val="none"/>
          <w:lang w:eastAsia="zh-CN"/>
        </w:rPr>
        <w:t>；</w:t>
      </w:r>
    </w:p>
    <w:p w14:paraId="081EC67E">
      <w:pPr>
        <w:spacing w:line="360" w:lineRule="auto"/>
        <w:ind w:firstLine="1320" w:firstLineChars="55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C</w:t>
      </w:r>
      <w:r>
        <w:rPr>
          <w:rFonts w:hint="default" w:ascii="Times New Roman" w:hAnsi="Times New Roman" w:eastAsia="宋体" w:cs="Times New Roman"/>
          <w:bCs/>
          <w:color w:val="auto"/>
          <w:sz w:val="24"/>
          <w:szCs w:val="24"/>
          <w:highlight w:val="none"/>
          <w:vertAlign w:val="subscript"/>
          <w:lang w:val="en-US" w:eastAsia="zh-CN"/>
        </w:rPr>
        <w:t>i</w:t>
      </w:r>
      <w:r>
        <w:rPr>
          <w:rFonts w:hint="default" w:ascii="Times New Roman" w:hAnsi="Times New Roman" w:eastAsia="宋体" w:cs="Times New Roman"/>
          <w:bCs/>
          <w:color w:val="auto"/>
          <w:sz w:val="24"/>
          <w:szCs w:val="24"/>
          <w:highlight w:val="none"/>
          <w:lang w:val="en-US" w:eastAsia="zh-CN"/>
        </w:rPr>
        <w:t>——第i个水质因子的监测浓度值，mg/L；</w:t>
      </w:r>
    </w:p>
    <w:p w14:paraId="2E5673C4">
      <w:pPr>
        <w:spacing w:line="360" w:lineRule="auto"/>
        <w:ind w:firstLine="1320" w:firstLineChars="55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C</w:t>
      </w:r>
      <w:r>
        <w:rPr>
          <w:rFonts w:hint="default" w:ascii="Times New Roman" w:hAnsi="Times New Roman" w:eastAsia="宋体" w:cs="Times New Roman"/>
          <w:bCs/>
          <w:color w:val="auto"/>
          <w:sz w:val="24"/>
          <w:szCs w:val="24"/>
          <w:highlight w:val="none"/>
          <w:vertAlign w:val="subscript"/>
          <w:lang w:val="en-US" w:eastAsia="zh-CN"/>
        </w:rPr>
        <w:t>si</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bCs/>
          <w:color w:val="auto"/>
          <w:sz w:val="24"/>
          <w:szCs w:val="24"/>
          <w:highlight w:val="none"/>
          <w:lang w:val="en-US" w:eastAsia="zh-CN"/>
        </w:rPr>
        <w:t>第</w:t>
      </w:r>
      <w:r>
        <w:rPr>
          <w:rFonts w:hint="default" w:ascii="Times New Roman" w:hAnsi="Times New Roman" w:eastAsia="宋体" w:cs="Times New Roman"/>
          <w:bCs/>
          <w:color w:val="auto"/>
          <w:sz w:val="24"/>
          <w:szCs w:val="24"/>
          <w:highlight w:val="none"/>
        </w:rPr>
        <w:t>i</w:t>
      </w:r>
      <w:r>
        <w:rPr>
          <w:rFonts w:hint="default" w:ascii="Times New Roman" w:hAnsi="Times New Roman" w:eastAsia="宋体" w:cs="Times New Roman"/>
          <w:bCs/>
          <w:color w:val="auto"/>
          <w:sz w:val="24"/>
          <w:szCs w:val="24"/>
          <w:highlight w:val="none"/>
          <w:lang w:val="en-US" w:eastAsia="zh-CN"/>
        </w:rPr>
        <w:t>个水质因子</w:t>
      </w:r>
      <w:r>
        <w:rPr>
          <w:rFonts w:hint="default" w:ascii="Times New Roman" w:hAnsi="Times New Roman" w:eastAsia="宋体" w:cs="Times New Roman"/>
          <w:bCs/>
          <w:color w:val="auto"/>
          <w:sz w:val="24"/>
          <w:szCs w:val="24"/>
          <w:highlight w:val="none"/>
        </w:rPr>
        <w:t>的</w:t>
      </w:r>
      <w:r>
        <w:rPr>
          <w:rFonts w:hint="default" w:ascii="Times New Roman" w:hAnsi="Times New Roman" w:eastAsia="宋体" w:cs="Times New Roman"/>
          <w:bCs/>
          <w:color w:val="auto"/>
          <w:sz w:val="24"/>
          <w:szCs w:val="24"/>
          <w:highlight w:val="none"/>
          <w:lang w:val="en-US" w:eastAsia="zh-CN"/>
        </w:rPr>
        <w:t>标准浓度值</w:t>
      </w:r>
      <w:r>
        <w:rPr>
          <w:rFonts w:hint="default" w:ascii="Times New Roman" w:hAnsi="Times New Roman" w:eastAsia="宋体" w:cs="Times New Roman"/>
          <w:bCs/>
          <w:color w:val="auto"/>
          <w:sz w:val="24"/>
          <w:szCs w:val="24"/>
          <w:highlight w:val="none"/>
        </w:rPr>
        <w:t>，mg/L。</w:t>
      </w:r>
    </w:p>
    <w:p w14:paraId="667BE94D">
      <w:pPr>
        <w:spacing w:line="360" w:lineRule="auto"/>
        <w:ind w:firstLine="55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2）pH特殊水质因子</w:t>
      </w:r>
    </w:p>
    <w:p w14:paraId="5EE47743">
      <w:pPr>
        <w:spacing w:line="360" w:lineRule="auto"/>
        <w:ind w:firstLine="2781" w:firstLineChars="115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30"/>
          <w:sz w:val="24"/>
          <w:szCs w:val="24"/>
          <w:highlight w:val="none"/>
          <w:lang w:val="en-US" w:eastAsia="zh-CN"/>
        </w:rPr>
        <w:object>
          <v:shape id="_x0000_i1039" o:spt="75" type="#_x0000_t75" style="height:34pt;width:89pt;" o:ole="t" filled="f" o:preferrelative="t" stroked="f" coordsize="21600,21600">
            <v:path/>
            <v:fill on="f" focussize="0,0"/>
            <v:stroke on="f"/>
            <v:imagedata r:id="rId70" o:title=""/>
            <o:lock v:ext="edit" aspectratio="t"/>
            <w10:wrap type="none"/>
            <w10:anchorlock/>
          </v:shape>
          <o:OLEObject Type="Embed" ProgID="Equation.KSEE3" ShapeID="_x0000_i1039" DrawAspect="Content" ObjectID="_1468075739" r:id="rId69">
            <o:LockedField>false</o:LockedField>
          </o:OLEObject>
        </w:object>
      </w:r>
      <w:r>
        <w:rPr>
          <w:rFonts w:hint="default" w:ascii="Times New Roman" w:hAnsi="Times New Roman" w:eastAsia="宋体" w:cs="Times New Roman"/>
          <w:color w:val="auto"/>
          <w:sz w:val="24"/>
          <w:szCs w:val="24"/>
          <w:highlight w:val="none"/>
          <w:lang w:val="en-US" w:eastAsia="zh-CN"/>
        </w:rPr>
        <w:t xml:space="preserve">    pH≤7时</w:t>
      </w:r>
    </w:p>
    <w:p w14:paraId="14ACBF41">
      <w:pPr>
        <w:spacing w:line="360" w:lineRule="auto"/>
        <w:ind w:firstLine="2781" w:firstLineChars="115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30"/>
          <w:sz w:val="24"/>
          <w:szCs w:val="24"/>
          <w:highlight w:val="none"/>
          <w:lang w:eastAsia="zh-CN"/>
        </w:rPr>
        <w:object>
          <v:shape id="_x0000_i1040" o:spt="75" type="#_x0000_t75" style="height:34pt;width:88pt;" o:ole="t" filled="f" o:preferrelative="t" stroked="f" coordsize="21600,21600">
            <v:path/>
            <v:fill on="f" focussize="0,0"/>
            <v:stroke on="f"/>
            <v:imagedata r:id="rId72" o:title=""/>
            <o:lock v:ext="edit" aspectratio="t"/>
            <w10:wrap type="none"/>
            <w10:anchorlock/>
          </v:shape>
          <o:OLEObject Type="Embed" ProgID="Equation.KSEE3" ShapeID="_x0000_i1040" DrawAspect="Content" ObjectID="_1468075740" r:id="rId71">
            <o:LockedField>false</o:LockedField>
          </o:OLEObject>
        </w:object>
      </w:r>
      <w:r>
        <w:rPr>
          <w:rFonts w:hint="default" w:ascii="Times New Roman" w:hAnsi="Times New Roman" w:eastAsia="宋体" w:cs="Times New Roman"/>
          <w:color w:val="auto"/>
          <w:sz w:val="24"/>
          <w:szCs w:val="24"/>
          <w:highlight w:val="none"/>
          <w:lang w:val="en-US" w:eastAsia="zh-CN"/>
        </w:rPr>
        <w:t xml:space="preserve">    pH&gt;7时</w:t>
      </w:r>
    </w:p>
    <w:p w14:paraId="1E7960A1">
      <w:pPr>
        <w:spacing w:line="360" w:lineRule="auto"/>
        <w:ind w:firstLine="55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lang w:val="en-US" w:eastAsia="zh-CN"/>
        </w:rPr>
        <w:t>P</w:t>
      </w:r>
      <w:r>
        <w:rPr>
          <w:rFonts w:hint="default" w:ascii="Times New Roman" w:hAnsi="Times New Roman" w:eastAsia="宋体" w:cs="Times New Roman"/>
          <w:color w:val="auto"/>
          <w:sz w:val="24"/>
          <w:szCs w:val="24"/>
          <w:highlight w:val="none"/>
          <w:vertAlign w:val="subscript"/>
        </w:rPr>
        <w:t>pH</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pH的标准指数，无量纲</w:t>
      </w:r>
      <w:r>
        <w:rPr>
          <w:rFonts w:hint="default" w:ascii="Times New Roman" w:hAnsi="Times New Roman" w:eastAsia="宋体" w:cs="Times New Roman"/>
          <w:color w:val="auto"/>
          <w:sz w:val="24"/>
          <w:szCs w:val="24"/>
          <w:highlight w:val="none"/>
        </w:rPr>
        <w:t>；</w:t>
      </w:r>
    </w:p>
    <w:p w14:paraId="380299EE">
      <w:pPr>
        <w:spacing w:line="360" w:lineRule="auto"/>
        <w:ind w:firstLine="1269" w:firstLineChars="52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w:t>
      </w:r>
      <w:r>
        <w:rPr>
          <w:rFonts w:hint="default" w:ascii="Times New Roman" w:hAnsi="Times New Roman" w:eastAsia="宋体" w:cs="Times New Roman"/>
          <w:color w:val="auto"/>
          <w:sz w:val="24"/>
          <w:szCs w:val="24"/>
          <w:highlight w:val="none"/>
          <w:vertAlign w:val="baseline"/>
        </w:rPr>
        <w:t>H</w:t>
      </w:r>
      <w:r>
        <w:rPr>
          <w:rFonts w:hint="default" w:ascii="Times New Roman" w:hAnsi="Times New Roman" w:eastAsia="宋体" w:cs="Times New Roman"/>
          <w:color w:val="auto"/>
          <w:sz w:val="24"/>
          <w:szCs w:val="24"/>
          <w:highlight w:val="none"/>
        </w:rPr>
        <w:t>—pH</w:t>
      </w:r>
      <w:r>
        <w:rPr>
          <w:rFonts w:hint="default" w:ascii="Times New Roman" w:hAnsi="Times New Roman" w:eastAsia="宋体" w:cs="Times New Roman"/>
          <w:color w:val="auto"/>
          <w:sz w:val="24"/>
          <w:szCs w:val="24"/>
          <w:highlight w:val="none"/>
          <w:lang w:val="en-US" w:eastAsia="zh-CN"/>
        </w:rPr>
        <w:t>的监测值</w:t>
      </w:r>
      <w:r>
        <w:rPr>
          <w:rFonts w:hint="default" w:ascii="Times New Roman" w:hAnsi="Times New Roman" w:eastAsia="宋体" w:cs="Times New Roman"/>
          <w:color w:val="auto"/>
          <w:sz w:val="24"/>
          <w:szCs w:val="24"/>
          <w:highlight w:val="none"/>
        </w:rPr>
        <w:t>；</w:t>
      </w:r>
    </w:p>
    <w:p w14:paraId="11C19B38">
      <w:pPr>
        <w:spacing w:line="360" w:lineRule="auto"/>
        <w:ind w:firstLine="1344" w:firstLineChars="56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pH</w:t>
      </w:r>
      <w:r>
        <w:rPr>
          <w:rFonts w:hint="default" w:ascii="Times New Roman" w:hAnsi="Times New Roman" w:eastAsia="宋体" w:cs="Times New Roman"/>
          <w:color w:val="auto"/>
          <w:sz w:val="24"/>
          <w:szCs w:val="24"/>
          <w:highlight w:val="none"/>
          <w:vertAlign w:val="subscript"/>
          <w:lang w:val="en-US" w:eastAsia="zh-CN"/>
        </w:rPr>
        <w:t>su</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标准中pH的上限值；</w:t>
      </w:r>
    </w:p>
    <w:p w14:paraId="7363B1F2">
      <w:pPr>
        <w:spacing w:line="360" w:lineRule="auto"/>
        <w:ind w:firstLine="1344" w:firstLineChars="56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pH</w:t>
      </w:r>
      <w:r>
        <w:rPr>
          <w:rFonts w:hint="default" w:ascii="Times New Roman" w:hAnsi="Times New Roman" w:eastAsia="宋体" w:cs="Times New Roman"/>
          <w:color w:val="auto"/>
          <w:sz w:val="24"/>
          <w:szCs w:val="24"/>
          <w:highlight w:val="none"/>
          <w:vertAlign w:val="subscript"/>
          <w:lang w:val="en-US" w:eastAsia="zh-CN"/>
        </w:rPr>
        <w:t>sd</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标准中pH的</w:t>
      </w:r>
      <w:r>
        <w:rPr>
          <w:rFonts w:hint="default" w:ascii="Times New Roman" w:hAnsi="Times New Roman" w:eastAsia="宋体" w:cs="Times New Roman"/>
          <w:color w:val="auto"/>
          <w:sz w:val="24"/>
          <w:szCs w:val="24"/>
          <w:highlight w:val="none"/>
        </w:rPr>
        <w:t>下限</w:t>
      </w:r>
      <w:r>
        <w:rPr>
          <w:rFonts w:hint="default" w:ascii="Times New Roman" w:hAnsi="Times New Roman" w:eastAsia="宋体" w:cs="Times New Roman"/>
          <w:color w:val="auto"/>
          <w:sz w:val="24"/>
          <w:szCs w:val="24"/>
          <w:highlight w:val="none"/>
          <w:lang w:val="en-US" w:eastAsia="zh-CN"/>
        </w:rPr>
        <w:t>值</w:t>
      </w:r>
      <w:r>
        <w:rPr>
          <w:rFonts w:hint="default" w:ascii="Times New Roman" w:hAnsi="Times New Roman" w:eastAsia="宋体" w:cs="Times New Roman"/>
          <w:color w:val="auto"/>
          <w:sz w:val="24"/>
          <w:szCs w:val="24"/>
          <w:highlight w:val="none"/>
        </w:rPr>
        <w:t>。</w:t>
      </w:r>
    </w:p>
    <w:p w14:paraId="7ED37CE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水质参数的标准指数大于1，表示该水质参数超过了规定的水质标准，已经 不能满足使用要求。</w:t>
      </w:r>
    </w:p>
    <w:p w14:paraId="1DD21103">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jc w:val="both"/>
        <w:textAlignment w:val="auto"/>
        <w:rPr>
          <w:rFonts w:hint="default" w:ascii="Times New Roman" w:hAnsi="Times New Roman" w:eastAsia="宋体" w:cs="Times New Roman"/>
          <w:color w:val="auto"/>
          <w:sz w:val="24"/>
          <w:szCs w:val="24"/>
          <w:highlight w:val="none"/>
          <w:lang w:val="en-US" w:eastAsia="zh-CN"/>
        </w:rPr>
      </w:pPr>
      <w:bookmarkStart w:id="133" w:name="_Toc26701"/>
      <w:r>
        <w:rPr>
          <w:rFonts w:hint="default" w:ascii="Times New Roman" w:hAnsi="Times New Roman" w:eastAsia="宋体" w:cs="Times New Roman"/>
          <w:b/>
          <w:bCs/>
          <w:color w:val="auto"/>
          <w:sz w:val="24"/>
          <w:szCs w:val="24"/>
          <w:highlight w:val="none"/>
          <w:lang w:val="en-US" w:eastAsia="zh-CN"/>
        </w:rPr>
        <w:t>（</w:t>
      </w:r>
      <w:r>
        <w:rPr>
          <w:rFonts w:hint="eastAsia"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）监测结果</w:t>
      </w:r>
      <w:bookmarkEnd w:id="133"/>
    </w:p>
    <w:p w14:paraId="5CCC23A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根据《生活饮用水标准检验方法 水质分析质量控制》</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GB/T 57503-2006</w:t>
      </w:r>
      <w:r>
        <w:rPr>
          <w:rFonts w:hint="eastAsia" w:ascii="Times New Roman" w:hAnsi="Times New Roman" w:eastAsia="宋体" w:cs="Times New Roman"/>
          <w:color w:val="auto"/>
          <w:sz w:val="24"/>
          <w:szCs w:val="24"/>
          <w:highlight w:val="none"/>
          <w:lang w:val="en-US" w:eastAsia="zh-CN"/>
        </w:rPr>
        <w:t>）</w:t>
      </w:r>
      <w:r>
        <w:rPr>
          <w:rFonts w:hint="eastAsia"/>
          <w:color w:val="auto"/>
          <w:highlight w:val="none"/>
          <w:lang w:eastAsia="zh-CN"/>
        </w:rPr>
        <w:t>，</w:t>
      </w:r>
      <w:r>
        <w:rPr>
          <w:rFonts w:hint="eastAsia" w:ascii="Times New Roman" w:hAnsi="Times New Roman" w:eastAsia="宋体" w:cs="Times New Roman"/>
          <w:color w:val="auto"/>
          <w:sz w:val="24"/>
          <w:szCs w:val="24"/>
          <w:highlight w:val="none"/>
          <w:lang w:eastAsia="zh-CN"/>
        </w:rPr>
        <w:t>采用以下公式对“八大阴阳离子”平衡进行校验：</w:t>
      </w:r>
    </w:p>
    <w:p w14:paraId="035E156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drawing>
          <wp:inline distT="0" distB="0" distL="114300" distR="114300">
            <wp:extent cx="2019300" cy="571500"/>
            <wp:effectExtent l="0" t="0" r="0" b="0"/>
            <wp:docPr id="13" name="图片 20" descr="29e2d6a5-0d38-40e3-89ae-b18a210c39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0" descr="29e2d6a5-0d38-40e3-89ae-b18a210c390a"/>
                    <pic:cNvPicPr>
                      <a:picLocks noChangeAspect="1"/>
                    </pic:cNvPicPr>
                  </pic:nvPicPr>
                  <pic:blipFill>
                    <a:blip r:embed="rId73"/>
                    <a:stretch>
                      <a:fillRect/>
                    </a:stretch>
                  </pic:blipFill>
                  <pic:spPr>
                    <a:xfrm>
                      <a:off x="0" y="0"/>
                      <a:ext cx="2019300" cy="571500"/>
                    </a:xfrm>
                    <a:prstGeom prst="rect">
                      <a:avLst/>
                    </a:prstGeom>
                    <a:noFill/>
                    <a:ln>
                      <a:noFill/>
                    </a:ln>
                  </pic:spPr>
                </pic:pic>
              </a:graphicData>
            </a:graphic>
          </wp:inline>
        </w:drawing>
      </w:r>
    </w:p>
    <w:p w14:paraId="15DDBCD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式中：E为相对误差，mc和ma分别是阴阳离子的毫克当量浓度</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meqL）。K</w:t>
      </w:r>
      <w:r>
        <w:rPr>
          <w:rFonts w:hint="eastAsia" w:ascii="Times New Roman" w:hAnsi="Times New Roman" w:eastAsia="宋体" w:cs="Times New Roman"/>
          <w:color w:val="auto"/>
          <w:sz w:val="24"/>
          <w:szCs w:val="24"/>
          <w:highlight w:val="none"/>
          <w:vertAlign w:val="superscript"/>
          <w:lang w:val="en-US" w:eastAsia="zh-CN"/>
        </w:rPr>
        <w:t>+</w:t>
      </w:r>
      <w:r>
        <w:rPr>
          <w:rFonts w:hint="eastAsia" w:ascii="Times New Roman" w:hAnsi="Times New Roman" w:eastAsia="宋体" w:cs="Times New Roman"/>
          <w:color w:val="auto"/>
          <w:sz w:val="24"/>
          <w:szCs w:val="24"/>
          <w:highlight w:val="none"/>
          <w:lang w:val="en-US" w:eastAsia="zh-CN"/>
        </w:rPr>
        <w:t>、Na</w:t>
      </w:r>
      <w:r>
        <w:rPr>
          <w:rFonts w:hint="eastAsia" w:ascii="Times New Roman" w:hAnsi="Times New Roman" w:eastAsia="宋体" w:cs="Times New Roman"/>
          <w:color w:val="auto"/>
          <w:sz w:val="24"/>
          <w:szCs w:val="24"/>
          <w:highlight w:val="none"/>
          <w:vertAlign w:val="superscript"/>
          <w:lang w:val="en-US" w:eastAsia="zh-CN"/>
        </w:rPr>
        <w:t>+</w:t>
      </w:r>
      <w:r>
        <w:rPr>
          <w:rFonts w:hint="eastAsia" w:ascii="Times New Roman" w:hAnsi="Times New Roman" w:eastAsia="宋体" w:cs="Times New Roman"/>
          <w:color w:val="auto"/>
          <w:sz w:val="24"/>
          <w:szCs w:val="24"/>
          <w:highlight w:val="none"/>
          <w:lang w:val="en-US" w:eastAsia="zh-CN"/>
        </w:rPr>
        <w:t>为实测值，E应小于正负5%，如果K</w:t>
      </w:r>
      <w:r>
        <w:rPr>
          <w:rFonts w:hint="eastAsia" w:ascii="Times New Roman" w:hAnsi="Times New Roman" w:eastAsia="宋体" w:cs="Times New Roman"/>
          <w:color w:val="auto"/>
          <w:sz w:val="24"/>
          <w:szCs w:val="24"/>
          <w:highlight w:val="none"/>
          <w:vertAlign w:val="superscript"/>
          <w:lang w:val="en-US" w:eastAsia="zh-CN"/>
        </w:rPr>
        <w:t>+</w:t>
      </w:r>
      <w:r>
        <w:rPr>
          <w:rFonts w:hint="eastAsia" w:ascii="Times New Roman" w:hAnsi="Times New Roman" w:eastAsia="宋体" w:cs="Times New Roman"/>
          <w:color w:val="auto"/>
          <w:sz w:val="24"/>
          <w:szCs w:val="24"/>
          <w:highlight w:val="none"/>
          <w:lang w:val="en-US" w:eastAsia="zh-CN"/>
        </w:rPr>
        <w:t>、Na</w:t>
      </w:r>
      <w:r>
        <w:rPr>
          <w:rFonts w:hint="eastAsia" w:ascii="Times New Roman" w:hAnsi="Times New Roman" w:eastAsia="宋体" w:cs="Times New Roman"/>
          <w:color w:val="auto"/>
          <w:sz w:val="24"/>
          <w:szCs w:val="24"/>
          <w:highlight w:val="none"/>
          <w:vertAlign w:val="superscript"/>
          <w:lang w:val="en-US" w:eastAsia="zh-CN"/>
        </w:rPr>
        <w:t>+</w:t>
      </w:r>
      <w:r>
        <w:rPr>
          <w:rFonts w:hint="eastAsia" w:ascii="Times New Roman" w:hAnsi="Times New Roman" w:eastAsia="宋体" w:cs="Times New Roman"/>
          <w:color w:val="auto"/>
          <w:sz w:val="24"/>
          <w:szCs w:val="24"/>
          <w:highlight w:val="none"/>
          <w:lang w:val="en-US" w:eastAsia="zh-CN"/>
        </w:rPr>
        <w:t>为计算值，E应为零或接近零。</w:t>
      </w:r>
    </w:p>
    <w:p w14:paraId="30ABA64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本次补充监测的地下水监测点</w:t>
      </w:r>
      <w:r>
        <w:rPr>
          <w:rFonts w:hint="eastAsia" w:ascii="Times New Roman" w:hAnsi="Times New Roman" w:eastAsia="宋体" w:cs="Times New Roman"/>
          <w:b w:val="0"/>
          <w:bCs w:val="0"/>
          <w:color w:val="auto"/>
          <w:sz w:val="24"/>
          <w:szCs w:val="24"/>
          <w:lang w:val="en-US" w:eastAsia="zh-CN"/>
        </w:rPr>
        <w:t>项目区新建背景监测点（上游）J1、项目区新建污染监测点J2、大为焦制气有限公司监测井（下游）J3，</w:t>
      </w:r>
      <w:r>
        <w:rPr>
          <w:rFonts w:hint="eastAsia" w:ascii="Times New Roman" w:hAnsi="Times New Roman" w:eastAsia="宋体" w:cs="Times New Roman"/>
          <w:color w:val="auto"/>
          <w:sz w:val="24"/>
          <w:szCs w:val="24"/>
          <w:highlight w:val="none"/>
          <w:lang w:val="en-US" w:eastAsia="zh-CN"/>
        </w:rPr>
        <w:t>的八大阴阳离子平衡校验结果见下表。</w:t>
      </w:r>
    </w:p>
    <w:p w14:paraId="21B8702B">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地下水八大阴阳离子平衡校验结果一览表</w:t>
      </w:r>
    </w:p>
    <w:tbl>
      <w:tblPr>
        <w:tblStyle w:val="21"/>
        <w:tblW w:w="488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9"/>
        <w:gridCol w:w="1490"/>
        <w:gridCol w:w="1091"/>
        <w:gridCol w:w="989"/>
        <w:gridCol w:w="1211"/>
        <w:gridCol w:w="1168"/>
        <w:gridCol w:w="1004"/>
        <w:gridCol w:w="1095"/>
      </w:tblGrid>
      <w:tr w14:paraId="4E2A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07" w:type="pct"/>
            <w:vMerge w:val="restart"/>
            <w:tcBorders>
              <w:top w:val="single" w:color="000000" w:sz="4" w:space="0"/>
              <w:left w:val="single" w:color="000000" w:sz="4" w:space="0"/>
              <w:bottom w:val="single" w:color="000000" w:sz="4" w:space="0"/>
              <w:right w:val="single" w:color="000000" w:sz="4" w:space="0"/>
            </w:tcBorders>
            <w:noWrap w:val="0"/>
            <w:vAlign w:val="center"/>
          </w:tcPr>
          <w:p w14:paraId="0F8018E1">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基础信息</w:t>
            </w: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1A54FBBB">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编号</w:t>
            </w:r>
          </w:p>
        </w:tc>
        <w:tc>
          <w:tcPr>
            <w:tcW w:w="1161" w:type="pct"/>
            <w:gridSpan w:val="2"/>
            <w:tcBorders>
              <w:top w:val="single" w:color="000000" w:sz="4" w:space="0"/>
              <w:left w:val="single" w:color="000000" w:sz="4" w:space="0"/>
              <w:bottom w:val="single" w:color="000000" w:sz="4" w:space="0"/>
              <w:right w:val="single" w:color="000000" w:sz="4" w:space="0"/>
            </w:tcBorders>
            <w:noWrap/>
            <w:vAlign w:val="center"/>
          </w:tcPr>
          <w:p w14:paraId="7EA21C32">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vertAlign w:val="baseline"/>
              </w:rPr>
            </w:pPr>
            <w:r>
              <w:rPr>
                <w:rFonts w:hint="default" w:ascii="Times New Roman" w:hAnsi="Times New Roman" w:cs="Times New Roman" w:eastAsiaTheme="minorEastAsia"/>
                <w:b w:val="0"/>
                <w:bCs w:val="0"/>
                <w:color w:val="auto"/>
                <w:sz w:val="21"/>
                <w:szCs w:val="21"/>
                <w:lang w:val="en-US" w:eastAsia="zh-CN"/>
              </w:rPr>
              <w:t>项目区新建背景监测点（上游）J1</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3CE34D6A">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vertAlign w:val="baseline"/>
              </w:rPr>
            </w:pPr>
            <w:r>
              <w:rPr>
                <w:rFonts w:hint="default" w:ascii="Times New Roman" w:hAnsi="Times New Roman" w:cs="Times New Roman" w:eastAsiaTheme="minorEastAsia"/>
                <w:b w:val="0"/>
                <w:bCs w:val="0"/>
                <w:color w:val="auto"/>
                <w:sz w:val="21"/>
                <w:szCs w:val="21"/>
                <w:lang w:val="en-US" w:eastAsia="zh-CN"/>
              </w:rPr>
              <w:t>项目区新建</w:t>
            </w:r>
            <w:r>
              <w:rPr>
                <w:rFonts w:hint="eastAsia" w:ascii="Times New Roman" w:hAnsi="Times New Roman" w:cs="Times New Roman" w:eastAsiaTheme="minorEastAsia"/>
                <w:b w:val="0"/>
                <w:bCs w:val="0"/>
                <w:color w:val="auto"/>
                <w:sz w:val="21"/>
                <w:szCs w:val="21"/>
                <w:lang w:val="en-US" w:eastAsia="zh-CN"/>
              </w:rPr>
              <w:t>项目区</w:t>
            </w:r>
            <w:r>
              <w:rPr>
                <w:rFonts w:hint="default" w:ascii="Times New Roman" w:hAnsi="Times New Roman" w:cs="Times New Roman" w:eastAsiaTheme="minorEastAsia"/>
                <w:b w:val="0"/>
                <w:bCs w:val="0"/>
                <w:color w:val="auto"/>
                <w:sz w:val="21"/>
                <w:szCs w:val="21"/>
                <w:lang w:val="en-US" w:eastAsia="zh-CN"/>
              </w:rPr>
              <w:t>污染监测井J2</w:t>
            </w:r>
          </w:p>
        </w:tc>
        <w:tc>
          <w:tcPr>
            <w:tcW w:w="1171" w:type="pct"/>
            <w:gridSpan w:val="2"/>
            <w:tcBorders>
              <w:top w:val="single" w:color="000000" w:sz="4" w:space="0"/>
              <w:left w:val="single" w:color="000000" w:sz="4" w:space="0"/>
              <w:bottom w:val="single" w:color="000000" w:sz="4" w:space="0"/>
              <w:right w:val="single" w:color="000000" w:sz="4" w:space="0"/>
            </w:tcBorders>
            <w:noWrap w:val="0"/>
            <w:vAlign w:val="center"/>
          </w:tcPr>
          <w:p w14:paraId="1BE98766">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vertAlign w:val="baseline"/>
              </w:rPr>
            </w:pPr>
            <w:r>
              <w:rPr>
                <w:rFonts w:hint="default" w:ascii="Times New Roman" w:hAnsi="Times New Roman" w:cs="Times New Roman" w:eastAsiaTheme="minorEastAsia"/>
                <w:b w:val="0"/>
                <w:bCs w:val="0"/>
                <w:color w:val="auto"/>
                <w:sz w:val="21"/>
                <w:szCs w:val="21"/>
                <w:lang w:val="en-US" w:eastAsia="zh-CN"/>
              </w:rPr>
              <w:t>下游污染扩散监测井（曲靖大为焦化制气地下水监测井DX01）（下游）J3</w:t>
            </w:r>
          </w:p>
        </w:tc>
      </w:tr>
      <w:tr w14:paraId="4E99F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D9AF1A">
            <w:pPr>
              <w:jc w:val="center"/>
              <w:rPr>
                <w:rFonts w:hint="default" w:ascii="Times New Roman" w:hAnsi="Times New Roman" w:cs="Times New Roman" w:eastAsiaTheme="minorEastAsia"/>
                <w:b/>
                <w:bCs/>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1DC4DCE6">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日期</w:t>
            </w:r>
          </w:p>
        </w:tc>
        <w:tc>
          <w:tcPr>
            <w:tcW w:w="609" w:type="pct"/>
            <w:tcBorders>
              <w:top w:val="single" w:color="000000" w:sz="4" w:space="0"/>
              <w:left w:val="single" w:color="000000" w:sz="4" w:space="0"/>
              <w:bottom w:val="single" w:color="000000" w:sz="4" w:space="0"/>
              <w:right w:val="single" w:color="000000" w:sz="4" w:space="0"/>
            </w:tcBorders>
            <w:noWrap/>
            <w:vAlign w:val="center"/>
          </w:tcPr>
          <w:p w14:paraId="401C4597">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lang w:val="en-US"/>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2026.7.1</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D1DA6A7">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2026.7.2</w:t>
            </w:r>
          </w:p>
        </w:tc>
        <w:tc>
          <w:tcPr>
            <w:tcW w:w="676" w:type="pct"/>
            <w:tcBorders>
              <w:top w:val="single" w:color="000000" w:sz="4" w:space="0"/>
              <w:left w:val="single" w:color="000000" w:sz="4" w:space="0"/>
              <w:bottom w:val="single" w:color="000000" w:sz="4" w:space="0"/>
              <w:right w:val="single" w:color="000000" w:sz="4" w:space="0"/>
            </w:tcBorders>
            <w:noWrap/>
            <w:vAlign w:val="center"/>
          </w:tcPr>
          <w:p w14:paraId="49E7FCCF">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2026.7.1</w:t>
            </w:r>
          </w:p>
        </w:tc>
        <w:tc>
          <w:tcPr>
            <w:tcW w:w="652" w:type="pct"/>
            <w:tcBorders>
              <w:top w:val="single" w:color="000000" w:sz="4" w:space="0"/>
              <w:left w:val="single" w:color="000000" w:sz="4" w:space="0"/>
              <w:bottom w:val="single" w:color="000000" w:sz="4" w:space="0"/>
              <w:right w:val="single" w:color="000000" w:sz="4" w:space="0"/>
            </w:tcBorders>
            <w:noWrap/>
            <w:vAlign w:val="center"/>
          </w:tcPr>
          <w:p w14:paraId="4F0EEADD">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2026.7.2</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7D1C0DC">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2026.7.1</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7F065EF9">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cs="Times New Roman" w:eastAsiaTheme="minorEastAsia"/>
                <w:b/>
                <w:bCs/>
                <w:i w:val="0"/>
                <w:iCs w:val="0"/>
                <w:color w:val="auto"/>
                <w:kern w:val="0"/>
                <w:sz w:val="21"/>
                <w:szCs w:val="21"/>
                <w:highlight w:val="none"/>
                <w:u w:val="none"/>
                <w:lang w:val="en-US" w:eastAsia="zh-CN" w:bidi="ar"/>
              </w:rPr>
              <w:t>2026.7.2</w:t>
            </w:r>
          </w:p>
        </w:tc>
      </w:tr>
      <w:tr w14:paraId="31B0A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07" w:type="pct"/>
            <w:vMerge w:val="restart"/>
            <w:tcBorders>
              <w:top w:val="single" w:color="000000" w:sz="4" w:space="0"/>
              <w:left w:val="single" w:color="000000" w:sz="4" w:space="0"/>
              <w:bottom w:val="single" w:color="000000" w:sz="4" w:space="0"/>
              <w:right w:val="single" w:color="000000" w:sz="4" w:space="0"/>
            </w:tcBorders>
            <w:noWrap w:val="0"/>
            <w:vAlign w:val="center"/>
          </w:tcPr>
          <w:p w14:paraId="62E7BCF8">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主要离</w:t>
            </w:r>
            <w:r>
              <w:rPr>
                <w:rStyle w:val="40"/>
                <w:rFonts w:hint="default" w:ascii="Times New Roman" w:hAnsi="Times New Roman" w:cs="Times New Roman" w:eastAsiaTheme="minorEastAsia"/>
                <w:color w:val="auto"/>
                <w:sz w:val="21"/>
                <w:szCs w:val="21"/>
                <w:highlight w:val="none"/>
                <w:lang w:val="en-US" w:eastAsia="zh-CN" w:bidi="ar"/>
              </w:rPr>
              <w:t>子浓度（</w:t>
            </w:r>
            <w:r>
              <w:rPr>
                <w:rStyle w:val="41"/>
                <w:rFonts w:hint="default" w:ascii="Times New Roman" w:hAnsi="Times New Roman" w:cs="Times New Roman" w:eastAsiaTheme="minorEastAsia"/>
                <w:color w:val="auto"/>
                <w:sz w:val="21"/>
                <w:szCs w:val="21"/>
                <w:highlight w:val="none"/>
                <w:lang w:val="en-US" w:eastAsia="zh-CN" w:bidi="ar"/>
              </w:rPr>
              <w:t>mg/L</w:t>
            </w:r>
            <w:r>
              <w:rPr>
                <w:rStyle w:val="40"/>
                <w:rFonts w:hint="default" w:ascii="Times New Roman" w:hAnsi="Times New Roman" w:cs="Times New Roman" w:eastAsiaTheme="minorEastAsia"/>
                <w:color w:val="auto"/>
                <w:sz w:val="21"/>
                <w:szCs w:val="21"/>
                <w:highlight w:val="none"/>
                <w:lang w:val="en-US" w:eastAsia="zh-CN" w:bidi="ar"/>
              </w:rPr>
              <w:t>）</w:t>
            </w: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32F49298">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K⁺</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337F4DAE">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1.65</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7E7041DF">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1.95</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5C62D1F7">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0.38</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52F5EE5A">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0.40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362FDAF">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1.30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32DAC8CC">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1.33</w:t>
            </w:r>
          </w:p>
        </w:tc>
      </w:tr>
      <w:tr w14:paraId="6530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188B2E">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4DBBEA43">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Na⁺</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47422C9A">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48.20</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31C2AD13">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44.70</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47A11531">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18.50</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052A5E89">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18.70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470ADAE">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21.30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39ADA7E8">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21.10</w:t>
            </w:r>
          </w:p>
        </w:tc>
      </w:tr>
      <w:tr w14:paraId="64C0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A9AAA3">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50A6E34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Ca²⁺</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CB6E853">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168.00</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63A51F83">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162.00</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0075A4AE">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166.00</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4B55B55">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165.00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7F912E87">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101.00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07E01A49">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102.00</w:t>
            </w:r>
          </w:p>
        </w:tc>
      </w:tr>
      <w:tr w14:paraId="06A74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74A6C9">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6DBE2736">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Mg²⁺</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15365E3C">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0.70</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51DC72E7">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0.70</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14F07438">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1.72</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159A68EB">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1.70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1D2DB12">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25.20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4A256500">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35.20</w:t>
            </w:r>
          </w:p>
        </w:tc>
      </w:tr>
      <w:tr w14:paraId="44BE5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1F8DB4">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3AAA13CD">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CO₃²⁻</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4D93581">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5.00</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357D87B6">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5.00</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4653D46A">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5.00</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72C0B9BB">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5.00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789534BD">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5.00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0407A3BB">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5.00</w:t>
            </w:r>
          </w:p>
        </w:tc>
      </w:tr>
      <w:tr w14:paraId="4CF5C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7B443">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4ACBD978">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HCO₃⁻</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08F5287">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412.00</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4CCC4D01">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415.00</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4F87C8CD">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325.00</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D4D6D34">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320.00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33B3BA65">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440.00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113D7070">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452.00</w:t>
            </w:r>
          </w:p>
        </w:tc>
      </w:tr>
      <w:tr w14:paraId="732F0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20466A">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369D1974">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Cl⁻</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7E23DA7">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27.80</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13A6247B">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22.70</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4B9F4FC6">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29.00</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3F6BD9F">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30.20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70CA994A">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2.72</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762E055E">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3.39</w:t>
            </w:r>
          </w:p>
        </w:tc>
      </w:tr>
      <w:tr w14:paraId="5EA81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5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8B589D">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51CC2D31">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SO₄²⁻</w:t>
            </w:r>
          </w:p>
        </w:tc>
        <w:tc>
          <w:tcPr>
            <w:tcW w:w="609" w:type="pct"/>
            <w:tcBorders>
              <w:top w:val="single" w:color="000000" w:sz="4" w:space="0"/>
              <w:left w:val="single" w:color="000000" w:sz="4" w:space="0"/>
              <w:bottom w:val="single" w:color="000000" w:sz="4" w:space="0"/>
              <w:right w:val="single" w:color="000000" w:sz="4" w:space="0"/>
            </w:tcBorders>
            <w:noWrap/>
            <w:vAlign w:val="center"/>
          </w:tcPr>
          <w:p w14:paraId="7E900B89">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103.00</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67C5649">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105.00</w:t>
            </w:r>
          </w:p>
        </w:tc>
        <w:tc>
          <w:tcPr>
            <w:tcW w:w="676" w:type="pct"/>
            <w:tcBorders>
              <w:top w:val="single" w:color="000000" w:sz="4" w:space="0"/>
              <w:left w:val="single" w:color="000000" w:sz="4" w:space="0"/>
              <w:bottom w:val="single" w:color="000000" w:sz="4" w:space="0"/>
              <w:right w:val="single" w:color="000000" w:sz="4" w:space="0"/>
            </w:tcBorders>
            <w:noWrap/>
            <w:vAlign w:val="center"/>
          </w:tcPr>
          <w:p w14:paraId="5355032B">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115.00</w:t>
            </w:r>
          </w:p>
        </w:tc>
        <w:tc>
          <w:tcPr>
            <w:tcW w:w="652" w:type="pct"/>
            <w:tcBorders>
              <w:top w:val="single" w:color="000000" w:sz="4" w:space="0"/>
              <w:left w:val="single" w:color="000000" w:sz="4" w:space="0"/>
              <w:bottom w:val="single" w:color="000000" w:sz="4" w:space="0"/>
              <w:right w:val="single" w:color="000000" w:sz="4" w:space="0"/>
            </w:tcBorders>
            <w:noWrap/>
            <w:vAlign w:val="center"/>
          </w:tcPr>
          <w:p w14:paraId="7C75DDC5">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116.00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2A1B77EC">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31.60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17009880">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33.10</w:t>
            </w:r>
          </w:p>
        </w:tc>
      </w:tr>
      <w:tr w14:paraId="6210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jc w:val="center"/>
        </w:trPr>
        <w:tc>
          <w:tcPr>
            <w:tcW w:w="507" w:type="pct"/>
            <w:vMerge w:val="restart"/>
            <w:tcBorders>
              <w:top w:val="single" w:color="000000" w:sz="4" w:space="0"/>
              <w:left w:val="single" w:color="000000" w:sz="4" w:space="0"/>
              <w:right w:val="single" w:color="000000" w:sz="4" w:space="0"/>
            </w:tcBorders>
            <w:noWrap w:val="0"/>
            <w:vAlign w:val="center"/>
          </w:tcPr>
          <w:p w14:paraId="10DCDB70">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平衡与</w:t>
            </w:r>
            <w:r>
              <w:rPr>
                <w:rStyle w:val="40"/>
                <w:rFonts w:hint="default" w:ascii="Times New Roman" w:hAnsi="Times New Roman" w:cs="Times New Roman" w:eastAsiaTheme="minorEastAsia"/>
                <w:color w:val="auto"/>
                <w:sz w:val="21"/>
                <w:szCs w:val="21"/>
                <w:highlight w:val="none"/>
                <w:lang w:val="en-US" w:eastAsia="zh-CN" w:bidi="ar"/>
              </w:rPr>
              <w:t>总量计算</w:t>
            </w: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40019B3B">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阳离子总和(meq/L)</w:t>
            </w:r>
          </w:p>
        </w:tc>
        <w:tc>
          <w:tcPr>
            <w:tcW w:w="609" w:type="pct"/>
            <w:tcBorders>
              <w:top w:val="single" w:color="000000" w:sz="4" w:space="0"/>
              <w:left w:val="single" w:color="000000" w:sz="4" w:space="0"/>
              <w:bottom w:val="single" w:color="000000" w:sz="4" w:space="0"/>
              <w:right w:val="single" w:color="000000" w:sz="4" w:space="0"/>
            </w:tcBorders>
            <w:noWrap/>
            <w:vAlign w:val="center"/>
          </w:tcPr>
          <w:p w14:paraId="1782394C">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10.5796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37DDC1D">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10.1356</w:t>
            </w:r>
          </w:p>
        </w:tc>
        <w:tc>
          <w:tcPr>
            <w:tcW w:w="676" w:type="pct"/>
            <w:tcBorders>
              <w:top w:val="single" w:color="000000" w:sz="4" w:space="0"/>
              <w:left w:val="single" w:color="000000" w:sz="4" w:space="0"/>
              <w:bottom w:val="single" w:color="000000" w:sz="4" w:space="0"/>
              <w:right w:val="single" w:color="000000" w:sz="4" w:space="0"/>
            </w:tcBorders>
            <w:noWrap/>
            <w:vAlign w:val="center"/>
          </w:tcPr>
          <w:p w14:paraId="0993C22E">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9.2394</w:t>
            </w:r>
          </w:p>
        </w:tc>
        <w:tc>
          <w:tcPr>
            <w:tcW w:w="652" w:type="pct"/>
            <w:tcBorders>
              <w:top w:val="single" w:color="000000" w:sz="4" w:space="0"/>
              <w:left w:val="single" w:color="000000" w:sz="4" w:space="0"/>
              <w:bottom w:val="single" w:color="000000" w:sz="4" w:space="0"/>
              <w:right w:val="single" w:color="000000" w:sz="4" w:space="0"/>
            </w:tcBorders>
            <w:noWrap/>
            <w:vAlign w:val="center"/>
          </w:tcPr>
          <w:p w14:paraId="27877407">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9.1970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7C71314C">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8.0729</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4D823486">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8.9376</w:t>
            </w:r>
          </w:p>
        </w:tc>
      </w:tr>
      <w:tr w14:paraId="3FF4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jc w:val="center"/>
        </w:trPr>
        <w:tc>
          <w:tcPr>
            <w:tcW w:w="507" w:type="pct"/>
            <w:vMerge w:val="continue"/>
            <w:tcBorders>
              <w:left w:val="single" w:color="000000" w:sz="4" w:space="0"/>
              <w:right w:val="single" w:color="000000" w:sz="4" w:space="0"/>
            </w:tcBorders>
            <w:noWrap w:val="0"/>
            <w:vAlign w:val="center"/>
          </w:tcPr>
          <w:p w14:paraId="23DC8636">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371305F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阴离子总和(meq/L)</w:t>
            </w:r>
          </w:p>
        </w:tc>
        <w:tc>
          <w:tcPr>
            <w:tcW w:w="609" w:type="pct"/>
            <w:tcBorders>
              <w:top w:val="single" w:color="000000" w:sz="4" w:space="0"/>
              <w:left w:val="single" w:color="000000" w:sz="4" w:space="0"/>
              <w:bottom w:val="single" w:color="000000" w:sz="4" w:space="0"/>
              <w:right w:val="single" w:color="000000" w:sz="4" w:space="0"/>
            </w:tcBorders>
            <w:noWrap/>
            <w:vAlign w:val="center"/>
          </w:tcPr>
          <w:p w14:paraId="3845AF4B">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9.8472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80997FD">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9.7942</w:t>
            </w:r>
          </w:p>
        </w:tc>
        <w:tc>
          <w:tcPr>
            <w:tcW w:w="676" w:type="pct"/>
            <w:tcBorders>
              <w:top w:val="single" w:color="000000" w:sz="4" w:space="0"/>
              <w:left w:val="single" w:color="000000" w:sz="4" w:space="0"/>
              <w:bottom w:val="single" w:color="000000" w:sz="4" w:space="0"/>
              <w:right w:val="single" w:color="000000" w:sz="4" w:space="0"/>
            </w:tcBorders>
            <w:noWrap/>
            <w:vAlign w:val="center"/>
          </w:tcPr>
          <w:p w14:paraId="31DC8578">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8.7052</w:t>
            </w:r>
          </w:p>
        </w:tc>
        <w:tc>
          <w:tcPr>
            <w:tcW w:w="652" w:type="pct"/>
            <w:tcBorders>
              <w:top w:val="single" w:color="000000" w:sz="4" w:space="0"/>
              <w:left w:val="single" w:color="000000" w:sz="4" w:space="0"/>
              <w:bottom w:val="single" w:color="000000" w:sz="4" w:space="0"/>
              <w:right w:val="single" w:color="000000" w:sz="4" w:space="0"/>
            </w:tcBorders>
            <w:noWrap/>
            <w:vAlign w:val="center"/>
          </w:tcPr>
          <w:p w14:paraId="61ECA2FE">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8.6779</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7FCF475">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8.1120</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6C99C034">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8.3588</w:t>
            </w:r>
          </w:p>
        </w:tc>
      </w:tr>
      <w:tr w14:paraId="148D7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507" w:type="pct"/>
            <w:vMerge w:val="continue"/>
            <w:tcBorders>
              <w:left w:val="single" w:color="000000" w:sz="4" w:space="0"/>
              <w:right w:val="single" w:color="000000" w:sz="4" w:space="0"/>
            </w:tcBorders>
            <w:noWrap w:val="0"/>
            <w:vAlign w:val="center"/>
          </w:tcPr>
          <w:p w14:paraId="6EC55C61">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24549E24">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1"/>
                <w:szCs w:val="21"/>
                <w:highlight w:val="none"/>
                <w:u w:val="none"/>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绝对误差(meq/L)</w:t>
            </w:r>
          </w:p>
        </w:tc>
        <w:tc>
          <w:tcPr>
            <w:tcW w:w="609" w:type="pct"/>
            <w:tcBorders>
              <w:top w:val="single" w:color="000000" w:sz="4" w:space="0"/>
              <w:left w:val="single" w:color="000000" w:sz="4" w:space="0"/>
              <w:bottom w:val="single" w:color="000000" w:sz="4" w:space="0"/>
              <w:right w:val="single" w:color="000000" w:sz="4" w:space="0"/>
            </w:tcBorders>
            <w:noWrap/>
            <w:vAlign w:val="center"/>
          </w:tcPr>
          <w:p w14:paraId="14AA45FF">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0.7324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7B1539F">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0.3415</w:t>
            </w:r>
          </w:p>
        </w:tc>
        <w:tc>
          <w:tcPr>
            <w:tcW w:w="676" w:type="pct"/>
            <w:tcBorders>
              <w:top w:val="single" w:color="000000" w:sz="4" w:space="0"/>
              <w:left w:val="single" w:color="000000" w:sz="4" w:space="0"/>
              <w:bottom w:val="single" w:color="000000" w:sz="4" w:space="0"/>
              <w:right w:val="single" w:color="000000" w:sz="4" w:space="0"/>
            </w:tcBorders>
            <w:noWrap/>
            <w:vAlign w:val="center"/>
          </w:tcPr>
          <w:p w14:paraId="3F901C3F">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0.5342</w:t>
            </w:r>
          </w:p>
        </w:tc>
        <w:tc>
          <w:tcPr>
            <w:tcW w:w="652" w:type="pct"/>
            <w:tcBorders>
              <w:top w:val="single" w:color="000000" w:sz="4" w:space="0"/>
              <w:left w:val="single" w:color="000000" w:sz="4" w:space="0"/>
              <w:bottom w:val="single" w:color="000000" w:sz="4" w:space="0"/>
              <w:right w:val="single" w:color="000000" w:sz="4" w:space="0"/>
            </w:tcBorders>
            <w:noWrap/>
            <w:vAlign w:val="center"/>
          </w:tcPr>
          <w:p w14:paraId="1F8702C1">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0.5191</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75E792D">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0.0392</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4E2B4E40">
            <w:pPr>
              <w:keepNext w:val="0"/>
              <w:keepLines w:val="0"/>
              <w:widowControl/>
              <w:suppressLineNumbers w:val="0"/>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0.5787</w:t>
            </w:r>
          </w:p>
        </w:tc>
      </w:tr>
      <w:tr w14:paraId="3E68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jc w:val="center"/>
        </w:trPr>
        <w:tc>
          <w:tcPr>
            <w:tcW w:w="507" w:type="pct"/>
            <w:vMerge w:val="continue"/>
            <w:tcBorders>
              <w:left w:val="single" w:color="000000" w:sz="4" w:space="0"/>
              <w:right w:val="single" w:color="000000" w:sz="4" w:space="0"/>
            </w:tcBorders>
            <w:noWrap w:val="0"/>
            <w:vAlign w:val="center"/>
          </w:tcPr>
          <w:p w14:paraId="6DA440AE">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4679C602">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0"/>
                <w:sz w:val="21"/>
                <w:szCs w:val="21"/>
                <w:highlight w:val="none"/>
                <w:u w:val="none"/>
                <w:lang w:val="en-US" w:eastAsia="zh-CN" w:bidi="ar"/>
              </w:rPr>
            </w:pPr>
            <w:r>
              <w:rPr>
                <w:rFonts w:hint="default" w:ascii="Times New Roman" w:hAnsi="Times New Roman" w:cs="Times New Roman" w:eastAsiaTheme="minorEastAsia"/>
                <w:b w:val="0"/>
                <w:bCs w:val="0"/>
                <w:i w:val="0"/>
                <w:iCs w:val="0"/>
                <w:snapToGrid w:val="0"/>
                <w:color w:val="auto"/>
                <w:kern w:val="0"/>
                <w:sz w:val="21"/>
                <w:szCs w:val="21"/>
                <w:u w:val="none"/>
                <w:lang w:val="en-US" w:eastAsia="zh-CN" w:bidi="ar"/>
              </w:rPr>
              <w:t>平衡误差(%)</w:t>
            </w:r>
          </w:p>
        </w:tc>
        <w:tc>
          <w:tcPr>
            <w:tcW w:w="609" w:type="pct"/>
            <w:tcBorders>
              <w:top w:val="single" w:color="000000" w:sz="4" w:space="0"/>
              <w:left w:val="single" w:color="000000" w:sz="4" w:space="0"/>
              <w:bottom w:val="single" w:color="000000" w:sz="4" w:space="0"/>
              <w:right w:val="single" w:color="000000" w:sz="4" w:space="0"/>
            </w:tcBorders>
            <w:noWrap/>
            <w:vAlign w:val="center"/>
          </w:tcPr>
          <w:p w14:paraId="781D4A96">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snapToGrid w:val="0"/>
                <w:color w:val="auto"/>
                <w:kern w:val="0"/>
                <w:sz w:val="21"/>
                <w:szCs w:val="21"/>
                <w:u w:val="none"/>
                <w:lang w:val="en-US" w:eastAsia="zh-CN" w:bidi="ar"/>
              </w:rPr>
              <w:t>3.59</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98ED13B">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snapToGrid w:val="0"/>
                <w:color w:val="auto"/>
                <w:kern w:val="0"/>
                <w:sz w:val="21"/>
                <w:szCs w:val="21"/>
                <w:u w:val="none"/>
                <w:lang w:val="en-US" w:eastAsia="zh-CN" w:bidi="ar"/>
              </w:rPr>
              <w:t>1.71</w:t>
            </w:r>
          </w:p>
        </w:tc>
        <w:tc>
          <w:tcPr>
            <w:tcW w:w="676" w:type="pct"/>
            <w:tcBorders>
              <w:top w:val="single" w:color="000000" w:sz="4" w:space="0"/>
              <w:left w:val="single" w:color="000000" w:sz="4" w:space="0"/>
              <w:bottom w:val="single" w:color="000000" w:sz="4" w:space="0"/>
              <w:right w:val="single" w:color="000000" w:sz="4" w:space="0"/>
            </w:tcBorders>
            <w:noWrap/>
            <w:vAlign w:val="center"/>
          </w:tcPr>
          <w:p w14:paraId="678CA23F">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snapToGrid w:val="0"/>
                <w:color w:val="auto"/>
                <w:kern w:val="0"/>
                <w:sz w:val="21"/>
                <w:szCs w:val="21"/>
                <w:u w:val="none"/>
                <w:lang w:val="en-US" w:eastAsia="zh-CN" w:bidi="ar"/>
              </w:rPr>
              <w:t>2.98</w:t>
            </w:r>
          </w:p>
        </w:tc>
        <w:tc>
          <w:tcPr>
            <w:tcW w:w="652" w:type="pct"/>
            <w:tcBorders>
              <w:top w:val="single" w:color="000000" w:sz="4" w:space="0"/>
              <w:left w:val="single" w:color="000000" w:sz="4" w:space="0"/>
              <w:bottom w:val="single" w:color="000000" w:sz="4" w:space="0"/>
              <w:right w:val="single" w:color="000000" w:sz="4" w:space="0"/>
            </w:tcBorders>
            <w:noWrap/>
            <w:vAlign w:val="center"/>
          </w:tcPr>
          <w:p w14:paraId="12550CFD">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snapToGrid w:val="0"/>
                <w:color w:val="auto"/>
                <w:kern w:val="0"/>
                <w:sz w:val="21"/>
                <w:szCs w:val="21"/>
                <w:u w:val="none"/>
                <w:lang w:val="en-US" w:eastAsia="zh-CN" w:bidi="ar"/>
              </w:rPr>
              <w:t>2.90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58EF5DD3">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snapToGrid w:val="0"/>
                <w:color w:val="auto"/>
                <w:kern w:val="0"/>
                <w:sz w:val="21"/>
                <w:szCs w:val="21"/>
                <w:u w:val="none"/>
                <w:lang w:val="en-US" w:eastAsia="zh-CN" w:bidi="ar"/>
              </w:rPr>
              <w:t>0.24</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3E0BBCD0">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snapToGrid w:val="0"/>
                <w:color w:val="auto"/>
                <w:kern w:val="0"/>
                <w:sz w:val="21"/>
                <w:szCs w:val="21"/>
                <w:u w:val="none"/>
                <w:lang w:val="en-US" w:eastAsia="zh-CN" w:bidi="ar"/>
              </w:rPr>
              <w:t>3.35</w:t>
            </w:r>
          </w:p>
        </w:tc>
      </w:tr>
      <w:tr w14:paraId="4774C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507" w:type="pct"/>
            <w:vMerge w:val="continue"/>
            <w:tcBorders>
              <w:left w:val="single" w:color="000000" w:sz="4" w:space="0"/>
              <w:bottom w:val="single" w:color="000000" w:sz="4" w:space="0"/>
              <w:right w:val="single" w:color="000000" w:sz="4" w:space="0"/>
            </w:tcBorders>
            <w:noWrap w:val="0"/>
            <w:vAlign w:val="center"/>
          </w:tcPr>
          <w:p w14:paraId="0B9980AD">
            <w:pPr>
              <w:jc w:val="center"/>
              <w:rPr>
                <w:rFonts w:hint="default" w:ascii="Times New Roman" w:hAnsi="Times New Roman" w:cs="Times New Roman" w:eastAsiaTheme="minorEastAsia"/>
                <w:i w:val="0"/>
                <w:iCs w:val="0"/>
                <w:color w:val="auto"/>
                <w:sz w:val="21"/>
                <w:szCs w:val="21"/>
                <w:highlight w:val="none"/>
                <w:u w:val="none"/>
              </w:rPr>
            </w:pPr>
          </w:p>
        </w:tc>
        <w:tc>
          <w:tcPr>
            <w:tcW w:w="831" w:type="pct"/>
            <w:tcBorders>
              <w:top w:val="single" w:color="000000" w:sz="4" w:space="0"/>
              <w:left w:val="single" w:color="000000" w:sz="4" w:space="0"/>
              <w:bottom w:val="single" w:color="000000" w:sz="4" w:space="0"/>
              <w:right w:val="single" w:color="000000" w:sz="4" w:space="0"/>
            </w:tcBorders>
            <w:noWrap/>
            <w:vAlign w:val="center"/>
          </w:tcPr>
          <w:p w14:paraId="79128CE3">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0"/>
                <w:sz w:val="21"/>
                <w:szCs w:val="21"/>
                <w:highlight w:val="none"/>
                <w:u w:val="none"/>
                <w:lang w:val="en-US" w:eastAsia="zh-CN" w:bidi="ar"/>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判定结果</w:t>
            </w:r>
          </w:p>
        </w:tc>
        <w:tc>
          <w:tcPr>
            <w:tcW w:w="609" w:type="pct"/>
            <w:tcBorders>
              <w:top w:val="single" w:color="000000" w:sz="4" w:space="0"/>
              <w:left w:val="single" w:color="000000" w:sz="4" w:space="0"/>
              <w:bottom w:val="single" w:color="000000" w:sz="4" w:space="0"/>
              <w:right w:val="single" w:color="000000" w:sz="4" w:space="0"/>
            </w:tcBorders>
            <w:noWrap/>
            <w:vAlign w:val="center"/>
          </w:tcPr>
          <w:p w14:paraId="61E58C4B">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合格</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F88DEDB">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合格</w:t>
            </w:r>
          </w:p>
        </w:tc>
        <w:tc>
          <w:tcPr>
            <w:tcW w:w="676" w:type="pct"/>
            <w:tcBorders>
              <w:top w:val="single" w:color="000000" w:sz="4" w:space="0"/>
              <w:left w:val="single" w:color="000000" w:sz="4" w:space="0"/>
              <w:bottom w:val="single" w:color="000000" w:sz="4" w:space="0"/>
              <w:right w:val="single" w:color="000000" w:sz="4" w:space="0"/>
            </w:tcBorders>
            <w:noWrap/>
            <w:vAlign w:val="center"/>
          </w:tcPr>
          <w:p w14:paraId="101A02E6">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合格</w:t>
            </w:r>
          </w:p>
        </w:tc>
        <w:tc>
          <w:tcPr>
            <w:tcW w:w="652" w:type="pct"/>
            <w:tcBorders>
              <w:top w:val="single" w:color="000000" w:sz="4" w:space="0"/>
              <w:left w:val="single" w:color="000000" w:sz="4" w:space="0"/>
              <w:bottom w:val="single" w:color="000000" w:sz="4" w:space="0"/>
              <w:right w:val="single" w:color="000000" w:sz="4" w:space="0"/>
            </w:tcBorders>
            <w:noWrap/>
            <w:vAlign w:val="center"/>
          </w:tcPr>
          <w:p w14:paraId="0F7AE260">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合格</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84DF194">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合格</w:t>
            </w: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0210640E">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合格</w:t>
            </w:r>
          </w:p>
        </w:tc>
      </w:tr>
    </w:tbl>
    <w:p w14:paraId="4CD574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w:t>
      </w:r>
      <w:r>
        <w:rPr>
          <w:rFonts w:hint="eastAsia" w:ascii="Times New Roman" w:hAnsi="Times New Roman" w:eastAsia="宋体" w:cs="Times New Roman"/>
          <w:color w:val="auto"/>
          <w:sz w:val="24"/>
          <w:szCs w:val="24"/>
          <w:highlight w:val="none"/>
          <w:lang w:val="en-US" w:eastAsia="zh-CN"/>
        </w:rPr>
        <w:t>上表</w:t>
      </w:r>
      <w:r>
        <w:rPr>
          <w:rFonts w:hint="default" w:ascii="Times New Roman" w:hAnsi="Times New Roman" w:eastAsia="宋体" w:cs="Times New Roman"/>
          <w:color w:val="auto"/>
          <w:sz w:val="24"/>
          <w:szCs w:val="24"/>
          <w:highlight w:val="none"/>
          <w:lang w:val="en-US" w:eastAsia="zh-CN"/>
        </w:rPr>
        <w:t>校验结果可知，本次</w:t>
      </w:r>
      <w:r>
        <w:rPr>
          <w:rFonts w:hint="eastAsia" w:ascii="Times New Roman" w:hAnsi="Times New Roman" w:eastAsia="宋体" w:cs="Times New Roman"/>
          <w:color w:val="auto"/>
          <w:sz w:val="24"/>
          <w:szCs w:val="24"/>
          <w:highlight w:val="none"/>
          <w:lang w:val="en-US" w:eastAsia="zh-CN"/>
        </w:rPr>
        <w:t>地下水</w:t>
      </w:r>
      <w:r>
        <w:rPr>
          <w:rFonts w:hint="default" w:ascii="Times New Roman" w:hAnsi="Times New Roman" w:eastAsia="宋体" w:cs="Times New Roman"/>
          <w:color w:val="auto"/>
          <w:sz w:val="24"/>
          <w:szCs w:val="24"/>
          <w:highlight w:val="none"/>
          <w:lang w:val="en-US" w:eastAsia="zh-CN"/>
        </w:rPr>
        <w:t>检测数据准确。</w:t>
      </w:r>
    </w:p>
    <w:p w14:paraId="5BE895DF">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auto"/>
          <w:sz w:val="24"/>
          <w:szCs w:val="24"/>
          <w:highlight w:val="none"/>
          <w:lang w:val="en-US" w:eastAsia="zh-CN"/>
        </w:rPr>
        <w:sectPr>
          <w:pgSz w:w="11905" w:h="16840"/>
          <w:pgMar w:top="1161" w:right="1472" w:bottom="1209" w:left="1473" w:header="829" w:footer="1048" w:gutter="0"/>
          <w:pgNumType w:fmt="decimal"/>
          <w:cols w:space="720" w:num="1"/>
        </w:sectPr>
      </w:pPr>
    </w:p>
    <w:p w14:paraId="084DB5AA">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地下水具体监测结果详见表</w:t>
      </w:r>
      <w:r>
        <w:rPr>
          <w:rFonts w:hint="eastAsia" w:ascii="Times New Roman" w:hAnsi="Times New Roman" w:eastAsia="宋体" w:cs="Times New Roman"/>
          <w:color w:val="auto"/>
          <w:sz w:val="24"/>
          <w:szCs w:val="24"/>
          <w:highlight w:val="none"/>
          <w:lang w:val="en-US" w:eastAsia="zh-CN"/>
        </w:rPr>
        <w:t>3.2-8</w:t>
      </w:r>
      <w:r>
        <w:rPr>
          <w:rFonts w:hint="default" w:ascii="Times New Roman" w:hAnsi="Times New Roman" w:eastAsia="宋体" w:cs="Times New Roman"/>
          <w:color w:val="auto"/>
          <w:sz w:val="24"/>
          <w:szCs w:val="24"/>
          <w:highlight w:val="none"/>
          <w:lang w:val="en-US" w:eastAsia="zh-CN"/>
        </w:rPr>
        <w:t>。</w:t>
      </w:r>
    </w:p>
    <w:p w14:paraId="037412B3">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 xml:space="preserve"> </w:t>
      </w:r>
      <w:bookmarkStart w:id="134" w:name="OLE_LINK7"/>
      <w:r>
        <w:rPr>
          <w:rFonts w:hint="default" w:ascii="Times New Roman" w:hAnsi="Times New Roman" w:eastAsia="宋体" w:cs="Times New Roman"/>
          <w:b/>
          <w:bCs/>
          <w:caps w:val="0"/>
          <w:color w:val="auto"/>
          <w:spacing w:val="0"/>
          <w:sz w:val="21"/>
          <w:szCs w:val="21"/>
          <w:highlight w:val="none"/>
          <w:lang w:val="en-US" w:eastAsia="zh-CN"/>
        </w:rPr>
        <w:t>J</w:t>
      </w:r>
      <w:r>
        <w:rPr>
          <w:rFonts w:hint="eastAsia" w:ascii="Times New Roman" w:hAnsi="Times New Roman" w:eastAsia="宋体" w:cs="Times New Roman"/>
          <w:b/>
          <w:bCs/>
          <w:caps w:val="0"/>
          <w:color w:val="auto"/>
          <w:spacing w:val="0"/>
          <w:sz w:val="21"/>
          <w:szCs w:val="21"/>
          <w:highlight w:val="none"/>
          <w:lang w:val="en-US" w:eastAsia="zh-CN"/>
        </w:rPr>
        <w:t>1</w:t>
      </w:r>
      <w:r>
        <w:rPr>
          <w:rFonts w:hint="default" w:ascii="Times New Roman" w:hAnsi="Times New Roman" w:eastAsia="宋体" w:cs="Times New Roman"/>
          <w:b/>
          <w:bCs/>
          <w:caps w:val="0"/>
          <w:color w:val="auto"/>
          <w:spacing w:val="0"/>
          <w:sz w:val="21"/>
          <w:szCs w:val="21"/>
          <w:highlight w:val="none"/>
          <w:lang w:val="en-US" w:eastAsia="zh-CN"/>
        </w:rPr>
        <w:t>、J</w:t>
      </w:r>
      <w:r>
        <w:rPr>
          <w:rFonts w:hint="eastAsia" w:ascii="Times New Roman" w:hAnsi="Times New Roman" w:eastAsia="宋体" w:cs="Times New Roman"/>
          <w:b/>
          <w:bCs/>
          <w:caps w:val="0"/>
          <w:color w:val="auto"/>
          <w:spacing w:val="0"/>
          <w:sz w:val="21"/>
          <w:szCs w:val="21"/>
          <w:highlight w:val="none"/>
          <w:lang w:val="en-US" w:eastAsia="zh-CN"/>
        </w:rPr>
        <w:t>2</w:t>
      </w:r>
      <w:r>
        <w:rPr>
          <w:rFonts w:hint="default" w:ascii="Times New Roman" w:hAnsi="Times New Roman" w:eastAsia="宋体" w:cs="Times New Roman"/>
          <w:b/>
          <w:bCs/>
          <w:caps w:val="0"/>
          <w:color w:val="auto"/>
          <w:spacing w:val="0"/>
          <w:sz w:val="21"/>
          <w:szCs w:val="21"/>
          <w:highlight w:val="none"/>
          <w:lang w:val="en-US" w:eastAsia="zh-CN"/>
        </w:rPr>
        <w:t>以及J</w:t>
      </w:r>
      <w:r>
        <w:rPr>
          <w:rFonts w:hint="eastAsia" w:ascii="Times New Roman" w:hAnsi="Times New Roman" w:eastAsia="宋体" w:cs="Times New Roman"/>
          <w:b/>
          <w:bCs/>
          <w:caps w:val="0"/>
          <w:color w:val="auto"/>
          <w:spacing w:val="0"/>
          <w:sz w:val="21"/>
          <w:szCs w:val="21"/>
          <w:highlight w:val="none"/>
          <w:lang w:val="en-US" w:eastAsia="zh-CN"/>
        </w:rPr>
        <w:t>3</w:t>
      </w:r>
      <w:bookmarkEnd w:id="134"/>
      <w:r>
        <w:rPr>
          <w:rFonts w:hint="default" w:ascii="Times New Roman" w:hAnsi="Times New Roman" w:eastAsia="宋体" w:cs="Times New Roman"/>
          <w:b/>
          <w:bCs/>
          <w:caps w:val="0"/>
          <w:color w:val="auto"/>
          <w:spacing w:val="0"/>
          <w:sz w:val="21"/>
          <w:szCs w:val="21"/>
          <w:highlight w:val="none"/>
          <w:lang w:val="en-US" w:eastAsia="zh-CN"/>
        </w:rPr>
        <w:t>水质监测结果表 单位：mg/L</w:t>
      </w:r>
    </w:p>
    <w:tbl>
      <w:tblPr>
        <w:tblStyle w:val="21"/>
        <w:tblW w:w="1486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3"/>
        <w:gridCol w:w="900"/>
        <w:gridCol w:w="900"/>
        <w:gridCol w:w="758"/>
        <w:gridCol w:w="641"/>
        <w:gridCol w:w="727"/>
        <w:gridCol w:w="627"/>
        <w:gridCol w:w="696"/>
        <w:gridCol w:w="929"/>
        <w:gridCol w:w="669"/>
        <w:gridCol w:w="679"/>
        <w:gridCol w:w="665"/>
        <w:gridCol w:w="762"/>
        <w:gridCol w:w="700"/>
        <w:gridCol w:w="588"/>
        <w:gridCol w:w="762"/>
        <w:gridCol w:w="723"/>
        <w:gridCol w:w="707"/>
        <w:gridCol w:w="620"/>
        <w:gridCol w:w="667"/>
      </w:tblGrid>
      <w:tr w14:paraId="330E5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D8F4B">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检测项目</w:t>
            </w:r>
          </w:p>
        </w:tc>
        <w:tc>
          <w:tcPr>
            <w:tcW w:w="434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F37B06">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J1上游背景井</w:t>
            </w:r>
          </w:p>
        </w:tc>
        <w:tc>
          <w:tcPr>
            <w:tcW w:w="440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5496AF">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J2</w:t>
            </w:r>
            <w:r>
              <w:rPr>
                <w:rFonts w:hint="eastAsia" w:ascii="Times New Roman" w:hAnsi="Times New Roman" w:cs="Times New Roman" w:eastAsiaTheme="minorEastAsia"/>
                <w:b/>
                <w:bCs/>
                <w:i w:val="0"/>
                <w:iCs w:val="0"/>
                <w:snapToGrid w:val="0"/>
                <w:color w:val="auto"/>
                <w:kern w:val="0"/>
                <w:sz w:val="21"/>
                <w:szCs w:val="21"/>
                <w:u w:val="none"/>
                <w:lang w:val="en-US" w:eastAsia="zh-CN" w:bidi="ar"/>
              </w:rPr>
              <w:t>项目区</w:t>
            </w:r>
            <w:r>
              <w:rPr>
                <w:rFonts w:hint="default" w:ascii="Times New Roman" w:hAnsi="Times New Roman" w:cs="Times New Roman" w:eastAsiaTheme="minorEastAsia"/>
                <w:b/>
                <w:bCs/>
                <w:i w:val="0"/>
                <w:iCs w:val="0"/>
                <w:snapToGrid w:val="0"/>
                <w:color w:val="auto"/>
                <w:kern w:val="0"/>
                <w:sz w:val="21"/>
                <w:szCs w:val="21"/>
                <w:u w:val="none"/>
                <w:lang w:val="en-US" w:eastAsia="zh-CN" w:bidi="ar"/>
              </w:rPr>
              <w:t>污染监测井</w:t>
            </w:r>
          </w:p>
        </w:tc>
        <w:tc>
          <w:tcPr>
            <w:tcW w:w="40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B91429">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J3下游污染扩散监测井（曲靖大为焦化制气地下水监测井DX01）</w:t>
            </w:r>
          </w:p>
        </w:tc>
      </w:tr>
      <w:tr w14:paraId="2DD4C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19A27">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检测时间</w:t>
            </w:r>
          </w:p>
        </w:tc>
        <w:tc>
          <w:tcPr>
            <w:tcW w:w="22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EDB85D">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2026.07.01</w:t>
            </w:r>
          </w:p>
        </w:tc>
        <w:tc>
          <w:tcPr>
            <w:tcW w:w="20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C4448E">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2026.07.02</w:t>
            </w:r>
          </w:p>
        </w:tc>
        <w:tc>
          <w:tcPr>
            <w:tcW w:w="22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0C276">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2026.07.01</w:t>
            </w:r>
          </w:p>
        </w:tc>
        <w:tc>
          <w:tcPr>
            <w:tcW w:w="2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0F7FD2">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2026.07.02</w:t>
            </w:r>
          </w:p>
        </w:tc>
        <w:tc>
          <w:tcPr>
            <w:tcW w:w="20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CD6F8">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2026.07.01</w:t>
            </w:r>
          </w:p>
        </w:tc>
        <w:tc>
          <w:tcPr>
            <w:tcW w:w="1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BC27E">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2026.07.02</w:t>
            </w:r>
          </w:p>
        </w:tc>
      </w:tr>
      <w:tr w14:paraId="53FB1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470A">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检测项目</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268A">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Ⅲ类标准限值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4D84">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检测结果</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6A8B">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标准指数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9132">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达标情况</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A3BB">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检测结果</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C38C">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标准指数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0818">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达标情况</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23AD">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检测结果</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1BEB">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标准指数</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3217">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达标情况</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1F87">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检测结果</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6F77">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标准指数</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3C06">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达标情况</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7637">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检测结果</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EAA1">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标准指数</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3095">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达标情况</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9A3">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检测结果</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8F42">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标准指数</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12DD">
            <w:pPr>
              <w:keepNext w:val="0"/>
              <w:keepLines w:val="0"/>
              <w:widowControl/>
              <w:suppressLineNumbers w:val="0"/>
              <w:jc w:val="center"/>
              <w:textAlignment w:val="center"/>
              <w:rPr>
                <w:rFonts w:hint="default" w:ascii="Times New Roman" w:hAnsi="Times New Roman" w:cs="Times New Roman" w:eastAsiaTheme="minorEastAsia"/>
                <w:b/>
                <w:bCs/>
                <w:i w:val="0"/>
                <w:iCs w:val="0"/>
                <w:color w:val="auto"/>
                <w:sz w:val="21"/>
                <w:szCs w:val="21"/>
                <w:u w:val="none"/>
              </w:rPr>
            </w:pPr>
            <w:r>
              <w:rPr>
                <w:rFonts w:hint="default" w:ascii="Times New Roman" w:hAnsi="Times New Roman" w:cs="Times New Roman" w:eastAsiaTheme="minorEastAsia"/>
                <w:b/>
                <w:bCs/>
                <w:i w:val="0"/>
                <w:iCs w:val="0"/>
                <w:snapToGrid w:val="0"/>
                <w:color w:val="auto"/>
                <w:kern w:val="0"/>
                <w:sz w:val="21"/>
                <w:szCs w:val="21"/>
                <w:u w:val="none"/>
                <w:lang w:val="en-US" w:eastAsia="zh-CN" w:bidi="ar"/>
              </w:rPr>
              <w:t>达标情况</w:t>
            </w:r>
          </w:p>
        </w:tc>
      </w:tr>
      <w:tr w14:paraId="007F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6BD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pH</w:t>
            </w:r>
            <w:r>
              <w:rPr>
                <w:rFonts w:ascii="Segoe UI" w:hAnsi="Segoe UI" w:eastAsia="Segoe UI" w:cs="Segoe UI"/>
                <w:i w:val="0"/>
                <w:iCs w:val="0"/>
                <w:caps w:val="0"/>
                <w:color w:val="auto"/>
                <w:spacing w:val="0"/>
                <w:sz w:val="21"/>
                <w:szCs w:val="21"/>
                <w:shd w:val="clear" w:fill="FFFFFF"/>
              </w:rPr>
              <w:t>（无量纲）</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C33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6.5~8.5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EEC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7.8</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81F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0.533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5F0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00A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7.7</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8CD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0.467</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3C1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E84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7.9</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F5A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B05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86D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7.8</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6A9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0.533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3CB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CBF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974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0.667</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BEB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456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7.9</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E0D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972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6462C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2C0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氨氮</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849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0B9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0.351</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C91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0.702</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AA6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A73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0.356</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E45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BCF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AE7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0.395</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6F2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0.79</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1D12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ED8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0.387</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82E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0.774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979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4F0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0.29</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527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0.58</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95EC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883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0.296</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9A8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0.592</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15B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1F88C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D97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硝酸盐（以N计）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053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9FF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6.64</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B06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0.332</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482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0C8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6.69</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395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0.335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9E1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229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6.87</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43B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0.344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968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2D1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6.9</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D7C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E05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45E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3.28</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F18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0.164</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118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135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3.29</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6F2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0.165</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A2B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7EF1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D63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亚硝酸盐（以N计）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8AC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C14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0.177</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F673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0.177</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357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899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0.179</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136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0.179</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412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A9A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0.172</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5E6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0.172</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F477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414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0.173</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6D0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0.173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8D3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EA6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0.148</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8D9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0.148</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2D1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7A7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0.149</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1F5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0.149</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0FD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7106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284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挥发酚</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65F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BA3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F44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275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703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3C4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344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D8E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B3B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23E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835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E32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0E4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254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970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56F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B8D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F3C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3AA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195F0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D4F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氰化物</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926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884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E46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27B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983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B87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618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51F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0E6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7F4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B35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59F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D8B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587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397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2A7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4A4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DA2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98A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47F79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A50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汞</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423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409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4.00×10⁻⁵L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ACB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5CC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9CF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4.00×10⁻⁵L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01A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AF5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AEE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4.00×10⁻⁵L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E9C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55A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275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4.00×10⁻⁵L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B4C9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AF7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FE5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4.00×10⁻⁵L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EF2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AC2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3BB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4.00×10⁻⁵L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EC9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4EF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17267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4F1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ED5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FDD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3.00×10⁻⁴L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D63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85F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ED6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3.00×10⁻⁴L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C48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4A1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4C9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3.00×10⁻⁴L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F8D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AC3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195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3.00×10⁻⁴L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6E6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42F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858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3.00×10⁻⁴L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966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B17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F3B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3.00×10⁻⁴L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CAD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FB0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25CC2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3FB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六价铬</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FE6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C3B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F79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9F8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BB1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E89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CFB8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7B9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1F8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FF5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C8A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775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E12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CF6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4AA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44C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E09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0.004L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1C6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A0C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1C6A3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4A5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总硬度</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CE1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A36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425</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CAF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0.944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7AB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216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411</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D20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0.913</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76A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491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423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9D3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0.94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402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B15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422</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8DF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0.938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479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FFD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360</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A3E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93F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B28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398</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DA7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0.884</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BD4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065A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2DE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5BC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870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1.00×10⁻³L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3FC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4CE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B58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1.00×10⁻³L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812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440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FF9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1.00×10⁻³L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E18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240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A30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1.00×10⁻³L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30A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77F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2E0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1.00×10⁻³L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773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3AB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89F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1.00×10⁻³L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779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80C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1E4AF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B55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2CA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EE8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1.00×10⁻⁴L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72D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3F4A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C8A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1.00×10⁻⁴L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23C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7D2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4A4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1.00×10⁻⁴L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794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801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111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1.00×10⁻⁴L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5F8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78C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F41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1.00×10⁻⁴L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7D6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428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DDB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1.00×10⁻⁴L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0FD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B66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237EC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F86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铁</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854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0FF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0.08</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DDC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0.267</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71E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C70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0.05</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35D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0.167</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0F3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986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0.05</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07D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0.167</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E60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A1D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0.04</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118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0.133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64C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F42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730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0.667</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002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206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0.19</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434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0.633</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9F5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36159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70C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4D7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9A0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0.01L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169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8F9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8D1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0.01L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C4B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FF5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EEC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0.06</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667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AD1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748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0.07</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02E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EF1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128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0.01L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8EA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041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545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0.01L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E27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1DB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7234F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566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氟化物</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98E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 mg/L</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CEB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0.47</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BFE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0.47</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5A7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28B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0.46</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2B6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0.46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659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CA74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0.28</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2EC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27D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090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0.27</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82B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DCA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80C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0.61</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052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0.61</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16E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FB3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0.59</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56A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0.59</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8AF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201C0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742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溶解性总固体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2602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61A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899</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52A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0.899</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B2E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5EC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888</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B6D3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0.888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40F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8F7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829</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3B7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0.829</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253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D81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865</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56F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0.865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5EE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661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867</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36A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0.867</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73C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12B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880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9FD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0.88</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44D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7B117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251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高锰酸盐指数（耗氧量）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3E0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EAE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643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412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FF6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E4E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9DF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FE7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E24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0.267</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240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028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0.9</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4CC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436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ADC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1.9</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C8B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0.633</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CB1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C66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1.8</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9A6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B80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35BF1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CAF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总大肠菌群</w:t>
            </w:r>
            <w:r>
              <w:rPr>
                <w:rFonts w:hint="eastAsia" w:ascii="Times New Roman" w:hAnsi="Times New Roman" w:cs="Times New Roman" w:eastAsiaTheme="minorEastAsia"/>
                <w:i w:val="0"/>
                <w:iCs w:val="0"/>
                <w:snapToGrid w:val="0"/>
                <w:color w:val="auto"/>
                <w:kern w:val="0"/>
                <w:sz w:val="21"/>
                <w:szCs w:val="21"/>
                <w:u w:val="none"/>
                <w:lang w:val="en-US" w:eastAsia="zh-CN" w:bidi="ar"/>
              </w:rPr>
              <w:t>（</w:t>
            </w:r>
            <w:r>
              <w:rPr>
                <w:rFonts w:hint="default" w:ascii="Times New Roman" w:hAnsi="Times New Roman" w:cs="Times New Roman" w:eastAsiaTheme="minorEastAsia"/>
                <w:i w:val="0"/>
                <w:iCs w:val="0"/>
                <w:snapToGrid w:val="0"/>
                <w:color w:val="auto"/>
                <w:kern w:val="0"/>
                <w:sz w:val="21"/>
                <w:szCs w:val="21"/>
                <w:u w:val="none"/>
                <w:lang w:val="en-US" w:eastAsia="zh-CN" w:bidi="ar"/>
              </w:rPr>
              <w:t>MPN/100mL</w:t>
            </w:r>
            <w:r>
              <w:rPr>
                <w:rFonts w:hint="eastAsia" w:ascii="Times New Roman" w:hAnsi="Times New Roman" w:cs="Times New Roman" w:eastAsiaTheme="minorEastAsia"/>
                <w:i w:val="0"/>
                <w:iCs w:val="0"/>
                <w:snapToGrid w:val="0"/>
                <w:color w:val="auto"/>
                <w:kern w:val="0"/>
                <w:sz w:val="21"/>
                <w:szCs w:val="21"/>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5B9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 xml:space="preserve">≤3.0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20E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1BA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5D9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939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550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507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23D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C69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842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57F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B79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966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EBD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070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7E5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026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2L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C13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6BA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3470D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D2C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细菌总数</w:t>
            </w:r>
            <w:r>
              <w:rPr>
                <w:rFonts w:hint="eastAsia" w:ascii="Times New Roman" w:hAnsi="Times New Roman" w:cs="Times New Roman" w:eastAsiaTheme="minorEastAsia"/>
                <w:i w:val="0"/>
                <w:iCs w:val="0"/>
                <w:snapToGrid w:val="0"/>
                <w:color w:val="auto"/>
                <w:kern w:val="0"/>
                <w:sz w:val="21"/>
                <w:szCs w:val="21"/>
                <w:u w:val="none"/>
                <w:lang w:val="en-US" w:eastAsia="zh-CN" w:bidi="ar"/>
              </w:rPr>
              <w:t>（</w:t>
            </w:r>
            <w:r>
              <w:rPr>
                <w:rFonts w:hint="default" w:ascii="Times New Roman" w:hAnsi="Times New Roman" w:cs="Times New Roman" w:eastAsiaTheme="minorEastAsia"/>
                <w:i w:val="0"/>
                <w:iCs w:val="0"/>
                <w:snapToGrid w:val="0"/>
                <w:color w:val="auto"/>
                <w:kern w:val="0"/>
                <w:sz w:val="21"/>
                <w:szCs w:val="21"/>
                <w:u w:val="none"/>
                <w:lang w:val="en-US" w:eastAsia="zh-CN" w:bidi="ar"/>
              </w:rPr>
              <w:t xml:space="preserve"> CFU/mL</w:t>
            </w:r>
            <w:r>
              <w:rPr>
                <w:rFonts w:hint="eastAsia" w:ascii="Times New Roman" w:hAnsi="Times New Roman" w:cs="Times New Roman" w:eastAsiaTheme="minorEastAsia"/>
                <w:i w:val="0"/>
                <w:iCs w:val="0"/>
                <w:snapToGrid w:val="0"/>
                <w:color w:val="auto"/>
                <w:kern w:val="0"/>
                <w:sz w:val="21"/>
                <w:szCs w:val="21"/>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246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F3F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65</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2CB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0.65</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120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88C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75F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B1C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C05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60</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9F6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0B6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332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50</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98B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9D7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A4C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70</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672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698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72D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80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A42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0.8</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EEF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06885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4F0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56A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3AD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0.0004L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2A3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738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7B9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0.0004L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B75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320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2CB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0.0004L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FCE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44C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9C74">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0.0004L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2422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2AB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B1B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0.0004L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B59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21D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7F9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0.0004L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96F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4E6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107D6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0D5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甲苯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09F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F80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04E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619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2A1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BA5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C73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981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B14B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C50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B0D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2C7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A09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432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709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D06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26B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0.0003L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FC8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C5D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046BA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548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间</w:t>
            </w:r>
            <w:r>
              <w:rPr>
                <w:rFonts w:hint="eastAsia" w:ascii="Times New Roman" w:hAnsi="Times New Roman" w:cs="Times New Roman" w:eastAsiaTheme="minorEastAsia"/>
                <w:i w:val="0"/>
                <w:iCs w:val="0"/>
                <w:snapToGrid w:val="0"/>
                <w:color w:val="auto"/>
                <w:kern w:val="0"/>
                <w:sz w:val="21"/>
                <w:szCs w:val="21"/>
                <w:u w:val="none"/>
                <w:lang w:val="en-US" w:eastAsia="zh-CN" w:bidi="ar"/>
              </w:rPr>
              <w:t>，</w:t>
            </w:r>
            <w:r>
              <w:rPr>
                <w:rFonts w:hint="default" w:ascii="Times New Roman" w:hAnsi="Times New Roman" w:cs="Times New Roman" w:eastAsiaTheme="minorEastAsia"/>
                <w:i w:val="0"/>
                <w:iCs w:val="0"/>
                <w:snapToGrid w:val="0"/>
                <w:color w:val="auto"/>
                <w:kern w:val="0"/>
                <w:sz w:val="21"/>
                <w:szCs w:val="21"/>
                <w:u w:val="none"/>
                <w:lang w:val="en-US" w:eastAsia="zh-CN" w:bidi="ar"/>
              </w:rPr>
              <w:t>对-二甲苯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B781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417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0.0005L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A0B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D7E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121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0.0005L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221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F90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167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0.0005L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17F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EAA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AFF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0.0005L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BFF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49C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87D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0.0005L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A331">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7095">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A2D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0.0005L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CA3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BAE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r w14:paraId="4D67E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377A">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邻</w:t>
            </w:r>
            <w:r>
              <w:rPr>
                <w:rFonts w:hint="eastAsia" w:ascii="Times New Roman" w:hAnsi="Times New Roman" w:cs="Times New Roman" w:eastAsiaTheme="minorEastAsia"/>
                <w:i w:val="0"/>
                <w:iCs w:val="0"/>
                <w:snapToGrid w:val="0"/>
                <w:color w:val="auto"/>
                <w:kern w:val="0"/>
                <w:sz w:val="21"/>
                <w:szCs w:val="21"/>
                <w:u w:val="none"/>
                <w:lang w:val="en-US" w:eastAsia="zh-CN" w:bidi="ar"/>
              </w:rPr>
              <w:t>—</w:t>
            </w:r>
            <w:r>
              <w:rPr>
                <w:rFonts w:hint="default" w:ascii="Times New Roman" w:hAnsi="Times New Roman" w:cs="Times New Roman" w:eastAsiaTheme="minorEastAsia"/>
                <w:i w:val="0"/>
                <w:iCs w:val="0"/>
                <w:snapToGrid w:val="0"/>
                <w:color w:val="auto"/>
                <w:kern w:val="0"/>
                <w:sz w:val="21"/>
                <w:szCs w:val="21"/>
                <w:u w:val="none"/>
                <w:lang w:val="en-US" w:eastAsia="zh-CN" w:bidi="ar"/>
              </w:rPr>
              <w:t>二甲苯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2F86">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CA52">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0.0002L</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36F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D40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212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0.0002L</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C127">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5E6C">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D1F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0.0002L</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A038">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6EB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862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0.0002L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2A2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5FA3">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517F">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0.0002L</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6D0E">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3B60">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CAAB">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0.0002L</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3719">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ECFD">
            <w:pPr>
              <w:keepNext w:val="0"/>
              <w:keepLines w:val="0"/>
              <w:widowControl/>
              <w:suppressLineNumbers w:val="0"/>
              <w:jc w:val="center"/>
              <w:textAlignment w:val="bottom"/>
              <w:rPr>
                <w:rFonts w:hint="default" w:ascii="Times New Roman" w:hAnsi="Times New Roman" w:cs="Times New Roman" w:eastAsiaTheme="minorEastAsia"/>
                <w:i w:val="0"/>
                <w:iCs w:val="0"/>
                <w:color w:val="auto"/>
                <w:sz w:val="21"/>
                <w:szCs w:val="21"/>
                <w:u w:val="none"/>
              </w:rPr>
            </w:pPr>
            <w:r>
              <w:rPr>
                <w:rFonts w:hint="default" w:ascii="Times New Roman" w:hAnsi="Times New Roman" w:cs="Times New Roman" w:eastAsiaTheme="minorEastAsia"/>
                <w:i w:val="0"/>
                <w:iCs w:val="0"/>
                <w:snapToGrid w:val="0"/>
                <w:color w:val="auto"/>
                <w:kern w:val="0"/>
                <w:sz w:val="21"/>
                <w:szCs w:val="21"/>
                <w:u w:val="none"/>
                <w:lang w:val="en-US" w:eastAsia="zh-CN" w:bidi="ar"/>
              </w:rPr>
              <w:t>达标</w:t>
            </w:r>
          </w:p>
        </w:tc>
      </w:tr>
    </w:tbl>
    <w:p w14:paraId="4721116F">
      <w:pPr>
        <w:keepNext w:val="0"/>
        <w:keepLines w:val="0"/>
        <w:pageBreakBefore w:val="0"/>
        <w:widowControl/>
        <w:kinsoku w:val="0"/>
        <w:wordWrap/>
        <w:overflowPunct/>
        <w:topLinePunct w:val="0"/>
        <w:autoSpaceDE w:val="0"/>
        <w:autoSpaceDN w:val="0"/>
        <w:bidi w:val="0"/>
        <w:adjustRightInd/>
        <w:snapToGrid/>
        <w:spacing w:line="360" w:lineRule="auto"/>
        <w:ind w:firstLine="482"/>
        <w:jc w:val="left"/>
        <w:textAlignment w:val="baseline"/>
        <w:rPr>
          <w:rFonts w:hint="default" w:ascii="Times New Roman" w:hAnsi="Times New Roman" w:eastAsia="宋体" w:cs="Times New Roman"/>
          <w:color w:val="auto"/>
          <w:sz w:val="24"/>
          <w:highlight w:val="none"/>
          <w:lang w:val="en-US" w:eastAsia="zh-CN"/>
        </w:rPr>
        <w:sectPr>
          <w:pgSz w:w="16840" w:h="11905" w:orient="landscape"/>
          <w:pgMar w:top="1473" w:right="1161" w:bottom="1472" w:left="1209" w:header="829" w:footer="1048" w:gutter="0"/>
          <w:pgNumType w:fmt="decimal"/>
          <w:cols w:space="720" w:num="1"/>
        </w:sectPr>
      </w:pPr>
      <w:r>
        <w:rPr>
          <w:rFonts w:hint="default" w:ascii="Times New Roman" w:hAnsi="Times New Roman" w:eastAsia="宋体" w:cs="Times New Roman"/>
          <w:color w:val="auto"/>
          <w:sz w:val="24"/>
          <w:szCs w:val="24"/>
          <w:highlight w:val="none"/>
          <w:lang w:val="en-US" w:eastAsia="zh-CN"/>
        </w:rPr>
        <w:t>根据</w:t>
      </w:r>
      <w:r>
        <w:rPr>
          <w:rFonts w:hint="eastAsia" w:ascii="Times New Roman" w:hAnsi="Times New Roman" w:eastAsia="宋体" w:cs="Times New Roman"/>
          <w:color w:val="auto"/>
          <w:sz w:val="24"/>
          <w:szCs w:val="24"/>
          <w:highlight w:val="none"/>
          <w:lang w:val="en-US" w:eastAsia="zh-CN"/>
        </w:rPr>
        <w:t>3.2-7</w:t>
      </w:r>
      <w:r>
        <w:rPr>
          <w:rFonts w:hint="default" w:ascii="Times New Roman" w:hAnsi="Times New Roman" w:eastAsia="宋体" w:cs="Times New Roman"/>
          <w:color w:val="auto"/>
          <w:sz w:val="24"/>
          <w:szCs w:val="24"/>
          <w:highlight w:val="none"/>
          <w:lang w:val="en-US" w:eastAsia="zh-CN"/>
        </w:rPr>
        <w:t>的监测结果，项目区新建背景监测点（上游）J1、项目区</w:t>
      </w:r>
      <w:r>
        <w:rPr>
          <w:rFonts w:hint="eastAsia" w:ascii="Times New Roman" w:hAnsi="Times New Roman" w:eastAsia="宋体" w:cs="Times New Roman"/>
          <w:color w:val="auto"/>
          <w:sz w:val="24"/>
          <w:szCs w:val="24"/>
          <w:highlight w:val="none"/>
          <w:lang w:val="en-US" w:eastAsia="zh-CN"/>
        </w:rPr>
        <w:t>项目区</w:t>
      </w:r>
      <w:r>
        <w:rPr>
          <w:rFonts w:hint="default" w:ascii="Times New Roman" w:hAnsi="Times New Roman" w:eastAsia="宋体" w:cs="Times New Roman"/>
          <w:color w:val="auto"/>
          <w:sz w:val="24"/>
          <w:szCs w:val="24"/>
          <w:highlight w:val="none"/>
          <w:lang w:val="en-US" w:eastAsia="zh-CN"/>
        </w:rPr>
        <w:t>污染监测井J2、下游污染扩散监测井（曲靖大为焦化制气地下水监测井DX01）（下游）J3，3个点位的各项监测因子均能满足《地下水质量标准》（GB/T14848-2017）Ш类标准要求。</w:t>
      </w:r>
    </w:p>
    <w:p w14:paraId="6075DFCB">
      <w:pPr>
        <w:keepNext/>
        <w:keepLines/>
        <w:pageBreakBefore w:val="0"/>
        <w:widowControl w:val="0"/>
        <w:kinsoku/>
        <w:wordWrap/>
        <w:overflowPunct/>
        <w:topLinePunct w:val="0"/>
        <w:autoSpaceDE w:val="0"/>
        <w:autoSpaceDN w:val="0"/>
        <w:bidi w:val="0"/>
        <w:adjustRightInd w:val="0"/>
        <w:snapToGrid w:val="0"/>
        <w:spacing w:before="0" w:after="0" w:line="360" w:lineRule="auto"/>
        <w:jc w:val="both"/>
        <w:textAlignment w:val="baseline"/>
        <w:outlineLvl w:val="2"/>
        <w:rPr>
          <w:rFonts w:hint="default" w:ascii="Times New Roman" w:hAnsi="Times New Roman" w:eastAsia="宋体" w:cs="Times New Roman"/>
          <w:b/>
          <w:bCs w:val="0"/>
          <w:color w:val="auto"/>
          <w:kern w:val="2"/>
          <w:sz w:val="28"/>
          <w:szCs w:val="28"/>
          <w:highlight w:val="none"/>
          <w:lang w:val="en-US" w:eastAsia="zh-CN" w:bidi="ar-SA"/>
        </w:rPr>
      </w:pPr>
      <w:bookmarkStart w:id="135" w:name="_Toc26981"/>
      <w:r>
        <w:rPr>
          <w:rFonts w:hint="default" w:ascii="Times New Roman" w:hAnsi="Times New Roman" w:eastAsia="宋体" w:cs="Times New Roman"/>
          <w:b/>
          <w:bCs w:val="0"/>
          <w:color w:val="auto"/>
          <w:kern w:val="2"/>
          <w:sz w:val="28"/>
          <w:szCs w:val="28"/>
          <w:highlight w:val="none"/>
          <w:lang w:val="en-US" w:eastAsia="zh-CN" w:bidi="ar-SA"/>
        </w:rPr>
        <w:t>3.2.5声环境质量现状评价</w:t>
      </w:r>
      <w:bookmarkEnd w:id="135"/>
    </w:p>
    <w:p w14:paraId="5CE0F43B">
      <w:pPr>
        <w:spacing w:line="360" w:lineRule="auto"/>
        <w:ind w:firstLine="482" w:firstLineChars="200"/>
        <w:outlineLvl w:val="9"/>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lang w:val="en-US" w:eastAsia="zh-CN"/>
        </w:rPr>
        <w:t>一、监测方案</w:t>
      </w:r>
    </w:p>
    <w:p w14:paraId="1A829BA8">
      <w:pPr>
        <w:spacing w:line="360" w:lineRule="auto"/>
        <w:ind w:firstLine="482" w:firstLineChars="200"/>
        <w:outlineLvl w:val="9"/>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监测点位</w:t>
      </w:r>
    </w:p>
    <w:p w14:paraId="6F88DBB3">
      <w:pPr>
        <w:spacing w:line="360" w:lineRule="auto"/>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此次噪声监测在</w:t>
      </w:r>
      <w:r>
        <w:rPr>
          <w:rFonts w:hint="eastAsia" w:ascii="Times New Roman" w:hAnsi="Times New Roman" w:eastAsia="宋体" w:cs="Times New Roman"/>
          <w:color w:val="auto"/>
          <w:sz w:val="24"/>
          <w:highlight w:val="none"/>
          <w:lang w:eastAsia="zh-CN"/>
        </w:rPr>
        <w:t>建设</w:t>
      </w: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val="en-US" w:eastAsia="zh-CN"/>
        </w:rPr>
        <w:t>场地</w:t>
      </w:r>
      <w:r>
        <w:rPr>
          <w:rFonts w:hint="default" w:ascii="Times New Roman" w:hAnsi="Times New Roman" w:eastAsia="宋体" w:cs="Times New Roman"/>
          <w:color w:val="auto"/>
          <w:sz w:val="24"/>
          <w:highlight w:val="none"/>
        </w:rPr>
        <w:t>四界外</w:t>
      </w:r>
      <w:r>
        <w:rPr>
          <w:rFonts w:hint="eastAsia" w:ascii="Times New Roman" w:hAnsi="Times New Roman" w:eastAsia="宋体" w:cs="Times New Roman"/>
          <w:color w:val="auto"/>
          <w:sz w:val="24"/>
          <w:highlight w:val="none"/>
          <w:lang w:val="en-US" w:eastAsia="zh-CN"/>
        </w:rPr>
        <w:t>及周边</w:t>
      </w:r>
      <w:r>
        <w:rPr>
          <w:rFonts w:hint="default" w:ascii="Times New Roman" w:hAnsi="Times New Roman" w:eastAsia="宋体" w:cs="Times New Roman"/>
          <w:color w:val="auto"/>
          <w:sz w:val="24"/>
          <w:highlight w:val="none"/>
          <w:lang w:val="en-US" w:eastAsia="zh-CN"/>
        </w:rPr>
        <w:t>共</w:t>
      </w:r>
      <w:r>
        <w:rPr>
          <w:rFonts w:hint="default" w:ascii="Times New Roman" w:hAnsi="Times New Roman" w:eastAsia="宋体" w:cs="Times New Roman"/>
          <w:color w:val="auto"/>
          <w:sz w:val="24"/>
          <w:highlight w:val="none"/>
        </w:rPr>
        <w:t>设置</w:t>
      </w:r>
      <w:r>
        <w:rPr>
          <w:rFonts w:hint="eastAsia"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个监测点位</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在既有铁路（现有到发4条货运线）外轨中心线30m边界设置2个监测点</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采样布点见表</w:t>
      </w:r>
      <w:r>
        <w:rPr>
          <w:rFonts w:hint="eastAsia" w:ascii="Times New Roman" w:hAnsi="Times New Roman" w:eastAsia="宋体" w:cs="Times New Roman"/>
          <w:color w:val="auto"/>
          <w:sz w:val="24"/>
          <w:highlight w:val="none"/>
          <w:lang w:val="en-US" w:eastAsia="zh-CN"/>
        </w:rPr>
        <w:t>3.2-9，表3.2-10</w:t>
      </w:r>
      <w:r>
        <w:rPr>
          <w:rFonts w:hint="default" w:ascii="Times New Roman" w:hAnsi="Times New Roman" w:eastAsia="宋体" w:cs="Times New Roman"/>
          <w:color w:val="auto"/>
          <w:sz w:val="24"/>
          <w:highlight w:val="none"/>
        </w:rPr>
        <w:t>。</w:t>
      </w:r>
    </w:p>
    <w:p w14:paraId="30FA7FFC">
      <w:pPr>
        <w:spacing w:line="360" w:lineRule="auto"/>
        <w:ind w:firstLine="482" w:firstLineChars="200"/>
        <w:outlineLvl w:val="9"/>
        <w:rPr>
          <w:rFonts w:hint="default" w:ascii="Times New Roman" w:hAnsi="Times New Roman" w:eastAsia="宋体" w:cs="Times New Roman"/>
          <w:b/>
          <w:bCs/>
          <w:color w:val="auto"/>
          <w:kern w:val="0"/>
          <w:sz w:val="24"/>
          <w:highlight w:val="none"/>
          <w:lang w:eastAsia="zh-CN"/>
        </w:rPr>
      </w:pPr>
      <w:r>
        <w:rPr>
          <w:rFonts w:hint="default" w:ascii="Times New Roman" w:hAnsi="Times New Roman" w:eastAsia="宋体" w:cs="Times New Roman"/>
          <w:b/>
          <w:bCs/>
          <w:color w:val="auto"/>
          <w:kern w:val="0"/>
          <w:sz w:val="24"/>
          <w:highlight w:val="none"/>
          <w:lang w:eastAsia="zh-CN"/>
        </w:rPr>
        <w:t>（</w:t>
      </w:r>
      <w:r>
        <w:rPr>
          <w:rFonts w:hint="default" w:ascii="Times New Roman" w:hAnsi="Times New Roman" w:eastAsia="宋体"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lang w:eastAsia="zh-CN"/>
        </w:rPr>
        <w:t>）监测项目</w:t>
      </w:r>
    </w:p>
    <w:p w14:paraId="07A352A4">
      <w:pPr>
        <w:spacing w:line="360" w:lineRule="auto"/>
        <w:ind w:firstLine="480" w:firstLineChars="200"/>
        <w:outlineLvl w:val="9"/>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等效连续A声级（Leq</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A</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w:t>
      </w:r>
    </w:p>
    <w:p w14:paraId="2D025DE9">
      <w:pPr>
        <w:spacing w:line="360" w:lineRule="auto"/>
        <w:ind w:firstLine="482" w:firstLineChars="200"/>
        <w:outlineLvl w:val="9"/>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w:t>
      </w:r>
      <w:r>
        <w:rPr>
          <w:rFonts w:hint="default" w:ascii="Times New Roman" w:hAnsi="Times New Roman" w:eastAsia="宋体" w:cs="Times New Roman"/>
          <w:b/>
          <w:bCs/>
          <w:color w:val="auto"/>
          <w:kern w:val="0"/>
          <w:sz w:val="24"/>
          <w:highlight w:val="none"/>
          <w:lang w:val="en-US" w:eastAsia="zh-CN"/>
        </w:rPr>
        <w:t>3</w:t>
      </w:r>
      <w:r>
        <w:rPr>
          <w:rFonts w:hint="default" w:ascii="Times New Roman" w:hAnsi="Times New Roman" w:eastAsia="宋体" w:cs="Times New Roman"/>
          <w:b/>
          <w:bCs/>
          <w:color w:val="auto"/>
          <w:kern w:val="0"/>
          <w:sz w:val="24"/>
          <w:highlight w:val="none"/>
        </w:rPr>
        <w:t>）监测频次</w:t>
      </w:r>
    </w:p>
    <w:p w14:paraId="76253449">
      <w:pPr>
        <w:spacing w:line="360" w:lineRule="auto"/>
        <w:ind w:firstLine="480" w:firstLineChars="200"/>
        <w:outlineLvl w:val="9"/>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lang w:val="en-US" w:eastAsia="zh-CN"/>
        </w:rPr>
        <w:t>连续监</w:t>
      </w:r>
      <w:r>
        <w:rPr>
          <w:rFonts w:hint="default" w:ascii="Times New Roman" w:hAnsi="Times New Roman" w:eastAsia="宋体" w:cs="Times New Roman"/>
          <w:color w:val="auto"/>
          <w:kern w:val="0"/>
          <w:sz w:val="24"/>
          <w:highlight w:val="none"/>
        </w:rPr>
        <w:t>测2天，每天昼</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夜</w:t>
      </w:r>
      <w:r>
        <w:rPr>
          <w:rFonts w:hint="default" w:ascii="Times New Roman" w:hAnsi="Times New Roman" w:eastAsia="宋体" w:cs="Times New Roman"/>
          <w:color w:val="auto"/>
          <w:kern w:val="0"/>
          <w:sz w:val="24"/>
          <w:highlight w:val="none"/>
          <w:lang w:val="en-US" w:eastAsia="zh-CN"/>
        </w:rPr>
        <w:t>各1</w:t>
      </w:r>
      <w:r>
        <w:rPr>
          <w:rFonts w:hint="default" w:ascii="Times New Roman" w:hAnsi="Times New Roman" w:eastAsia="宋体" w:cs="Times New Roman"/>
          <w:color w:val="auto"/>
          <w:kern w:val="0"/>
          <w:sz w:val="24"/>
          <w:highlight w:val="none"/>
        </w:rPr>
        <w:t>次。</w:t>
      </w:r>
    </w:p>
    <w:p w14:paraId="3DBDC1FC">
      <w:pPr>
        <w:keepNext w:val="0"/>
        <w:keepLines w:val="0"/>
        <w:pageBreakBefore w:val="0"/>
        <w:widowControl/>
        <w:kinsoku w:val="0"/>
        <w:wordWrap/>
        <w:overflowPunct/>
        <w:topLinePunct w:val="0"/>
        <w:autoSpaceDE w:val="0"/>
        <w:autoSpaceDN w:val="0"/>
        <w:bidi w:val="0"/>
        <w:adjustRightInd/>
        <w:snapToGrid/>
        <w:spacing w:line="360" w:lineRule="auto"/>
        <w:ind w:left="0" w:firstLine="482" w:firstLineChars="200"/>
        <w:textAlignment w:val="baseline"/>
        <w:outlineLvl w:val="9"/>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eastAsia="zh-CN"/>
        </w:rPr>
        <w:t>（</w:t>
      </w:r>
      <w:r>
        <w:rPr>
          <w:rFonts w:hint="default" w:ascii="Times New Roman" w:hAnsi="Times New Roman" w:eastAsia="宋体" w:cs="Times New Roman"/>
          <w:b/>
          <w:bCs/>
          <w:color w:val="auto"/>
          <w:kern w:val="0"/>
          <w:sz w:val="24"/>
          <w:highlight w:val="none"/>
          <w:lang w:val="en-US" w:eastAsia="zh-CN"/>
        </w:rPr>
        <w:t>4</w:t>
      </w:r>
      <w:r>
        <w:rPr>
          <w:rFonts w:hint="default" w:ascii="Times New Roman" w:hAnsi="Times New Roman" w:eastAsia="宋体" w:cs="Times New Roman"/>
          <w:b/>
          <w:bCs/>
          <w:color w:val="auto"/>
          <w:kern w:val="0"/>
          <w:sz w:val="24"/>
          <w:highlight w:val="none"/>
          <w:lang w:eastAsia="zh-CN"/>
        </w:rPr>
        <w:t>）</w:t>
      </w:r>
      <w:r>
        <w:rPr>
          <w:rFonts w:hint="default" w:ascii="Times New Roman" w:hAnsi="Times New Roman" w:eastAsia="宋体" w:cs="Times New Roman"/>
          <w:b/>
          <w:bCs/>
          <w:color w:val="auto"/>
          <w:kern w:val="0"/>
          <w:sz w:val="24"/>
          <w:highlight w:val="none"/>
        </w:rPr>
        <w:t>采样和分析方法</w:t>
      </w:r>
    </w:p>
    <w:p w14:paraId="58B1933F">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outlineLvl w:val="9"/>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环境噪声测量按照《铁路边界噪声限值及其测量方法》（GB12525－90）及其修改方案、《声环境质量标准》（GB3096-2008）、《铁路环境测量 环境噪声测量》（TB/T3050-2022）的有关规定进行。</w:t>
      </w:r>
    </w:p>
    <w:p w14:paraId="100AB27B">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color w:val="auto"/>
          <w:sz w:val="24"/>
          <w:szCs w:val="24"/>
        </w:rPr>
      </w:pPr>
      <w:r>
        <w:rPr>
          <w:rFonts w:hint="eastAsia" w:ascii="Times New Roman" w:hAnsi="Times New Roman" w:eastAsia="宋体" w:cs="Times New Roman"/>
          <w:color w:val="auto"/>
          <w:kern w:val="0"/>
          <w:sz w:val="24"/>
          <w:szCs w:val="24"/>
          <w:highlight w:val="none"/>
          <w:lang w:val="en-US" w:eastAsia="zh-CN"/>
        </w:rPr>
        <w:t>（5）</w:t>
      </w:r>
      <w:r>
        <w:rPr>
          <w:b/>
          <w:bCs/>
          <w:color w:val="auto"/>
          <w:spacing w:val="-5"/>
          <w:sz w:val="24"/>
          <w:szCs w:val="24"/>
        </w:rPr>
        <w:t>监测仪器</w:t>
      </w:r>
    </w:p>
    <w:p w14:paraId="3842E97A">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outlineLvl w:val="9"/>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采用性能优良、满足《声环境质量标准》（GB3096-2008）要求的声级计AWA-5688、声级计WA-5688+ 、声校准器AWA6022A。</w:t>
      </w:r>
    </w:p>
    <w:p w14:paraId="4371C3FC">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环境噪声监测点位布置一览表</w:t>
      </w:r>
    </w:p>
    <w:tbl>
      <w:tblPr>
        <w:tblStyle w:val="21"/>
        <w:tblW w:w="44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2160"/>
        <w:gridCol w:w="1938"/>
        <w:gridCol w:w="3387"/>
      </w:tblGrid>
      <w:tr w14:paraId="00EC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445" w:type="pct"/>
            <w:noWrap w:val="0"/>
            <w:vAlign w:val="center"/>
          </w:tcPr>
          <w:p w14:paraId="0EE10561">
            <w:pPr>
              <w:widowControl/>
              <w:adjustRightInd w:val="0"/>
              <w:snapToGrid w:val="0"/>
              <w:spacing w:line="240" w:lineRule="auto"/>
              <w:ind w:left="0" w:leftChars="0" w:firstLine="0" w:firstLineChars="0"/>
              <w:jc w:val="center"/>
              <w:rPr>
                <w:rFonts w:hint="default" w:ascii="Times New Roman" w:hAnsi="Times New Roman" w:eastAsia="宋体" w:cs="Times New Roman"/>
                <w:b/>
                <w:bCs w:val="0"/>
                <w:color w:val="auto"/>
                <w:kern w:val="0"/>
                <w:sz w:val="21"/>
                <w:szCs w:val="21"/>
                <w:highlight w:val="none"/>
                <w:lang w:eastAsia="zh-CN"/>
              </w:rPr>
            </w:pPr>
            <w:r>
              <w:rPr>
                <w:rFonts w:hint="default" w:ascii="Times New Roman" w:hAnsi="Times New Roman" w:eastAsia="宋体" w:cs="Times New Roman"/>
                <w:b/>
                <w:bCs w:val="0"/>
                <w:color w:val="auto"/>
                <w:kern w:val="0"/>
                <w:sz w:val="21"/>
                <w:szCs w:val="21"/>
                <w:highlight w:val="none"/>
                <w:lang w:val="en-US" w:eastAsia="zh-CN"/>
              </w:rPr>
              <w:t>序号</w:t>
            </w:r>
          </w:p>
        </w:tc>
        <w:tc>
          <w:tcPr>
            <w:tcW w:w="1314" w:type="pct"/>
            <w:noWrap w:val="0"/>
            <w:vAlign w:val="center"/>
          </w:tcPr>
          <w:p w14:paraId="6E43A467">
            <w:pPr>
              <w:widowControl/>
              <w:adjustRightInd w:val="0"/>
              <w:snapToGrid w:val="0"/>
              <w:spacing w:line="240" w:lineRule="auto"/>
              <w:ind w:left="0" w:leftChars="0" w:firstLine="0" w:firstLineChars="0"/>
              <w:jc w:val="center"/>
              <w:rPr>
                <w:rFonts w:hint="default" w:ascii="Times New Roman" w:hAnsi="Times New Roman" w:eastAsia="宋体" w:cs="Times New Roman"/>
                <w:b/>
                <w:bCs w:val="0"/>
                <w:color w:val="auto"/>
                <w:kern w:val="0"/>
                <w:sz w:val="21"/>
                <w:szCs w:val="21"/>
                <w:lang w:val="en-US" w:eastAsia="zh-CN"/>
              </w:rPr>
            </w:pPr>
            <w:r>
              <w:rPr>
                <w:rFonts w:hint="default" w:ascii="Times New Roman" w:hAnsi="Times New Roman" w:eastAsia="宋体" w:cs="Times New Roman"/>
                <w:b/>
                <w:bCs w:val="0"/>
                <w:color w:val="auto"/>
                <w:kern w:val="0"/>
                <w:sz w:val="21"/>
                <w:szCs w:val="21"/>
                <w:lang w:val="en-US" w:eastAsia="zh-CN"/>
              </w:rPr>
              <w:t>监测点位</w:t>
            </w:r>
          </w:p>
        </w:tc>
        <w:tc>
          <w:tcPr>
            <w:tcW w:w="1179" w:type="pct"/>
            <w:noWrap w:val="0"/>
            <w:vAlign w:val="center"/>
          </w:tcPr>
          <w:p w14:paraId="4340FE19">
            <w:pPr>
              <w:widowControl/>
              <w:adjustRightInd w:val="0"/>
              <w:snapToGrid w:val="0"/>
              <w:spacing w:line="240" w:lineRule="auto"/>
              <w:ind w:left="0" w:leftChars="0"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监测因子</w:t>
            </w:r>
          </w:p>
        </w:tc>
        <w:tc>
          <w:tcPr>
            <w:tcW w:w="2060" w:type="pct"/>
            <w:noWrap w:val="0"/>
            <w:vAlign w:val="center"/>
          </w:tcPr>
          <w:p w14:paraId="3120DA21">
            <w:pPr>
              <w:widowControl/>
              <w:adjustRightInd w:val="0"/>
              <w:snapToGrid w:val="0"/>
              <w:spacing w:line="240" w:lineRule="auto"/>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监测要求</w:t>
            </w:r>
          </w:p>
        </w:tc>
      </w:tr>
      <w:tr w14:paraId="1C73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45" w:type="pct"/>
            <w:noWrap w:val="0"/>
            <w:vAlign w:val="center"/>
          </w:tcPr>
          <w:p w14:paraId="665AC043">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N1</w:t>
            </w:r>
          </w:p>
        </w:tc>
        <w:tc>
          <w:tcPr>
            <w:tcW w:w="1314" w:type="pct"/>
            <w:noWrap w:val="0"/>
            <w:vAlign w:val="center"/>
          </w:tcPr>
          <w:p w14:paraId="4D8DAF76">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项目厂界东1#</w:t>
            </w:r>
          </w:p>
        </w:tc>
        <w:tc>
          <w:tcPr>
            <w:tcW w:w="1179" w:type="pct"/>
            <w:vMerge w:val="restart"/>
            <w:noWrap w:val="0"/>
            <w:vAlign w:val="center"/>
          </w:tcPr>
          <w:p w14:paraId="7C230597">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等效A声级Leq</w:t>
            </w:r>
          </w:p>
        </w:tc>
        <w:tc>
          <w:tcPr>
            <w:tcW w:w="2060" w:type="pct"/>
            <w:vMerge w:val="restart"/>
            <w:noWrap w:val="0"/>
            <w:vAlign w:val="center"/>
          </w:tcPr>
          <w:p w14:paraId="1680DA8A">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连续监测2天，每天昼夜2个时段。</w:t>
            </w:r>
          </w:p>
        </w:tc>
      </w:tr>
      <w:tr w14:paraId="395D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45" w:type="pct"/>
            <w:noWrap w:val="0"/>
            <w:vAlign w:val="center"/>
          </w:tcPr>
          <w:p w14:paraId="0989B568">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eastAsia="zh-CN"/>
              </w:rPr>
            </w:pPr>
            <w:r>
              <w:rPr>
                <w:rFonts w:hint="default" w:ascii="Times New Roman" w:hAnsi="Times New Roman" w:eastAsia="宋体" w:cs="Times New Roman"/>
                <w:bCs/>
                <w:color w:val="auto"/>
                <w:kern w:val="0"/>
                <w:sz w:val="21"/>
                <w:szCs w:val="21"/>
                <w:lang w:val="en-US" w:eastAsia="zh-CN"/>
              </w:rPr>
              <w:t>N2</w:t>
            </w:r>
          </w:p>
        </w:tc>
        <w:tc>
          <w:tcPr>
            <w:tcW w:w="1314" w:type="pct"/>
            <w:noWrap w:val="0"/>
            <w:vAlign w:val="center"/>
          </w:tcPr>
          <w:p w14:paraId="45A56335">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项目厂界南2#</w:t>
            </w:r>
          </w:p>
        </w:tc>
        <w:tc>
          <w:tcPr>
            <w:tcW w:w="1179" w:type="pct"/>
            <w:vMerge w:val="continue"/>
            <w:noWrap w:val="0"/>
            <w:vAlign w:val="center"/>
          </w:tcPr>
          <w:p w14:paraId="2139D32F">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c>
          <w:tcPr>
            <w:tcW w:w="2060" w:type="pct"/>
            <w:vMerge w:val="continue"/>
            <w:noWrap w:val="0"/>
            <w:vAlign w:val="center"/>
          </w:tcPr>
          <w:p w14:paraId="446D8F27">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r>
      <w:tr w14:paraId="1275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45" w:type="pct"/>
            <w:noWrap w:val="0"/>
            <w:vAlign w:val="center"/>
          </w:tcPr>
          <w:p w14:paraId="3868CF4D">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eastAsia="zh-CN"/>
              </w:rPr>
            </w:pPr>
            <w:r>
              <w:rPr>
                <w:rFonts w:hint="default" w:ascii="Times New Roman" w:hAnsi="Times New Roman" w:eastAsia="宋体" w:cs="Times New Roman"/>
                <w:bCs/>
                <w:color w:val="auto"/>
                <w:kern w:val="0"/>
                <w:sz w:val="21"/>
                <w:szCs w:val="21"/>
                <w:lang w:val="en-US" w:eastAsia="zh-CN"/>
              </w:rPr>
              <w:t>N3</w:t>
            </w:r>
          </w:p>
        </w:tc>
        <w:tc>
          <w:tcPr>
            <w:tcW w:w="1314" w:type="pct"/>
            <w:noWrap w:val="0"/>
            <w:vAlign w:val="center"/>
          </w:tcPr>
          <w:p w14:paraId="26B8D201">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项目厂界西3#</w:t>
            </w:r>
          </w:p>
        </w:tc>
        <w:tc>
          <w:tcPr>
            <w:tcW w:w="1179" w:type="pct"/>
            <w:vMerge w:val="continue"/>
            <w:noWrap w:val="0"/>
            <w:vAlign w:val="center"/>
          </w:tcPr>
          <w:p w14:paraId="7D5CAEE6">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c>
          <w:tcPr>
            <w:tcW w:w="2060" w:type="pct"/>
            <w:vMerge w:val="continue"/>
            <w:noWrap w:val="0"/>
            <w:vAlign w:val="center"/>
          </w:tcPr>
          <w:p w14:paraId="253C0A59">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r>
      <w:tr w14:paraId="361F6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45" w:type="pct"/>
            <w:noWrap w:val="0"/>
            <w:vAlign w:val="center"/>
          </w:tcPr>
          <w:p w14:paraId="24AA66BB">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eastAsia="zh-CN"/>
              </w:rPr>
            </w:pPr>
            <w:r>
              <w:rPr>
                <w:rFonts w:hint="default" w:ascii="Times New Roman" w:hAnsi="Times New Roman" w:eastAsia="宋体" w:cs="Times New Roman"/>
                <w:bCs/>
                <w:color w:val="auto"/>
                <w:kern w:val="0"/>
                <w:sz w:val="21"/>
                <w:szCs w:val="21"/>
                <w:lang w:val="en-US" w:eastAsia="zh-CN"/>
              </w:rPr>
              <w:t>N4</w:t>
            </w:r>
          </w:p>
        </w:tc>
        <w:tc>
          <w:tcPr>
            <w:tcW w:w="1314" w:type="pct"/>
            <w:noWrap w:val="0"/>
            <w:vAlign w:val="center"/>
          </w:tcPr>
          <w:p w14:paraId="079087AD">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项目厂界西北4#</w:t>
            </w:r>
          </w:p>
        </w:tc>
        <w:tc>
          <w:tcPr>
            <w:tcW w:w="1179" w:type="pct"/>
            <w:vMerge w:val="continue"/>
            <w:noWrap w:val="0"/>
            <w:vAlign w:val="center"/>
          </w:tcPr>
          <w:p w14:paraId="5A6B298D">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c>
          <w:tcPr>
            <w:tcW w:w="2060" w:type="pct"/>
            <w:vMerge w:val="continue"/>
            <w:noWrap w:val="0"/>
            <w:vAlign w:val="center"/>
          </w:tcPr>
          <w:p w14:paraId="65847D47">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r>
      <w:tr w14:paraId="669E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45" w:type="pct"/>
            <w:noWrap w:val="0"/>
            <w:vAlign w:val="center"/>
          </w:tcPr>
          <w:p w14:paraId="7D493B19">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spacing w:val="0"/>
                <w:w w:val="100"/>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rPr>
              <w:t>N5</w:t>
            </w:r>
          </w:p>
        </w:tc>
        <w:tc>
          <w:tcPr>
            <w:tcW w:w="1314" w:type="pct"/>
            <w:noWrap w:val="0"/>
            <w:vAlign w:val="center"/>
          </w:tcPr>
          <w:p w14:paraId="3C65645C">
            <w:pPr>
              <w:widowControl/>
              <w:adjustRightInd w:val="0"/>
              <w:snapToGrid w:val="0"/>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项目厂界北5#</w:t>
            </w:r>
          </w:p>
        </w:tc>
        <w:tc>
          <w:tcPr>
            <w:tcW w:w="1179" w:type="pct"/>
            <w:vMerge w:val="continue"/>
            <w:noWrap w:val="0"/>
            <w:vAlign w:val="center"/>
          </w:tcPr>
          <w:p w14:paraId="3C471D06">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c>
          <w:tcPr>
            <w:tcW w:w="2060" w:type="pct"/>
            <w:vMerge w:val="continue"/>
            <w:noWrap w:val="0"/>
            <w:vAlign w:val="center"/>
          </w:tcPr>
          <w:p w14:paraId="36926D80">
            <w:pPr>
              <w:widowControl/>
              <w:adjustRightInd w:val="0"/>
              <w:snapToGrid w:val="0"/>
              <w:spacing w:line="240" w:lineRule="auto"/>
              <w:ind w:left="0" w:leftChars="0" w:firstLine="0" w:firstLineChars="0"/>
              <w:jc w:val="center"/>
              <w:rPr>
                <w:rFonts w:hint="default" w:ascii="Times New Roman" w:hAnsi="Times New Roman" w:eastAsia="宋体" w:cs="Times New Roman"/>
                <w:b w:val="0"/>
                <w:bCs/>
                <w:color w:val="auto"/>
                <w:sz w:val="21"/>
                <w:szCs w:val="21"/>
                <w:lang w:val="en-US" w:eastAsia="zh-CN"/>
              </w:rPr>
            </w:pPr>
          </w:p>
        </w:tc>
      </w:tr>
    </w:tbl>
    <w:p w14:paraId="6E331E79">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环境噪声监测点位布置一览表</w:t>
      </w:r>
    </w:p>
    <w:tbl>
      <w:tblPr>
        <w:tblStyle w:val="21"/>
        <w:tblW w:w="49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109"/>
        <w:gridCol w:w="962"/>
        <w:gridCol w:w="4464"/>
        <w:gridCol w:w="782"/>
      </w:tblGrid>
      <w:tr w14:paraId="540D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77" w:type="pct"/>
            <w:noWrap w:val="0"/>
            <w:vAlign w:val="center"/>
          </w:tcPr>
          <w:p w14:paraId="3C5AF05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eastAsia="zh-CN"/>
              </w:rPr>
            </w:pPr>
            <w:r>
              <w:rPr>
                <w:rFonts w:hint="default" w:ascii="Times New Roman" w:hAnsi="Times New Roman" w:eastAsia="宋体" w:cs="Times New Roman"/>
                <w:b/>
                <w:bCs w:val="0"/>
                <w:color w:val="auto"/>
                <w:kern w:val="0"/>
                <w:sz w:val="21"/>
                <w:szCs w:val="21"/>
                <w:highlight w:val="none"/>
                <w:lang w:val="en-US" w:eastAsia="zh-CN"/>
              </w:rPr>
              <w:t>序号</w:t>
            </w:r>
          </w:p>
        </w:tc>
        <w:tc>
          <w:tcPr>
            <w:tcW w:w="1172" w:type="pct"/>
            <w:noWrap w:val="0"/>
            <w:vAlign w:val="center"/>
          </w:tcPr>
          <w:p w14:paraId="4AA077C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lang w:val="en-US" w:eastAsia="zh-CN"/>
              </w:rPr>
            </w:pPr>
            <w:r>
              <w:rPr>
                <w:rFonts w:hint="default" w:ascii="Times New Roman" w:hAnsi="Times New Roman" w:eastAsia="宋体" w:cs="Times New Roman"/>
                <w:b/>
                <w:bCs w:val="0"/>
                <w:color w:val="auto"/>
                <w:kern w:val="0"/>
                <w:sz w:val="21"/>
                <w:szCs w:val="21"/>
                <w:lang w:val="en-US" w:eastAsia="zh-CN"/>
              </w:rPr>
              <w:t>监测点位</w:t>
            </w:r>
          </w:p>
        </w:tc>
        <w:tc>
          <w:tcPr>
            <w:tcW w:w="3015" w:type="pct"/>
            <w:gridSpan w:val="2"/>
            <w:noWrap w:val="0"/>
            <w:vAlign w:val="center"/>
          </w:tcPr>
          <w:p w14:paraId="407BDC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监测要求</w:t>
            </w:r>
          </w:p>
        </w:tc>
        <w:tc>
          <w:tcPr>
            <w:tcW w:w="434" w:type="pct"/>
            <w:noWrap w:val="0"/>
            <w:vAlign w:val="center"/>
          </w:tcPr>
          <w:p w14:paraId="6AB393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auto"/>
                <w:kern w:val="0"/>
                <w:sz w:val="21"/>
                <w:szCs w:val="21"/>
                <w:lang w:val="en-US" w:eastAsia="zh-CN"/>
              </w:rPr>
            </w:pPr>
            <w:r>
              <w:rPr>
                <w:rFonts w:hint="default" w:ascii="Times New Roman" w:hAnsi="Times New Roman" w:eastAsia="宋体" w:cs="Times New Roman"/>
                <w:b/>
                <w:bCs w:val="0"/>
                <w:color w:val="auto"/>
                <w:kern w:val="0"/>
                <w:sz w:val="21"/>
                <w:szCs w:val="21"/>
              </w:rPr>
              <w:t>监测因子</w:t>
            </w:r>
          </w:p>
        </w:tc>
      </w:tr>
      <w:tr w14:paraId="6812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77" w:type="pct"/>
            <w:noWrap w:val="0"/>
            <w:vAlign w:val="center"/>
          </w:tcPr>
          <w:p w14:paraId="458E545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N</w:t>
            </w:r>
            <w:r>
              <w:rPr>
                <w:rFonts w:hint="eastAsia" w:ascii="Times New Roman" w:hAnsi="Times New Roman" w:eastAsia="宋体" w:cs="Times New Roman"/>
                <w:bCs/>
                <w:color w:val="auto"/>
                <w:kern w:val="0"/>
                <w:sz w:val="21"/>
                <w:szCs w:val="21"/>
                <w:lang w:val="en-US" w:eastAsia="zh-CN"/>
              </w:rPr>
              <w:t>7</w:t>
            </w:r>
          </w:p>
        </w:tc>
        <w:tc>
          <w:tcPr>
            <w:tcW w:w="1172" w:type="pct"/>
            <w:noWrap w:val="0"/>
            <w:vAlign w:val="center"/>
          </w:tcPr>
          <w:p w14:paraId="1937957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Cs/>
                <w:color w:val="auto"/>
                <w:kern w:val="0"/>
                <w:sz w:val="21"/>
                <w:szCs w:val="21"/>
                <w:lang w:val="en-US" w:eastAsia="zh-CN"/>
              </w:rPr>
              <w:t>既有铁路（现有到发4条货运线）外轨中心线30m</w:t>
            </w:r>
          </w:p>
        </w:tc>
        <w:tc>
          <w:tcPr>
            <w:tcW w:w="534" w:type="pct"/>
            <w:vMerge w:val="restart"/>
            <w:noWrap w:val="0"/>
            <w:vAlign w:val="center"/>
          </w:tcPr>
          <w:p w14:paraId="0BA22CD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监测</w:t>
            </w:r>
            <w:r>
              <w:rPr>
                <w:rFonts w:hint="eastAsia" w:ascii="Times New Roman" w:hAnsi="Times New Roman" w:eastAsia="宋体" w:cs="Times New Roman"/>
                <w:b w:val="0"/>
                <w:bCs/>
                <w:color w:val="auto"/>
                <w:sz w:val="21"/>
                <w:szCs w:val="21"/>
                <w:lang w:val="en-US" w:eastAsia="zh-CN"/>
              </w:rPr>
              <w:t>1</w:t>
            </w:r>
            <w:r>
              <w:rPr>
                <w:rFonts w:hint="default" w:ascii="Times New Roman" w:hAnsi="Times New Roman" w:eastAsia="宋体" w:cs="Times New Roman"/>
                <w:b w:val="0"/>
                <w:bCs/>
                <w:color w:val="auto"/>
                <w:sz w:val="21"/>
                <w:szCs w:val="21"/>
                <w:lang w:val="en-US" w:eastAsia="zh-CN"/>
              </w:rPr>
              <w:t>天</w:t>
            </w:r>
          </w:p>
        </w:tc>
        <w:tc>
          <w:tcPr>
            <w:tcW w:w="2480" w:type="pct"/>
            <w:noWrap w:val="0"/>
            <w:vAlign w:val="center"/>
          </w:tcPr>
          <w:p w14:paraId="63A82DD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昼间11:00-13:00（背景值—无列车通过时）</w:t>
            </w:r>
          </w:p>
          <w:p w14:paraId="66ADC8E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昼间6:00-10:00，13:00-22:00（铁路噪声值—有列车通过时）</w:t>
            </w:r>
          </w:p>
          <w:p w14:paraId="4452CD5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color w:val="auto"/>
                <w:sz w:val="21"/>
                <w:szCs w:val="21"/>
                <w:lang w:val="en-US" w:eastAsia="zh-CN"/>
              </w:rPr>
              <w:t>（测量其中时段1h的等效声级）</w:t>
            </w:r>
          </w:p>
        </w:tc>
        <w:tc>
          <w:tcPr>
            <w:tcW w:w="434" w:type="pct"/>
            <w:vMerge w:val="restart"/>
            <w:noWrap w:val="0"/>
            <w:vAlign w:val="center"/>
          </w:tcPr>
          <w:p w14:paraId="7501AA4B">
            <w:pPr>
              <w:pStyle w:val="9"/>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color w:val="auto"/>
                <w:sz w:val="21"/>
                <w:szCs w:val="21"/>
                <w:lang w:val="en-US" w:eastAsia="zh-CN"/>
              </w:rPr>
              <w:t>等效A声级Leq</w:t>
            </w:r>
          </w:p>
        </w:tc>
      </w:tr>
      <w:tr w14:paraId="0C69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77" w:type="pct"/>
            <w:noWrap w:val="0"/>
            <w:vAlign w:val="center"/>
          </w:tcPr>
          <w:p w14:paraId="0307ADF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eastAsia="zh-CN"/>
              </w:rPr>
            </w:pPr>
            <w:r>
              <w:rPr>
                <w:rFonts w:hint="default" w:ascii="Times New Roman" w:hAnsi="Times New Roman" w:eastAsia="宋体" w:cs="Times New Roman"/>
                <w:bCs/>
                <w:color w:val="auto"/>
                <w:kern w:val="0"/>
                <w:sz w:val="21"/>
                <w:szCs w:val="21"/>
                <w:lang w:val="en-US" w:eastAsia="zh-CN"/>
              </w:rPr>
              <w:t>N</w:t>
            </w:r>
            <w:r>
              <w:rPr>
                <w:rFonts w:hint="eastAsia" w:ascii="Times New Roman" w:hAnsi="Times New Roman" w:eastAsia="宋体" w:cs="Times New Roman"/>
                <w:bCs/>
                <w:color w:val="auto"/>
                <w:kern w:val="0"/>
                <w:sz w:val="21"/>
                <w:szCs w:val="21"/>
                <w:lang w:val="en-US" w:eastAsia="zh-CN"/>
              </w:rPr>
              <w:t>8</w:t>
            </w:r>
          </w:p>
        </w:tc>
        <w:tc>
          <w:tcPr>
            <w:tcW w:w="1172" w:type="pct"/>
            <w:noWrap w:val="0"/>
            <w:vAlign w:val="center"/>
          </w:tcPr>
          <w:p w14:paraId="318160F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color w:val="auto"/>
                <w:sz w:val="21"/>
                <w:szCs w:val="21"/>
                <w:lang w:val="en-US" w:eastAsia="zh-CN"/>
              </w:rPr>
            </w:pPr>
            <w:r>
              <w:rPr>
                <w:rFonts w:hint="eastAsia" w:ascii="Times New Roman" w:hAnsi="Times New Roman" w:eastAsia="宋体" w:cs="Times New Roman"/>
                <w:bCs/>
                <w:color w:val="auto"/>
                <w:kern w:val="0"/>
                <w:sz w:val="21"/>
                <w:szCs w:val="21"/>
                <w:lang w:val="en-US" w:eastAsia="zh-CN"/>
              </w:rPr>
              <w:t>既有铁路（现有到发4条货运线）外轨中心线东30m与新建铁路（H1、H2新建货运线）外轨中心线西30m交叉点</w:t>
            </w:r>
          </w:p>
        </w:tc>
        <w:tc>
          <w:tcPr>
            <w:tcW w:w="534" w:type="pct"/>
            <w:vMerge w:val="continue"/>
            <w:noWrap w:val="0"/>
            <w:vAlign w:val="center"/>
          </w:tcPr>
          <w:p w14:paraId="2BB7E4E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lang w:val="en-US" w:eastAsia="zh-CN"/>
              </w:rPr>
            </w:pPr>
          </w:p>
        </w:tc>
        <w:tc>
          <w:tcPr>
            <w:tcW w:w="2480" w:type="pct"/>
            <w:noWrap w:val="0"/>
            <w:vAlign w:val="center"/>
          </w:tcPr>
          <w:p w14:paraId="3BEA202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昼间11:00-13:00（背景值—无列车通过时）</w:t>
            </w:r>
          </w:p>
          <w:p w14:paraId="07B6DE7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昼间6:00-10:00，13:00-22:00（铁路噪声值—有列车通过时）</w:t>
            </w:r>
          </w:p>
          <w:p w14:paraId="1FB694A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color w:val="auto"/>
                <w:sz w:val="21"/>
                <w:szCs w:val="21"/>
                <w:lang w:val="en-US" w:eastAsia="zh-CN"/>
              </w:rPr>
              <w:t>（测量其中时段1h的等效声级）</w:t>
            </w:r>
          </w:p>
        </w:tc>
        <w:tc>
          <w:tcPr>
            <w:tcW w:w="434" w:type="pct"/>
            <w:vMerge w:val="continue"/>
            <w:noWrap w:val="0"/>
            <w:vAlign w:val="center"/>
          </w:tcPr>
          <w:p w14:paraId="08EE5B43">
            <w:pPr>
              <w:pStyle w:val="9"/>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1"/>
                <w:szCs w:val="21"/>
                <w:lang w:val="en-US" w:eastAsia="zh-CN"/>
              </w:rPr>
            </w:pPr>
          </w:p>
        </w:tc>
      </w:tr>
    </w:tbl>
    <w:p w14:paraId="37ED6716">
      <w:pPr>
        <w:spacing w:line="360" w:lineRule="auto"/>
        <w:ind w:firstLine="482" w:firstLineChars="200"/>
        <w:outlineLvl w:val="9"/>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二、监测结果及评价</w:t>
      </w:r>
    </w:p>
    <w:p w14:paraId="42427725">
      <w:pPr>
        <w:spacing w:line="360" w:lineRule="auto"/>
        <w:ind w:firstLine="480" w:firstLineChars="200"/>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1、场界噪声检测结果</w:t>
      </w:r>
    </w:p>
    <w:p w14:paraId="6FBC6AB6">
      <w:pPr>
        <w:spacing w:line="360" w:lineRule="auto"/>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项目噪声监测结果见表</w:t>
      </w:r>
      <w:r>
        <w:rPr>
          <w:rFonts w:hint="eastAsia" w:ascii="Times New Roman" w:hAnsi="Times New Roman" w:eastAsia="宋体" w:cs="Times New Roman"/>
          <w:color w:val="auto"/>
          <w:sz w:val="24"/>
          <w:highlight w:val="none"/>
          <w:lang w:val="en-US" w:eastAsia="zh-CN"/>
        </w:rPr>
        <w:t xml:space="preserve">3.2-11 </w:t>
      </w:r>
      <w:r>
        <w:rPr>
          <w:rFonts w:hint="default" w:ascii="Times New Roman" w:hAnsi="Times New Roman" w:eastAsia="宋体" w:cs="Times New Roman"/>
          <w:color w:val="auto"/>
          <w:sz w:val="24"/>
          <w:highlight w:val="none"/>
        </w:rPr>
        <w:t>。</w:t>
      </w:r>
    </w:p>
    <w:p w14:paraId="4E5C4DF8">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eastAsia" w:ascii="Times New Roman" w:hAnsi="Times New Roman" w:eastAsia="宋体" w:cs="Times New Roman"/>
          <w:b/>
          <w:bCs/>
          <w:caps w:val="0"/>
          <w:color w:val="auto"/>
          <w:spacing w:val="0"/>
          <w:sz w:val="21"/>
          <w:szCs w:val="21"/>
          <w:highlight w:val="none"/>
          <w:lang w:val="en-US" w:eastAsia="zh-CN"/>
        </w:rPr>
        <w:t>场界</w:t>
      </w:r>
      <w:r>
        <w:rPr>
          <w:rFonts w:hint="default" w:ascii="Times New Roman" w:hAnsi="Times New Roman" w:eastAsia="宋体" w:cs="Times New Roman"/>
          <w:b/>
          <w:bCs/>
          <w:caps w:val="0"/>
          <w:color w:val="auto"/>
          <w:spacing w:val="0"/>
          <w:sz w:val="21"/>
          <w:szCs w:val="21"/>
          <w:highlight w:val="none"/>
          <w:lang w:val="en-US" w:eastAsia="zh-CN"/>
        </w:rPr>
        <w:t>噪声监测结果一览表  单位：dB（A）</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054"/>
        <w:gridCol w:w="1144"/>
        <w:gridCol w:w="584"/>
        <w:gridCol w:w="638"/>
        <w:gridCol w:w="743"/>
        <w:gridCol w:w="1144"/>
        <w:gridCol w:w="584"/>
        <w:gridCol w:w="638"/>
        <w:gridCol w:w="743"/>
        <w:gridCol w:w="743"/>
      </w:tblGrid>
      <w:tr w14:paraId="680D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0" w:type="auto"/>
            <w:vMerge w:val="restart"/>
            <w:noWrap w:val="0"/>
            <w:vAlign w:val="center"/>
          </w:tcPr>
          <w:p w14:paraId="706CDE16">
            <w:pPr>
              <w:pStyle w:val="9"/>
              <w:jc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采样日期</w:t>
            </w:r>
          </w:p>
        </w:tc>
        <w:tc>
          <w:tcPr>
            <w:tcW w:w="0" w:type="auto"/>
            <w:vMerge w:val="restart"/>
            <w:noWrap w:val="0"/>
            <w:vAlign w:val="center"/>
          </w:tcPr>
          <w:p w14:paraId="74F2AB12">
            <w:pPr>
              <w:jc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检测点位</w:t>
            </w:r>
          </w:p>
        </w:tc>
        <w:tc>
          <w:tcPr>
            <w:tcW w:w="0" w:type="auto"/>
            <w:gridSpan w:val="4"/>
            <w:noWrap w:val="0"/>
            <w:vAlign w:val="center"/>
          </w:tcPr>
          <w:p w14:paraId="10B80668">
            <w:pPr>
              <w:pStyle w:val="7"/>
              <w:jc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昼间</w:t>
            </w:r>
          </w:p>
        </w:tc>
        <w:tc>
          <w:tcPr>
            <w:tcW w:w="0" w:type="auto"/>
            <w:gridSpan w:val="4"/>
            <w:noWrap w:val="0"/>
            <w:vAlign w:val="center"/>
          </w:tcPr>
          <w:p w14:paraId="100128BA">
            <w:pPr>
              <w:pStyle w:val="7"/>
              <w:jc w:val="center"/>
              <w:rPr>
                <w:rFonts w:hint="default" w:ascii="Times New Roman" w:hAnsi="Times New Roman" w:cs="Times New Roman" w:eastAsiaTheme="minorEastAsia"/>
                <w:b/>
                <w:bCs/>
                <w:color w:val="auto"/>
                <w:kern w:val="0"/>
                <w:sz w:val="21"/>
                <w:szCs w:val="21"/>
                <w:highlight w:val="none"/>
                <w:lang w:bidi="ar"/>
              </w:rPr>
            </w:pPr>
            <w:r>
              <w:rPr>
                <w:rFonts w:hint="default" w:ascii="Times New Roman" w:hAnsi="Times New Roman" w:cs="Times New Roman" w:eastAsiaTheme="minorEastAsia"/>
                <w:b/>
                <w:bCs/>
                <w:color w:val="auto"/>
                <w:kern w:val="0"/>
                <w:sz w:val="21"/>
                <w:szCs w:val="21"/>
                <w:highlight w:val="none"/>
                <w:lang w:bidi="ar"/>
              </w:rPr>
              <w:t>夜间</w:t>
            </w:r>
          </w:p>
        </w:tc>
        <w:tc>
          <w:tcPr>
            <w:tcW w:w="0" w:type="auto"/>
            <w:vMerge w:val="restart"/>
            <w:noWrap w:val="0"/>
            <w:vAlign w:val="center"/>
          </w:tcPr>
          <w:p w14:paraId="69D7E7E6">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r>
              <w:rPr>
                <w:rFonts w:hint="eastAsia" w:ascii="Times New Roman" w:hAnsi="Times New Roman" w:cs="Times New Roman" w:eastAsiaTheme="minorEastAsia"/>
                <w:b/>
                <w:bCs/>
                <w:color w:val="auto"/>
                <w:kern w:val="0"/>
                <w:sz w:val="21"/>
                <w:szCs w:val="21"/>
                <w:highlight w:val="none"/>
                <w:lang w:val="en-US" w:eastAsia="zh-CN" w:bidi="ar"/>
              </w:rPr>
              <w:t>采样期间</w:t>
            </w:r>
          </w:p>
        </w:tc>
      </w:tr>
      <w:tr w14:paraId="45FD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0" w:type="auto"/>
            <w:vMerge w:val="continue"/>
            <w:noWrap w:val="0"/>
            <w:vAlign w:val="center"/>
          </w:tcPr>
          <w:p w14:paraId="02F4D806">
            <w:pPr>
              <w:pStyle w:val="7"/>
              <w:jc w:val="center"/>
              <w:rPr>
                <w:rFonts w:hint="default" w:ascii="Times New Roman" w:hAnsi="Times New Roman" w:cs="Times New Roman" w:eastAsiaTheme="minorEastAsia"/>
                <w:b/>
                <w:bCs/>
                <w:color w:val="auto"/>
                <w:sz w:val="21"/>
                <w:szCs w:val="21"/>
                <w:highlight w:val="none"/>
              </w:rPr>
            </w:pPr>
          </w:p>
        </w:tc>
        <w:tc>
          <w:tcPr>
            <w:tcW w:w="0" w:type="auto"/>
            <w:vMerge w:val="continue"/>
            <w:noWrap w:val="0"/>
            <w:vAlign w:val="center"/>
          </w:tcPr>
          <w:p w14:paraId="766BF431">
            <w:pPr>
              <w:pStyle w:val="7"/>
              <w:jc w:val="center"/>
              <w:rPr>
                <w:rFonts w:hint="default" w:ascii="Times New Roman" w:hAnsi="Times New Roman" w:cs="Times New Roman" w:eastAsiaTheme="minorEastAsia"/>
                <w:b/>
                <w:bCs/>
                <w:color w:val="auto"/>
                <w:sz w:val="21"/>
                <w:szCs w:val="21"/>
                <w:highlight w:val="none"/>
              </w:rPr>
            </w:pPr>
          </w:p>
        </w:tc>
        <w:tc>
          <w:tcPr>
            <w:tcW w:w="0" w:type="auto"/>
            <w:noWrap w:val="0"/>
            <w:vAlign w:val="center"/>
          </w:tcPr>
          <w:p w14:paraId="177D5258">
            <w:pPr>
              <w:pStyle w:val="7"/>
              <w:jc w:val="center"/>
              <w:rPr>
                <w:rFonts w:hint="default" w:ascii="Times New Roman" w:hAnsi="Times New Roman" w:cs="Times New Roman" w:eastAsiaTheme="minorEastAsia"/>
                <w:b/>
                <w:bCs/>
                <w:color w:val="auto"/>
                <w:kern w:val="0"/>
                <w:sz w:val="21"/>
                <w:szCs w:val="21"/>
                <w:highlight w:val="none"/>
                <w:lang w:bidi="ar"/>
              </w:rPr>
            </w:pPr>
            <w:r>
              <w:rPr>
                <w:rFonts w:hint="default" w:ascii="Times New Roman" w:hAnsi="Times New Roman" w:cs="Times New Roman" w:eastAsiaTheme="minorEastAsia"/>
                <w:b/>
                <w:bCs/>
                <w:color w:val="auto"/>
                <w:kern w:val="0"/>
                <w:sz w:val="21"/>
                <w:szCs w:val="21"/>
                <w:highlight w:val="none"/>
                <w:lang w:bidi="ar"/>
              </w:rPr>
              <w:t>时间</w:t>
            </w:r>
          </w:p>
        </w:tc>
        <w:tc>
          <w:tcPr>
            <w:tcW w:w="0" w:type="auto"/>
            <w:noWrap w:val="0"/>
            <w:vAlign w:val="center"/>
          </w:tcPr>
          <w:p w14:paraId="2503B4F4">
            <w:pPr>
              <w:pStyle w:val="7"/>
              <w:jc w:val="center"/>
              <w:rPr>
                <w:rFonts w:hint="default" w:ascii="Times New Roman" w:hAnsi="Times New Roman" w:cs="Times New Roman" w:eastAsiaTheme="minorEastAsia"/>
                <w:b/>
                <w:bCs/>
                <w:color w:val="auto"/>
                <w:kern w:val="0"/>
                <w:sz w:val="21"/>
                <w:szCs w:val="21"/>
                <w:highlight w:val="none"/>
                <w:lang w:bidi="ar"/>
              </w:rPr>
            </w:pPr>
            <w:r>
              <w:rPr>
                <w:rFonts w:hint="default" w:ascii="Times New Roman" w:hAnsi="Times New Roman" w:cs="Times New Roman" w:eastAsiaTheme="minorEastAsia"/>
                <w:b/>
                <w:bCs/>
                <w:color w:val="auto"/>
                <w:kern w:val="0"/>
                <w:sz w:val="21"/>
                <w:szCs w:val="21"/>
                <w:highlight w:val="none"/>
                <w:lang w:bidi="ar"/>
              </w:rPr>
              <w:t>Leq</w:t>
            </w:r>
          </w:p>
        </w:tc>
        <w:tc>
          <w:tcPr>
            <w:tcW w:w="0" w:type="auto"/>
            <w:noWrap w:val="0"/>
            <w:vAlign w:val="center"/>
          </w:tcPr>
          <w:p w14:paraId="2DE1CA36">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标准值</w:t>
            </w:r>
          </w:p>
        </w:tc>
        <w:tc>
          <w:tcPr>
            <w:tcW w:w="0" w:type="auto"/>
            <w:noWrap w:val="0"/>
            <w:vAlign w:val="center"/>
          </w:tcPr>
          <w:p w14:paraId="2F3A656C">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达标情况</w:t>
            </w:r>
          </w:p>
        </w:tc>
        <w:tc>
          <w:tcPr>
            <w:tcW w:w="0" w:type="auto"/>
            <w:noWrap w:val="0"/>
            <w:vAlign w:val="center"/>
          </w:tcPr>
          <w:p w14:paraId="68BF2263">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bidi="ar"/>
              </w:rPr>
              <w:t>时间</w:t>
            </w:r>
          </w:p>
        </w:tc>
        <w:tc>
          <w:tcPr>
            <w:tcW w:w="0" w:type="auto"/>
            <w:noWrap w:val="0"/>
            <w:vAlign w:val="center"/>
          </w:tcPr>
          <w:p w14:paraId="2804DD33">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bidi="ar"/>
              </w:rPr>
              <w:t>Leq</w:t>
            </w:r>
          </w:p>
        </w:tc>
        <w:tc>
          <w:tcPr>
            <w:tcW w:w="0" w:type="auto"/>
            <w:noWrap w:val="0"/>
            <w:vAlign w:val="center"/>
          </w:tcPr>
          <w:p w14:paraId="73E24865">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标准值</w:t>
            </w:r>
          </w:p>
        </w:tc>
        <w:tc>
          <w:tcPr>
            <w:tcW w:w="0" w:type="auto"/>
            <w:noWrap w:val="0"/>
            <w:vAlign w:val="center"/>
          </w:tcPr>
          <w:p w14:paraId="0DD3AF73">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达标情况</w:t>
            </w:r>
          </w:p>
        </w:tc>
        <w:tc>
          <w:tcPr>
            <w:tcW w:w="0" w:type="auto"/>
            <w:vMerge w:val="continue"/>
            <w:noWrap w:val="0"/>
            <w:vAlign w:val="center"/>
          </w:tcPr>
          <w:p w14:paraId="0F95DB26">
            <w:pPr>
              <w:pStyle w:val="7"/>
              <w:jc w:val="center"/>
              <w:rPr>
                <w:rFonts w:hint="default" w:ascii="Times New Roman" w:hAnsi="Times New Roman" w:cs="Times New Roman" w:eastAsiaTheme="minorEastAsia"/>
                <w:b/>
                <w:bCs/>
                <w:color w:val="auto"/>
                <w:kern w:val="0"/>
                <w:sz w:val="21"/>
                <w:szCs w:val="21"/>
                <w:highlight w:val="none"/>
                <w:lang w:val="en-US" w:eastAsia="zh-CN" w:bidi="ar"/>
              </w:rPr>
            </w:pPr>
          </w:p>
        </w:tc>
      </w:tr>
      <w:tr w14:paraId="14DF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restart"/>
            <w:noWrap w:val="0"/>
            <w:vAlign w:val="center"/>
          </w:tcPr>
          <w:p w14:paraId="08128987">
            <w:pPr>
              <w:shd w:val="clear" w:color="auto" w:fill="auto"/>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lang w:val="en-US" w:eastAsia="zh-CN"/>
              </w:rPr>
              <w:t>2026.06.05</w:t>
            </w:r>
          </w:p>
        </w:tc>
        <w:tc>
          <w:tcPr>
            <w:tcW w:w="0" w:type="auto"/>
            <w:noWrap w:val="0"/>
            <w:vAlign w:val="center"/>
          </w:tcPr>
          <w:p w14:paraId="0657D131">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项目厂界东1#</w:t>
            </w:r>
          </w:p>
        </w:tc>
        <w:tc>
          <w:tcPr>
            <w:tcW w:w="0" w:type="auto"/>
            <w:noWrap w:val="0"/>
            <w:vAlign w:val="center"/>
          </w:tcPr>
          <w:p w14:paraId="70829035">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09:52～10:02</w:t>
            </w:r>
          </w:p>
        </w:tc>
        <w:tc>
          <w:tcPr>
            <w:tcW w:w="0" w:type="auto"/>
            <w:noWrap w:val="0"/>
            <w:vAlign w:val="center"/>
          </w:tcPr>
          <w:p w14:paraId="06F03F6C">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58.6 </w:t>
            </w:r>
          </w:p>
        </w:tc>
        <w:tc>
          <w:tcPr>
            <w:tcW w:w="0" w:type="auto"/>
            <w:noWrap w:val="0"/>
            <w:vAlign w:val="center"/>
          </w:tcPr>
          <w:p w14:paraId="165336E0">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461B7EC2">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4B4538E8">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22:04～22:14</w:t>
            </w:r>
          </w:p>
        </w:tc>
        <w:tc>
          <w:tcPr>
            <w:tcW w:w="0" w:type="auto"/>
            <w:noWrap w:val="0"/>
            <w:vAlign w:val="center"/>
          </w:tcPr>
          <w:p w14:paraId="774EA061">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44.1 </w:t>
            </w:r>
          </w:p>
        </w:tc>
        <w:tc>
          <w:tcPr>
            <w:tcW w:w="0" w:type="auto"/>
            <w:noWrap w:val="0"/>
            <w:vAlign w:val="center"/>
          </w:tcPr>
          <w:p w14:paraId="56D3D795">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529CE81F">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restart"/>
            <w:noWrap w:val="0"/>
            <w:vAlign w:val="center"/>
          </w:tcPr>
          <w:p w14:paraId="4C7BE6A3">
            <w:pPr>
              <w:pStyle w:val="7"/>
              <w:jc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施工期间</w:t>
            </w:r>
          </w:p>
        </w:tc>
      </w:tr>
      <w:tr w14:paraId="7DB7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5239BF0D">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3159A43A">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项目厂界南2#</w:t>
            </w:r>
          </w:p>
        </w:tc>
        <w:tc>
          <w:tcPr>
            <w:tcW w:w="0" w:type="auto"/>
            <w:noWrap w:val="0"/>
            <w:vAlign w:val="center"/>
          </w:tcPr>
          <w:p w14:paraId="20156124">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10:13～10:23</w:t>
            </w:r>
          </w:p>
        </w:tc>
        <w:tc>
          <w:tcPr>
            <w:tcW w:w="0" w:type="auto"/>
            <w:noWrap w:val="0"/>
            <w:vAlign w:val="center"/>
          </w:tcPr>
          <w:p w14:paraId="7FF2A945">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57.0 </w:t>
            </w:r>
          </w:p>
        </w:tc>
        <w:tc>
          <w:tcPr>
            <w:tcW w:w="0" w:type="auto"/>
            <w:noWrap w:val="0"/>
            <w:vAlign w:val="center"/>
          </w:tcPr>
          <w:p w14:paraId="0DC6C120">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72288D15">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728C5B2B">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22:28～22:38</w:t>
            </w:r>
          </w:p>
        </w:tc>
        <w:tc>
          <w:tcPr>
            <w:tcW w:w="0" w:type="auto"/>
            <w:noWrap w:val="0"/>
            <w:vAlign w:val="center"/>
          </w:tcPr>
          <w:p w14:paraId="43F52D92">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46.6 </w:t>
            </w:r>
          </w:p>
        </w:tc>
        <w:tc>
          <w:tcPr>
            <w:tcW w:w="0" w:type="auto"/>
            <w:noWrap w:val="0"/>
            <w:vAlign w:val="center"/>
          </w:tcPr>
          <w:p w14:paraId="5DD6BC57">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2F51A5E3">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5DB20C32">
            <w:pPr>
              <w:pStyle w:val="7"/>
              <w:jc w:val="center"/>
              <w:rPr>
                <w:rFonts w:hint="default" w:ascii="Times New Roman" w:hAnsi="Times New Roman" w:cs="Times New Roman" w:eastAsiaTheme="minorEastAsia"/>
                <w:color w:val="auto"/>
                <w:sz w:val="21"/>
                <w:szCs w:val="21"/>
                <w:highlight w:val="none"/>
                <w:lang w:val="en-US" w:eastAsia="zh-CN"/>
              </w:rPr>
            </w:pPr>
          </w:p>
        </w:tc>
      </w:tr>
      <w:tr w14:paraId="2931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3D2DEC40">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1803A9B5">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项目厂界西3#</w:t>
            </w:r>
          </w:p>
        </w:tc>
        <w:tc>
          <w:tcPr>
            <w:tcW w:w="0" w:type="auto"/>
            <w:noWrap w:val="0"/>
            <w:vAlign w:val="center"/>
          </w:tcPr>
          <w:p w14:paraId="00EB0DB2">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10:33～10:43</w:t>
            </w:r>
          </w:p>
        </w:tc>
        <w:tc>
          <w:tcPr>
            <w:tcW w:w="0" w:type="auto"/>
            <w:noWrap w:val="0"/>
            <w:vAlign w:val="center"/>
          </w:tcPr>
          <w:p w14:paraId="23DC4333">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59.3 </w:t>
            </w:r>
          </w:p>
        </w:tc>
        <w:tc>
          <w:tcPr>
            <w:tcW w:w="0" w:type="auto"/>
            <w:noWrap w:val="0"/>
            <w:vAlign w:val="center"/>
          </w:tcPr>
          <w:p w14:paraId="2163F049">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5E142FC1">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30FEADED">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22:47～22:57</w:t>
            </w:r>
          </w:p>
        </w:tc>
        <w:tc>
          <w:tcPr>
            <w:tcW w:w="0" w:type="auto"/>
            <w:noWrap w:val="0"/>
            <w:vAlign w:val="center"/>
          </w:tcPr>
          <w:p w14:paraId="19AFEB13">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46.8 </w:t>
            </w:r>
          </w:p>
        </w:tc>
        <w:tc>
          <w:tcPr>
            <w:tcW w:w="0" w:type="auto"/>
            <w:noWrap w:val="0"/>
            <w:vAlign w:val="center"/>
          </w:tcPr>
          <w:p w14:paraId="204CEE86">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2A7E2B4F">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24DAF861">
            <w:pPr>
              <w:pStyle w:val="7"/>
              <w:jc w:val="center"/>
              <w:rPr>
                <w:rFonts w:hint="default" w:ascii="Times New Roman" w:hAnsi="Times New Roman" w:cs="Times New Roman" w:eastAsiaTheme="minorEastAsia"/>
                <w:color w:val="auto"/>
                <w:sz w:val="21"/>
                <w:szCs w:val="21"/>
                <w:highlight w:val="none"/>
                <w:lang w:val="en-US" w:eastAsia="zh-CN"/>
              </w:rPr>
            </w:pPr>
          </w:p>
        </w:tc>
      </w:tr>
      <w:tr w14:paraId="48CE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2AECF4D5">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511FADF7">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项目厂界西北4#</w:t>
            </w:r>
          </w:p>
        </w:tc>
        <w:tc>
          <w:tcPr>
            <w:tcW w:w="0" w:type="auto"/>
            <w:noWrap w:val="0"/>
            <w:vAlign w:val="center"/>
          </w:tcPr>
          <w:p w14:paraId="2AE042AD">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10:50～11:00</w:t>
            </w:r>
          </w:p>
        </w:tc>
        <w:tc>
          <w:tcPr>
            <w:tcW w:w="0" w:type="auto"/>
            <w:noWrap w:val="0"/>
            <w:vAlign w:val="center"/>
          </w:tcPr>
          <w:p w14:paraId="4AF7E58B">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53.5 </w:t>
            </w:r>
          </w:p>
        </w:tc>
        <w:tc>
          <w:tcPr>
            <w:tcW w:w="0" w:type="auto"/>
            <w:noWrap w:val="0"/>
            <w:vAlign w:val="center"/>
          </w:tcPr>
          <w:p w14:paraId="00018014">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6FF884FE">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4E8168C2">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23:04～23:14</w:t>
            </w:r>
          </w:p>
        </w:tc>
        <w:tc>
          <w:tcPr>
            <w:tcW w:w="0" w:type="auto"/>
            <w:noWrap w:val="0"/>
            <w:vAlign w:val="center"/>
          </w:tcPr>
          <w:p w14:paraId="27DB6A45">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41.7 </w:t>
            </w:r>
          </w:p>
        </w:tc>
        <w:tc>
          <w:tcPr>
            <w:tcW w:w="0" w:type="auto"/>
            <w:noWrap w:val="0"/>
            <w:vAlign w:val="center"/>
          </w:tcPr>
          <w:p w14:paraId="3213A7F9">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46D2F888">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7A058BE2">
            <w:pPr>
              <w:pStyle w:val="7"/>
              <w:jc w:val="center"/>
              <w:rPr>
                <w:rFonts w:hint="default" w:ascii="Times New Roman" w:hAnsi="Times New Roman" w:cs="Times New Roman" w:eastAsiaTheme="minorEastAsia"/>
                <w:color w:val="auto"/>
                <w:sz w:val="21"/>
                <w:szCs w:val="21"/>
                <w:highlight w:val="none"/>
                <w:lang w:val="en-US" w:eastAsia="zh-CN"/>
              </w:rPr>
            </w:pPr>
          </w:p>
        </w:tc>
      </w:tr>
      <w:tr w14:paraId="0B9F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67144E13">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09ABBAAD">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项目厂界北5#</w:t>
            </w:r>
          </w:p>
        </w:tc>
        <w:tc>
          <w:tcPr>
            <w:tcW w:w="0" w:type="auto"/>
            <w:noWrap w:val="0"/>
            <w:vAlign w:val="center"/>
          </w:tcPr>
          <w:p w14:paraId="17ACA84D">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11:08～11:18</w:t>
            </w:r>
          </w:p>
        </w:tc>
        <w:tc>
          <w:tcPr>
            <w:tcW w:w="0" w:type="auto"/>
            <w:noWrap w:val="0"/>
            <w:vAlign w:val="center"/>
          </w:tcPr>
          <w:p w14:paraId="60B9C159">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 xml:space="preserve">54.6 </w:t>
            </w:r>
          </w:p>
        </w:tc>
        <w:tc>
          <w:tcPr>
            <w:tcW w:w="0" w:type="auto"/>
            <w:noWrap w:val="0"/>
            <w:vAlign w:val="center"/>
          </w:tcPr>
          <w:p w14:paraId="2729F93C">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390DF370">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4460964B">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23:22～23:32</w:t>
            </w:r>
          </w:p>
        </w:tc>
        <w:tc>
          <w:tcPr>
            <w:tcW w:w="0" w:type="auto"/>
            <w:noWrap w:val="0"/>
            <w:vAlign w:val="center"/>
          </w:tcPr>
          <w:p w14:paraId="72F3D965">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44.3</w:t>
            </w:r>
          </w:p>
        </w:tc>
        <w:tc>
          <w:tcPr>
            <w:tcW w:w="0" w:type="auto"/>
            <w:noWrap w:val="0"/>
            <w:vAlign w:val="center"/>
          </w:tcPr>
          <w:p w14:paraId="7BA664AD">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5AE926B6">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3D9A5A93">
            <w:pPr>
              <w:pStyle w:val="7"/>
              <w:jc w:val="center"/>
              <w:rPr>
                <w:rFonts w:hint="default" w:ascii="Times New Roman" w:hAnsi="Times New Roman" w:cs="Times New Roman" w:eastAsiaTheme="minorEastAsia"/>
                <w:color w:val="auto"/>
                <w:sz w:val="21"/>
                <w:szCs w:val="21"/>
                <w:highlight w:val="none"/>
                <w:lang w:val="en-US" w:eastAsia="zh-CN"/>
              </w:rPr>
            </w:pPr>
          </w:p>
        </w:tc>
      </w:tr>
      <w:tr w14:paraId="1A6F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restart"/>
            <w:noWrap w:val="0"/>
            <w:vAlign w:val="center"/>
          </w:tcPr>
          <w:p w14:paraId="6BD2A593">
            <w:pPr>
              <w:shd w:val="clear" w:color="auto" w:fill="auto"/>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lang w:val="en-US" w:eastAsia="zh-CN"/>
              </w:rPr>
              <w:t>2026.06.06</w:t>
            </w:r>
          </w:p>
        </w:tc>
        <w:tc>
          <w:tcPr>
            <w:tcW w:w="0" w:type="auto"/>
            <w:noWrap w:val="0"/>
            <w:vAlign w:val="center"/>
          </w:tcPr>
          <w:p w14:paraId="08B5861C">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项目厂界东1#</w:t>
            </w:r>
          </w:p>
        </w:tc>
        <w:tc>
          <w:tcPr>
            <w:tcW w:w="0" w:type="auto"/>
            <w:noWrap w:val="0"/>
            <w:vAlign w:val="center"/>
          </w:tcPr>
          <w:p w14:paraId="3840AF27">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13:01～13:11</w:t>
            </w:r>
          </w:p>
        </w:tc>
        <w:tc>
          <w:tcPr>
            <w:tcW w:w="0" w:type="auto"/>
            <w:noWrap w:val="0"/>
            <w:vAlign w:val="center"/>
          </w:tcPr>
          <w:p w14:paraId="3EFD20E1">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52.2 </w:t>
            </w:r>
          </w:p>
        </w:tc>
        <w:tc>
          <w:tcPr>
            <w:tcW w:w="0" w:type="auto"/>
            <w:noWrap w:val="0"/>
            <w:vAlign w:val="center"/>
          </w:tcPr>
          <w:p w14:paraId="626A6FEB">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2A262122">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4AEBD7A4">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22:12～22:22</w:t>
            </w:r>
          </w:p>
        </w:tc>
        <w:tc>
          <w:tcPr>
            <w:tcW w:w="0" w:type="auto"/>
            <w:noWrap w:val="0"/>
            <w:vAlign w:val="center"/>
          </w:tcPr>
          <w:p w14:paraId="0848ED3C">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43.6 </w:t>
            </w:r>
          </w:p>
        </w:tc>
        <w:tc>
          <w:tcPr>
            <w:tcW w:w="0" w:type="auto"/>
            <w:noWrap w:val="0"/>
            <w:vAlign w:val="center"/>
          </w:tcPr>
          <w:p w14:paraId="052A6C0A">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498F54E8">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4064A062">
            <w:pPr>
              <w:pStyle w:val="7"/>
              <w:jc w:val="center"/>
              <w:rPr>
                <w:rFonts w:hint="default" w:ascii="Times New Roman" w:hAnsi="Times New Roman" w:cs="Times New Roman" w:eastAsiaTheme="minorEastAsia"/>
                <w:color w:val="auto"/>
                <w:sz w:val="21"/>
                <w:szCs w:val="21"/>
                <w:highlight w:val="none"/>
                <w:lang w:val="en-US" w:eastAsia="zh-CN"/>
              </w:rPr>
            </w:pPr>
          </w:p>
        </w:tc>
      </w:tr>
      <w:tr w14:paraId="787B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08F8E2ED">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6F025224">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项目厂界南2#</w:t>
            </w:r>
          </w:p>
        </w:tc>
        <w:tc>
          <w:tcPr>
            <w:tcW w:w="0" w:type="auto"/>
            <w:noWrap w:val="0"/>
            <w:vAlign w:val="center"/>
          </w:tcPr>
          <w:p w14:paraId="0CD3B474">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13:20～13:30</w:t>
            </w:r>
          </w:p>
        </w:tc>
        <w:tc>
          <w:tcPr>
            <w:tcW w:w="0" w:type="auto"/>
            <w:noWrap w:val="0"/>
            <w:vAlign w:val="center"/>
          </w:tcPr>
          <w:p w14:paraId="32504157">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55.4 </w:t>
            </w:r>
          </w:p>
        </w:tc>
        <w:tc>
          <w:tcPr>
            <w:tcW w:w="0" w:type="auto"/>
            <w:noWrap w:val="0"/>
            <w:vAlign w:val="center"/>
          </w:tcPr>
          <w:p w14:paraId="72E7C695">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6F19B8D7">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1531A1A5">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22:29～22:39</w:t>
            </w:r>
          </w:p>
        </w:tc>
        <w:tc>
          <w:tcPr>
            <w:tcW w:w="0" w:type="auto"/>
            <w:noWrap w:val="0"/>
            <w:vAlign w:val="center"/>
          </w:tcPr>
          <w:p w14:paraId="7ADC1744">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40.6 </w:t>
            </w:r>
          </w:p>
        </w:tc>
        <w:tc>
          <w:tcPr>
            <w:tcW w:w="0" w:type="auto"/>
            <w:noWrap w:val="0"/>
            <w:vAlign w:val="center"/>
          </w:tcPr>
          <w:p w14:paraId="3BE881DF">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73446146">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3825C4FB">
            <w:pPr>
              <w:pStyle w:val="7"/>
              <w:jc w:val="center"/>
              <w:rPr>
                <w:rFonts w:hint="default" w:ascii="Times New Roman" w:hAnsi="Times New Roman" w:cs="Times New Roman" w:eastAsiaTheme="minorEastAsia"/>
                <w:color w:val="auto"/>
                <w:sz w:val="21"/>
                <w:szCs w:val="21"/>
                <w:highlight w:val="none"/>
                <w:lang w:val="en-US" w:eastAsia="zh-CN"/>
              </w:rPr>
            </w:pPr>
          </w:p>
        </w:tc>
      </w:tr>
      <w:tr w14:paraId="1FA5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5D8E3DB8">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5255A416">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项目厂界西3#</w:t>
            </w:r>
          </w:p>
        </w:tc>
        <w:tc>
          <w:tcPr>
            <w:tcW w:w="0" w:type="auto"/>
            <w:noWrap w:val="0"/>
            <w:vAlign w:val="center"/>
          </w:tcPr>
          <w:p w14:paraId="25020543">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13:41～13:51</w:t>
            </w:r>
          </w:p>
        </w:tc>
        <w:tc>
          <w:tcPr>
            <w:tcW w:w="0" w:type="auto"/>
            <w:noWrap w:val="0"/>
            <w:vAlign w:val="center"/>
          </w:tcPr>
          <w:p w14:paraId="1B7B8150">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58.3 </w:t>
            </w:r>
          </w:p>
        </w:tc>
        <w:tc>
          <w:tcPr>
            <w:tcW w:w="0" w:type="auto"/>
            <w:noWrap w:val="0"/>
            <w:vAlign w:val="center"/>
          </w:tcPr>
          <w:p w14:paraId="3D646D72">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00BE9FF0">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768088E0">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22:52～23:02</w:t>
            </w:r>
          </w:p>
        </w:tc>
        <w:tc>
          <w:tcPr>
            <w:tcW w:w="0" w:type="auto"/>
            <w:noWrap w:val="0"/>
            <w:vAlign w:val="center"/>
          </w:tcPr>
          <w:p w14:paraId="0062F9D3">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45.0 </w:t>
            </w:r>
          </w:p>
        </w:tc>
        <w:tc>
          <w:tcPr>
            <w:tcW w:w="0" w:type="auto"/>
            <w:noWrap w:val="0"/>
            <w:vAlign w:val="center"/>
          </w:tcPr>
          <w:p w14:paraId="3D78012D">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6AB4B820">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5A69D63A">
            <w:pPr>
              <w:pStyle w:val="7"/>
              <w:jc w:val="center"/>
              <w:rPr>
                <w:rFonts w:hint="default" w:ascii="Times New Roman" w:hAnsi="Times New Roman" w:cs="Times New Roman" w:eastAsiaTheme="minorEastAsia"/>
                <w:color w:val="auto"/>
                <w:sz w:val="21"/>
                <w:szCs w:val="21"/>
                <w:highlight w:val="none"/>
                <w:lang w:val="en-US" w:eastAsia="zh-CN"/>
              </w:rPr>
            </w:pPr>
          </w:p>
        </w:tc>
      </w:tr>
      <w:tr w14:paraId="2322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51D9CA47">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0159C2EE">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项目厂界西北4#</w:t>
            </w:r>
          </w:p>
        </w:tc>
        <w:tc>
          <w:tcPr>
            <w:tcW w:w="0" w:type="auto"/>
            <w:noWrap w:val="0"/>
            <w:vAlign w:val="center"/>
          </w:tcPr>
          <w:p w14:paraId="6336E9C8">
            <w:pPr>
              <w:keepNext w:val="0"/>
              <w:keepLines w:val="0"/>
              <w:widowControl/>
              <w:suppressLineNumbers w:val="0"/>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14:02～14:12</w:t>
            </w:r>
          </w:p>
        </w:tc>
        <w:tc>
          <w:tcPr>
            <w:tcW w:w="0" w:type="auto"/>
            <w:noWrap w:val="0"/>
            <w:vAlign w:val="center"/>
          </w:tcPr>
          <w:p w14:paraId="799CD904">
            <w:pPr>
              <w:keepNext w:val="0"/>
              <w:keepLines w:val="0"/>
              <w:widowControl/>
              <w:suppressLineNumbers w:val="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u w:val="none"/>
                <w:lang w:val="en-US" w:eastAsia="zh-CN" w:bidi="ar"/>
              </w:rPr>
              <w:t xml:space="preserve">51.1 </w:t>
            </w:r>
          </w:p>
        </w:tc>
        <w:tc>
          <w:tcPr>
            <w:tcW w:w="0" w:type="auto"/>
            <w:noWrap w:val="0"/>
            <w:vAlign w:val="center"/>
          </w:tcPr>
          <w:p w14:paraId="3EAD5CA8">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299F0685">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060EC6B2">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23:14～23:24</w:t>
            </w:r>
          </w:p>
        </w:tc>
        <w:tc>
          <w:tcPr>
            <w:tcW w:w="0" w:type="auto"/>
            <w:noWrap w:val="0"/>
            <w:vAlign w:val="center"/>
          </w:tcPr>
          <w:p w14:paraId="12014BC8">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u w:val="none"/>
                <w:lang w:val="en-US" w:eastAsia="zh-CN" w:bidi="ar"/>
              </w:rPr>
              <w:t xml:space="preserve">41.0 </w:t>
            </w:r>
          </w:p>
        </w:tc>
        <w:tc>
          <w:tcPr>
            <w:tcW w:w="0" w:type="auto"/>
            <w:noWrap w:val="0"/>
            <w:vAlign w:val="center"/>
          </w:tcPr>
          <w:p w14:paraId="5FE9B94D">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34101911">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6DCAE986">
            <w:pPr>
              <w:pStyle w:val="7"/>
              <w:jc w:val="center"/>
              <w:rPr>
                <w:rFonts w:hint="default" w:ascii="Times New Roman" w:hAnsi="Times New Roman" w:cs="Times New Roman" w:eastAsiaTheme="minorEastAsia"/>
                <w:color w:val="auto"/>
                <w:sz w:val="21"/>
                <w:szCs w:val="21"/>
                <w:highlight w:val="none"/>
                <w:lang w:val="en-US" w:eastAsia="zh-CN"/>
              </w:rPr>
            </w:pPr>
          </w:p>
        </w:tc>
      </w:tr>
      <w:tr w14:paraId="7FCD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0" w:type="auto"/>
            <w:vMerge w:val="continue"/>
            <w:noWrap w:val="0"/>
            <w:vAlign w:val="center"/>
          </w:tcPr>
          <w:p w14:paraId="2E0EF5D5">
            <w:pPr>
              <w:shd w:val="clear" w:color="auto" w:fill="auto"/>
              <w:jc w:val="center"/>
              <w:rPr>
                <w:rFonts w:hint="default" w:ascii="Times New Roman" w:hAnsi="Times New Roman" w:cs="Times New Roman" w:eastAsiaTheme="minorEastAsia"/>
                <w:color w:val="auto"/>
                <w:sz w:val="21"/>
                <w:szCs w:val="21"/>
                <w:highlight w:val="none"/>
              </w:rPr>
            </w:pPr>
          </w:p>
        </w:tc>
        <w:tc>
          <w:tcPr>
            <w:tcW w:w="0" w:type="auto"/>
            <w:noWrap w:val="0"/>
            <w:vAlign w:val="center"/>
          </w:tcPr>
          <w:p w14:paraId="04A71085">
            <w:pPr>
              <w:pStyle w:val="37"/>
              <w:jc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lang w:val="en-US" w:eastAsia="zh-CN"/>
              </w:rPr>
              <w:t>项目厂界北5#</w:t>
            </w:r>
          </w:p>
        </w:tc>
        <w:tc>
          <w:tcPr>
            <w:tcW w:w="0" w:type="auto"/>
            <w:noWrap w:val="0"/>
            <w:vAlign w:val="center"/>
          </w:tcPr>
          <w:p w14:paraId="7BD43AA9">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14:21～14:31</w:t>
            </w:r>
          </w:p>
        </w:tc>
        <w:tc>
          <w:tcPr>
            <w:tcW w:w="0" w:type="auto"/>
            <w:noWrap w:val="0"/>
            <w:vAlign w:val="center"/>
          </w:tcPr>
          <w:p w14:paraId="45241C03">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 xml:space="preserve">50.2 </w:t>
            </w:r>
          </w:p>
        </w:tc>
        <w:tc>
          <w:tcPr>
            <w:tcW w:w="0" w:type="auto"/>
            <w:noWrap w:val="0"/>
            <w:vAlign w:val="center"/>
          </w:tcPr>
          <w:p w14:paraId="723011B0">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65</w:t>
            </w:r>
          </w:p>
        </w:tc>
        <w:tc>
          <w:tcPr>
            <w:tcW w:w="0" w:type="auto"/>
            <w:noWrap w:val="0"/>
            <w:vAlign w:val="center"/>
          </w:tcPr>
          <w:p w14:paraId="420C9202">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noWrap w:val="0"/>
            <w:vAlign w:val="center"/>
          </w:tcPr>
          <w:p w14:paraId="25017AE6">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23:32～23:42</w:t>
            </w:r>
          </w:p>
        </w:tc>
        <w:tc>
          <w:tcPr>
            <w:tcW w:w="0" w:type="auto"/>
            <w:noWrap w:val="0"/>
            <w:vAlign w:val="center"/>
          </w:tcPr>
          <w:p w14:paraId="7399701B">
            <w:pPr>
              <w:keepNext w:val="0"/>
              <w:keepLines w:val="0"/>
              <w:widowControl/>
              <w:suppressLineNumbers w:val="0"/>
              <w:jc w:val="center"/>
              <w:textAlignment w:val="center"/>
              <w:rPr>
                <w:rFonts w:hint="default" w:ascii="Times New Roman" w:hAnsi="Times New Roman" w:cs="Times New Roman" w:eastAsiaTheme="minorEastAsia"/>
                <w:i w:val="0"/>
                <w:iCs w:val="0"/>
                <w:color w:val="auto"/>
                <w:kern w:val="0"/>
                <w:sz w:val="21"/>
                <w:szCs w:val="21"/>
                <w:highlight w:val="none"/>
                <w:u w:val="none"/>
                <w:lang w:val="en-US" w:eastAsia="zh-CN" w:bidi="ar"/>
              </w:rPr>
            </w:pPr>
            <w:r>
              <w:rPr>
                <w:rFonts w:hint="default" w:ascii="Times New Roman" w:hAnsi="Times New Roman" w:cs="Times New Roman" w:eastAsiaTheme="minorEastAsia"/>
                <w:i w:val="0"/>
                <w:iCs w:val="0"/>
                <w:color w:val="auto"/>
                <w:kern w:val="0"/>
                <w:sz w:val="21"/>
                <w:szCs w:val="21"/>
                <w:u w:val="none"/>
                <w:lang w:val="en-US" w:eastAsia="zh-CN" w:bidi="ar"/>
              </w:rPr>
              <w:t>42.1</w:t>
            </w:r>
          </w:p>
        </w:tc>
        <w:tc>
          <w:tcPr>
            <w:tcW w:w="0" w:type="auto"/>
            <w:noWrap w:val="0"/>
            <w:vAlign w:val="center"/>
          </w:tcPr>
          <w:p w14:paraId="03A5A5C0">
            <w:pPr>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55</w:t>
            </w:r>
          </w:p>
        </w:tc>
        <w:tc>
          <w:tcPr>
            <w:tcW w:w="0" w:type="auto"/>
            <w:noWrap w:val="0"/>
            <w:vAlign w:val="center"/>
          </w:tcPr>
          <w:p w14:paraId="316E77B7">
            <w:pPr>
              <w:pStyle w:val="7"/>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达标</w:t>
            </w:r>
          </w:p>
        </w:tc>
        <w:tc>
          <w:tcPr>
            <w:tcW w:w="0" w:type="auto"/>
            <w:vMerge w:val="continue"/>
            <w:noWrap w:val="0"/>
            <w:vAlign w:val="center"/>
          </w:tcPr>
          <w:p w14:paraId="258AF0B0">
            <w:pPr>
              <w:pStyle w:val="7"/>
              <w:jc w:val="center"/>
              <w:rPr>
                <w:rFonts w:hint="default" w:ascii="Times New Roman" w:hAnsi="Times New Roman" w:cs="Times New Roman" w:eastAsiaTheme="minorEastAsia"/>
                <w:color w:val="auto"/>
                <w:sz w:val="21"/>
                <w:szCs w:val="21"/>
                <w:highlight w:val="none"/>
                <w:lang w:val="en-US" w:eastAsia="zh-CN"/>
              </w:rPr>
            </w:pPr>
          </w:p>
        </w:tc>
      </w:tr>
    </w:tbl>
    <w:p w14:paraId="5C2B16EA">
      <w:pPr>
        <w:spacing w:line="360" w:lineRule="auto"/>
        <w:ind w:firstLine="482"/>
        <w:outlineLvl w:val="9"/>
        <w:rPr>
          <w:rFonts w:hint="eastAsia" w:ascii="Times New Roman" w:hAnsi="Times New Roman" w:eastAsia="宋体" w:cs="Times New Roman"/>
          <w:caps w:val="0"/>
          <w:color w:val="auto"/>
          <w:spacing w:val="0"/>
          <w:sz w:val="24"/>
          <w:szCs w:val="24"/>
          <w:highlight w:val="none"/>
          <w:lang w:eastAsia="zh-CN"/>
        </w:rPr>
      </w:pPr>
      <w:r>
        <w:rPr>
          <w:rFonts w:hint="default" w:ascii="Times New Roman" w:hAnsi="Times New Roman" w:eastAsia="宋体" w:cs="Times New Roman"/>
          <w:caps w:val="0"/>
          <w:color w:val="auto"/>
          <w:spacing w:val="0"/>
          <w:sz w:val="24"/>
          <w:szCs w:val="24"/>
          <w:highlight w:val="none"/>
        </w:rPr>
        <w:t>从</w:t>
      </w:r>
      <w:r>
        <w:rPr>
          <w:rFonts w:hint="default" w:ascii="Times New Roman" w:hAnsi="Times New Roman" w:eastAsia="宋体" w:cs="Times New Roman"/>
          <w:caps w:val="0"/>
          <w:color w:val="auto"/>
          <w:spacing w:val="0"/>
          <w:sz w:val="24"/>
          <w:szCs w:val="24"/>
          <w:highlight w:val="none"/>
          <w:lang w:val="en-US" w:eastAsia="zh-CN"/>
        </w:rPr>
        <w:t>上表</w:t>
      </w:r>
      <w:r>
        <w:rPr>
          <w:rFonts w:hint="default" w:ascii="Times New Roman" w:hAnsi="Times New Roman" w:eastAsia="宋体" w:cs="Times New Roman"/>
          <w:caps w:val="0"/>
          <w:color w:val="auto"/>
          <w:spacing w:val="0"/>
          <w:sz w:val="24"/>
          <w:szCs w:val="24"/>
          <w:highlight w:val="none"/>
        </w:rPr>
        <w:t>监测结果可以看出，项目区各监测点昼</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夜均能达到《声环境质量标准》</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GB3096-2008</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3类标准。</w:t>
      </w:r>
    </w:p>
    <w:p w14:paraId="02CAA63C">
      <w:pPr>
        <w:keepNext w:val="0"/>
        <w:keepLines w:val="0"/>
        <w:pageBreakBefore w:val="0"/>
        <w:wordWrap/>
        <w:overflowPunct/>
        <w:topLinePunct w:val="0"/>
        <w:bidi w:val="0"/>
        <w:adjustRightInd/>
        <w:snapToGrid/>
        <w:spacing w:line="360" w:lineRule="auto"/>
        <w:ind w:left="0" w:firstLine="480" w:firstLineChars="200"/>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2、铁路边界噪声检测结果</w:t>
      </w:r>
    </w:p>
    <w:p w14:paraId="1E12494B">
      <w:pPr>
        <w:keepNext w:val="0"/>
        <w:keepLines w:val="0"/>
        <w:pageBreakBefore w:val="0"/>
        <w:wordWrap/>
        <w:overflowPunct/>
        <w:topLinePunct w:val="0"/>
        <w:bidi w:val="0"/>
        <w:adjustRightInd/>
        <w:snapToGrid/>
        <w:spacing w:line="360" w:lineRule="auto"/>
        <w:ind w:left="0"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w:t>
      </w:r>
      <w:r>
        <w:rPr>
          <w:rFonts w:hint="eastAsia" w:ascii="Times New Roman" w:hAnsi="Times New Roman" w:eastAsia="宋体" w:cs="Times New Roman"/>
          <w:color w:val="auto"/>
          <w:sz w:val="24"/>
          <w:highlight w:val="none"/>
          <w:lang w:val="en-US" w:eastAsia="zh-CN"/>
        </w:rPr>
        <w:t>铁路边界</w:t>
      </w:r>
      <w:r>
        <w:rPr>
          <w:rFonts w:hint="default" w:ascii="Times New Roman" w:hAnsi="Times New Roman" w:eastAsia="宋体" w:cs="Times New Roman"/>
          <w:color w:val="auto"/>
          <w:sz w:val="24"/>
          <w:highlight w:val="none"/>
        </w:rPr>
        <w:t>噪声监测结果见表</w:t>
      </w:r>
      <w:r>
        <w:rPr>
          <w:rFonts w:hint="eastAsia" w:ascii="Times New Roman" w:hAnsi="Times New Roman" w:eastAsia="宋体" w:cs="Times New Roman"/>
          <w:color w:val="auto"/>
          <w:sz w:val="24"/>
          <w:highlight w:val="none"/>
          <w:lang w:val="en-US" w:eastAsia="zh-CN"/>
        </w:rPr>
        <w:t>3.2-12</w:t>
      </w:r>
      <w:r>
        <w:rPr>
          <w:rFonts w:hint="default" w:ascii="Times New Roman" w:hAnsi="Times New Roman" w:eastAsia="宋体" w:cs="Times New Roman"/>
          <w:color w:val="auto"/>
          <w:sz w:val="24"/>
          <w:highlight w:val="none"/>
        </w:rPr>
        <w:t>。</w:t>
      </w:r>
    </w:p>
    <w:p w14:paraId="642962D6">
      <w:pPr>
        <w:pStyle w:val="36"/>
        <w:keepNext w:val="0"/>
        <w:keepLines w:val="0"/>
        <w:pageBreakBefore w:val="0"/>
        <w:widowControl w:val="0"/>
        <w:numPr>
          <w:ilvl w:val="1"/>
          <w:numId w:val="15"/>
        </w:numPr>
        <w:kinsoku/>
        <w:wordWrap/>
        <w:overflowPunct/>
        <w:topLinePunct w:val="0"/>
        <w:autoSpaceDE/>
        <w:autoSpaceDN/>
        <w:bidi w:val="0"/>
        <w:adjustRightInd/>
        <w:snapToGrid/>
        <w:spacing w:line="360" w:lineRule="auto"/>
        <w:ind w:left="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eastAsia" w:ascii="Times New Roman" w:hAnsi="Times New Roman" w:eastAsia="宋体" w:cs="Times New Roman"/>
          <w:b/>
          <w:bCs/>
          <w:caps w:val="0"/>
          <w:color w:val="auto"/>
          <w:spacing w:val="0"/>
          <w:sz w:val="21"/>
          <w:szCs w:val="21"/>
          <w:highlight w:val="none"/>
          <w:lang w:val="en-US" w:eastAsia="zh-CN"/>
        </w:rPr>
        <w:t>铁路边界</w:t>
      </w:r>
      <w:r>
        <w:rPr>
          <w:rFonts w:hint="default" w:ascii="Times New Roman" w:hAnsi="Times New Roman" w:eastAsia="宋体" w:cs="Times New Roman"/>
          <w:b/>
          <w:bCs/>
          <w:caps w:val="0"/>
          <w:color w:val="auto"/>
          <w:spacing w:val="0"/>
          <w:sz w:val="21"/>
          <w:szCs w:val="21"/>
          <w:highlight w:val="none"/>
          <w:lang w:val="en-US" w:eastAsia="zh-CN"/>
        </w:rPr>
        <w:t>噪声监测结果一览表  单位：dB（A）</w:t>
      </w:r>
    </w:p>
    <w:tbl>
      <w:tblPr>
        <w:tblStyle w:val="2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4"/>
        <w:gridCol w:w="1284"/>
        <w:gridCol w:w="1491"/>
        <w:gridCol w:w="1067"/>
        <w:gridCol w:w="1183"/>
        <w:gridCol w:w="1400"/>
        <w:gridCol w:w="1089"/>
      </w:tblGrid>
      <w:tr w14:paraId="44FD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4" w:type="dxa"/>
            <w:vMerge w:val="restart"/>
            <w:noWrap w:val="0"/>
            <w:vAlign w:val="center"/>
          </w:tcPr>
          <w:p w14:paraId="6BACC87A">
            <w:pPr>
              <w:shd w:val="clear" w:color="auto" w:fill="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检</w:t>
            </w:r>
            <w:r>
              <w:rPr>
                <w:rFonts w:hint="default" w:ascii="Times New Roman" w:hAnsi="Times New Roman" w:eastAsia="宋体" w:cs="Times New Roman"/>
                <w:color w:val="auto"/>
                <w:sz w:val="21"/>
                <w:szCs w:val="21"/>
                <w:highlight w:val="none"/>
              </w:rPr>
              <w:t>测地点</w:t>
            </w:r>
          </w:p>
        </w:tc>
        <w:tc>
          <w:tcPr>
            <w:tcW w:w="7514" w:type="dxa"/>
            <w:gridSpan w:val="6"/>
            <w:noWrap w:val="0"/>
            <w:vAlign w:val="center"/>
          </w:tcPr>
          <w:p w14:paraId="184E2DB5">
            <w:pPr>
              <w:shd w:val="clear" w:color="auto" w:fill="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等级连续A声级</w:t>
            </w:r>
          </w:p>
        </w:tc>
      </w:tr>
      <w:tr w14:paraId="7FC7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4" w:type="dxa"/>
            <w:vMerge w:val="continue"/>
            <w:noWrap w:val="0"/>
            <w:vAlign w:val="center"/>
          </w:tcPr>
          <w:p w14:paraId="3773CA11">
            <w:pPr>
              <w:shd w:val="clear" w:color="auto" w:fill="auto"/>
              <w:jc w:val="center"/>
              <w:rPr>
                <w:rFonts w:hint="default" w:ascii="Times New Roman" w:hAnsi="Times New Roman" w:eastAsia="宋体" w:cs="Times New Roman"/>
                <w:color w:val="auto"/>
                <w:sz w:val="21"/>
                <w:szCs w:val="21"/>
                <w:highlight w:val="none"/>
              </w:rPr>
            </w:pPr>
          </w:p>
        </w:tc>
        <w:tc>
          <w:tcPr>
            <w:tcW w:w="3842" w:type="dxa"/>
            <w:gridSpan w:val="3"/>
            <w:noWrap w:val="0"/>
            <w:vAlign w:val="center"/>
          </w:tcPr>
          <w:p w14:paraId="4BA10C12">
            <w:pPr>
              <w:shd w:val="clear" w:color="auto" w:fill="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背景值</w:t>
            </w:r>
            <w:r>
              <w:rPr>
                <w:rFonts w:hint="eastAsia" w:ascii="Times New Roman" w:hAnsi="Times New Roman" w:eastAsia="宋体" w:cs="Times New Roman"/>
                <w:color w:val="auto"/>
                <w:sz w:val="21"/>
                <w:szCs w:val="21"/>
                <w:highlight w:val="none"/>
                <w:lang w:val="en-US" w:eastAsia="zh-CN"/>
              </w:rPr>
              <w:t>（无列车通过）</w:t>
            </w:r>
          </w:p>
        </w:tc>
        <w:tc>
          <w:tcPr>
            <w:tcW w:w="3672" w:type="dxa"/>
            <w:gridSpan w:val="3"/>
            <w:noWrap w:val="0"/>
            <w:vAlign w:val="center"/>
          </w:tcPr>
          <w:p w14:paraId="6A1F00C6">
            <w:pPr>
              <w:shd w:val="clear" w:color="auto" w:fill="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结果值</w:t>
            </w:r>
            <w:r>
              <w:rPr>
                <w:rFonts w:hint="eastAsia" w:ascii="Times New Roman" w:hAnsi="Times New Roman" w:eastAsia="宋体" w:cs="Times New Roman"/>
                <w:color w:val="auto"/>
                <w:sz w:val="21"/>
                <w:szCs w:val="21"/>
                <w:highlight w:val="none"/>
                <w:lang w:val="en-US" w:eastAsia="zh-CN"/>
              </w:rPr>
              <w:t>（有列车通过）</w:t>
            </w:r>
          </w:p>
        </w:tc>
      </w:tr>
      <w:tr w14:paraId="7BFF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4" w:type="dxa"/>
            <w:vMerge w:val="continue"/>
            <w:noWrap w:val="0"/>
            <w:vAlign w:val="center"/>
          </w:tcPr>
          <w:p w14:paraId="40862483">
            <w:pPr>
              <w:shd w:val="clear" w:color="auto" w:fill="auto"/>
              <w:jc w:val="center"/>
              <w:rPr>
                <w:rFonts w:hint="default" w:ascii="Times New Roman" w:hAnsi="Times New Roman" w:eastAsia="宋体" w:cs="Times New Roman"/>
                <w:color w:val="auto"/>
                <w:sz w:val="21"/>
                <w:szCs w:val="21"/>
                <w:highlight w:val="none"/>
              </w:rPr>
            </w:pPr>
          </w:p>
        </w:tc>
        <w:tc>
          <w:tcPr>
            <w:tcW w:w="1284" w:type="dxa"/>
            <w:noWrap w:val="0"/>
            <w:vAlign w:val="center"/>
          </w:tcPr>
          <w:p w14:paraId="021115AA">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测量日期</w:t>
            </w:r>
          </w:p>
        </w:tc>
        <w:tc>
          <w:tcPr>
            <w:tcW w:w="1491" w:type="dxa"/>
            <w:noWrap w:val="0"/>
            <w:vAlign w:val="center"/>
          </w:tcPr>
          <w:p w14:paraId="1C357CE6">
            <w:pPr>
              <w:shd w:val="clear" w:color="auto" w:fill="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测量时间</w:t>
            </w:r>
          </w:p>
        </w:tc>
        <w:tc>
          <w:tcPr>
            <w:tcW w:w="1067" w:type="dxa"/>
            <w:noWrap w:val="0"/>
            <w:vAlign w:val="center"/>
          </w:tcPr>
          <w:p w14:paraId="207D260F">
            <w:pPr>
              <w:shd w:val="clear" w:color="auto" w:fill="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测量结果</w:t>
            </w:r>
          </w:p>
        </w:tc>
        <w:tc>
          <w:tcPr>
            <w:tcW w:w="1183" w:type="dxa"/>
            <w:noWrap w:val="0"/>
            <w:vAlign w:val="center"/>
          </w:tcPr>
          <w:p w14:paraId="328CFDC7">
            <w:pPr>
              <w:shd w:val="clear" w:color="auto" w:fill="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测量日期</w:t>
            </w:r>
          </w:p>
        </w:tc>
        <w:tc>
          <w:tcPr>
            <w:tcW w:w="1400" w:type="dxa"/>
            <w:noWrap w:val="0"/>
            <w:vAlign w:val="center"/>
          </w:tcPr>
          <w:p w14:paraId="54091580">
            <w:pPr>
              <w:shd w:val="clear" w:color="auto" w:fill="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测量时间</w:t>
            </w:r>
          </w:p>
        </w:tc>
        <w:tc>
          <w:tcPr>
            <w:tcW w:w="1089" w:type="dxa"/>
            <w:noWrap w:val="0"/>
            <w:vAlign w:val="center"/>
          </w:tcPr>
          <w:p w14:paraId="45B96C0C">
            <w:pPr>
              <w:shd w:val="clear" w:color="auto" w:fill="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测量结果</w:t>
            </w:r>
          </w:p>
        </w:tc>
      </w:tr>
      <w:tr w14:paraId="5EA2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4" w:type="dxa"/>
            <w:noWrap w:val="0"/>
            <w:vAlign w:val="center"/>
          </w:tcPr>
          <w:p w14:paraId="0271696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bCs/>
                <w:color w:val="auto"/>
                <w:kern w:val="0"/>
                <w:sz w:val="21"/>
                <w:szCs w:val="21"/>
                <w:lang w:val="en-US" w:eastAsia="zh-CN"/>
              </w:rPr>
              <w:t>既有铁路（现有到发4条货运线）外轨中心线30m</w:t>
            </w:r>
          </w:p>
        </w:tc>
        <w:tc>
          <w:tcPr>
            <w:tcW w:w="1284" w:type="dxa"/>
            <w:vMerge w:val="restart"/>
            <w:noWrap w:val="0"/>
            <w:vAlign w:val="center"/>
          </w:tcPr>
          <w:p w14:paraId="348A2B46">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2026.08.21</w:t>
            </w:r>
          </w:p>
        </w:tc>
        <w:tc>
          <w:tcPr>
            <w:tcW w:w="1491" w:type="dxa"/>
            <w:noWrap w:val="0"/>
            <w:vAlign w:val="center"/>
          </w:tcPr>
          <w:p w14:paraId="36E06753">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13:36～14:36</w:t>
            </w:r>
          </w:p>
        </w:tc>
        <w:tc>
          <w:tcPr>
            <w:tcW w:w="1067" w:type="dxa"/>
            <w:noWrap w:val="0"/>
            <w:vAlign w:val="center"/>
          </w:tcPr>
          <w:p w14:paraId="093395DA">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56.5</w:t>
            </w:r>
          </w:p>
        </w:tc>
        <w:tc>
          <w:tcPr>
            <w:tcW w:w="1183" w:type="dxa"/>
            <w:vMerge w:val="restart"/>
            <w:noWrap w:val="0"/>
            <w:vAlign w:val="center"/>
          </w:tcPr>
          <w:p w14:paraId="065D1362">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2026.08.21</w:t>
            </w:r>
          </w:p>
        </w:tc>
        <w:tc>
          <w:tcPr>
            <w:tcW w:w="1400" w:type="dxa"/>
            <w:noWrap w:val="0"/>
            <w:vAlign w:val="center"/>
          </w:tcPr>
          <w:p w14:paraId="1F5315D5">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15:03～16:03</w:t>
            </w:r>
          </w:p>
        </w:tc>
        <w:tc>
          <w:tcPr>
            <w:tcW w:w="1089" w:type="dxa"/>
            <w:noWrap w:val="0"/>
            <w:vAlign w:val="center"/>
          </w:tcPr>
          <w:p w14:paraId="6A037EE7">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62.1</w:t>
            </w:r>
          </w:p>
        </w:tc>
      </w:tr>
      <w:tr w14:paraId="036D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74" w:type="dxa"/>
            <w:noWrap w:val="0"/>
            <w:vAlign w:val="center"/>
          </w:tcPr>
          <w:p w14:paraId="6F6CA8E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Cs/>
                <w:color w:val="auto"/>
                <w:kern w:val="0"/>
                <w:sz w:val="21"/>
                <w:szCs w:val="21"/>
                <w:lang w:val="en-US" w:eastAsia="zh-CN"/>
              </w:rPr>
              <w:t>既有铁路（现有到发4条货运线）外轨中心线东30m与新建铁路（H1、H2新建货运线）外轨中心线西30m交叉点</w:t>
            </w:r>
          </w:p>
        </w:tc>
        <w:tc>
          <w:tcPr>
            <w:tcW w:w="1284" w:type="dxa"/>
            <w:vMerge w:val="continue"/>
            <w:noWrap w:val="0"/>
            <w:vAlign w:val="center"/>
          </w:tcPr>
          <w:p w14:paraId="0D232060">
            <w:pPr>
              <w:shd w:val="clear" w:color="auto" w:fill="auto"/>
              <w:jc w:val="center"/>
              <w:rPr>
                <w:rFonts w:hint="default" w:ascii="Times New Roman" w:hAnsi="Times New Roman" w:eastAsia="宋体" w:cs="Times New Roman"/>
                <w:color w:val="auto"/>
                <w:sz w:val="21"/>
                <w:szCs w:val="21"/>
                <w:highlight w:val="none"/>
                <w:lang w:val="en-US" w:eastAsia="zh-CN"/>
              </w:rPr>
            </w:pPr>
          </w:p>
        </w:tc>
        <w:tc>
          <w:tcPr>
            <w:tcW w:w="1491" w:type="dxa"/>
            <w:noWrap w:val="0"/>
            <w:vAlign w:val="center"/>
          </w:tcPr>
          <w:p w14:paraId="2C0BFF5E">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13:58～14:58</w:t>
            </w:r>
          </w:p>
        </w:tc>
        <w:tc>
          <w:tcPr>
            <w:tcW w:w="1067" w:type="dxa"/>
            <w:noWrap w:val="0"/>
            <w:vAlign w:val="center"/>
          </w:tcPr>
          <w:p w14:paraId="71A7E861">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50.4</w:t>
            </w:r>
          </w:p>
        </w:tc>
        <w:tc>
          <w:tcPr>
            <w:tcW w:w="1183" w:type="dxa"/>
            <w:vMerge w:val="continue"/>
            <w:noWrap w:val="0"/>
            <w:vAlign w:val="center"/>
          </w:tcPr>
          <w:p w14:paraId="170244F2">
            <w:pPr>
              <w:shd w:val="clear" w:color="auto" w:fill="auto"/>
              <w:jc w:val="center"/>
              <w:rPr>
                <w:rFonts w:hint="default" w:ascii="Times New Roman" w:hAnsi="Times New Roman" w:eastAsia="宋体" w:cs="Times New Roman"/>
                <w:color w:val="auto"/>
                <w:sz w:val="21"/>
                <w:szCs w:val="21"/>
                <w:highlight w:val="none"/>
                <w:lang w:val="en-US" w:eastAsia="zh-CN"/>
              </w:rPr>
            </w:pPr>
          </w:p>
        </w:tc>
        <w:tc>
          <w:tcPr>
            <w:tcW w:w="1400" w:type="dxa"/>
            <w:noWrap w:val="0"/>
            <w:vAlign w:val="center"/>
          </w:tcPr>
          <w:p w14:paraId="022E6AE5">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15:01～16:01</w:t>
            </w:r>
          </w:p>
        </w:tc>
        <w:tc>
          <w:tcPr>
            <w:tcW w:w="1089" w:type="dxa"/>
            <w:noWrap w:val="0"/>
            <w:vAlign w:val="center"/>
          </w:tcPr>
          <w:p w14:paraId="2D35FF97">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63.2</w:t>
            </w:r>
          </w:p>
        </w:tc>
      </w:tr>
    </w:tbl>
    <w:p w14:paraId="55ECC041">
      <w:pPr>
        <w:spacing w:line="360" w:lineRule="auto"/>
        <w:ind w:firstLine="482"/>
        <w:outlineLvl w:val="9"/>
        <w:rPr>
          <w:rFonts w:hint="default" w:ascii="Times New Roman" w:hAnsi="Times New Roman" w:eastAsia="宋体" w:cs="Times New Roman"/>
          <w:caps w:val="0"/>
          <w:color w:val="auto"/>
          <w:spacing w:val="0"/>
          <w:sz w:val="22"/>
          <w:szCs w:val="22"/>
          <w:highlight w:val="none"/>
          <w:lang w:val="en-US" w:eastAsia="zh-CN"/>
        </w:rPr>
      </w:pPr>
      <w:r>
        <w:rPr>
          <w:rFonts w:hint="default" w:ascii="Times New Roman" w:hAnsi="Times New Roman" w:eastAsia="宋体" w:cs="Times New Roman"/>
          <w:caps w:val="0"/>
          <w:color w:val="auto"/>
          <w:spacing w:val="0"/>
          <w:sz w:val="24"/>
          <w:szCs w:val="24"/>
          <w:highlight w:val="none"/>
        </w:rPr>
        <w:t>从</w:t>
      </w:r>
      <w:r>
        <w:rPr>
          <w:rFonts w:hint="default" w:ascii="Times New Roman" w:hAnsi="Times New Roman" w:eastAsia="宋体" w:cs="Times New Roman"/>
          <w:caps w:val="0"/>
          <w:color w:val="auto"/>
          <w:spacing w:val="0"/>
          <w:sz w:val="24"/>
          <w:szCs w:val="24"/>
          <w:highlight w:val="none"/>
          <w:lang w:val="en-US" w:eastAsia="zh-CN"/>
        </w:rPr>
        <w:t>上表</w:t>
      </w:r>
      <w:r>
        <w:rPr>
          <w:rFonts w:hint="default" w:ascii="Times New Roman" w:hAnsi="Times New Roman" w:eastAsia="宋体" w:cs="Times New Roman"/>
          <w:caps w:val="0"/>
          <w:color w:val="auto"/>
          <w:spacing w:val="0"/>
          <w:sz w:val="24"/>
          <w:szCs w:val="24"/>
          <w:highlight w:val="none"/>
        </w:rPr>
        <w:t>监测结果可以看出，</w:t>
      </w:r>
      <w:r>
        <w:rPr>
          <w:rFonts w:hint="eastAsia" w:ascii="Times New Roman" w:hAnsi="Times New Roman" w:eastAsia="宋体" w:cs="Times New Roman"/>
          <w:caps w:val="0"/>
          <w:color w:val="auto"/>
          <w:spacing w:val="0"/>
          <w:sz w:val="24"/>
          <w:szCs w:val="24"/>
          <w:highlight w:val="none"/>
          <w:lang w:val="en-US" w:eastAsia="zh-CN"/>
        </w:rPr>
        <w:t>既有铁路（现有到发4条货运线）外轨中心线30m</w:t>
      </w:r>
      <w:r>
        <w:rPr>
          <w:rFonts w:hint="default" w:ascii="Times New Roman" w:hAnsi="Times New Roman" w:eastAsia="宋体" w:cs="Times New Roman"/>
          <w:caps w:val="0"/>
          <w:color w:val="auto"/>
          <w:spacing w:val="0"/>
          <w:sz w:val="24"/>
          <w:szCs w:val="24"/>
          <w:highlight w:val="none"/>
        </w:rPr>
        <w:t>各监测点</w:t>
      </w:r>
      <w:r>
        <w:rPr>
          <w:rFonts w:hint="eastAsia" w:ascii="Times New Roman" w:hAnsi="Times New Roman" w:eastAsia="宋体" w:cs="Times New Roman"/>
          <w:caps w:val="0"/>
          <w:color w:val="auto"/>
          <w:spacing w:val="0"/>
          <w:sz w:val="24"/>
          <w:szCs w:val="24"/>
          <w:highlight w:val="none"/>
          <w:lang w:val="en-US" w:eastAsia="zh-CN"/>
        </w:rPr>
        <w:t>昼间</w:t>
      </w:r>
      <w:r>
        <w:rPr>
          <w:rFonts w:hint="default" w:ascii="Times New Roman" w:hAnsi="Times New Roman" w:eastAsia="宋体" w:cs="Times New Roman"/>
          <w:caps w:val="0"/>
          <w:color w:val="auto"/>
          <w:spacing w:val="0"/>
          <w:sz w:val="24"/>
          <w:szCs w:val="24"/>
          <w:highlight w:val="none"/>
        </w:rPr>
        <w:t>均能达到</w:t>
      </w:r>
      <w:r>
        <w:rPr>
          <w:rFonts w:hint="default" w:ascii="Times New Roman" w:hAnsi="Times New Roman" w:eastAsia="宋体" w:cs="Times New Roman"/>
          <w:color w:val="auto"/>
          <w:sz w:val="24"/>
          <w:szCs w:val="24"/>
          <w:lang w:val="en-US" w:eastAsia="zh-CN"/>
        </w:rPr>
        <w:t>《铁路边界噪声限值及其测量方法》（GB12525－90）及其修改方案</w:t>
      </w:r>
      <w:r>
        <w:rPr>
          <w:rFonts w:hint="eastAsia" w:ascii="Times New Roman" w:hAnsi="Times New Roman" w:eastAsia="宋体" w:cs="Times New Roman"/>
          <w:color w:val="auto"/>
          <w:sz w:val="24"/>
          <w:szCs w:val="24"/>
          <w:lang w:val="en-US" w:eastAsia="zh-CN"/>
        </w:rPr>
        <w:t>昼间70</w:t>
      </w:r>
      <w:r>
        <w:rPr>
          <w:rFonts w:hint="default" w:ascii="Times New Roman" w:hAnsi="Times New Roman" w:eastAsia="宋体" w:cs="Times New Roman"/>
          <w:b w:val="0"/>
          <w:bCs w:val="0"/>
          <w:caps w:val="0"/>
          <w:color w:val="auto"/>
          <w:spacing w:val="0"/>
          <w:sz w:val="24"/>
          <w:szCs w:val="24"/>
          <w:highlight w:val="none"/>
          <w:lang w:val="en-US" w:eastAsia="zh-CN"/>
        </w:rPr>
        <w:t>dB（A）</w:t>
      </w:r>
      <w:r>
        <w:rPr>
          <w:rFonts w:hint="eastAsia" w:ascii="Times New Roman" w:hAnsi="Times New Roman" w:eastAsia="宋体" w:cs="Times New Roman"/>
          <w:b w:val="0"/>
          <w:bCs w:val="0"/>
          <w:caps w:val="0"/>
          <w:color w:val="auto"/>
          <w:spacing w:val="0"/>
          <w:sz w:val="24"/>
          <w:szCs w:val="24"/>
          <w:highlight w:val="none"/>
          <w:lang w:val="en-US" w:eastAsia="zh-CN"/>
        </w:rPr>
        <w:t>要求（铁路夜间不运行）。</w:t>
      </w:r>
    </w:p>
    <w:p w14:paraId="3413469A">
      <w:pPr>
        <w:pStyle w:val="25"/>
        <w:rPr>
          <w:rFonts w:hint="eastAsia" w:ascii="Times New Roman" w:hAnsi="Times New Roman" w:eastAsia="宋体" w:cs="Times New Roman"/>
          <w:caps w:val="0"/>
          <w:color w:val="auto"/>
          <w:spacing w:val="0"/>
          <w:sz w:val="24"/>
          <w:szCs w:val="24"/>
          <w:highlight w:val="none"/>
          <w:lang w:eastAsia="zh-CN"/>
        </w:rPr>
      </w:pPr>
    </w:p>
    <w:p w14:paraId="55E32DF5">
      <w:pPr>
        <w:pStyle w:val="9"/>
        <w:spacing w:line="258" w:lineRule="auto"/>
        <w:rPr>
          <w:rFonts w:hint="default" w:ascii="Times New Roman" w:hAnsi="Times New Roman" w:cs="Times New Roman"/>
          <w:color w:val="auto"/>
        </w:rPr>
      </w:pPr>
    </w:p>
    <w:p w14:paraId="336C5719">
      <w:pPr>
        <w:spacing w:before="139" w:line="223" w:lineRule="auto"/>
        <w:ind w:left="2464"/>
        <w:outlineLvl w:val="0"/>
        <w:rPr>
          <w:rFonts w:hint="default" w:ascii="Times New Roman" w:hAnsi="Times New Roman" w:eastAsia="宋体" w:cs="Times New Roman"/>
          <w:b/>
          <w:bCs/>
          <w:color w:val="auto"/>
          <w:spacing w:val="5"/>
          <w:sz w:val="43"/>
          <w:szCs w:val="43"/>
          <w:lang w:val="en-US" w:eastAsia="zh-CN"/>
        </w:rPr>
        <w:sectPr>
          <w:footerReference r:id="rId12" w:type="default"/>
          <w:pgSz w:w="11905" w:h="16840"/>
          <w:pgMar w:top="1161" w:right="1472" w:bottom="1209" w:left="1473" w:header="829" w:footer="1048" w:gutter="0"/>
          <w:pgNumType w:fmt="decimal"/>
          <w:cols w:space="720" w:num="1"/>
        </w:sectPr>
      </w:pPr>
    </w:p>
    <w:p w14:paraId="0B7B7FCC">
      <w:pPr>
        <w:keepNext w:val="0"/>
        <w:keepLines w:val="0"/>
        <w:pageBreakBefore w:val="0"/>
        <w:widowControl/>
        <w:wordWrap/>
        <w:overflowPunct/>
        <w:topLinePunct w:val="0"/>
        <w:autoSpaceDE w:val="0"/>
        <w:autoSpaceDN w:val="0"/>
        <w:bidi w:val="0"/>
        <w:adjustRightInd/>
        <w:snapToGrid/>
        <w:spacing w:before="139" w:line="360" w:lineRule="auto"/>
        <w:ind w:left="2464"/>
        <w:textAlignment w:val="baseline"/>
        <w:outlineLvl w:val="0"/>
        <w:rPr>
          <w:rFonts w:hint="default" w:ascii="Times New Roman" w:hAnsi="Times New Roman" w:eastAsia="宋体" w:cs="Times New Roman"/>
          <w:color w:val="auto"/>
          <w:sz w:val="43"/>
          <w:szCs w:val="43"/>
        </w:rPr>
      </w:pPr>
      <w:bookmarkStart w:id="136" w:name="_Toc28250"/>
      <w:bookmarkStart w:id="137" w:name="_Toc12904"/>
      <w:bookmarkStart w:id="138" w:name="_Toc4771"/>
      <w:r>
        <w:rPr>
          <w:rFonts w:hint="eastAsia" w:ascii="Times New Roman" w:hAnsi="Times New Roman" w:eastAsia="宋体" w:cs="Times New Roman"/>
          <w:b/>
          <w:bCs/>
          <w:color w:val="auto"/>
          <w:spacing w:val="5"/>
          <w:sz w:val="43"/>
          <w:szCs w:val="43"/>
          <w:lang w:val="en-US" w:eastAsia="zh-CN"/>
        </w:rPr>
        <w:t>4</w:t>
      </w:r>
      <w:r>
        <w:rPr>
          <w:rFonts w:hint="default" w:ascii="Times New Roman" w:hAnsi="Times New Roman" w:eastAsia="Times New Roman" w:cs="Times New Roman"/>
          <w:b/>
          <w:bCs/>
          <w:color w:val="auto"/>
          <w:spacing w:val="5"/>
          <w:sz w:val="43"/>
          <w:szCs w:val="43"/>
        </w:rPr>
        <w:t>.</w:t>
      </w:r>
      <w:r>
        <w:rPr>
          <w:rFonts w:hint="default" w:ascii="Times New Roman" w:hAnsi="Times New Roman" w:eastAsia="宋体" w:cs="Times New Roman"/>
          <w:b/>
          <w:bCs/>
          <w:color w:val="auto"/>
          <w:spacing w:val="5"/>
          <w:sz w:val="43"/>
          <w:szCs w:val="43"/>
        </w:rPr>
        <w:t>环境影响预测与评价</w:t>
      </w:r>
      <w:bookmarkEnd w:id="136"/>
      <w:bookmarkEnd w:id="137"/>
      <w:bookmarkEnd w:id="138"/>
    </w:p>
    <w:p w14:paraId="5587317D">
      <w:pPr>
        <w:pStyle w:val="9"/>
        <w:keepNext w:val="0"/>
        <w:keepLines w:val="0"/>
        <w:pageBreakBefore w:val="0"/>
        <w:widowControl/>
        <w:kinsoku w:val="0"/>
        <w:wordWrap/>
        <w:overflowPunct/>
        <w:topLinePunct w:val="0"/>
        <w:autoSpaceDE w:val="0"/>
        <w:autoSpaceDN w:val="0"/>
        <w:bidi w:val="0"/>
        <w:adjustRightInd/>
        <w:snapToGrid/>
        <w:spacing w:line="360" w:lineRule="auto"/>
        <w:textAlignment w:val="baseline"/>
        <w:outlineLvl w:val="1"/>
        <w:rPr>
          <w:rFonts w:hint="default" w:ascii="Times New Roman" w:hAnsi="Times New Roman" w:cs="Times New Roman"/>
          <w:color w:val="auto"/>
        </w:rPr>
      </w:pPr>
      <w:bookmarkStart w:id="139" w:name="_Toc5749"/>
      <w:r>
        <w:rPr>
          <w:rFonts w:ascii="Times New Roman" w:hAnsi="Times New Roman" w:eastAsia="Times New Roman" w:cs="Times New Roman"/>
          <w:b/>
          <w:bCs/>
          <w:color w:val="auto"/>
          <w:spacing w:val="-3"/>
          <w:sz w:val="24"/>
          <w:szCs w:val="24"/>
        </w:rPr>
        <w:t>4.1.</w:t>
      </w:r>
      <w:r>
        <w:rPr>
          <w:b/>
          <w:bCs/>
          <w:color w:val="auto"/>
          <w:spacing w:val="-3"/>
          <w:sz w:val="24"/>
          <w:szCs w:val="24"/>
        </w:rPr>
        <w:t>施工期环境影响预测与评价</w:t>
      </w:r>
      <w:bookmarkEnd w:id="139"/>
    </w:p>
    <w:p w14:paraId="54E3A5E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outlineLvl w:val="2"/>
        <w:rPr>
          <w:rFonts w:hint="default" w:ascii="Times New Roman" w:hAnsi="Times New Roman" w:eastAsia="宋体" w:cs="Times New Roman"/>
          <w:b/>
          <w:bCs/>
          <w:color w:val="auto"/>
          <w:spacing w:val="-3"/>
          <w:sz w:val="24"/>
          <w:szCs w:val="24"/>
          <w:lang w:val="en-US" w:eastAsia="zh-CN"/>
        </w:rPr>
      </w:pPr>
      <w:bookmarkStart w:id="140" w:name="_Toc28029"/>
      <w:r>
        <w:rPr>
          <w:rFonts w:ascii="Times New Roman" w:hAnsi="Times New Roman" w:eastAsia="Times New Roman" w:cs="Times New Roman"/>
          <w:b/>
          <w:bCs/>
          <w:color w:val="auto"/>
          <w:spacing w:val="-2"/>
          <w:sz w:val="24"/>
          <w:szCs w:val="24"/>
        </w:rPr>
        <w:t xml:space="preserve">4.1.1 </w:t>
      </w:r>
      <w:r>
        <w:rPr>
          <w:rFonts w:hint="eastAsia"/>
          <w:b/>
          <w:bCs/>
          <w:color w:val="auto"/>
          <w:spacing w:val="-2"/>
          <w:sz w:val="24"/>
          <w:szCs w:val="24"/>
        </w:rPr>
        <w:t>已施工部分回顾性分析</w:t>
      </w:r>
      <w:bookmarkEnd w:id="140"/>
    </w:p>
    <w:p w14:paraId="76E8A28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b w:val="0"/>
          <w:bCs w:val="0"/>
          <w:color w:val="auto"/>
          <w:kern w:val="2"/>
          <w:sz w:val="24"/>
          <w:szCs w:val="24"/>
          <w:highlight w:val="none"/>
          <w:lang w:val="en-US" w:eastAsia="zh-CN" w:bidi="ar-SA"/>
        </w:rPr>
      </w:pPr>
      <w:r>
        <w:rPr>
          <w:rFonts w:hint="default" w:ascii="Times New Roman" w:hAnsi="Times New Roman" w:cs="Times New Roman"/>
          <w:color w:val="auto"/>
          <w:sz w:val="24"/>
          <w:szCs w:val="24"/>
          <w:lang w:bidi="ar"/>
        </w:rPr>
        <w:t>根据现场踏勘，</w:t>
      </w:r>
      <w:r>
        <w:rPr>
          <w:rFonts w:hint="default" w:ascii="Times New Roman" w:hAnsi="Times New Roman" w:cs="Times New Roman"/>
          <w:b w:val="0"/>
          <w:bCs w:val="0"/>
          <w:color w:val="auto"/>
          <w:kern w:val="2"/>
          <w:sz w:val="24"/>
          <w:szCs w:val="24"/>
          <w:highlight w:val="none"/>
          <w:lang w:val="en-US" w:eastAsia="zh-CN" w:bidi="ar-SA"/>
        </w:rPr>
        <w:t>目前项目</w:t>
      </w:r>
      <w:r>
        <w:rPr>
          <w:rFonts w:hint="default" w:ascii="Times New Roman" w:hAnsi="Times New Roman" w:eastAsia="宋体" w:cs="Times New Roman"/>
          <w:color w:val="auto"/>
          <w:kern w:val="0"/>
          <w:sz w:val="24"/>
          <w:szCs w:val="24"/>
          <w:lang w:val="en-US" w:eastAsia="zh-CN" w:bidi="ar"/>
        </w:rPr>
        <w:t>H1道及H2道尽头式货物线、</w:t>
      </w:r>
      <w:r>
        <w:rPr>
          <w:rFonts w:hint="default" w:ascii="Times New Roman" w:hAnsi="Times New Roman" w:eastAsia="宋体" w:cs="Times New Roman"/>
          <w:color w:val="auto"/>
          <w:kern w:val="0"/>
          <w:sz w:val="24"/>
          <w:szCs w:val="24"/>
          <w:lang w:bidi="ar"/>
        </w:rPr>
        <w:t>集装箱堆场</w:t>
      </w:r>
      <w:r>
        <w:rPr>
          <w:rFonts w:hint="default" w:ascii="Times New Roman" w:hAnsi="Times New Roman" w:eastAsia="宋体" w:cs="Times New Roman"/>
          <w:color w:val="auto"/>
          <w:kern w:val="0"/>
          <w:sz w:val="24"/>
          <w:szCs w:val="24"/>
          <w:lang w:val="en-US" w:eastAsia="zh-CN" w:bidi="ar"/>
        </w:rPr>
        <w:t>地块、货运综合楼、正面吊充电维修区以及</w:t>
      </w:r>
      <w:r>
        <w:rPr>
          <w:rFonts w:hint="default" w:ascii="Times New Roman" w:hAnsi="Times New Roman" w:cs="Times New Roman"/>
          <w:b w:val="0"/>
          <w:bCs w:val="0"/>
          <w:color w:val="auto"/>
          <w:kern w:val="2"/>
          <w:sz w:val="24"/>
          <w:szCs w:val="24"/>
          <w:lang w:val="en-US" w:eastAsia="zh-CN" w:bidi="ar-SA"/>
        </w:rPr>
        <w:t>初期雨水收集池等主体、临时环保工程已建设</w:t>
      </w:r>
      <w:r>
        <w:rPr>
          <w:rFonts w:hint="default" w:ascii="Times New Roman" w:hAnsi="Times New Roman" w:cs="Times New Roman"/>
          <w:b w:val="0"/>
          <w:bCs w:val="0"/>
          <w:color w:val="auto"/>
          <w:kern w:val="2"/>
          <w:sz w:val="24"/>
          <w:szCs w:val="24"/>
          <w:highlight w:val="none"/>
          <w:lang w:val="en-US" w:eastAsia="zh-CN" w:bidi="ar-SA"/>
        </w:rPr>
        <w:t>。</w:t>
      </w:r>
    </w:p>
    <w:p w14:paraId="0BF2A28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其中，废气主要为土石方开挖和出渣装卸，路基、装卸场地建设原材料运输、堆放等作业过程中产生的</w:t>
      </w:r>
      <w:r>
        <w:rPr>
          <w:rFonts w:hint="eastAsia" w:ascii="Times New Roman" w:hAnsi="Times New Roman" w:cs="Times New Roman"/>
          <w:color w:val="auto"/>
          <w:sz w:val="24"/>
          <w:szCs w:val="24"/>
          <w:lang w:val="en-US" w:eastAsia="zh-CN" w:bidi="ar"/>
        </w:rPr>
        <w:t>施工</w:t>
      </w:r>
      <w:r>
        <w:rPr>
          <w:rFonts w:hint="default" w:ascii="Times New Roman" w:hAnsi="Times New Roman" w:cs="Times New Roman"/>
          <w:color w:val="auto"/>
          <w:sz w:val="24"/>
          <w:szCs w:val="24"/>
          <w:lang w:val="en-US" w:eastAsia="zh-CN" w:bidi="ar"/>
        </w:rPr>
        <w:t>扬尘，已通过采取</w:t>
      </w:r>
      <w:r>
        <w:rPr>
          <w:rFonts w:hint="default" w:ascii="Times New Roman" w:hAnsi="Times New Roman" w:cs="Times New Roman"/>
          <w:color w:val="auto"/>
          <w:sz w:val="24"/>
          <w:szCs w:val="24"/>
          <w:lang w:bidi="ar"/>
        </w:rPr>
        <w:t>厂界四周设置施工围挡设施</w:t>
      </w:r>
      <w:r>
        <w:rPr>
          <w:rFonts w:hint="default" w:ascii="Times New Roman" w:hAnsi="Times New Roman" w:cs="Times New Roman"/>
          <w:color w:val="auto"/>
          <w:sz w:val="24"/>
          <w:szCs w:val="24"/>
          <w:lang w:eastAsia="zh-CN" w:bidi="ar"/>
        </w:rPr>
        <w:t>，</w:t>
      </w:r>
      <w:r>
        <w:rPr>
          <w:rFonts w:hint="default" w:ascii="Times New Roman" w:hAnsi="Times New Roman" w:cs="Times New Roman"/>
          <w:color w:val="auto"/>
          <w:sz w:val="24"/>
          <w:szCs w:val="24"/>
          <w:lang w:val="en-US" w:eastAsia="zh-CN" w:bidi="ar"/>
        </w:rPr>
        <w:t>易起尘物料篷布覆盖，施工场地定时洒水降尘。施工机械和汽车运输时所排放的尾气经自然扩散、稀释后</w:t>
      </w:r>
      <w:r>
        <w:rPr>
          <w:rFonts w:hint="eastAsia" w:ascii="Times New Roman" w:hAnsi="Times New Roman" w:cs="Times New Roman"/>
          <w:color w:val="auto"/>
          <w:sz w:val="24"/>
          <w:szCs w:val="24"/>
          <w:lang w:val="en-US" w:eastAsia="zh-CN" w:bidi="ar"/>
        </w:rPr>
        <w:t>排放至大气环境。</w:t>
      </w:r>
      <w:r>
        <w:rPr>
          <w:rFonts w:hint="default" w:ascii="Times New Roman" w:hAnsi="Times New Roman" w:cs="Times New Roman"/>
          <w:color w:val="auto"/>
          <w:sz w:val="24"/>
          <w:szCs w:val="24"/>
          <w:lang w:val="en-US" w:eastAsia="zh-CN" w:bidi="ar"/>
        </w:rPr>
        <w:t>项目轨道摊铺过程使用焊轨机组产生少量的烟尘</w:t>
      </w:r>
      <w:r>
        <w:rPr>
          <w:rFonts w:hint="eastAsia" w:ascii="Times New Roman" w:hAnsi="Times New Roman" w:cs="Times New Roman"/>
          <w:color w:val="auto"/>
          <w:sz w:val="24"/>
          <w:szCs w:val="24"/>
          <w:lang w:val="en-US" w:eastAsia="zh-CN" w:bidi="ar"/>
        </w:rPr>
        <w:t>通过</w:t>
      </w:r>
      <w:r>
        <w:rPr>
          <w:rFonts w:hint="default" w:ascii="Times New Roman" w:hAnsi="Times New Roman" w:cs="Times New Roman"/>
          <w:color w:val="auto"/>
          <w:sz w:val="24"/>
          <w:szCs w:val="24"/>
          <w:lang w:val="en-US" w:eastAsia="zh-CN" w:bidi="ar"/>
        </w:rPr>
        <w:t>大气</w:t>
      </w:r>
      <w:r>
        <w:rPr>
          <w:rFonts w:hint="eastAsia" w:ascii="Times New Roman" w:hAnsi="Times New Roman" w:cs="Times New Roman"/>
          <w:color w:val="auto"/>
          <w:sz w:val="24"/>
          <w:szCs w:val="24"/>
          <w:lang w:val="en-US" w:eastAsia="zh-CN" w:bidi="ar"/>
        </w:rPr>
        <w:t>进行了</w:t>
      </w:r>
      <w:r>
        <w:rPr>
          <w:rFonts w:hint="default" w:ascii="Times New Roman" w:hAnsi="Times New Roman" w:cs="Times New Roman"/>
          <w:color w:val="auto"/>
          <w:sz w:val="24"/>
          <w:szCs w:val="24"/>
          <w:lang w:val="en-US" w:eastAsia="zh-CN" w:bidi="ar"/>
        </w:rPr>
        <w:t>扩散。根据</w:t>
      </w:r>
      <w:r>
        <w:rPr>
          <w:rFonts w:hint="default" w:ascii="Times New Roman" w:hAnsi="Times New Roman" w:cs="Times New Roman"/>
          <w:color w:val="auto"/>
          <w:sz w:val="24"/>
          <w:szCs w:val="24"/>
          <w:lang w:eastAsia="zh-CN" w:bidi="ar"/>
        </w:rPr>
        <w:t>云南加莱希安全检测</w:t>
      </w:r>
      <w:r>
        <w:rPr>
          <w:rFonts w:hint="default" w:ascii="Times New Roman" w:hAnsi="Times New Roman" w:cs="Times New Roman"/>
          <w:color w:val="auto"/>
          <w:sz w:val="24"/>
          <w:szCs w:val="24"/>
          <w:lang w:bidi="ar"/>
        </w:rPr>
        <w:t>有限公司</w:t>
      </w:r>
      <w:r>
        <w:rPr>
          <w:rFonts w:hint="default" w:ascii="Times New Roman" w:hAnsi="Times New Roman" w:cs="Times New Roman"/>
          <w:color w:val="auto"/>
          <w:sz w:val="24"/>
          <w:szCs w:val="24"/>
          <w:lang w:val="en-US" w:eastAsia="zh-CN" w:bidi="ar"/>
        </w:rPr>
        <w:t>20</w:t>
      </w:r>
      <w:r>
        <w:rPr>
          <w:rFonts w:hint="eastAsia" w:ascii="Times New Roman" w:hAnsi="Times New Roman" w:cs="Times New Roman"/>
          <w:color w:val="auto"/>
          <w:sz w:val="24"/>
          <w:szCs w:val="24"/>
          <w:lang w:val="en-US" w:eastAsia="zh-CN" w:bidi="ar"/>
        </w:rPr>
        <w:t>26</w:t>
      </w:r>
      <w:r>
        <w:rPr>
          <w:rFonts w:hint="default" w:ascii="Times New Roman" w:hAnsi="Times New Roman" w:cs="Times New Roman"/>
          <w:color w:val="auto"/>
          <w:sz w:val="24"/>
          <w:szCs w:val="24"/>
          <w:lang w:val="en-US" w:eastAsia="zh-CN" w:bidi="ar"/>
        </w:rPr>
        <w:t>年</w:t>
      </w:r>
      <w:r>
        <w:rPr>
          <w:rFonts w:hint="eastAsia" w:ascii="Times New Roman" w:hAnsi="Times New Roman" w:cs="Times New Roman"/>
          <w:color w:val="auto"/>
          <w:sz w:val="24"/>
          <w:szCs w:val="24"/>
          <w:lang w:val="en-US" w:eastAsia="zh-CN" w:bidi="ar"/>
        </w:rPr>
        <w:t>8</w:t>
      </w:r>
      <w:r>
        <w:rPr>
          <w:rFonts w:hint="default" w:ascii="Times New Roman" w:hAnsi="Times New Roman" w:cs="Times New Roman"/>
          <w:color w:val="auto"/>
          <w:sz w:val="24"/>
          <w:szCs w:val="24"/>
          <w:lang w:val="en-US" w:eastAsia="zh-CN" w:bidi="ar"/>
        </w:rPr>
        <w:t>月</w:t>
      </w:r>
      <w:r>
        <w:rPr>
          <w:rFonts w:hint="eastAsia" w:ascii="Times New Roman" w:hAnsi="Times New Roman" w:cs="Times New Roman"/>
          <w:color w:val="auto"/>
          <w:sz w:val="24"/>
          <w:szCs w:val="24"/>
          <w:lang w:val="en-US" w:eastAsia="zh-CN" w:bidi="ar"/>
        </w:rPr>
        <w:t>4</w:t>
      </w:r>
      <w:r>
        <w:rPr>
          <w:rFonts w:hint="default" w:ascii="Times New Roman" w:hAnsi="Times New Roman" w:cs="Times New Roman"/>
          <w:color w:val="auto"/>
          <w:sz w:val="24"/>
          <w:szCs w:val="24"/>
          <w:lang w:val="en-US" w:eastAsia="zh-CN" w:bidi="ar"/>
        </w:rPr>
        <w:t>日出具的《云南曲煤焦化实业发展有限公司集装箱堆场提质改造项目环境空气、声环境质量现状监测环境质量现状监测报告》（项目编号：项目编号：JLXJC</w:t>
      </w:r>
      <w:r>
        <w:rPr>
          <w:rFonts w:hint="eastAsia" w:ascii="Times New Roman" w:hAnsi="Times New Roman" w:cs="Times New Roman"/>
          <w:color w:val="auto"/>
          <w:sz w:val="24"/>
          <w:szCs w:val="24"/>
          <w:lang w:val="en-US" w:eastAsia="zh-CN" w:bidi="ar"/>
        </w:rPr>
        <w:t>2026</w:t>
      </w:r>
      <w:r>
        <w:rPr>
          <w:rFonts w:hint="default" w:ascii="Times New Roman" w:hAnsi="Times New Roman" w:cs="Times New Roman"/>
          <w:color w:val="auto"/>
          <w:sz w:val="24"/>
          <w:szCs w:val="24"/>
          <w:lang w:val="en-US" w:eastAsia="zh-CN" w:bidi="ar"/>
        </w:rPr>
        <w:t>-XJ15），监测期间处于施工期，项目区下风向颗粒物浓度满足</w:t>
      </w:r>
      <w:r>
        <w:rPr>
          <w:rFonts w:hint="default" w:ascii="Times New Roman" w:hAnsi="Times New Roman" w:cs="Times New Roman"/>
          <w:color w:val="auto"/>
          <w:sz w:val="24"/>
          <w:szCs w:val="24"/>
          <w:lang w:bidi="ar"/>
        </w:rPr>
        <w:t>《大气污染物综合排放标准》（GB16297-1996）表2标准</w:t>
      </w:r>
      <w:r>
        <w:rPr>
          <w:rFonts w:hint="default" w:ascii="Times New Roman" w:hAnsi="Times New Roman" w:cs="Times New Roman"/>
          <w:color w:val="auto"/>
          <w:sz w:val="24"/>
          <w:szCs w:val="24"/>
          <w:lang w:val="en-US" w:eastAsia="zh-CN" w:bidi="ar"/>
        </w:rPr>
        <w:t>限值要求。</w:t>
      </w:r>
    </w:p>
    <w:p w14:paraId="3428D12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项目施工主要为施工人员生活污水、施工废水，经沉淀池沉淀后回用于施工或洒水降尘，不外排。</w:t>
      </w:r>
    </w:p>
    <w:p w14:paraId="6FF103F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施工噪声通过将</w:t>
      </w:r>
      <w:r>
        <w:rPr>
          <w:rFonts w:hint="default" w:ascii="Times New Roman" w:hAnsi="Times New Roman" w:cs="Times New Roman"/>
          <w:color w:val="auto"/>
          <w:sz w:val="24"/>
          <w:szCs w:val="24"/>
          <w:lang w:bidi="ar"/>
        </w:rPr>
        <w:t>高噪声设备布置施工场地中部</w:t>
      </w:r>
      <w:r>
        <w:rPr>
          <w:rFonts w:hint="default" w:ascii="Times New Roman" w:hAnsi="Times New Roman" w:cs="Times New Roman"/>
          <w:color w:val="auto"/>
          <w:sz w:val="24"/>
          <w:szCs w:val="24"/>
          <w:lang w:eastAsia="zh-CN" w:bidi="ar"/>
        </w:rPr>
        <w:t>，</w:t>
      </w:r>
      <w:r>
        <w:rPr>
          <w:rFonts w:hint="default" w:ascii="Times New Roman" w:hAnsi="Times New Roman" w:cs="Times New Roman"/>
          <w:color w:val="auto"/>
          <w:sz w:val="24"/>
          <w:szCs w:val="24"/>
          <w:lang w:bidi="ar"/>
        </w:rPr>
        <w:t>厂界四周设置施工围挡设施</w:t>
      </w:r>
      <w:r>
        <w:rPr>
          <w:rFonts w:hint="default" w:ascii="Times New Roman" w:hAnsi="Times New Roman" w:cs="Times New Roman"/>
          <w:color w:val="auto"/>
          <w:sz w:val="24"/>
          <w:szCs w:val="24"/>
          <w:lang w:val="en-US" w:eastAsia="zh-CN" w:bidi="ar"/>
        </w:rPr>
        <w:t>，</w:t>
      </w:r>
      <w:r>
        <w:rPr>
          <w:rFonts w:hint="default" w:ascii="Times New Roman" w:hAnsi="Times New Roman" w:cs="Times New Roman"/>
          <w:color w:val="auto"/>
          <w:sz w:val="24"/>
          <w:szCs w:val="24"/>
          <w:lang w:bidi="ar"/>
        </w:rPr>
        <w:t>运输车辆进入场地时限速、禁鸣</w:t>
      </w:r>
      <w:r>
        <w:rPr>
          <w:rFonts w:hint="default" w:ascii="Times New Roman" w:hAnsi="Times New Roman" w:cs="Times New Roman"/>
          <w:color w:val="auto"/>
          <w:sz w:val="24"/>
          <w:szCs w:val="24"/>
          <w:lang w:eastAsia="zh-CN" w:bidi="ar"/>
        </w:rPr>
        <w:t>，</w:t>
      </w:r>
      <w:r>
        <w:rPr>
          <w:rFonts w:hint="default" w:ascii="Times New Roman" w:hAnsi="Times New Roman" w:cs="Times New Roman"/>
          <w:color w:val="auto"/>
          <w:sz w:val="24"/>
          <w:szCs w:val="24"/>
          <w:lang w:val="en-US" w:eastAsia="zh-CN" w:bidi="ar"/>
        </w:rPr>
        <w:t>合理安排施工时间和施工时段减小施工噪声，根据云南加莱希安全检测有限公司202</w:t>
      </w:r>
      <w:r>
        <w:rPr>
          <w:rFonts w:hint="eastAsia" w:ascii="Times New Roman" w:hAnsi="Times New Roman" w:cs="Times New Roman"/>
          <w:color w:val="auto"/>
          <w:sz w:val="24"/>
          <w:szCs w:val="24"/>
          <w:lang w:val="en-US" w:eastAsia="zh-CN" w:bidi="ar"/>
        </w:rPr>
        <w:t>6</w:t>
      </w:r>
      <w:r>
        <w:rPr>
          <w:rFonts w:hint="default" w:ascii="Times New Roman" w:hAnsi="Times New Roman" w:cs="Times New Roman"/>
          <w:color w:val="auto"/>
          <w:sz w:val="24"/>
          <w:szCs w:val="24"/>
          <w:lang w:val="en-US" w:eastAsia="zh-CN" w:bidi="ar"/>
        </w:rPr>
        <w:t>年0</w:t>
      </w:r>
      <w:r>
        <w:rPr>
          <w:rFonts w:hint="eastAsia" w:ascii="Times New Roman" w:hAnsi="Times New Roman" w:cs="Times New Roman"/>
          <w:color w:val="auto"/>
          <w:sz w:val="24"/>
          <w:szCs w:val="24"/>
          <w:lang w:val="en-US" w:eastAsia="zh-CN" w:bidi="ar"/>
        </w:rPr>
        <w:t>7</w:t>
      </w:r>
      <w:r>
        <w:rPr>
          <w:rFonts w:hint="default" w:ascii="Times New Roman" w:hAnsi="Times New Roman" w:cs="Times New Roman"/>
          <w:color w:val="auto"/>
          <w:sz w:val="24"/>
          <w:szCs w:val="24"/>
          <w:lang w:val="en-US" w:eastAsia="zh-CN" w:bidi="ar"/>
        </w:rPr>
        <w:t>月</w:t>
      </w:r>
      <w:r>
        <w:rPr>
          <w:rFonts w:hint="eastAsia" w:ascii="Times New Roman" w:hAnsi="Times New Roman" w:cs="Times New Roman"/>
          <w:color w:val="auto"/>
          <w:sz w:val="24"/>
          <w:szCs w:val="24"/>
          <w:lang w:val="en-US" w:eastAsia="zh-CN" w:bidi="ar"/>
        </w:rPr>
        <w:t>10</w:t>
      </w:r>
      <w:r>
        <w:rPr>
          <w:rFonts w:hint="default" w:ascii="Times New Roman" w:hAnsi="Times New Roman" w:cs="Times New Roman"/>
          <w:color w:val="auto"/>
          <w:sz w:val="24"/>
          <w:szCs w:val="24"/>
          <w:lang w:val="en-US" w:eastAsia="zh-CN" w:bidi="ar"/>
        </w:rPr>
        <w:t>日出具的《云南曲煤焦化实业发展有限公司集装箱堆场提质改造项目环境空气、声环境质量现状监测环境质量现状监测报告》（项目编号：项目编号：JLXJC</w:t>
      </w:r>
      <w:r>
        <w:rPr>
          <w:rFonts w:hint="eastAsia" w:ascii="Times New Roman" w:hAnsi="Times New Roman" w:cs="Times New Roman"/>
          <w:color w:val="auto"/>
          <w:sz w:val="24"/>
          <w:szCs w:val="24"/>
          <w:lang w:val="en-US" w:eastAsia="zh-CN" w:bidi="ar"/>
        </w:rPr>
        <w:t>2026</w:t>
      </w:r>
      <w:r>
        <w:rPr>
          <w:rFonts w:hint="default" w:ascii="Times New Roman" w:hAnsi="Times New Roman" w:cs="Times New Roman"/>
          <w:color w:val="auto"/>
          <w:sz w:val="24"/>
          <w:szCs w:val="24"/>
          <w:lang w:val="en-US" w:eastAsia="zh-CN" w:bidi="ar"/>
        </w:rPr>
        <w:t>-XJ15），监测期间处于施工期，</w:t>
      </w:r>
      <w:r>
        <w:rPr>
          <w:rFonts w:hint="default" w:ascii="Times New Roman" w:hAnsi="Times New Roman" w:cs="Times New Roman"/>
          <w:color w:val="auto"/>
          <w:sz w:val="24"/>
          <w:szCs w:val="24"/>
          <w:lang w:bidi="ar"/>
        </w:rPr>
        <w:t>厂界噪声</w:t>
      </w:r>
      <w:r>
        <w:rPr>
          <w:rFonts w:hint="default" w:ascii="Times New Roman" w:hAnsi="Times New Roman" w:cs="Times New Roman"/>
          <w:color w:val="auto"/>
          <w:sz w:val="24"/>
          <w:szCs w:val="24"/>
          <w:lang w:val="en-US" w:eastAsia="zh-CN" w:bidi="ar"/>
        </w:rPr>
        <w:t>能够达到</w:t>
      </w:r>
      <w:r>
        <w:rPr>
          <w:rFonts w:hint="default" w:ascii="Times New Roman" w:hAnsi="Times New Roman" w:cs="Times New Roman"/>
          <w:color w:val="auto"/>
          <w:sz w:val="24"/>
          <w:szCs w:val="24"/>
          <w:lang w:bidi="ar"/>
        </w:rPr>
        <w:t>《建筑施工噪声排放标准》</w:t>
      </w:r>
      <w:r>
        <w:rPr>
          <w:rFonts w:hint="eastAsia" w:ascii="Times New Roman" w:hAnsi="Times New Roman" w:eastAsia="宋体" w:cs="Times New Roman"/>
          <w:color w:val="auto"/>
          <w:sz w:val="24"/>
          <w:szCs w:val="24"/>
          <w:lang w:eastAsia="zh-CN" w:bidi="ar"/>
        </w:rPr>
        <w:t>（</w:t>
      </w:r>
      <w:r>
        <w:rPr>
          <w:rFonts w:hint="default" w:ascii="Times New Roman" w:hAnsi="Times New Roman" w:cs="Times New Roman"/>
          <w:color w:val="auto"/>
          <w:sz w:val="24"/>
          <w:szCs w:val="24"/>
          <w:lang w:bidi="ar"/>
        </w:rPr>
        <w:t>GB12523-2025</w:t>
      </w:r>
      <w:r>
        <w:rPr>
          <w:rFonts w:hint="eastAsia" w:ascii="Times New Roman" w:hAnsi="Times New Roman" w:eastAsia="宋体" w:cs="Times New Roman"/>
          <w:color w:val="auto"/>
          <w:sz w:val="24"/>
          <w:szCs w:val="24"/>
          <w:lang w:eastAsia="zh-CN" w:bidi="ar"/>
        </w:rPr>
        <w:t>）</w:t>
      </w:r>
      <w:r>
        <w:rPr>
          <w:rFonts w:hint="default" w:ascii="Times New Roman" w:hAnsi="Times New Roman" w:cs="Times New Roman"/>
          <w:color w:val="auto"/>
          <w:sz w:val="24"/>
          <w:szCs w:val="24"/>
          <w:lang w:bidi="ar"/>
        </w:rPr>
        <w:t>标准（昼间70dB(A)，夜间不施工）。</w:t>
      </w:r>
    </w:p>
    <w:p w14:paraId="5D787C9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szCs w:val="24"/>
          <w:lang w:bidi="ar"/>
        </w:rPr>
      </w:pPr>
      <w:r>
        <w:rPr>
          <w:rFonts w:hint="default" w:ascii="Times New Roman" w:hAnsi="Times New Roman" w:cs="Times New Roman"/>
          <w:color w:val="auto"/>
          <w:sz w:val="24"/>
          <w:szCs w:val="24"/>
          <w:lang w:val="en-US" w:eastAsia="zh-CN" w:bidi="ar"/>
        </w:rPr>
        <w:t>施工产生的建筑垃圾经分类收集后，能回收利用的进行回收利用，不可回收利用的运至城市建设管理部门指定的堆放点处置；施工人员生活垃圾统一收集后运至附近的垃圾收集点处置。项目建设施工过程产生扬尘、废水、噪声及固废对周围环境影响小。本项目施工人员不在项目区食宿。经过询问及走访调查，在目前施工过程中未发生投诉等污染环境事件。</w:t>
      </w:r>
    </w:p>
    <w:p w14:paraId="0DBFFBF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outlineLvl w:val="2"/>
        <w:rPr>
          <w:rFonts w:ascii="Times New Roman" w:hAnsi="Times New Roman" w:eastAsia="Times New Roman" w:cs="Times New Roman"/>
          <w:b/>
          <w:bCs/>
          <w:color w:val="auto"/>
          <w:spacing w:val="-2"/>
          <w:sz w:val="24"/>
          <w:szCs w:val="24"/>
        </w:rPr>
      </w:pPr>
      <w:bookmarkStart w:id="141" w:name="_Toc23942"/>
      <w:r>
        <w:rPr>
          <w:rFonts w:ascii="Times New Roman" w:hAnsi="Times New Roman" w:eastAsia="Times New Roman" w:cs="Times New Roman"/>
          <w:b/>
          <w:bCs/>
          <w:color w:val="auto"/>
          <w:spacing w:val="-2"/>
          <w:sz w:val="24"/>
          <w:szCs w:val="24"/>
        </w:rPr>
        <w:t>4.1.</w:t>
      </w:r>
      <w:r>
        <w:rPr>
          <w:rFonts w:hint="eastAsia" w:ascii="Times New Roman" w:hAnsi="Times New Roman" w:eastAsia="Times New Roman" w:cs="Times New Roman"/>
          <w:b/>
          <w:bCs/>
          <w:color w:val="auto"/>
          <w:spacing w:val="-2"/>
          <w:sz w:val="24"/>
          <w:szCs w:val="24"/>
          <w:lang w:val="en-US" w:eastAsia="zh-CN"/>
        </w:rPr>
        <w:t>2待建工程</w:t>
      </w:r>
      <w:r>
        <w:rPr>
          <w:rFonts w:ascii="Times New Roman" w:hAnsi="Times New Roman" w:eastAsia="Times New Roman" w:cs="Times New Roman"/>
          <w:b/>
          <w:bCs/>
          <w:color w:val="auto"/>
          <w:spacing w:val="-2"/>
          <w:sz w:val="24"/>
          <w:szCs w:val="24"/>
        </w:rPr>
        <w:t>施工期环境影响预测与评价</w:t>
      </w:r>
      <w:bookmarkEnd w:id="141"/>
    </w:p>
    <w:p w14:paraId="04602FA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48" w:firstLineChars="200"/>
        <w:jc w:val="both"/>
        <w:textAlignment w:val="baseline"/>
        <w:rPr>
          <w:rFonts w:hint="default" w:ascii="Times New Roman" w:hAnsi="Times New Roman" w:cs="Times New Roman"/>
          <w:color w:val="auto"/>
        </w:rPr>
      </w:pPr>
      <w:r>
        <w:rPr>
          <w:color w:val="auto"/>
          <w:spacing w:val="-8"/>
          <w:sz w:val="24"/>
          <w:szCs w:val="24"/>
        </w:rPr>
        <w:t>本项目</w:t>
      </w:r>
      <w:r>
        <w:rPr>
          <w:rFonts w:hint="eastAsia"/>
          <w:color w:val="auto"/>
          <w:spacing w:val="-8"/>
          <w:sz w:val="24"/>
          <w:szCs w:val="24"/>
        </w:rPr>
        <w:t>待建工程</w:t>
      </w:r>
      <w:r>
        <w:rPr>
          <w:color w:val="auto"/>
          <w:spacing w:val="-8"/>
          <w:sz w:val="24"/>
          <w:szCs w:val="24"/>
        </w:rPr>
        <w:t>施工期主要是</w:t>
      </w:r>
      <w:r>
        <w:rPr>
          <w:rFonts w:hint="eastAsia"/>
          <w:color w:val="auto"/>
          <w:spacing w:val="-8"/>
          <w:sz w:val="24"/>
          <w:szCs w:val="24"/>
        </w:rPr>
        <w:t>门卫、箱检平台、车位、环保设施危废暂存间的建设</w:t>
      </w:r>
      <w:r>
        <w:rPr>
          <w:rFonts w:hint="eastAsia" w:eastAsia="宋体"/>
          <w:color w:val="auto"/>
          <w:spacing w:val="-8"/>
          <w:sz w:val="24"/>
          <w:szCs w:val="24"/>
          <w:lang w:eastAsia="zh-CN"/>
        </w:rPr>
        <w:t>、</w:t>
      </w:r>
      <w:r>
        <w:rPr>
          <w:rFonts w:hint="eastAsia"/>
          <w:color w:val="auto"/>
          <w:spacing w:val="-8"/>
          <w:sz w:val="24"/>
          <w:szCs w:val="24"/>
        </w:rPr>
        <w:t>防渗工程的建设</w:t>
      </w:r>
      <w:r>
        <w:rPr>
          <w:color w:val="auto"/>
          <w:spacing w:val="-8"/>
          <w:sz w:val="24"/>
          <w:szCs w:val="24"/>
        </w:rPr>
        <w:t>以及</w:t>
      </w:r>
      <w:r>
        <w:rPr>
          <w:rFonts w:hint="eastAsia" w:eastAsia="宋体"/>
          <w:color w:val="auto"/>
          <w:spacing w:val="-8"/>
          <w:sz w:val="24"/>
          <w:szCs w:val="24"/>
          <w:lang w:val="en-US" w:eastAsia="zh-CN"/>
        </w:rPr>
        <w:t>建筑</w:t>
      </w:r>
      <w:r>
        <w:rPr>
          <w:color w:val="auto"/>
          <w:spacing w:val="-8"/>
          <w:sz w:val="24"/>
          <w:szCs w:val="24"/>
        </w:rPr>
        <w:t>、</w:t>
      </w:r>
      <w:r>
        <w:rPr>
          <w:color w:val="auto"/>
          <w:spacing w:val="-1"/>
          <w:sz w:val="24"/>
          <w:szCs w:val="24"/>
        </w:rPr>
        <w:t>电力、通信等配套工程的建设等。</w:t>
      </w:r>
      <w:r>
        <w:rPr>
          <w:rFonts w:hint="default" w:ascii="Times New Roman" w:hAnsi="Times New Roman" w:cs="Times New Roman"/>
          <w:color w:val="auto"/>
          <w:spacing w:val="-8"/>
          <w:sz w:val="24"/>
          <w:szCs w:val="24"/>
        </w:rPr>
        <w:t>施工量较小，施工期较短，大概在</w:t>
      </w:r>
      <w:r>
        <w:rPr>
          <w:rFonts w:hint="default" w:ascii="Times New Roman" w:hAnsi="Times New Roman" w:eastAsia="宋体" w:cs="Times New Roman"/>
          <w:color w:val="auto"/>
          <w:spacing w:val="-8"/>
          <w:sz w:val="24"/>
          <w:szCs w:val="24"/>
          <w:lang w:val="en-US" w:eastAsia="zh-CN"/>
        </w:rPr>
        <w:t>1</w:t>
      </w:r>
      <w:r>
        <w:rPr>
          <w:rFonts w:hint="default" w:ascii="Times New Roman" w:hAnsi="Times New Roman" w:cs="Times New Roman"/>
          <w:color w:val="auto"/>
          <w:spacing w:val="-8"/>
          <w:sz w:val="24"/>
          <w:szCs w:val="24"/>
        </w:rPr>
        <w:t>个月。</w:t>
      </w:r>
    </w:p>
    <w:p w14:paraId="1863C10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jc w:val="both"/>
        <w:textAlignment w:val="baseline"/>
        <w:rPr>
          <w:color w:val="auto"/>
          <w:sz w:val="24"/>
          <w:szCs w:val="24"/>
        </w:rPr>
      </w:pPr>
      <w:r>
        <w:rPr>
          <w:color w:val="auto"/>
          <w:spacing w:val="-1"/>
          <w:sz w:val="24"/>
          <w:szCs w:val="24"/>
        </w:rPr>
        <w:t>施工期产生的主要水污染物为建筑施工废水、</w:t>
      </w:r>
      <w:r>
        <w:rPr>
          <w:color w:val="auto"/>
          <w:spacing w:val="-3"/>
          <w:sz w:val="24"/>
          <w:szCs w:val="24"/>
        </w:rPr>
        <w:t>施工人员生活污水；废气主要为施工扬尘、施工机械和运输车辆燃油排放的尾气以及施工焊接烟尘；固废主要为建筑垃圾、施工人员生活垃圾等，产生的污染物量较少。</w:t>
      </w:r>
    </w:p>
    <w:p w14:paraId="7FBB0B4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outlineLvl w:val="3"/>
        <w:rPr>
          <w:color w:val="auto"/>
          <w:sz w:val="24"/>
          <w:szCs w:val="24"/>
        </w:rPr>
      </w:pPr>
      <w:r>
        <w:rPr>
          <w:rFonts w:ascii="Times New Roman" w:hAnsi="Times New Roman" w:eastAsia="Times New Roman" w:cs="Times New Roman"/>
          <w:b/>
          <w:bCs/>
          <w:color w:val="auto"/>
          <w:spacing w:val="-2"/>
          <w:sz w:val="24"/>
          <w:szCs w:val="24"/>
        </w:rPr>
        <w:t>4.1.</w:t>
      </w:r>
      <w:r>
        <w:rPr>
          <w:rFonts w:hint="eastAsia" w:ascii="Times New Roman" w:hAnsi="Times New Roman" w:eastAsia="宋体" w:cs="Times New Roman"/>
          <w:b/>
          <w:bCs/>
          <w:color w:val="auto"/>
          <w:spacing w:val="-2"/>
          <w:sz w:val="24"/>
          <w:szCs w:val="24"/>
          <w:lang w:val="en-US" w:eastAsia="zh-CN"/>
        </w:rPr>
        <w:t>2.</w:t>
      </w:r>
      <w:r>
        <w:rPr>
          <w:rFonts w:ascii="Times New Roman" w:hAnsi="Times New Roman" w:eastAsia="Times New Roman" w:cs="Times New Roman"/>
          <w:b/>
          <w:bCs/>
          <w:color w:val="auto"/>
          <w:spacing w:val="-2"/>
          <w:sz w:val="24"/>
          <w:szCs w:val="24"/>
        </w:rPr>
        <w:t xml:space="preserve">1 </w:t>
      </w:r>
      <w:r>
        <w:rPr>
          <w:b/>
          <w:bCs/>
          <w:color w:val="auto"/>
          <w:spacing w:val="-2"/>
          <w:sz w:val="24"/>
          <w:szCs w:val="24"/>
        </w:rPr>
        <w:t>生态环境影响评价</w:t>
      </w:r>
    </w:p>
    <w:p w14:paraId="67229EE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rFonts w:hint="eastAsia" w:eastAsia="宋体"/>
          <w:color w:val="auto"/>
          <w:spacing w:val="-3"/>
          <w:sz w:val="24"/>
          <w:szCs w:val="24"/>
          <w:lang w:val="en-US" w:eastAsia="zh-CN"/>
        </w:rPr>
        <w:t>项目</w:t>
      </w:r>
      <w:r>
        <w:rPr>
          <w:color w:val="auto"/>
          <w:spacing w:val="-3"/>
          <w:sz w:val="24"/>
          <w:szCs w:val="24"/>
        </w:rPr>
        <w:t>建设对生态环境影响主要发生在施工期，施工期对生态环境影响和破坏的途径主要是主体工程占用和分割土地，改变土地利用性质，破坏了地表植被和地形、地貌，在一定时段和一定区域将造成水土流失，还会对评价区的动植物生</w:t>
      </w:r>
      <w:r>
        <w:rPr>
          <w:color w:val="auto"/>
          <w:spacing w:val="-1"/>
          <w:sz w:val="24"/>
          <w:szCs w:val="24"/>
        </w:rPr>
        <w:t>长、分布、栖息和活动产生一定不利的影响。</w:t>
      </w:r>
    </w:p>
    <w:p w14:paraId="000EA49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1、</w:t>
      </w:r>
      <w:r>
        <w:rPr>
          <w:b/>
          <w:bCs/>
          <w:color w:val="auto"/>
          <w:spacing w:val="-2"/>
          <w:sz w:val="24"/>
          <w:szCs w:val="24"/>
        </w:rPr>
        <w:t>植被及植物影响分析</w:t>
      </w:r>
    </w:p>
    <w:p w14:paraId="1122DB4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jc w:val="both"/>
        <w:textAlignment w:val="baseline"/>
        <w:rPr>
          <w:color w:val="auto"/>
          <w:sz w:val="24"/>
          <w:szCs w:val="24"/>
        </w:rPr>
      </w:pPr>
      <w:r>
        <w:rPr>
          <w:color w:val="auto"/>
          <w:spacing w:val="-2"/>
          <w:sz w:val="24"/>
          <w:szCs w:val="24"/>
        </w:rPr>
        <w:t>根据现状调查，由于项目所在地为</w:t>
      </w:r>
      <w:r>
        <w:rPr>
          <w:rFonts w:hint="eastAsia" w:eastAsia="宋体"/>
          <w:color w:val="auto"/>
          <w:spacing w:val="-2"/>
          <w:sz w:val="24"/>
          <w:szCs w:val="24"/>
          <w:lang w:val="en-US" w:eastAsia="zh-CN"/>
        </w:rPr>
        <w:t>工业</w:t>
      </w:r>
      <w:r>
        <w:rPr>
          <w:color w:val="auto"/>
          <w:spacing w:val="-2"/>
          <w:sz w:val="24"/>
          <w:szCs w:val="24"/>
        </w:rPr>
        <w:t>开发区域，评价区域已无自然</w:t>
      </w:r>
      <w:r>
        <w:rPr>
          <w:color w:val="auto"/>
          <w:spacing w:val="-3"/>
          <w:sz w:val="24"/>
          <w:szCs w:val="24"/>
        </w:rPr>
        <w:t>植被，仅为人工植被，人工植被主要为人工</w:t>
      </w:r>
      <w:r>
        <w:rPr>
          <w:rFonts w:hint="eastAsia" w:eastAsia="宋体"/>
          <w:color w:val="auto"/>
          <w:spacing w:val="-3"/>
          <w:sz w:val="24"/>
          <w:szCs w:val="24"/>
          <w:lang w:val="en-US" w:eastAsia="zh-CN"/>
        </w:rPr>
        <w:t>树木</w:t>
      </w:r>
      <w:r>
        <w:rPr>
          <w:color w:val="auto"/>
          <w:spacing w:val="-3"/>
          <w:sz w:val="24"/>
          <w:szCs w:val="24"/>
        </w:rPr>
        <w:t>、</w:t>
      </w:r>
      <w:r>
        <w:rPr>
          <w:rFonts w:hint="eastAsia" w:eastAsia="宋体"/>
          <w:color w:val="auto"/>
          <w:spacing w:val="-3"/>
          <w:sz w:val="24"/>
          <w:szCs w:val="24"/>
          <w:lang w:val="en-US" w:eastAsia="zh-CN"/>
        </w:rPr>
        <w:t>景观植被等</w:t>
      </w:r>
      <w:r>
        <w:rPr>
          <w:color w:val="auto"/>
          <w:spacing w:val="-3"/>
          <w:sz w:val="24"/>
          <w:szCs w:val="24"/>
        </w:rPr>
        <w:t>。项目评价区内目</w:t>
      </w:r>
      <w:r>
        <w:rPr>
          <w:color w:val="auto"/>
          <w:spacing w:val="-2"/>
          <w:sz w:val="24"/>
          <w:szCs w:val="24"/>
        </w:rPr>
        <w:t>前未发现国家重点保护野生植物，也未发现云南省省级重点保护野生植物分布，</w:t>
      </w:r>
      <w:r>
        <w:rPr>
          <w:color w:val="auto"/>
          <w:sz w:val="24"/>
          <w:szCs w:val="24"/>
        </w:rPr>
        <w:t>未发现地方特有种分布，未发现名木古树分布，</w:t>
      </w:r>
      <w:r>
        <w:rPr>
          <w:color w:val="auto"/>
          <w:spacing w:val="-1"/>
          <w:sz w:val="24"/>
          <w:szCs w:val="24"/>
        </w:rPr>
        <w:t>未发现古茶树分布。</w:t>
      </w:r>
    </w:p>
    <w:p w14:paraId="684FD08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施工期项目永久及临时占地、施工粉尘等会评价区植被及植物造成一定的影</w:t>
      </w:r>
      <w:r>
        <w:rPr>
          <w:color w:val="auto"/>
          <w:spacing w:val="-11"/>
          <w:sz w:val="24"/>
          <w:szCs w:val="24"/>
        </w:rPr>
        <w:t>响。</w:t>
      </w:r>
    </w:p>
    <w:p w14:paraId="39C0F9D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52" w:firstLineChars="200"/>
        <w:textAlignment w:val="baseline"/>
        <w:rPr>
          <w:color w:val="auto"/>
          <w:sz w:val="24"/>
          <w:szCs w:val="24"/>
        </w:rPr>
      </w:pPr>
      <w:r>
        <w:rPr>
          <w:rFonts w:hint="eastAsia" w:ascii="Times New Roman" w:hAnsi="Times New Roman" w:eastAsia="宋体" w:cs="Times New Roman"/>
          <w:color w:val="auto"/>
          <w:spacing w:val="-7"/>
          <w:sz w:val="24"/>
          <w:szCs w:val="24"/>
          <w:lang w:eastAsia="zh-CN"/>
        </w:rPr>
        <w:t>（</w:t>
      </w:r>
      <w:r>
        <w:rPr>
          <w:rFonts w:hint="eastAsia" w:ascii="Times New Roman" w:hAnsi="Times New Roman" w:eastAsia="宋体" w:cs="Times New Roman"/>
          <w:color w:val="auto"/>
          <w:spacing w:val="-7"/>
          <w:sz w:val="24"/>
          <w:szCs w:val="24"/>
          <w:lang w:val="en-US" w:eastAsia="zh-CN"/>
        </w:rPr>
        <w:t>1</w:t>
      </w:r>
      <w:r>
        <w:rPr>
          <w:rFonts w:hint="eastAsia" w:ascii="Times New Roman" w:hAnsi="Times New Roman" w:eastAsia="宋体" w:cs="Times New Roman"/>
          <w:color w:val="auto"/>
          <w:spacing w:val="-7"/>
          <w:sz w:val="24"/>
          <w:szCs w:val="24"/>
          <w:lang w:eastAsia="zh-CN"/>
        </w:rPr>
        <w:t>）</w:t>
      </w:r>
      <w:r>
        <w:rPr>
          <w:color w:val="auto"/>
          <w:spacing w:val="-7"/>
          <w:sz w:val="24"/>
          <w:szCs w:val="24"/>
        </w:rPr>
        <w:t>植被影响分析</w:t>
      </w:r>
    </w:p>
    <w:p w14:paraId="4B03B61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在施工过程中，工程占地通过对地表植被的清除，以及材料、弃土等的堆积</w:t>
      </w:r>
      <w:r>
        <w:rPr>
          <w:color w:val="auto"/>
          <w:spacing w:val="-2"/>
          <w:sz w:val="24"/>
          <w:szCs w:val="24"/>
        </w:rPr>
        <w:t>导致地表植被破坏或死亡。根据前文现状调查内容，</w:t>
      </w:r>
      <w:r>
        <w:rPr>
          <w:rFonts w:hint="eastAsia" w:eastAsia="宋体"/>
          <w:color w:val="auto"/>
          <w:spacing w:val="-2"/>
          <w:sz w:val="24"/>
          <w:szCs w:val="24"/>
          <w:lang w:val="en-US" w:eastAsia="zh-CN"/>
        </w:rPr>
        <w:t>项目</w:t>
      </w:r>
      <w:r>
        <w:rPr>
          <w:color w:val="auto"/>
          <w:spacing w:val="-2"/>
          <w:sz w:val="24"/>
          <w:szCs w:val="24"/>
        </w:rPr>
        <w:t>占地范围外延</w:t>
      </w:r>
      <w:r>
        <w:rPr>
          <w:rFonts w:hint="eastAsia" w:ascii="Times New Roman" w:hAnsi="Times New Roman" w:eastAsia="宋体" w:cs="Times New Roman"/>
          <w:color w:val="auto"/>
          <w:spacing w:val="-2"/>
          <w:sz w:val="24"/>
          <w:szCs w:val="24"/>
          <w:lang w:val="en-US" w:eastAsia="zh-CN"/>
        </w:rPr>
        <w:t>2</w:t>
      </w:r>
      <w:r>
        <w:rPr>
          <w:rFonts w:ascii="Times New Roman" w:hAnsi="Times New Roman" w:eastAsia="Times New Roman" w:cs="Times New Roman"/>
          <w:color w:val="auto"/>
          <w:spacing w:val="-2"/>
          <w:sz w:val="24"/>
          <w:szCs w:val="24"/>
        </w:rPr>
        <w:t>00m</w:t>
      </w:r>
      <w:r>
        <w:rPr>
          <w:color w:val="auto"/>
          <w:spacing w:val="-2"/>
          <w:sz w:val="24"/>
          <w:szCs w:val="24"/>
        </w:rPr>
        <w:t>范围内</w:t>
      </w:r>
      <w:r>
        <w:rPr>
          <w:color w:val="auto"/>
          <w:spacing w:val="-3"/>
          <w:sz w:val="24"/>
          <w:szCs w:val="24"/>
        </w:rPr>
        <w:t>均为人工植被；区内</w:t>
      </w:r>
      <w:r>
        <w:rPr>
          <w:color w:val="auto"/>
          <w:spacing w:val="-4"/>
          <w:sz w:val="24"/>
          <w:szCs w:val="24"/>
        </w:rPr>
        <w:t>非植被覆盖区</w:t>
      </w:r>
      <w:r>
        <w:rPr>
          <w:color w:val="auto"/>
          <w:spacing w:val="-2"/>
          <w:sz w:val="24"/>
          <w:szCs w:val="24"/>
        </w:rPr>
        <w:t>域，主要表现为商业服务业用地、交通运输用地等</w:t>
      </w:r>
      <w:r>
        <w:rPr>
          <w:color w:val="auto"/>
          <w:sz w:val="24"/>
          <w:szCs w:val="24"/>
        </w:rPr>
        <w:t>。结合项目工程占地情况，本项目工程永久占地及临时占地范围内</w:t>
      </w:r>
      <w:r>
        <w:rPr>
          <w:color w:val="auto"/>
          <w:spacing w:val="-3"/>
          <w:sz w:val="24"/>
          <w:szCs w:val="24"/>
        </w:rPr>
        <w:t>区域均为非植被覆盖区，仅有少量杂草，因此，项目工程建设不会导致评价区内</w:t>
      </w:r>
      <w:r>
        <w:rPr>
          <w:color w:val="auto"/>
          <w:spacing w:val="-1"/>
          <w:sz w:val="24"/>
          <w:szCs w:val="24"/>
        </w:rPr>
        <w:t>植被构成格局的明显变化、植被类型的减少，对植被的影响较小。</w:t>
      </w:r>
    </w:p>
    <w:p w14:paraId="179151E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4" w:firstLineChars="200"/>
        <w:textAlignment w:val="baseline"/>
        <w:rPr>
          <w:color w:val="auto"/>
          <w:sz w:val="24"/>
          <w:szCs w:val="24"/>
        </w:rPr>
      </w:pPr>
      <w:r>
        <w:rPr>
          <w:rFonts w:hint="eastAsia" w:ascii="Times New Roman" w:hAnsi="Times New Roman" w:eastAsia="宋体" w:cs="Times New Roman"/>
          <w:color w:val="auto"/>
          <w:spacing w:val="-4"/>
          <w:sz w:val="24"/>
          <w:szCs w:val="24"/>
          <w:lang w:eastAsia="zh-CN"/>
        </w:rPr>
        <w:t>（</w:t>
      </w:r>
      <w:r>
        <w:rPr>
          <w:rFonts w:hint="eastAsia" w:ascii="Times New Roman" w:hAnsi="Times New Roman" w:eastAsia="宋体" w:cs="Times New Roman"/>
          <w:color w:val="auto"/>
          <w:spacing w:val="-4"/>
          <w:sz w:val="24"/>
          <w:szCs w:val="24"/>
          <w:lang w:val="en-US" w:eastAsia="zh-CN"/>
        </w:rPr>
        <w:t>2</w:t>
      </w:r>
      <w:r>
        <w:rPr>
          <w:rFonts w:hint="eastAsia" w:ascii="Times New Roman" w:hAnsi="Times New Roman" w:eastAsia="宋体" w:cs="Times New Roman"/>
          <w:color w:val="auto"/>
          <w:spacing w:val="-4"/>
          <w:sz w:val="24"/>
          <w:szCs w:val="24"/>
          <w:lang w:eastAsia="zh-CN"/>
        </w:rPr>
        <w:t>）</w:t>
      </w:r>
      <w:r>
        <w:rPr>
          <w:color w:val="auto"/>
          <w:spacing w:val="-4"/>
          <w:sz w:val="24"/>
          <w:szCs w:val="24"/>
        </w:rPr>
        <w:t>植物影响分析</w:t>
      </w:r>
    </w:p>
    <w:p w14:paraId="2507791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sz w:val="24"/>
          <w:szCs w:val="24"/>
        </w:rPr>
      </w:pPr>
      <w:r>
        <w:rPr>
          <w:color w:val="auto"/>
          <w:spacing w:val="0"/>
          <w:sz w:val="24"/>
          <w:szCs w:val="24"/>
        </w:rPr>
        <w:t>根据项目工程建设情况，项目施工过程中会对占地内的植物全部清除，项目永久占地及临时占地会对植物造成一定影响。根据现场实际调查，由于项目评价区域无自然植被，均为人工植被。因此项目评价区内目前未发现国家重点保护野生植物，也未发现云南省省级重点保护野生植物、云南省级重点保护植物，且项目评价区内目前未发现名木古树及地方特有种分布。</w:t>
      </w:r>
    </w:p>
    <w:p w14:paraId="2D5915A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另外，项目在施工及材料运输过程中产生的粉尘会对附近的植</w:t>
      </w:r>
      <w:r>
        <w:rPr>
          <w:color w:val="auto"/>
          <w:spacing w:val="-4"/>
          <w:sz w:val="24"/>
          <w:szCs w:val="24"/>
        </w:rPr>
        <w:t>物产生一定影</w:t>
      </w:r>
      <w:r>
        <w:rPr>
          <w:color w:val="auto"/>
          <w:spacing w:val="-3"/>
          <w:sz w:val="24"/>
          <w:szCs w:val="24"/>
        </w:rPr>
        <w:t>响。粉尘降落在植物叶面上，吸收水分成为深灰色的一层薄壳，</w:t>
      </w:r>
      <w:r>
        <w:rPr>
          <w:color w:val="auto"/>
          <w:spacing w:val="-4"/>
          <w:sz w:val="24"/>
          <w:szCs w:val="24"/>
        </w:rPr>
        <w:t>降低叶面的光合</w:t>
      </w:r>
      <w:r>
        <w:rPr>
          <w:color w:val="auto"/>
          <w:spacing w:val="-3"/>
          <w:sz w:val="24"/>
          <w:szCs w:val="24"/>
        </w:rPr>
        <w:t>作用；堵塞叶面气孔，阻碍叶面气孔的呼吸作用及水分蒸发，减弱调湿和机体代谢功能，造成叶尖失水、干枯、落叶和减产。粉尘的碱性物质能破坏叶面表层的蜡质和表皮茸毛，使植物生长减退，对其产生不利影响，由于项目在施工过程中采取了洒水降尘等相应的防尘措施，在正常的生产情况下，本工程粉尘排放不会</w:t>
      </w:r>
      <w:r>
        <w:rPr>
          <w:color w:val="auto"/>
          <w:spacing w:val="-1"/>
          <w:sz w:val="24"/>
          <w:szCs w:val="24"/>
        </w:rPr>
        <w:t>对周围植物产生明显影响。</w:t>
      </w:r>
    </w:p>
    <w:p w14:paraId="633FB99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2、</w:t>
      </w:r>
      <w:r>
        <w:rPr>
          <w:b/>
          <w:bCs/>
          <w:color w:val="auto"/>
          <w:spacing w:val="-2"/>
          <w:sz w:val="24"/>
          <w:szCs w:val="24"/>
        </w:rPr>
        <w:t>动物影响分析</w:t>
      </w:r>
    </w:p>
    <w:p w14:paraId="328AB31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经调查访问和沿途观察，评价区域野生动物种类及数量均较少，仅有鼠类、蛇类、麻雀等动物分布，无大型野生动物出没，未发现国家和省级重点保护的珍稀濒危动物，也无国家和省级重点保护的野生动物，评价区域内无生态保护物种分布。</w:t>
      </w:r>
    </w:p>
    <w:p w14:paraId="33A16C2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施工期间对鸟类的影响主要体现在施工区域人为活动的增加、工程开挖以及施工机械噪声产生的惊吓、干扰，会对鸟类栖息地声环境造成破坏并且对鸟类形成驱赶，特别是对处于繁殖期的鸟类，受此影响将会更加明显；但鸟类活动能力较强，一旦有惊扰能够迅速逃离不利环境，通过迁徙和飞翔来避免施工对其栖息和觅食的影响。由于施工的干扰，可能会导致这些鸟类向邻近地区迁移，远离施工区范围，因此项目施工期间工程区附近的鸟类的种类和数量会有所减少，但不</w:t>
      </w:r>
      <w:r>
        <w:rPr>
          <w:color w:val="auto"/>
          <w:spacing w:val="-1"/>
          <w:sz w:val="24"/>
          <w:szCs w:val="24"/>
        </w:rPr>
        <w:t>会导致任一物种的消失，项目施工对鸟类的影响不大。</w:t>
      </w:r>
    </w:p>
    <w:p w14:paraId="19DA321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工程建设对哺乳动物的影响主要是栖息生境占用和生境干扰，主要</w:t>
      </w:r>
      <w:r>
        <w:rPr>
          <w:color w:val="auto"/>
          <w:spacing w:val="-4"/>
          <w:sz w:val="24"/>
          <w:szCs w:val="24"/>
        </w:rPr>
        <w:t>表现在哺</w:t>
      </w:r>
      <w:r>
        <w:rPr>
          <w:color w:val="auto"/>
          <w:spacing w:val="-3"/>
          <w:sz w:val="24"/>
          <w:szCs w:val="24"/>
        </w:rPr>
        <w:t>乳动物受到施工噪声及人类活动惊吓而逃离原有的生境，施工人员还可能捕杀哺乳动物，导致评价范围内哺乳动物的种类和数量在一定时期内减少。如果没有人为捕捉，它们会及时逃离干扰区。因此，只要在项目施工中加强管理，做好环保</w:t>
      </w:r>
      <w:r>
        <w:rPr>
          <w:color w:val="auto"/>
          <w:spacing w:val="-7"/>
          <w:sz w:val="24"/>
          <w:szCs w:val="24"/>
        </w:rPr>
        <w:t>宣传，加上动物比较警觉，能主动趋避影响区，本项目建设对</w:t>
      </w:r>
      <w:r>
        <w:rPr>
          <w:color w:val="auto"/>
          <w:spacing w:val="-8"/>
          <w:sz w:val="24"/>
          <w:szCs w:val="24"/>
        </w:rPr>
        <w:t>兽类的影响将较小。</w:t>
      </w:r>
    </w:p>
    <w:p w14:paraId="53475D4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此外，项目的建设导致人员密集，由于食物丰富，可能会造成项目评价</w:t>
      </w:r>
      <w:r>
        <w:rPr>
          <w:color w:val="auto"/>
          <w:spacing w:val="-4"/>
          <w:sz w:val="24"/>
          <w:szCs w:val="24"/>
        </w:rPr>
        <w:t>区内</w:t>
      </w:r>
      <w:r>
        <w:rPr>
          <w:color w:val="auto"/>
          <w:spacing w:val="-3"/>
          <w:sz w:val="24"/>
          <w:szCs w:val="24"/>
        </w:rPr>
        <w:t>啮齿类动物，尤其是啮齿类动物数量增加，并可能向周边扩散，应做好鼠患防治</w:t>
      </w:r>
      <w:r>
        <w:rPr>
          <w:color w:val="auto"/>
          <w:spacing w:val="-5"/>
          <w:sz w:val="24"/>
          <w:szCs w:val="24"/>
        </w:rPr>
        <w:t>工作。</w:t>
      </w:r>
    </w:p>
    <w:p w14:paraId="0DEB29E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综上，项目施工对陆栖脊椎动物有一定的影响，但大多数陆生脊椎</w:t>
      </w:r>
      <w:r>
        <w:rPr>
          <w:color w:val="auto"/>
          <w:spacing w:val="-4"/>
          <w:sz w:val="24"/>
          <w:szCs w:val="24"/>
        </w:rPr>
        <w:t>动物具有</w:t>
      </w:r>
      <w:r>
        <w:rPr>
          <w:color w:val="auto"/>
          <w:spacing w:val="-8"/>
          <w:sz w:val="24"/>
          <w:szCs w:val="24"/>
        </w:rPr>
        <w:t>趋避的本能，只要项目区以外的环境不遭受破坏，且施工人员不对它们直接捕杀，对野生动物种群的影响不大，它们会选择适宜的生境继续生存和生活。总体来看，</w:t>
      </w:r>
      <w:r>
        <w:rPr>
          <w:color w:val="auto"/>
          <w:spacing w:val="-3"/>
          <w:sz w:val="24"/>
          <w:szCs w:val="24"/>
        </w:rPr>
        <w:t>工程建设和运行对动物造成的不利影响有限，不会导致这些动物在当地的灭绝和</w:t>
      </w:r>
      <w:r>
        <w:rPr>
          <w:color w:val="auto"/>
          <w:spacing w:val="-2"/>
          <w:sz w:val="24"/>
          <w:szCs w:val="24"/>
        </w:rPr>
        <w:t>密度明显下降。</w:t>
      </w:r>
    </w:p>
    <w:p w14:paraId="46EB3E5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outlineLvl w:val="3"/>
        <w:rPr>
          <w:color w:val="auto"/>
          <w:sz w:val="24"/>
          <w:szCs w:val="24"/>
        </w:rPr>
      </w:pPr>
      <w:r>
        <w:rPr>
          <w:rFonts w:ascii="Times New Roman" w:hAnsi="Times New Roman" w:eastAsia="Times New Roman" w:cs="Times New Roman"/>
          <w:b/>
          <w:bCs/>
          <w:color w:val="auto"/>
          <w:spacing w:val="-2"/>
          <w:sz w:val="24"/>
          <w:szCs w:val="24"/>
        </w:rPr>
        <w:t>4.1.2</w:t>
      </w:r>
      <w:r>
        <w:rPr>
          <w:rFonts w:hint="eastAsia" w:ascii="Times New Roman" w:hAnsi="Times New Roman" w:eastAsia="宋体" w:cs="Times New Roman"/>
          <w:b/>
          <w:bCs/>
          <w:color w:val="auto"/>
          <w:spacing w:val="-2"/>
          <w:sz w:val="24"/>
          <w:szCs w:val="24"/>
          <w:lang w:val="en-US" w:eastAsia="zh-CN"/>
        </w:rPr>
        <w:t>.2</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环境空气影响分析</w:t>
      </w:r>
    </w:p>
    <w:p w14:paraId="22E2348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施工期产生的废气主要为施工扬尘、施工机械</w:t>
      </w:r>
      <w:r>
        <w:rPr>
          <w:color w:val="auto"/>
          <w:spacing w:val="-1"/>
          <w:sz w:val="24"/>
          <w:szCs w:val="24"/>
        </w:rPr>
        <w:t>和运输车辆燃油排放的尾气以及施工焊接烟尘等。</w:t>
      </w:r>
    </w:p>
    <w:p w14:paraId="2E6B0B0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1、</w:t>
      </w:r>
      <w:r>
        <w:rPr>
          <w:b/>
          <w:bCs/>
          <w:color w:val="auto"/>
          <w:spacing w:val="-2"/>
          <w:sz w:val="24"/>
          <w:szCs w:val="24"/>
        </w:rPr>
        <w:t>施工扬尘影响分析</w:t>
      </w:r>
    </w:p>
    <w:p w14:paraId="6B26441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48" w:firstLineChars="200"/>
        <w:jc w:val="both"/>
        <w:textAlignment w:val="baseline"/>
        <w:rPr>
          <w:rFonts w:hint="default" w:ascii="Times New Roman" w:hAnsi="Times New Roman" w:cs="Times New Roman"/>
          <w:color w:val="auto"/>
          <w:spacing w:val="-8"/>
          <w:sz w:val="24"/>
          <w:szCs w:val="24"/>
        </w:rPr>
      </w:pPr>
      <w:r>
        <w:rPr>
          <w:color w:val="auto"/>
          <w:spacing w:val="-8"/>
          <w:sz w:val="24"/>
          <w:szCs w:val="24"/>
        </w:rPr>
        <w:t>本项目</w:t>
      </w:r>
      <w:r>
        <w:rPr>
          <w:rFonts w:hint="eastAsia"/>
          <w:color w:val="auto"/>
          <w:spacing w:val="-8"/>
          <w:sz w:val="24"/>
          <w:szCs w:val="24"/>
        </w:rPr>
        <w:t>待建工程</w:t>
      </w:r>
      <w:r>
        <w:rPr>
          <w:color w:val="auto"/>
          <w:spacing w:val="-8"/>
          <w:sz w:val="24"/>
          <w:szCs w:val="24"/>
        </w:rPr>
        <w:t>施工期主要是</w:t>
      </w:r>
      <w:r>
        <w:rPr>
          <w:rFonts w:hint="eastAsia"/>
          <w:color w:val="auto"/>
          <w:spacing w:val="-8"/>
          <w:sz w:val="24"/>
          <w:szCs w:val="24"/>
        </w:rPr>
        <w:t>门卫、箱检平台、车位、环保设施危废暂存间的建设</w:t>
      </w:r>
      <w:r>
        <w:rPr>
          <w:rFonts w:hint="eastAsia" w:eastAsia="宋体"/>
          <w:color w:val="auto"/>
          <w:spacing w:val="-8"/>
          <w:sz w:val="24"/>
          <w:szCs w:val="24"/>
          <w:lang w:eastAsia="zh-CN"/>
        </w:rPr>
        <w:t>、</w:t>
      </w:r>
      <w:r>
        <w:rPr>
          <w:rFonts w:hint="eastAsia"/>
          <w:color w:val="auto"/>
          <w:spacing w:val="-8"/>
          <w:sz w:val="24"/>
          <w:szCs w:val="24"/>
        </w:rPr>
        <w:t>防渗工程的建设</w:t>
      </w:r>
      <w:r>
        <w:rPr>
          <w:color w:val="auto"/>
          <w:spacing w:val="-8"/>
          <w:sz w:val="24"/>
          <w:szCs w:val="24"/>
        </w:rPr>
        <w:t>以及</w:t>
      </w:r>
      <w:r>
        <w:rPr>
          <w:rFonts w:hint="eastAsia" w:eastAsia="宋体"/>
          <w:color w:val="auto"/>
          <w:spacing w:val="-8"/>
          <w:sz w:val="24"/>
          <w:szCs w:val="24"/>
          <w:lang w:val="en-US" w:eastAsia="zh-CN"/>
        </w:rPr>
        <w:t>建筑</w:t>
      </w:r>
      <w:r>
        <w:rPr>
          <w:color w:val="auto"/>
          <w:spacing w:val="-8"/>
          <w:sz w:val="24"/>
          <w:szCs w:val="24"/>
        </w:rPr>
        <w:t>、</w:t>
      </w:r>
      <w:r>
        <w:rPr>
          <w:color w:val="auto"/>
          <w:spacing w:val="-1"/>
          <w:sz w:val="24"/>
          <w:szCs w:val="24"/>
        </w:rPr>
        <w:t>电力、通信等配套工程的建设等。</w:t>
      </w:r>
    </w:p>
    <w:p w14:paraId="26E3D8EC">
      <w:pPr>
        <w:pStyle w:val="10"/>
        <w:spacing w:line="360" w:lineRule="auto"/>
        <w:ind w:firstLine="482"/>
        <w:rPr>
          <w:rFonts w:hint="eastAsia" w:ascii="宋体" w:hAnsi="宋体" w:eastAsia="宋体" w:cs="Times New Roman"/>
          <w:color w:val="auto"/>
          <w:spacing w:val="-8"/>
          <w:sz w:val="24"/>
          <w:szCs w:val="24"/>
        </w:rPr>
      </w:pPr>
      <w:r>
        <w:rPr>
          <w:rFonts w:hint="eastAsia"/>
          <w:color w:val="auto"/>
          <w:spacing w:val="-8"/>
          <w:sz w:val="24"/>
          <w:szCs w:val="24"/>
        </w:rPr>
        <w:t>建设门卫、箱检平台</w:t>
      </w:r>
      <w:r>
        <w:rPr>
          <w:color w:val="auto"/>
          <w:spacing w:val="-8"/>
          <w:sz w:val="24"/>
          <w:szCs w:val="24"/>
        </w:rPr>
        <w:t>、</w:t>
      </w:r>
      <w:r>
        <w:rPr>
          <w:rFonts w:hint="eastAsia"/>
          <w:color w:val="auto"/>
          <w:spacing w:val="-8"/>
          <w:sz w:val="24"/>
          <w:szCs w:val="24"/>
        </w:rPr>
        <w:t>危废暂存间的过程</w:t>
      </w:r>
      <w:r>
        <w:rPr>
          <w:rFonts w:hint="eastAsia" w:ascii="宋体" w:hAnsi="宋体" w:eastAsia="宋体" w:cs="Times New Roman"/>
          <w:color w:val="auto"/>
          <w:spacing w:val="-8"/>
          <w:sz w:val="24"/>
          <w:szCs w:val="24"/>
        </w:rPr>
        <w:t>，堆存的砂石料在气候干燥又有风的情况下，会产生扬尘。尘粒的沉降速度随粒径的增大迅速增大，主要影响范围在扬尘点下风向近距离范围内，而真正对外环境产生影响的是一些微小尘粒。</w:t>
      </w:r>
    </w:p>
    <w:p w14:paraId="746D6962">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风力起尘量与粒径和含水率有关，减少露天堆放、场内洒水抑尘以及减少裸露地面，是减少风力起尘的有效手段。</w:t>
      </w:r>
    </w:p>
    <w:p w14:paraId="7AF558AF">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为了减小风力扬尘对环境的不利影响，拟采取如下环保措施：</w:t>
      </w:r>
    </w:p>
    <w:p w14:paraId="51B43BC9">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①施工场界设置临时围挡。</w:t>
      </w:r>
    </w:p>
    <w:p w14:paraId="036437E6">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②施工材料设专门的堆放处，设置临时覆盖，避免易产生扬尘的材料露天堆放。</w:t>
      </w:r>
    </w:p>
    <w:p w14:paraId="1D48892E">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③施工场地每天定时洒水，风大时，加大洒水频次。</w:t>
      </w:r>
    </w:p>
    <w:p w14:paraId="67D68FCA">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④尽量避免在干燥大风天气下进行作业。</w:t>
      </w:r>
    </w:p>
    <w:p w14:paraId="606676FE">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⑤由专人负责施工场地的清洁打扫，保证施工场地和道路的清洁。</w:t>
      </w:r>
    </w:p>
    <w:p w14:paraId="2A0973F2">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同样路面清洁程度，车速越快，扬尘量越大，而在同样车速情况下，路面越脏，扬尘量越大。因此，车辆限速行驶及保持路面清洁是减少道路扬尘的有效办法。</w:t>
      </w:r>
    </w:p>
    <w:p w14:paraId="4F75CD86">
      <w:pPr>
        <w:pStyle w:val="10"/>
        <w:spacing w:line="360" w:lineRule="auto"/>
        <w:ind w:firstLine="482"/>
        <w:rPr>
          <w:rFonts w:hint="eastAsia" w:ascii="宋体" w:hAnsi="宋体" w:eastAsia="宋体" w:cs="Times New Roman"/>
          <w:color w:val="auto"/>
          <w:spacing w:val="-8"/>
          <w:sz w:val="24"/>
          <w:szCs w:val="24"/>
        </w:rPr>
      </w:pPr>
      <w:r>
        <w:rPr>
          <w:rFonts w:hint="eastAsia" w:ascii="宋体" w:hAnsi="宋体" w:eastAsia="宋体" w:cs="Times New Roman"/>
          <w:color w:val="auto"/>
          <w:spacing w:val="-8"/>
          <w:sz w:val="24"/>
          <w:szCs w:val="24"/>
        </w:rPr>
        <w:t>为了减小运输车辆起尘对环境的不利影响，拟采取如下环保措施：</w:t>
      </w:r>
    </w:p>
    <w:p w14:paraId="63245572">
      <w:pPr>
        <w:pStyle w:val="10"/>
        <w:spacing w:line="360" w:lineRule="auto"/>
        <w:ind w:firstLine="482"/>
        <w:rPr>
          <w:rFonts w:hint="eastAsia" w:ascii="宋体" w:hAnsi="宋体" w:eastAsia="宋体" w:cs="Times New Roman"/>
          <w:color w:val="auto"/>
          <w:spacing w:val="-8"/>
          <w:sz w:val="24"/>
          <w:szCs w:val="24"/>
        </w:rPr>
      </w:pPr>
      <w:bookmarkStart w:id="142" w:name="_Toc35003491"/>
      <w:bookmarkStart w:id="143" w:name="_Toc24636708"/>
      <w:bookmarkStart w:id="144" w:name="_Toc34910818"/>
      <w:bookmarkStart w:id="145" w:name="_Toc24637204"/>
      <w:r>
        <w:rPr>
          <w:rFonts w:hint="eastAsia" w:ascii="宋体" w:hAnsi="宋体" w:eastAsia="宋体" w:cs="Times New Roman"/>
          <w:color w:val="auto"/>
          <w:spacing w:val="-8"/>
          <w:sz w:val="24"/>
          <w:szCs w:val="24"/>
        </w:rPr>
        <w:t>①</w:t>
      </w:r>
      <w:bookmarkEnd w:id="142"/>
      <w:bookmarkEnd w:id="143"/>
      <w:bookmarkEnd w:id="144"/>
      <w:bookmarkEnd w:id="145"/>
      <w:r>
        <w:rPr>
          <w:rFonts w:hint="eastAsia" w:ascii="宋体" w:hAnsi="宋体" w:eastAsia="宋体" w:cs="Times New Roman"/>
          <w:color w:val="auto"/>
          <w:spacing w:val="-8"/>
          <w:sz w:val="24"/>
          <w:szCs w:val="24"/>
        </w:rPr>
        <w:t>指定专人负责施工场地和车辆的清洁打扫，保证施工场地和运输车辆的清洁。</w:t>
      </w:r>
    </w:p>
    <w:p w14:paraId="1BAB23CA">
      <w:pPr>
        <w:pStyle w:val="10"/>
        <w:spacing w:line="360" w:lineRule="auto"/>
        <w:ind w:firstLine="482"/>
        <w:rPr>
          <w:rFonts w:hint="eastAsia" w:ascii="宋体" w:hAnsi="宋体" w:eastAsia="宋体" w:cs="Times New Roman"/>
          <w:color w:val="auto"/>
          <w:spacing w:val="-8"/>
          <w:sz w:val="24"/>
          <w:szCs w:val="24"/>
        </w:rPr>
      </w:pPr>
      <w:bookmarkStart w:id="146" w:name="_Toc24637205"/>
      <w:bookmarkStart w:id="147" w:name="_Toc34910819"/>
      <w:bookmarkStart w:id="148" w:name="_Toc24636709"/>
      <w:bookmarkStart w:id="149" w:name="_Toc35003492"/>
      <w:r>
        <w:rPr>
          <w:rFonts w:hint="eastAsia" w:ascii="宋体" w:hAnsi="宋体" w:eastAsia="宋体" w:cs="Times New Roman"/>
          <w:color w:val="auto"/>
          <w:spacing w:val="-8"/>
          <w:sz w:val="24"/>
          <w:szCs w:val="24"/>
        </w:rPr>
        <w:t>②</w:t>
      </w:r>
      <w:bookmarkEnd w:id="146"/>
      <w:bookmarkEnd w:id="147"/>
      <w:bookmarkEnd w:id="148"/>
      <w:bookmarkEnd w:id="149"/>
      <w:r>
        <w:rPr>
          <w:rFonts w:hint="eastAsia" w:ascii="宋体" w:hAnsi="宋体" w:eastAsia="宋体" w:cs="Times New Roman"/>
          <w:color w:val="auto"/>
          <w:spacing w:val="-8"/>
          <w:sz w:val="24"/>
          <w:szCs w:val="24"/>
        </w:rPr>
        <w:t>要求运输车辆文明运输，在项目内减速行驶。</w:t>
      </w:r>
    </w:p>
    <w:p w14:paraId="475C929A">
      <w:pPr>
        <w:pStyle w:val="10"/>
        <w:spacing w:line="360" w:lineRule="auto"/>
        <w:ind w:firstLine="482"/>
        <w:rPr>
          <w:rFonts w:hint="eastAsia" w:ascii="宋体" w:hAnsi="宋体" w:eastAsia="宋体" w:cs="Times New Roman"/>
          <w:color w:val="auto"/>
          <w:spacing w:val="-8"/>
          <w:sz w:val="24"/>
          <w:szCs w:val="24"/>
        </w:rPr>
      </w:pPr>
      <w:bookmarkStart w:id="150" w:name="_Toc24637206"/>
      <w:bookmarkStart w:id="151" w:name="_Toc35003493"/>
      <w:bookmarkStart w:id="152" w:name="_Toc34910820"/>
      <w:bookmarkStart w:id="153" w:name="_Toc24636710"/>
      <w:r>
        <w:rPr>
          <w:rFonts w:hint="eastAsia" w:ascii="宋体" w:hAnsi="宋体" w:eastAsia="宋体" w:cs="Times New Roman"/>
          <w:color w:val="auto"/>
          <w:spacing w:val="-8"/>
          <w:sz w:val="24"/>
          <w:szCs w:val="24"/>
        </w:rPr>
        <w:t>③</w:t>
      </w:r>
      <w:bookmarkEnd w:id="150"/>
      <w:bookmarkEnd w:id="151"/>
      <w:bookmarkEnd w:id="152"/>
      <w:bookmarkEnd w:id="153"/>
      <w:r>
        <w:rPr>
          <w:rFonts w:hint="eastAsia" w:ascii="宋体" w:hAnsi="宋体" w:eastAsia="宋体" w:cs="Times New Roman"/>
          <w:color w:val="auto"/>
          <w:spacing w:val="-8"/>
          <w:sz w:val="24"/>
          <w:szCs w:val="24"/>
        </w:rPr>
        <w:t>运输车辆的车厢应当确保牢固、严密、设置篷布，严禁在装运过程中沿途抛、洒、滴漏，建设单位应监督运输车辆文明运输。</w:t>
      </w:r>
    </w:p>
    <w:p w14:paraId="0B651F6F">
      <w:pPr>
        <w:pStyle w:val="10"/>
        <w:spacing w:line="360" w:lineRule="auto"/>
        <w:ind w:firstLine="482"/>
        <w:rPr>
          <w:rFonts w:hint="eastAsia" w:ascii="宋体" w:hAnsi="宋体" w:eastAsia="宋体" w:cs="Times New Roman"/>
          <w:color w:val="auto"/>
          <w:spacing w:val="-8"/>
          <w:sz w:val="24"/>
          <w:szCs w:val="24"/>
        </w:rPr>
      </w:pPr>
      <w:bookmarkStart w:id="154" w:name="_Toc24637208"/>
      <w:bookmarkStart w:id="155" w:name="_Toc35003495"/>
      <w:bookmarkStart w:id="156" w:name="_Toc34910822"/>
      <w:bookmarkStart w:id="157" w:name="_Toc24636712"/>
      <w:r>
        <w:rPr>
          <w:rFonts w:hint="eastAsia" w:ascii="宋体" w:hAnsi="宋体" w:eastAsia="宋体" w:cs="Times New Roman"/>
          <w:color w:val="auto"/>
          <w:spacing w:val="-8"/>
          <w:sz w:val="24"/>
          <w:szCs w:val="24"/>
        </w:rPr>
        <w:t>本项目距离环境保护目标较远，</w:t>
      </w:r>
      <w:r>
        <w:rPr>
          <w:rFonts w:hint="eastAsia"/>
          <w:color w:val="auto"/>
          <w:spacing w:val="-8"/>
          <w:sz w:val="24"/>
          <w:szCs w:val="24"/>
        </w:rPr>
        <w:t>门卫、箱检平台</w:t>
      </w:r>
      <w:r>
        <w:rPr>
          <w:color w:val="auto"/>
          <w:spacing w:val="-8"/>
          <w:sz w:val="24"/>
          <w:szCs w:val="24"/>
        </w:rPr>
        <w:t>、</w:t>
      </w:r>
      <w:r>
        <w:rPr>
          <w:rFonts w:hint="eastAsia"/>
          <w:color w:val="auto"/>
          <w:spacing w:val="-8"/>
          <w:sz w:val="24"/>
          <w:szCs w:val="24"/>
        </w:rPr>
        <w:t>危废暂存间</w:t>
      </w:r>
      <w:r>
        <w:rPr>
          <w:rFonts w:hint="eastAsia" w:ascii="宋体" w:hAnsi="宋体" w:eastAsia="宋体" w:cs="Times New Roman"/>
          <w:color w:val="auto"/>
          <w:spacing w:val="-8"/>
          <w:sz w:val="24"/>
          <w:szCs w:val="24"/>
        </w:rPr>
        <w:t>施工期间产生的扬尘不可避免的将对周围环境造成不利影响，但是，项目施工工程量较小，施工期间产生的扬尘通过采取以上的环境保护措施和污染防治措施后，可以减小对周围环境的不利影响，做到环境影响可接受，施工扬尘对环境的不利影响也将随着施工期的结束而消失。</w:t>
      </w:r>
      <w:bookmarkEnd w:id="154"/>
      <w:bookmarkEnd w:id="155"/>
      <w:bookmarkEnd w:id="156"/>
      <w:bookmarkEnd w:id="157"/>
    </w:p>
    <w:p w14:paraId="7277E0A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2、</w:t>
      </w:r>
      <w:r>
        <w:rPr>
          <w:b/>
          <w:bCs/>
          <w:color w:val="auto"/>
          <w:spacing w:val="-2"/>
          <w:sz w:val="24"/>
          <w:szCs w:val="24"/>
        </w:rPr>
        <w:t>施工机械和运输车辆燃油尾气影响分析</w:t>
      </w:r>
    </w:p>
    <w:p w14:paraId="4C7996C3">
      <w:pPr>
        <w:pStyle w:val="10"/>
        <w:spacing w:line="360" w:lineRule="auto"/>
        <w:ind w:firstLine="482"/>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门卫、箱检平台、危废暂存间施工期间，机械设备和施工材料，均使用汽车运送进场，运输车辆使用油类燃料（柴油和汽油），排放燃油废气。</w:t>
      </w:r>
    </w:p>
    <w:p w14:paraId="5B81F117">
      <w:pPr>
        <w:pStyle w:val="10"/>
        <w:spacing w:line="360" w:lineRule="auto"/>
        <w:ind w:firstLine="482"/>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燃油废气中主要为CO、NOx和总碳氢化合物（THC），CO是燃油产物，THC是油类燃料不完全燃烧的产物，NOx是油类爆裂时进入空气中氮与氧化而成的产物。</w:t>
      </w:r>
    </w:p>
    <w:p w14:paraId="3E31F555">
      <w:pPr>
        <w:pStyle w:val="10"/>
        <w:spacing w:line="360" w:lineRule="auto"/>
        <w:ind w:firstLine="482"/>
        <w:rPr>
          <w:rFonts w:hint="default" w:ascii="Times New Roman" w:hAnsi="Times New Roman" w:cs="Times New Roman"/>
          <w:color w:val="auto"/>
          <w:spacing w:val="-8"/>
          <w:sz w:val="24"/>
          <w:szCs w:val="24"/>
        </w:rPr>
      </w:pPr>
      <w:r>
        <w:rPr>
          <w:rFonts w:hint="default" w:ascii="Times New Roman" w:hAnsi="Times New Roman" w:eastAsia="宋体" w:cs="Times New Roman"/>
          <w:color w:val="auto"/>
          <w:spacing w:val="-8"/>
          <w:sz w:val="24"/>
          <w:szCs w:val="24"/>
        </w:rPr>
        <w:t>项目施工工程量较小，燃油废气产生量小但难于定量，施工场地周围空旷，有利于废气扩散，污染物在空气中经自然扩散和稀释后，对区域环境空气质量影响小。</w:t>
      </w:r>
    </w:p>
    <w:p w14:paraId="2DA8853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outlineLvl w:val="3"/>
        <w:rPr>
          <w:color w:val="auto"/>
          <w:sz w:val="24"/>
          <w:szCs w:val="24"/>
        </w:rPr>
      </w:pPr>
      <w:r>
        <w:rPr>
          <w:rFonts w:ascii="Times New Roman" w:hAnsi="Times New Roman" w:eastAsia="Times New Roman" w:cs="Times New Roman"/>
          <w:b/>
          <w:bCs/>
          <w:color w:val="auto"/>
          <w:spacing w:val="-2"/>
          <w:sz w:val="24"/>
          <w:szCs w:val="24"/>
        </w:rPr>
        <w:t>4.1.</w:t>
      </w:r>
      <w:r>
        <w:rPr>
          <w:rFonts w:hint="eastAsia" w:ascii="Times New Roman" w:hAnsi="Times New Roman" w:eastAsia="宋体" w:cs="Times New Roman"/>
          <w:b/>
          <w:bCs/>
          <w:color w:val="auto"/>
          <w:spacing w:val="-2"/>
          <w:sz w:val="24"/>
          <w:szCs w:val="24"/>
          <w:lang w:val="en-US" w:eastAsia="zh-CN"/>
        </w:rPr>
        <w:t>2.</w:t>
      </w:r>
      <w:r>
        <w:rPr>
          <w:rFonts w:ascii="Times New Roman" w:hAnsi="Times New Roman" w:eastAsia="Times New Roman" w:cs="Times New Roman"/>
          <w:b/>
          <w:bCs/>
          <w:color w:val="auto"/>
          <w:spacing w:val="-2"/>
          <w:sz w:val="24"/>
          <w:szCs w:val="24"/>
        </w:rPr>
        <w:t xml:space="preserve">3 </w:t>
      </w:r>
      <w:r>
        <w:rPr>
          <w:b/>
          <w:bCs/>
          <w:color w:val="auto"/>
          <w:spacing w:val="-2"/>
          <w:sz w:val="24"/>
          <w:szCs w:val="24"/>
        </w:rPr>
        <w:t>地表水环境影响分析</w:t>
      </w:r>
    </w:p>
    <w:p w14:paraId="03EB730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color w:val="auto"/>
          <w:spacing w:val="-3"/>
          <w:sz w:val="24"/>
          <w:szCs w:val="24"/>
        </w:rPr>
      </w:pPr>
      <w:r>
        <w:rPr>
          <w:color w:val="auto"/>
          <w:spacing w:val="-3"/>
          <w:sz w:val="24"/>
          <w:szCs w:val="24"/>
        </w:rPr>
        <w:t>项目施工人员均为周边的居民，不在项目区食宿。施工期产生的主要水污染物为建筑施工废水和施工人员生活污水。</w:t>
      </w:r>
    </w:p>
    <w:p w14:paraId="2EAA2FA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1、</w:t>
      </w:r>
      <w:r>
        <w:rPr>
          <w:b/>
          <w:bCs/>
          <w:color w:val="auto"/>
          <w:spacing w:val="-2"/>
          <w:sz w:val="24"/>
          <w:szCs w:val="24"/>
        </w:rPr>
        <w:t>建筑施工废水影响分析</w:t>
      </w:r>
    </w:p>
    <w:p w14:paraId="722A264B">
      <w:pPr>
        <w:pStyle w:val="10"/>
        <w:spacing w:line="360" w:lineRule="auto"/>
        <w:ind w:firstLine="482"/>
        <w:rPr>
          <w:rFonts w:hint="default" w:ascii="Times New Roman" w:hAnsi="Times New Roman" w:eastAsia="宋体" w:cs="Times New Roman"/>
          <w:color w:val="auto"/>
          <w:spacing w:val="-8"/>
          <w:sz w:val="24"/>
          <w:szCs w:val="24"/>
        </w:rPr>
      </w:pPr>
      <w:r>
        <w:rPr>
          <w:rFonts w:hint="eastAsia" w:ascii="Times New Roman" w:hAnsi="Times New Roman" w:eastAsia="宋体" w:cs="Times New Roman"/>
          <w:color w:val="auto"/>
          <w:spacing w:val="-8"/>
          <w:sz w:val="24"/>
          <w:szCs w:val="24"/>
        </w:rPr>
        <w:t>建设门卫、箱检平台</w:t>
      </w:r>
      <w:r>
        <w:rPr>
          <w:rFonts w:hint="default" w:ascii="Times New Roman" w:hAnsi="Times New Roman" w:eastAsia="宋体" w:cs="Times New Roman"/>
          <w:color w:val="auto"/>
          <w:spacing w:val="-8"/>
          <w:sz w:val="24"/>
          <w:szCs w:val="24"/>
        </w:rPr>
        <w:t>、</w:t>
      </w:r>
      <w:r>
        <w:rPr>
          <w:rFonts w:hint="eastAsia" w:ascii="Times New Roman" w:hAnsi="Times New Roman" w:eastAsia="宋体" w:cs="Times New Roman"/>
          <w:color w:val="auto"/>
          <w:spacing w:val="-8"/>
          <w:sz w:val="24"/>
          <w:szCs w:val="24"/>
        </w:rPr>
        <w:t>危废暂存间</w:t>
      </w:r>
      <w:r>
        <w:rPr>
          <w:rFonts w:hint="default" w:ascii="Times New Roman" w:hAnsi="Times New Roman" w:eastAsia="宋体" w:cs="Times New Roman"/>
          <w:color w:val="auto"/>
          <w:spacing w:val="-8"/>
          <w:sz w:val="24"/>
          <w:szCs w:val="24"/>
        </w:rPr>
        <w:t>期间，施工废水主要为少量的工具清洗废水，废水中不含有毒物质，主要为泥沙悬浮物含量较大，经</w:t>
      </w:r>
      <w:r>
        <w:rPr>
          <w:rFonts w:hint="eastAsia" w:ascii="Times New Roman" w:hAnsi="Times New Roman" w:cs="Times New Roman"/>
          <w:color w:val="auto"/>
          <w:spacing w:val="-8"/>
          <w:sz w:val="24"/>
          <w:szCs w:val="24"/>
          <w:lang w:val="en-US" w:eastAsia="zh-CN"/>
        </w:rPr>
        <w:t>2m</w:t>
      </w:r>
      <w:r>
        <w:rPr>
          <w:rFonts w:hint="eastAsia" w:ascii="Times New Roman" w:hAnsi="Times New Roman" w:cs="Times New Roman"/>
          <w:color w:val="auto"/>
          <w:spacing w:val="-8"/>
          <w:sz w:val="24"/>
          <w:szCs w:val="24"/>
          <w:vertAlign w:val="superscript"/>
          <w:lang w:val="en-US" w:eastAsia="zh-CN"/>
        </w:rPr>
        <w:t>3</w:t>
      </w:r>
      <w:r>
        <w:rPr>
          <w:rFonts w:hint="eastAsia" w:ascii="Times New Roman" w:hAnsi="Times New Roman" w:cs="Times New Roman"/>
          <w:color w:val="auto"/>
          <w:spacing w:val="-8"/>
          <w:sz w:val="24"/>
          <w:szCs w:val="24"/>
          <w:vertAlign w:val="baseline"/>
          <w:lang w:val="en-US" w:eastAsia="zh-CN"/>
        </w:rPr>
        <w:t>临时</w:t>
      </w:r>
      <w:r>
        <w:rPr>
          <w:rFonts w:hint="eastAsia" w:ascii="Times New Roman" w:hAnsi="Times New Roman" w:cs="Times New Roman"/>
          <w:color w:val="auto"/>
          <w:spacing w:val="-8"/>
          <w:sz w:val="24"/>
          <w:szCs w:val="24"/>
          <w:lang w:val="en-US" w:eastAsia="zh-CN"/>
        </w:rPr>
        <w:t>沉淀池</w:t>
      </w:r>
      <w:r>
        <w:rPr>
          <w:rFonts w:hint="default" w:ascii="Times New Roman" w:hAnsi="Times New Roman" w:eastAsia="宋体" w:cs="Times New Roman"/>
          <w:color w:val="auto"/>
          <w:spacing w:val="-8"/>
          <w:sz w:val="24"/>
          <w:szCs w:val="24"/>
        </w:rPr>
        <w:t>沉淀后，回用于场内洒水抑尘，不外排，对环境影响小。</w:t>
      </w:r>
    </w:p>
    <w:p w14:paraId="7AAB0C5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2、</w:t>
      </w:r>
      <w:r>
        <w:rPr>
          <w:b/>
          <w:bCs/>
          <w:color w:val="auto"/>
          <w:spacing w:val="-2"/>
          <w:sz w:val="24"/>
          <w:szCs w:val="24"/>
        </w:rPr>
        <w:t>施工人员生活污水影响分析</w:t>
      </w:r>
    </w:p>
    <w:p w14:paraId="7AAFE2F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jc w:val="both"/>
        <w:textAlignment w:val="baseline"/>
        <w:rPr>
          <w:color w:val="auto"/>
          <w:sz w:val="24"/>
          <w:szCs w:val="24"/>
        </w:rPr>
      </w:pPr>
      <w:r>
        <w:rPr>
          <w:b w:val="0"/>
          <w:bCs w:val="0"/>
          <w:color w:val="auto"/>
          <w:spacing w:val="-2"/>
          <w:sz w:val="24"/>
          <w:szCs w:val="24"/>
        </w:rPr>
        <w:t>施工人员</w:t>
      </w:r>
      <w:r>
        <w:rPr>
          <w:rFonts w:hint="eastAsia" w:eastAsia="宋体"/>
          <w:b w:val="0"/>
          <w:bCs w:val="0"/>
          <w:color w:val="auto"/>
          <w:spacing w:val="-2"/>
          <w:sz w:val="24"/>
          <w:szCs w:val="24"/>
          <w:lang w:val="en-US" w:eastAsia="zh-CN"/>
        </w:rPr>
        <w:t>如厕等到曲煤焦化已有公共卫生间，本项目</w:t>
      </w:r>
      <w:r>
        <w:rPr>
          <w:rFonts w:hint="default" w:ascii="Times New Roman" w:hAnsi="Times New Roman" w:cs="Times New Roman"/>
          <w:color w:val="auto"/>
          <w:spacing w:val="0"/>
          <w:sz w:val="24"/>
          <w:szCs w:val="24"/>
        </w:rPr>
        <w:t>生活污水</w:t>
      </w:r>
      <w:r>
        <w:rPr>
          <w:rFonts w:hint="eastAsia" w:ascii="Times New Roman" w:hAnsi="Times New Roman" w:eastAsia="宋体" w:cs="Times New Roman"/>
          <w:color w:val="auto"/>
          <w:spacing w:val="0"/>
          <w:sz w:val="24"/>
          <w:szCs w:val="24"/>
          <w:lang w:val="en-US" w:eastAsia="zh-CN"/>
        </w:rPr>
        <w:t>主要是</w:t>
      </w:r>
      <w:r>
        <w:rPr>
          <w:rFonts w:hint="default" w:ascii="Times New Roman" w:hAnsi="Times New Roman" w:cs="Times New Roman"/>
          <w:color w:val="auto"/>
          <w:spacing w:val="0"/>
          <w:sz w:val="24"/>
          <w:szCs w:val="24"/>
        </w:rPr>
        <w:t>施工人员</w:t>
      </w:r>
      <w:r>
        <w:rPr>
          <w:rFonts w:hint="eastAsia" w:ascii="Times New Roman" w:hAnsi="Times New Roman" w:eastAsia="宋体" w:cs="Times New Roman"/>
          <w:color w:val="auto"/>
          <w:spacing w:val="0"/>
          <w:sz w:val="24"/>
          <w:szCs w:val="24"/>
          <w:lang w:val="en-US" w:eastAsia="zh-CN"/>
        </w:rPr>
        <w:t>清洗</w:t>
      </w:r>
      <w:r>
        <w:rPr>
          <w:rFonts w:hint="default" w:ascii="Times New Roman" w:hAnsi="Times New Roman" w:cs="Times New Roman"/>
          <w:color w:val="auto"/>
          <w:spacing w:val="0"/>
          <w:sz w:val="24"/>
          <w:szCs w:val="24"/>
        </w:rPr>
        <w:t>废水等。</w:t>
      </w:r>
      <w:r>
        <w:rPr>
          <w:rFonts w:ascii="Times New Roman" w:hAnsi="Times New Roman"/>
          <w:color w:val="auto"/>
          <w:kern w:val="0"/>
          <w:sz w:val="24"/>
          <w:szCs w:val="24"/>
          <w:shd w:val="clear" w:color="auto" w:fill="FFFFFF"/>
        </w:rPr>
        <w:t>产生的</w:t>
      </w:r>
      <w:r>
        <w:rPr>
          <w:rFonts w:hint="eastAsia" w:ascii="Times New Roman" w:hAnsi="Times New Roman" w:eastAsia="宋体"/>
          <w:color w:val="auto"/>
          <w:kern w:val="0"/>
          <w:sz w:val="24"/>
          <w:szCs w:val="24"/>
          <w:shd w:val="clear" w:color="auto" w:fill="FFFFFF"/>
          <w:lang w:val="en-US" w:eastAsia="zh-CN"/>
        </w:rPr>
        <w:t>清洗</w:t>
      </w:r>
      <w:r>
        <w:rPr>
          <w:rFonts w:ascii="Times New Roman" w:hAnsi="Times New Roman"/>
          <w:color w:val="auto"/>
          <w:kern w:val="0"/>
          <w:sz w:val="24"/>
          <w:szCs w:val="24"/>
          <w:shd w:val="clear" w:color="auto" w:fill="FFFFFF"/>
        </w:rPr>
        <w:t>污水全部引至临时沉淀池内处理后可回用于道路、场地洒水抑尘，不外排。</w:t>
      </w:r>
    </w:p>
    <w:p w14:paraId="72FA48D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项目施工期施工人员生活污水对地表水体影响较小。</w:t>
      </w:r>
    </w:p>
    <w:p w14:paraId="12711D5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552" w:firstLineChars="200"/>
        <w:textAlignment w:val="baseline"/>
        <w:outlineLvl w:val="3"/>
        <w:rPr>
          <w:color w:val="auto"/>
          <w:sz w:val="28"/>
          <w:szCs w:val="28"/>
        </w:rPr>
      </w:pPr>
      <w:r>
        <w:rPr>
          <w:rFonts w:ascii="Times New Roman" w:hAnsi="Times New Roman" w:eastAsia="Times New Roman" w:cs="Times New Roman"/>
          <w:b/>
          <w:bCs/>
          <w:color w:val="auto"/>
          <w:spacing w:val="-2"/>
          <w:sz w:val="28"/>
          <w:szCs w:val="28"/>
        </w:rPr>
        <w:t>4.1.</w:t>
      </w:r>
      <w:r>
        <w:rPr>
          <w:rFonts w:hint="eastAsia" w:ascii="Times New Roman" w:hAnsi="Times New Roman" w:eastAsia="宋体" w:cs="Times New Roman"/>
          <w:b/>
          <w:bCs/>
          <w:color w:val="auto"/>
          <w:spacing w:val="-2"/>
          <w:sz w:val="28"/>
          <w:szCs w:val="28"/>
          <w:lang w:val="en-US" w:eastAsia="zh-CN"/>
        </w:rPr>
        <w:t>2.</w:t>
      </w:r>
      <w:r>
        <w:rPr>
          <w:rFonts w:ascii="Times New Roman" w:hAnsi="Times New Roman" w:eastAsia="Times New Roman" w:cs="Times New Roman"/>
          <w:b/>
          <w:bCs/>
          <w:color w:val="auto"/>
          <w:spacing w:val="-2"/>
          <w:sz w:val="28"/>
          <w:szCs w:val="28"/>
        </w:rPr>
        <w:t xml:space="preserve">4 </w:t>
      </w:r>
      <w:r>
        <w:rPr>
          <w:b/>
          <w:bCs/>
          <w:color w:val="auto"/>
          <w:spacing w:val="-2"/>
          <w:sz w:val="28"/>
          <w:szCs w:val="28"/>
        </w:rPr>
        <w:t>声环境影响分析</w:t>
      </w:r>
    </w:p>
    <w:p w14:paraId="403CFD4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1、</w:t>
      </w:r>
      <w:r>
        <w:rPr>
          <w:b/>
          <w:bCs/>
          <w:color w:val="auto"/>
          <w:spacing w:val="-2"/>
          <w:sz w:val="24"/>
          <w:szCs w:val="24"/>
        </w:rPr>
        <w:t>施工期噪声源分析</w:t>
      </w:r>
    </w:p>
    <w:p w14:paraId="6FE6920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剩余</w:t>
      </w:r>
      <w:r>
        <w:rPr>
          <w:rFonts w:hint="default" w:ascii="Times New Roman" w:hAnsi="Times New Roman" w:eastAsia="宋体" w:cs="Times New Roman"/>
          <w:color w:val="auto"/>
          <w:sz w:val="24"/>
          <w:szCs w:val="24"/>
          <w:lang w:val="en-US" w:eastAsia="zh-CN"/>
        </w:rPr>
        <w:t>施工噪声主要来自</w:t>
      </w:r>
      <w:r>
        <w:rPr>
          <w:rFonts w:hint="eastAsia" w:ascii="Times New Roman" w:hAnsi="Times New Roman" w:eastAsia="宋体" w:cs="Times New Roman"/>
          <w:color w:val="auto"/>
          <w:sz w:val="24"/>
          <w:szCs w:val="24"/>
          <w:lang w:val="en-US" w:eastAsia="zh-CN"/>
        </w:rPr>
        <w:t>构建筑施工、</w:t>
      </w:r>
      <w:r>
        <w:rPr>
          <w:rFonts w:hint="default" w:ascii="Times New Roman" w:hAnsi="Times New Roman" w:eastAsia="宋体" w:cs="Times New Roman"/>
          <w:color w:val="auto"/>
          <w:sz w:val="24"/>
          <w:szCs w:val="24"/>
          <w:lang w:val="en-US" w:eastAsia="zh-CN"/>
        </w:rPr>
        <w:t>施工车辆运输、装修等施工过程。施工期间使用的主要施工机械有振捣机、</w:t>
      </w:r>
      <w:r>
        <w:rPr>
          <w:rFonts w:hint="default" w:ascii="Times New Roman" w:hAnsi="Times New Roman" w:eastAsia="宋体" w:cs="Times New Roman"/>
          <w:color w:val="auto"/>
          <w:sz w:val="24"/>
          <w:szCs w:val="24"/>
          <w:lang w:val="zh-CN" w:eastAsia="zh-CN"/>
        </w:rPr>
        <w:t>电焊机、自卸汽车</w:t>
      </w:r>
      <w:r>
        <w:rPr>
          <w:rFonts w:hint="default" w:ascii="Times New Roman" w:hAnsi="Times New Roman" w:eastAsia="宋体" w:cs="Times New Roman"/>
          <w:color w:val="auto"/>
          <w:sz w:val="24"/>
          <w:szCs w:val="24"/>
          <w:lang w:val="en-US" w:eastAsia="zh-CN"/>
        </w:rPr>
        <w:t>等。</w:t>
      </w:r>
      <w:r>
        <w:rPr>
          <w:rFonts w:hint="default" w:ascii="Times New Roman" w:hAnsi="Times New Roman" w:cs="Times New Roman"/>
          <w:color w:val="auto"/>
          <w:spacing w:val="-3"/>
          <w:sz w:val="24"/>
          <w:szCs w:val="24"/>
        </w:rPr>
        <w:t>根据《环境噪声与振动控制工程技术导则》（HJ2034-2013），常见施工设备噪声源强见表</w:t>
      </w:r>
      <w:r>
        <w:rPr>
          <w:rFonts w:hint="eastAsia" w:ascii="Times New Roman" w:hAnsi="Times New Roman" w:eastAsia="宋体" w:cs="Times New Roman"/>
          <w:color w:val="auto"/>
          <w:spacing w:val="-3"/>
          <w:sz w:val="24"/>
          <w:szCs w:val="24"/>
          <w:lang w:val="en-US" w:eastAsia="zh-CN"/>
        </w:rPr>
        <w:t>4.1</w:t>
      </w:r>
      <w:r>
        <w:rPr>
          <w:rFonts w:hint="default" w:ascii="Times New Roman" w:hAnsi="Times New Roman" w:cs="Times New Roman"/>
          <w:color w:val="auto"/>
          <w:spacing w:val="-3"/>
          <w:sz w:val="24"/>
          <w:szCs w:val="24"/>
        </w:rPr>
        <w:t>-1。</w:t>
      </w:r>
    </w:p>
    <w:p w14:paraId="2B5F2517">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1"/>
          <w:szCs w:val="21"/>
          <w:lang w:val="en-US" w:eastAsia="zh-CN"/>
        </w:rPr>
        <w:t>表 4.1-1  常用施工设备噪声源强表    单位：dB（A）。</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0"/>
        <w:gridCol w:w="1748"/>
        <w:gridCol w:w="1692"/>
        <w:gridCol w:w="1859"/>
        <w:gridCol w:w="1859"/>
      </w:tblGrid>
      <w:tr w14:paraId="3DE6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tcBorders>
              <w:tl2br w:val="nil"/>
              <w:tr2bl w:val="nil"/>
            </w:tcBorders>
            <w:vAlign w:val="center"/>
          </w:tcPr>
          <w:p w14:paraId="30FD39FE">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b/>
                <w:color w:val="auto"/>
                <w:kern w:val="2"/>
                <w:sz w:val="21"/>
                <w:szCs w:val="21"/>
                <w:highlight w:val="none"/>
                <w:lang w:val="en-US" w:eastAsia="zh-CN" w:bidi="ar-SA"/>
              </w:rPr>
            </w:pPr>
            <w:r>
              <w:rPr>
                <w:rFonts w:hint="default" w:ascii="Times New Roman" w:hAnsi="Times New Roman" w:cs="Times New Roman" w:eastAsiaTheme="minorEastAsia"/>
                <w:b/>
                <w:color w:val="auto"/>
                <w:kern w:val="2"/>
                <w:sz w:val="21"/>
                <w:szCs w:val="21"/>
                <w:highlight w:val="none"/>
                <w:lang w:val="en-US" w:eastAsia="zh-CN" w:bidi="ar-SA"/>
              </w:rPr>
              <w:t>施工工段</w:t>
            </w:r>
          </w:p>
        </w:tc>
        <w:tc>
          <w:tcPr>
            <w:tcW w:w="1000" w:type="pct"/>
            <w:tcBorders>
              <w:tl2br w:val="nil"/>
              <w:tr2bl w:val="nil"/>
            </w:tcBorders>
            <w:vAlign w:val="center"/>
          </w:tcPr>
          <w:p w14:paraId="0312DC61">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b/>
                <w:color w:val="auto"/>
                <w:kern w:val="2"/>
                <w:sz w:val="21"/>
                <w:szCs w:val="21"/>
                <w:highlight w:val="none"/>
                <w:lang w:val="en-US" w:eastAsia="zh-CN" w:bidi="ar-SA"/>
              </w:rPr>
            </w:pPr>
            <w:r>
              <w:rPr>
                <w:rFonts w:hint="default" w:ascii="Times New Roman" w:hAnsi="Times New Roman" w:cs="Times New Roman" w:eastAsiaTheme="minorEastAsia"/>
                <w:b/>
                <w:color w:val="auto"/>
                <w:kern w:val="2"/>
                <w:sz w:val="21"/>
                <w:szCs w:val="21"/>
                <w:highlight w:val="none"/>
                <w:lang w:val="en-US" w:eastAsia="zh-CN" w:bidi="ar-SA"/>
              </w:rPr>
              <w:t>机械分类及名称</w:t>
            </w:r>
          </w:p>
        </w:tc>
        <w:tc>
          <w:tcPr>
            <w:tcW w:w="968" w:type="pct"/>
            <w:tcBorders>
              <w:tl2br w:val="nil"/>
              <w:tr2bl w:val="nil"/>
            </w:tcBorders>
            <w:vAlign w:val="center"/>
          </w:tcPr>
          <w:p w14:paraId="57D3565D">
            <w:pPr>
              <w:pStyle w:val="27"/>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cs="Times New Roman" w:eastAsiaTheme="minorEastAsia"/>
                <w:b/>
                <w:color w:val="auto"/>
                <w:kern w:val="2"/>
                <w:sz w:val="21"/>
                <w:szCs w:val="21"/>
                <w:highlight w:val="none"/>
                <w:lang w:val="en-US" w:eastAsia="zh-CN" w:bidi="ar-SA"/>
              </w:rPr>
            </w:pPr>
            <w:r>
              <w:rPr>
                <w:b/>
                <w:bCs/>
                <w:color w:val="auto"/>
                <w:spacing w:val="4"/>
                <w:sz w:val="21"/>
                <w:szCs w:val="21"/>
              </w:rPr>
              <w:t>距声源</w:t>
            </w:r>
            <w:r>
              <w:rPr>
                <w:rFonts w:ascii="Times New Roman" w:hAnsi="Times New Roman" w:eastAsia="Times New Roman" w:cs="Times New Roman"/>
                <w:b/>
                <w:bCs/>
                <w:color w:val="auto"/>
                <w:spacing w:val="4"/>
                <w:sz w:val="21"/>
                <w:szCs w:val="21"/>
              </w:rPr>
              <w:t>5m</w:t>
            </w:r>
          </w:p>
        </w:tc>
        <w:tc>
          <w:tcPr>
            <w:tcW w:w="1063" w:type="pct"/>
            <w:tcBorders>
              <w:tl2br w:val="nil"/>
              <w:tr2bl w:val="nil"/>
            </w:tcBorders>
            <w:vAlign w:val="center"/>
          </w:tcPr>
          <w:p w14:paraId="2D74F5BF">
            <w:pPr>
              <w:pStyle w:val="27"/>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cs="Times New Roman" w:eastAsiaTheme="minorEastAsia"/>
                <w:b/>
                <w:color w:val="auto"/>
                <w:kern w:val="2"/>
                <w:sz w:val="21"/>
                <w:szCs w:val="21"/>
                <w:highlight w:val="none"/>
                <w:lang w:val="en-US" w:eastAsia="zh-CN" w:bidi="ar-SA"/>
              </w:rPr>
            </w:pPr>
            <w:r>
              <w:rPr>
                <w:b/>
                <w:bCs/>
                <w:color w:val="auto"/>
                <w:spacing w:val="3"/>
                <w:sz w:val="21"/>
                <w:szCs w:val="21"/>
              </w:rPr>
              <w:t>距声源</w:t>
            </w:r>
            <w:r>
              <w:rPr>
                <w:color w:val="auto"/>
                <w:spacing w:val="-30"/>
                <w:sz w:val="21"/>
                <w:szCs w:val="21"/>
              </w:rPr>
              <w:t xml:space="preserve"> </w:t>
            </w:r>
            <w:r>
              <w:rPr>
                <w:rFonts w:ascii="Times New Roman" w:hAnsi="Times New Roman" w:eastAsia="Times New Roman" w:cs="Times New Roman"/>
                <w:b/>
                <w:bCs/>
                <w:color w:val="auto"/>
                <w:spacing w:val="3"/>
                <w:sz w:val="21"/>
                <w:szCs w:val="21"/>
              </w:rPr>
              <w:t>10m</w:t>
            </w:r>
          </w:p>
        </w:tc>
        <w:tc>
          <w:tcPr>
            <w:tcW w:w="1063" w:type="pct"/>
            <w:tcBorders>
              <w:tl2br w:val="nil"/>
              <w:tr2bl w:val="nil"/>
            </w:tcBorders>
            <w:shd w:val="clear" w:color="auto" w:fill="auto"/>
            <w:vAlign w:val="center"/>
          </w:tcPr>
          <w:p w14:paraId="0DBEC441">
            <w:pPr>
              <w:pStyle w:val="27"/>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宋体" w:hAnsi="宋体" w:eastAsia="宋体" w:cs="宋体"/>
                <w:snapToGrid w:val="0"/>
                <w:color w:val="auto"/>
                <w:kern w:val="0"/>
                <w:sz w:val="21"/>
                <w:szCs w:val="21"/>
                <w:lang w:val="en-US" w:eastAsia="zh-CN" w:bidi="ar-SA"/>
              </w:rPr>
            </w:pPr>
            <w:r>
              <w:rPr>
                <w:b/>
                <w:bCs/>
                <w:color w:val="auto"/>
                <w:spacing w:val="2"/>
                <w:sz w:val="21"/>
                <w:szCs w:val="21"/>
              </w:rPr>
              <w:t>备注</w:t>
            </w:r>
          </w:p>
        </w:tc>
      </w:tr>
      <w:tr w14:paraId="589F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04" w:type="pct"/>
            <w:vMerge w:val="restart"/>
            <w:tcBorders>
              <w:tl2br w:val="nil"/>
              <w:tr2bl w:val="nil"/>
            </w:tcBorders>
            <w:vAlign w:val="center"/>
          </w:tcPr>
          <w:p w14:paraId="79E6673F">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结构阶段</w:t>
            </w:r>
          </w:p>
        </w:tc>
        <w:tc>
          <w:tcPr>
            <w:tcW w:w="1000" w:type="pct"/>
            <w:tcBorders>
              <w:tl2br w:val="nil"/>
              <w:tr2bl w:val="nil"/>
            </w:tcBorders>
            <w:vAlign w:val="center"/>
          </w:tcPr>
          <w:p w14:paraId="126CAF65">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混凝土输送泵</w:t>
            </w:r>
          </w:p>
        </w:tc>
        <w:tc>
          <w:tcPr>
            <w:tcW w:w="968" w:type="pct"/>
            <w:tcBorders>
              <w:tl2br w:val="nil"/>
              <w:tr2bl w:val="nil"/>
            </w:tcBorders>
            <w:shd w:val="clear" w:color="auto" w:fill="auto"/>
            <w:vAlign w:val="center"/>
          </w:tcPr>
          <w:p w14:paraId="0AB72137">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88~95</w:t>
            </w:r>
          </w:p>
        </w:tc>
        <w:tc>
          <w:tcPr>
            <w:tcW w:w="1063" w:type="pct"/>
            <w:tcBorders>
              <w:tl2br w:val="nil"/>
              <w:tr2bl w:val="nil"/>
            </w:tcBorders>
            <w:shd w:val="clear" w:color="auto" w:fill="auto"/>
            <w:vAlign w:val="center"/>
          </w:tcPr>
          <w:p w14:paraId="1B755394">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84~90</w:t>
            </w:r>
          </w:p>
        </w:tc>
        <w:tc>
          <w:tcPr>
            <w:tcW w:w="1063" w:type="pct"/>
            <w:tcBorders>
              <w:tl2br w:val="nil"/>
              <w:tr2bl w:val="nil"/>
            </w:tcBorders>
            <w:shd w:val="clear" w:color="auto" w:fill="auto"/>
            <w:vAlign w:val="center"/>
          </w:tcPr>
          <w:p w14:paraId="7BAC4F3D">
            <w:pPr>
              <w:pStyle w:val="27"/>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宋体" w:hAnsi="宋体" w:eastAsia="宋体" w:cs="宋体"/>
                <w:snapToGrid w:val="0"/>
                <w:color w:val="auto"/>
                <w:kern w:val="0"/>
                <w:sz w:val="21"/>
                <w:szCs w:val="21"/>
                <w:lang w:val="en-US" w:eastAsia="zh-CN" w:bidi="ar-SA"/>
              </w:rPr>
            </w:pPr>
            <w:r>
              <w:rPr>
                <w:color w:val="auto"/>
                <w:spacing w:val="3"/>
                <w:sz w:val="21"/>
                <w:szCs w:val="21"/>
              </w:rPr>
              <w:t>间歇使用</w:t>
            </w:r>
          </w:p>
        </w:tc>
      </w:tr>
      <w:tr w14:paraId="00ED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0561E94B">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71CF0F4A">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振捣机</w:t>
            </w:r>
          </w:p>
        </w:tc>
        <w:tc>
          <w:tcPr>
            <w:tcW w:w="968" w:type="pct"/>
            <w:tcBorders>
              <w:tl2br w:val="nil"/>
              <w:tr2bl w:val="nil"/>
            </w:tcBorders>
            <w:shd w:val="clear" w:color="auto" w:fill="auto"/>
            <w:vAlign w:val="center"/>
          </w:tcPr>
          <w:p w14:paraId="50EA1736">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80~88</w:t>
            </w:r>
          </w:p>
        </w:tc>
        <w:tc>
          <w:tcPr>
            <w:tcW w:w="1063" w:type="pct"/>
            <w:tcBorders>
              <w:tl2br w:val="nil"/>
              <w:tr2bl w:val="nil"/>
            </w:tcBorders>
            <w:shd w:val="clear" w:color="auto" w:fill="auto"/>
            <w:vAlign w:val="center"/>
          </w:tcPr>
          <w:p w14:paraId="4B4CD760">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3"/>
                <w:sz w:val="21"/>
                <w:szCs w:val="21"/>
              </w:rPr>
              <w:t>75~84</w:t>
            </w:r>
          </w:p>
        </w:tc>
        <w:tc>
          <w:tcPr>
            <w:tcW w:w="1063" w:type="pct"/>
            <w:tcBorders>
              <w:tl2br w:val="nil"/>
              <w:tr2bl w:val="nil"/>
            </w:tcBorders>
            <w:vAlign w:val="center"/>
          </w:tcPr>
          <w:p w14:paraId="5C945267">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26DA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331F2830">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shd w:val="clear" w:color="auto" w:fill="auto"/>
            <w:vAlign w:val="center"/>
          </w:tcPr>
          <w:p w14:paraId="29912E84">
            <w:pPr>
              <w:pStyle w:val="27"/>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宋体" w:hAnsi="宋体" w:eastAsia="宋体" w:cs="宋体"/>
                <w:snapToGrid w:val="0"/>
                <w:color w:val="auto"/>
                <w:kern w:val="0"/>
                <w:sz w:val="21"/>
                <w:szCs w:val="21"/>
                <w:lang w:val="en-US" w:eastAsia="zh-CN" w:bidi="ar-SA"/>
              </w:rPr>
            </w:pPr>
            <w:r>
              <w:rPr>
                <w:color w:val="auto"/>
                <w:spacing w:val="4"/>
                <w:sz w:val="21"/>
                <w:szCs w:val="21"/>
              </w:rPr>
              <w:t>空压机</w:t>
            </w:r>
          </w:p>
        </w:tc>
        <w:tc>
          <w:tcPr>
            <w:tcW w:w="968" w:type="pct"/>
            <w:tcBorders>
              <w:tl2br w:val="nil"/>
              <w:tr2bl w:val="nil"/>
            </w:tcBorders>
            <w:shd w:val="clear" w:color="auto" w:fill="auto"/>
            <w:vAlign w:val="center"/>
          </w:tcPr>
          <w:p w14:paraId="3C2FC0A5">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zh-CN" w:eastAsia="zh-CN" w:bidi="ar-SA"/>
              </w:rPr>
            </w:pPr>
            <w:r>
              <w:rPr>
                <w:rFonts w:ascii="Times New Roman" w:hAnsi="Times New Roman" w:eastAsia="Times New Roman" w:cs="Times New Roman"/>
                <w:color w:val="auto"/>
                <w:spacing w:val="2"/>
                <w:sz w:val="21"/>
                <w:szCs w:val="21"/>
              </w:rPr>
              <w:t>88~92</w:t>
            </w:r>
          </w:p>
        </w:tc>
        <w:tc>
          <w:tcPr>
            <w:tcW w:w="1063" w:type="pct"/>
            <w:tcBorders>
              <w:tl2br w:val="nil"/>
              <w:tr2bl w:val="nil"/>
            </w:tcBorders>
            <w:shd w:val="clear" w:color="auto" w:fill="auto"/>
            <w:vAlign w:val="center"/>
          </w:tcPr>
          <w:p w14:paraId="1F5DCF0C">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zh-CN" w:eastAsia="zh-CN" w:bidi="ar-SA"/>
              </w:rPr>
            </w:pPr>
            <w:r>
              <w:rPr>
                <w:rFonts w:ascii="Times New Roman" w:hAnsi="Times New Roman" w:eastAsia="Times New Roman" w:cs="Times New Roman"/>
                <w:color w:val="auto"/>
                <w:spacing w:val="2"/>
                <w:sz w:val="21"/>
                <w:szCs w:val="21"/>
              </w:rPr>
              <w:t>83~88</w:t>
            </w:r>
          </w:p>
        </w:tc>
        <w:tc>
          <w:tcPr>
            <w:tcW w:w="1063" w:type="pct"/>
            <w:tcBorders>
              <w:tl2br w:val="nil"/>
              <w:tr2bl w:val="nil"/>
            </w:tcBorders>
            <w:vAlign w:val="center"/>
          </w:tcPr>
          <w:p w14:paraId="7D404DDD">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zh-CN" w:eastAsia="zh-CN" w:bidi="ar-SA"/>
              </w:rPr>
            </w:pPr>
            <w:r>
              <w:rPr>
                <w:color w:val="auto"/>
                <w:spacing w:val="3"/>
                <w:sz w:val="21"/>
                <w:szCs w:val="21"/>
              </w:rPr>
              <w:t>间歇使用</w:t>
            </w:r>
          </w:p>
        </w:tc>
      </w:tr>
      <w:tr w14:paraId="2B25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restart"/>
            <w:tcBorders>
              <w:tl2br w:val="nil"/>
              <w:tr2bl w:val="nil"/>
            </w:tcBorders>
            <w:vAlign w:val="center"/>
          </w:tcPr>
          <w:p w14:paraId="093507A2">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装饰、装修阶段</w:t>
            </w:r>
          </w:p>
        </w:tc>
        <w:tc>
          <w:tcPr>
            <w:tcW w:w="1000" w:type="pct"/>
            <w:tcBorders>
              <w:tl2br w:val="nil"/>
              <w:tr2bl w:val="nil"/>
            </w:tcBorders>
            <w:vAlign w:val="center"/>
          </w:tcPr>
          <w:p w14:paraId="0CAE47E4">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电钻</w:t>
            </w:r>
          </w:p>
        </w:tc>
        <w:tc>
          <w:tcPr>
            <w:tcW w:w="968" w:type="pct"/>
            <w:tcBorders>
              <w:tl2br w:val="nil"/>
              <w:tr2bl w:val="nil"/>
            </w:tcBorders>
            <w:vAlign w:val="center"/>
          </w:tcPr>
          <w:p w14:paraId="0C37CD85">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88</w:t>
            </w:r>
            <w:r>
              <w:rPr>
                <w:rFonts w:ascii="Times New Roman" w:hAnsi="Times New Roman" w:eastAsia="Times New Roman" w:cs="Times New Roman"/>
                <w:color w:val="auto"/>
                <w:spacing w:val="2"/>
                <w:sz w:val="21"/>
                <w:szCs w:val="21"/>
              </w:rPr>
              <w:t>~9</w:t>
            </w:r>
            <w:r>
              <w:rPr>
                <w:rFonts w:hint="eastAsia" w:ascii="Times New Roman" w:hAnsi="Times New Roman" w:eastAsia="宋体" w:cs="Times New Roman"/>
                <w:color w:val="auto"/>
                <w:spacing w:val="2"/>
                <w:sz w:val="21"/>
                <w:szCs w:val="21"/>
                <w:lang w:val="en-US" w:eastAsia="zh-CN"/>
              </w:rPr>
              <w:t>2</w:t>
            </w:r>
          </w:p>
        </w:tc>
        <w:tc>
          <w:tcPr>
            <w:tcW w:w="1063" w:type="pct"/>
            <w:tcBorders>
              <w:tl2br w:val="nil"/>
              <w:tr2bl w:val="nil"/>
            </w:tcBorders>
            <w:vAlign w:val="center"/>
          </w:tcPr>
          <w:p w14:paraId="1C77C374">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83</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87</w:t>
            </w:r>
          </w:p>
        </w:tc>
        <w:tc>
          <w:tcPr>
            <w:tcW w:w="1063" w:type="pct"/>
            <w:tcBorders>
              <w:tl2br w:val="nil"/>
              <w:tr2bl w:val="nil"/>
            </w:tcBorders>
            <w:vAlign w:val="center"/>
          </w:tcPr>
          <w:p w14:paraId="1E1FE5C4">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4DB3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295F44C1">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251599B9">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振动夯锤</w:t>
            </w:r>
          </w:p>
        </w:tc>
        <w:tc>
          <w:tcPr>
            <w:tcW w:w="968" w:type="pct"/>
            <w:tcBorders>
              <w:tl2br w:val="nil"/>
              <w:tr2bl w:val="nil"/>
            </w:tcBorders>
            <w:shd w:val="clear" w:color="auto" w:fill="auto"/>
            <w:vAlign w:val="center"/>
          </w:tcPr>
          <w:p w14:paraId="0CD80E7C">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88</w:t>
            </w:r>
            <w:r>
              <w:rPr>
                <w:rFonts w:ascii="Times New Roman" w:hAnsi="Times New Roman" w:eastAsia="Times New Roman" w:cs="Times New Roman"/>
                <w:color w:val="auto"/>
                <w:spacing w:val="2"/>
                <w:sz w:val="21"/>
                <w:szCs w:val="21"/>
              </w:rPr>
              <w:t>~9</w:t>
            </w:r>
            <w:r>
              <w:rPr>
                <w:rFonts w:hint="eastAsia" w:ascii="Times New Roman" w:hAnsi="Times New Roman" w:eastAsia="宋体" w:cs="Times New Roman"/>
                <w:color w:val="auto"/>
                <w:spacing w:val="2"/>
                <w:sz w:val="21"/>
                <w:szCs w:val="21"/>
                <w:lang w:val="en-US" w:eastAsia="zh-CN"/>
              </w:rPr>
              <w:t>2</w:t>
            </w:r>
          </w:p>
        </w:tc>
        <w:tc>
          <w:tcPr>
            <w:tcW w:w="1063" w:type="pct"/>
            <w:tcBorders>
              <w:tl2br w:val="nil"/>
              <w:tr2bl w:val="nil"/>
            </w:tcBorders>
            <w:shd w:val="clear" w:color="auto" w:fill="auto"/>
            <w:vAlign w:val="center"/>
          </w:tcPr>
          <w:p w14:paraId="002E3739">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83</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87</w:t>
            </w:r>
          </w:p>
        </w:tc>
        <w:tc>
          <w:tcPr>
            <w:tcW w:w="1063" w:type="pct"/>
            <w:tcBorders>
              <w:tl2br w:val="nil"/>
              <w:tr2bl w:val="nil"/>
            </w:tcBorders>
            <w:vAlign w:val="center"/>
          </w:tcPr>
          <w:p w14:paraId="638925AF">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0D82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0C748920">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1A2AA7EE">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角向磨光机</w:t>
            </w:r>
          </w:p>
        </w:tc>
        <w:tc>
          <w:tcPr>
            <w:tcW w:w="968" w:type="pct"/>
            <w:tcBorders>
              <w:tl2br w:val="nil"/>
              <w:tr2bl w:val="nil"/>
            </w:tcBorders>
            <w:vAlign w:val="center"/>
          </w:tcPr>
          <w:p w14:paraId="33BBA0CA">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pacing w:val="2"/>
                <w:sz w:val="21"/>
                <w:szCs w:val="21"/>
                <w:lang w:val="en-US" w:eastAsia="zh-CN"/>
              </w:rPr>
              <w:t>90</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96</w:t>
            </w:r>
          </w:p>
        </w:tc>
        <w:tc>
          <w:tcPr>
            <w:tcW w:w="1063" w:type="pct"/>
            <w:tcBorders>
              <w:tl2br w:val="nil"/>
              <w:tr2bl w:val="nil"/>
            </w:tcBorders>
            <w:vAlign w:val="center"/>
          </w:tcPr>
          <w:p w14:paraId="4B9AF629">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eastAsia="宋体" w:cs="Times New Roman"/>
                <w:color w:val="auto"/>
                <w:spacing w:val="2"/>
                <w:sz w:val="21"/>
                <w:szCs w:val="21"/>
                <w:lang w:val="en-US" w:eastAsia="zh-CN"/>
              </w:rPr>
              <w:t>84</w:t>
            </w:r>
            <w:r>
              <w:rPr>
                <w:rFonts w:ascii="Times New Roman" w:hAnsi="Times New Roman" w:eastAsia="Times New Roman" w:cs="Times New Roman"/>
                <w:color w:val="auto"/>
                <w:spacing w:val="2"/>
                <w:sz w:val="21"/>
                <w:szCs w:val="21"/>
              </w:rPr>
              <w:t>~90</w:t>
            </w:r>
          </w:p>
        </w:tc>
        <w:tc>
          <w:tcPr>
            <w:tcW w:w="1063" w:type="pct"/>
            <w:tcBorders>
              <w:tl2br w:val="nil"/>
              <w:tr2bl w:val="nil"/>
            </w:tcBorders>
            <w:vAlign w:val="center"/>
          </w:tcPr>
          <w:p w14:paraId="1052926E">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551E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restart"/>
            <w:tcBorders>
              <w:tl2br w:val="nil"/>
              <w:tr2bl w:val="nil"/>
            </w:tcBorders>
            <w:vAlign w:val="center"/>
          </w:tcPr>
          <w:p w14:paraId="59E1CB1F">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运输阶段</w:t>
            </w:r>
          </w:p>
        </w:tc>
        <w:tc>
          <w:tcPr>
            <w:tcW w:w="1000" w:type="pct"/>
            <w:tcBorders>
              <w:tl2br w:val="nil"/>
              <w:tr2bl w:val="nil"/>
            </w:tcBorders>
            <w:vAlign w:val="center"/>
          </w:tcPr>
          <w:p w14:paraId="0791F686">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大型载重车</w:t>
            </w:r>
          </w:p>
        </w:tc>
        <w:tc>
          <w:tcPr>
            <w:tcW w:w="968" w:type="pct"/>
            <w:tcBorders>
              <w:tl2br w:val="nil"/>
              <w:tr2bl w:val="nil"/>
            </w:tcBorders>
            <w:shd w:val="clear" w:color="auto" w:fill="auto"/>
            <w:vAlign w:val="center"/>
          </w:tcPr>
          <w:p w14:paraId="4913B793">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82~90</w:t>
            </w:r>
          </w:p>
        </w:tc>
        <w:tc>
          <w:tcPr>
            <w:tcW w:w="1063" w:type="pct"/>
            <w:tcBorders>
              <w:tl2br w:val="nil"/>
              <w:tr2bl w:val="nil"/>
            </w:tcBorders>
            <w:shd w:val="clear" w:color="auto" w:fill="auto"/>
            <w:vAlign w:val="center"/>
          </w:tcPr>
          <w:p w14:paraId="5055D8F6">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3"/>
                <w:sz w:val="21"/>
                <w:szCs w:val="21"/>
              </w:rPr>
              <w:t>78~86</w:t>
            </w:r>
          </w:p>
        </w:tc>
        <w:tc>
          <w:tcPr>
            <w:tcW w:w="1063" w:type="pct"/>
            <w:tcBorders>
              <w:tl2br w:val="nil"/>
              <w:tr2bl w:val="nil"/>
            </w:tcBorders>
            <w:vAlign w:val="center"/>
          </w:tcPr>
          <w:p w14:paraId="2B73B2FC">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013F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10051862">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50FEE3C1">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混凝土罐车</w:t>
            </w:r>
          </w:p>
        </w:tc>
        <w:tc>
          <w:tcPr>
            <w:tcW w:w="968" w:type="pct"/>
            <w:tcBorders>
              <w:tl2br w:val="nil"/>
              <w:tr2bl w:val="nil"/>
            </w:tcBorders>
            <w:vAlign w:val="center"/>
          </w:tcPr>
          <w:p w14:paraId="6F5037FB">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85</w:t>
            </w:r>
            <w:r>
              <w:rPr>
                <w:rFonts w:ascii="Times New Roman" w:hAnsi="Times New Roman" w:eastAsia="Times New Roman" w:cs="Times New Roman"/>
                <w:color w:val="auto"/>
                <w:spacing w:val="2"/>
                <w:sz w:val="21"/>
                <w:szCs w:val="21"/>
              </w:rPr>
              <w:t>~90</w:t>
            </w:r>
          </w:p>
        </w:tc>
        <w:tc>
          <w:tcPr>
            <w:tcW w:w="1063" w:type="pct"/>
            <w:tcBorders>
              <w:tl2br w:val="nil"/>
              <w:tr2bl w:val="nil"/>
            </w:tcBorders>
            <w:vAlign w:val="center"/>
          </w:tcPr>
          <w:p w14:paraId="1B599F71">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82</w:t>
            </w:r>
            <w:r>
              <w:rPr>
                <w:rFonts w:ascii="Times New Roman" w:hAnsi="Times New Roman" w:eastAsia="Times New Roman" w:cs="Times New Roman"/>
                <w:color w:val="auto"/>
                <w:spacing w:val="2"/>
                <w:sz w:val="21"/>
                <w:szCs w:val="21"/>
              </w:rPr>
              <w:t>~</w:t>
            </w:r>
            <w:r>
              <w:rPr>
                <w:rFonts w:hint="eastAsia" w:ascii="Times New Roman" w:hAnsi="Times New Roman" w:eastAsia="宋体" w:cs="Times New Roman"/>
                <w:color w:val="auto"/>
                <w:spacing w:val="2"/>
                <w:sz w:val="21"/>
                <w:szCs w:val="21"/>
                <w:lang w:val="en-US" w:eastAsia="zh-CN"/>
              </w:rPr>
              <w:t>84</w:t>
            </w:r>
          </w:p>
        </w:tc>
        <w:tc>
          <w:tcPr>
            <w:tcW w:w="1063" w:type="pct"/>
            <w:tcBorders>
              <w:tl2br w:val="nil"/>
              <w:tr2bl w:val="nil"/>
            </w:tcBorders>
            <w:vAlign w:val="center"/>
          </w:tcPr>
          <w:p w14:paraId="1F3DD38E">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r w14:paraId="289A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4" w:type="pct"/>
            <w:vMerge w:val="continue"/>
            <w:tcBorders>
              <w:tl2br w:val="nil"/>
              <w:tr2bl w:val="nil"/>
            </w:tcBorders>
            <w:vAlign w:val="center"/>
          </w:tcPr>
          <w:p w14:paraId="64871779">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p>
        </w:tc>
        <w:tc>
          <w:tcPr>
            <w:tcW w:w="1000" w:type="pct"/>
            <w:tcBorders>
              <w:tl2br w:val="nil"/>
              <w:tr2bl w:val="nil"/>
            </w:tcBorders>
            <w:vAlign w:val="center"/>
          </w:tcPr>
          <w:p w14:paraId="4B9CC940">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轻型载重车</w:t>
            </w:r>
          </w:p>
        </w:tc>
        <w:tc>
          <w:tcPr>
            <w:tcW w:w="968" w:type="pct"/>
            <w:tcBorders>
              <w:tl2br w:val="nil"/>
              <w:tr2bl w:val="nil"/>
            </w:tcBorders>
            <w:shd w:val="clear" w:color="auto" w:fill="auto"/>
            <w:vAlign w:val="center"/>
          </w:tcPr>
          <w:p w14:paraId="1D1CABF9">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2"/>
                <w:sz w:val="21"/>
                <w:szCs w:val="21"/>
              </w:rPr>
              <w:t>82~90</w:t>
            </w:r>
          </w:p>
        </w:tc>
        <w:tc>
          <w:tcPr>
            <w:tcW w:w="1063" w:type="pct"/>
            <w:tcBorders>
              <w:tl2br w:val="nil"/>
              <w:tr2bl w:val="nil"/>
            </w:tcBorders>
            <w:shd w:val="clear" w:color="auto" w:fill="auto"/>
            <w:vAlign w:val="center"/>
          </w:tcPr>
          <w:p w14:paraId="1762D421">
            <w:pPr>
              <w:keepNext w:val="0"/>
              <w:keepLines w:val="0"/>
              <w:pageBreakBefore w:val="0"/>
              <w:kinsoku w:val="0"/>
              <w:wordWrap/>
              <w:overflowPunct/>
              <w:topLinePunct w:val="0"/>
              <w:autoSpaceDE w:val="0"/>
              <w:autoSpaceDN w:val="0"/>
              <w:bidi w:val="0"/>
              <w:adjustRightInd/>
              <w:snapToGrid/>
              <w:spacing w:line="240" w:lineRule="auto"/>
              <w:ind w:left="0" w:leftChars="0"/>
              <w:jc w:val="center"/>
              <w:rPr>
                <w:rFonts w:hint="default" w:ascii="Times New Roman" w:hAnsi="Times New Roman" w:eastAsia="Times New Roman" w:cs="Times New Roman"/>
                <w:snapToGrid w:val="0"/>
                <w:color w:val="auto"/>
                <w:kern w:val="0"/>
                <w:sz w:val="21"/>
                <w:szCs w:val="21"/>
                <w:lang w:val="en-US" w:eastAsia="zh-CN" w:bidi="ar-SA"/>
              </w:rPr>
            </w:pPr>
            <w:r>
              <w:rPr>
                <w:rFonts w:ascii="Times New Roman" w:hAnsi="Times New Roman" w:eastAsia="Times New Roman" w:cs="Times New Roman"/>
                <w:color w:val="auto"/>
                <w:spacing w:val="3"/>
                <w:sz w:val="21"/>
                <w:szCs w:val="21"/>
              </w:rPr>
              <w:t>78~86</w:t>
            </w:r>
          </w:p>
        </w:tc>
        <w:tc>
          <w:tcPr>
            <w:tcW w:w="1063" w:type="pct"/>
            <w:tcBorders>
              <w:tl2br w:val="nil"/>
              <w:tr2bl w:val="nil"/>
            </w:tcBorders>
            <w:vAlign w:val="center"/>
          </w:tcPr>
          <w:p w14:paraId="10FEEFBB">
            <w:pPr>
              <w:keepNext w:val="0"/>
              <w:keepLines w:val="0"/>
              <w:pageBreakBefore w:val="0"/>
              <w:widowControl w:val="0"/>
              <w:kinsoku w:val="0"/>
              <w:wordWrap/>
              <w:overflowPunct/>
              <w:topLinePunct w:val="0"/>
              <w:autoSpaceDE w:val="0"/>
              <w:autoSpaceDN w:val="0"/>
              <w:bidi w:val="0"/>
              <w:adjustRightInd/>
              <w:snapToGrid/>
              <w:spacing w:line="240" w:lineRule="auto"/>
              <w:ind w:left="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color w:val="auto"/>
                <w:spacing w:val="3"/>
                <w:sz w:val="21"/>
                <w:szCs w:val="21"/>
              </w:rPr>
              <w:t>间歇使用</w:t>
            </w:r>
          </w:p>
        </w:tc>
      </w:tr>
    </w:tbl>
    <w:p w14:paraId="4E352B5B">
      <w:pPr>
        <w:pStyle w:val="9"/>
        <w:keepNext w:val="0"/>
        <w:keepLines w:val="0"/>
        <w:pageBreakBefore w:val="0"/>
        <w:widowControl/>
        <w:kinsoku w:val="0"/>
        <w:wordWrap/>
        <w:overflowPunct/>
        <w:topLinePunct w:val="0"/>
        <w:autoSpaceDE w:val="0"/>
        <w:autoSpaceDN w:val="0"/>
        <w:bidi w:val="0"/>
        <w:adjustRightInd w:val="0"/>
        <w:snapToGrid w:val="0"/>
        <w:spacing w:before="35" w:line="219" w:lineRule="auto"/>
        <w:ind w:left="17"/>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2、</w:t>
      </w:r>
      <w:r>
        <w:rPr>
          <w:b/>
          <w:bCs/>
          <w:color w:val="auto"/>
          <w:spacing w:val="-2"/>
          <w:sz w:val="24"/>
          <w:szCs w:val="24"/>
        </w:rPr>
        <w:t>施工机械噪声衰减预测</w:t>
      </w:r>
    </w:p>
    <w:p w14:paraId="7BE1D185">
      <w:pPr>
        <w:pStyle w:val="9"/>
        <w:spacing w:before="180" w:line="348" w:lineRule="auto"/>
        <w:ind w:left="21" w:right="80" w:firstLine="480"/>
        <w:jc w:val="both"/>
        <w:rPr>
          <w:color w:val="auto"/>
          <w:sz w:val="24"/>
          <w:szCs w:val="24"/>
        </w:rPr>
      </w:pPr>
      <w:r>
        <w:rPr>
          <w:color w:val="auto"/>
          <w:spacing w:val="-3"/>
          <w:sz w:val="24"/>
          <w:szCs w:val="24"/>
        </w:rPr>
        <w:t>把项目区作为一个整体预测，进行多点源叠加。采用点源衰减模式，预测只计算声源至受声点的几何发散衰减，考虑声屏障、空气吸收等衰减。预测公式如</w:t>
      </w:r>
      <w:r>
        <w:rPr>
          <w:color w:val="auto"/>
          <w:spacing w:val="-5"/>
          <w:sz w:val="24"/>
          <w:szCs w:val="24"/>
        </w:rPr>
        <w:t>下：</w:t>
      </w:r>
    </w:p>
    <w:p w14:paraId="7000912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center"/>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L</w:t>
      </w:r>
      <w:r>
        <w:rPr>
          <w:rFonts w:ascii="Times New Roman" w:hAnsi="Times New Roman" w:eastAsia="Times New Roman" w:cs="Times New Roman"/>
          <w:color w:val="auto"/>
          <w:position w:val="-1"/>
          <w:sz w:val="24"/>
          <w:szCs w:val="24"/>
        </w:rPr>
        <w:t>r</w:t>
      </w:r>
      <w:r>
        <w:rPr>
          <w:rFonts w:ascii="Times New Roman" w:hAnsi="Times New Roman" w:eastAsia="Times New Roman" w:cs="Times New Roman"/>
          <w:color w:val="auto"/>
          <w:sz w:val="24"/>
          <w:szCs w:val="24"/>
        </w:rPr>
        <w:t>=L</w:t>
      </w:r>
      <w:r>
        <w:rPr>
          <w:rFonts w:ascii="Times New Roman" w:hAnsi="Times New Roman" w:eastAsia="Times New Roman" w:cs="Times New Roman"/>
          <w:color w:val="auto"/>
          <w:position w:val="-1"/>
          <w:sz w:val="24"/>
          <w:szCs w:val="24"/>
        </w:rPr>
        <w:t>r0</w:t>
      </w:r>
      <w:r>
        <w:rPr>
          <w:rFonts w:ascii="Times New Roman" w:hAnsi="Times New Roman" w:eastAsia="Times New Roman" w:cs="Times New Roman"/>
          <w:color w:val="auto"/>
          <w:sz w:val="24"/>
          <w:szCs w:val="24"/>
        </w:rPr>
        <w:t>-20lg</w:t>
      </w:r>
      <w:r>
        <w:rPr>
          <w:color w:val="auto"/>
          <w:sz w:val="24"/>
          <w:szCs w:val="24"/>
        </w:rPr>
        <w:t>（</w:t>
      </w:r>
      <w:r>
        <w:rPr>
          <w:rFonts w:ascii="Times New Roman" w:hAnsi="Times New Roman" w:eastAsia="Times New Roman" w:cs="Times New Roman"/>
          <w:color w:val="auto"/>
          <w:sz w:val="24"/>
          <w:szCs w:val="24"/>
        </w:rPr>
        <w:t>r/r0</w:t>
      </w:r>
      <w:r>
        <w:rPr>
          <w:color w:val="auto"/>
          <w:sz w:val="24"/>
          <w:szCs w:val="24"/>
        </w:rPr>
        <w:t>）</w:t>
      </w:r>
      <w:r>
        <w:rPr>
          <w:rFonts w:ascii="Times New Roman" w:hAnsi="Times New Roman" w:eastAsia="Times New Roman" w:cs="Times New Roman"/>
          <w:color w:val="auto"/>
          <w:sz w:val="24"/>
          <w:szCs w:val="24"/>
        </w:rPr>
        <w:t>-</w:t>
      </w:r>
      <w:r>
        <w:rPr>
          <w:color w:val="auto"/>
          <w:sz w:val="24"/>
          <w:szCs w:val="24"/>
        </w:rPr>
        <w:t>△</w:t>
      </w:r>
      <w:r>
        <w:rPr>
          <w:rFonts w:ascii="Times New Roman" w:hAnsi="Times New Roman" w:eastAsia="Times New Roman" w:cs="Times New Roman"/>
          <w:color w:val="auto"/>
          <w:sz w:val="24"/>
          <w:szCs w:val="24"/>
        </w:rPr>
        <w:t>L</w:t>
      </w:r>
    </w:p>
    <w:p w14:paraId="2914ED9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w:t>
      </w:r>
      <w:r>
        <w:rPr>
          <w:rFonts w:ascii="Times New Roman" w:hAnsi="Times New Roman" w:eastAsia="Times New Roman" w:cs="Times New Roman"/>
          <w:color w:val="auto"/>
          <w:sz w:val="24"/>
          <w:szCs w:val="24"/>
        </w:rPr>
        <w:t>L</w:t>
      </w:r>
      <w:r>
        <w:rPr>
          <w:color w:val="auto"/>
          <w:spacing w:val="-1"/>
          <w:sz w:val="24"/>
          <w:szCs w:val="24"/>
        </w:rPr>
        <w:t>式中：</w:t>
      </w:r>
      <w:r>
        <w:rPr>
          <w:rFonts w:ascii="Times New Roman" w:hAnsi="Times New Roman" w:eastAsia="Times New Roman" w:cs="Times New Roman"/>
          <w:color w:val="auto"/>
          <w:spacing w:val="-1"/>
          <w:sz w:val="24"/>
          <w:szCs w:val="24"/>
        </w:rPr>
        <w:t>L</w:t>
      </w:r>
      <w:r>
        <w:rPr>
          <w:rFonts w:ascii="Times New Roman" w:hAnsi="Times New Roman" w:eastAsia="Times New Roman" w:cs="Times New Roman"/>
          <w:color w:val="auto"/>
          <w:spacing w:val="-1"/>
          <w:position w:val="-1"/>
          <w:sz w:val="24"/>
          <w:szCs w:val="24"/>
        </w:rPr>
        <w:t>r</w:t>
      </w:r>
      <w:r>
        <w:rPr>
          <w:rFonts w:ascii="Times New Roman" w:hAnsi="Times New Roman" w:eastAsia="Times New Roman" w:cs="Times New Roman"/>
          <w:color w:val="auto"/>
          <w:spacing w:val="-1"/>
          <w:sz w:val="24"/>
          <w:szCs w:val="24"/>
        </w:rPr>
        <w:t>—</w:t>
      </w:r>
      <w:r>
        <w:rPr>
          <w:color w:val="auto"/>
          <w:spacing w:val="-1"/>
          <w:sz w:val="24"/>
          <w:szCs w:val="24"/>
        </w:rPr>
        <w:t>距声源</w:t>
      </w:r>
      <w:r>
        <w:rPr>
          <w:color w:val="auto"/>
          <w:spacing w:val="-58"/>
          <w:sz w:val="24"/>
          <w:szCs w:val="24"/>
        </w:rPr>
        <w:t xml:space="preserve"> </w:t>
      </w:r>
      <w:r>
        <w:rPr>
          <w:rFonts w:ascii="Times New Roman" w:hAnsi="Times New Roman" w:eastAsia="Times New Roman" w:cs="Times New Roman"/>
          <w:color w:val="auto"/>
          <w:spacing w:val="-1"/>
          <w:sz w:val="24"/>
          <w:szCs w:val="24"/>
        </w:rPr>
        <w:t xml:space="preserve">r </w:t>
      </w:r>
      <w:r>
        <w:rPr>
          <w:color w:val="auto"/>
          <w:spacing w:val="-1"/>
          <w:sz w:val="24"/>
          <w:szCs w:val="24"/>
        </w:rPr>
        <w:t>处的</w:t>
      </w:r>
      <w:r>
        <w:rPr>
          <w:color w:val="auto"/>
          <w:spacing w:val="-58"/>
          <w:sz w:val="24"/>
          <w:szCs w:val="24"/>
        </w:rPr>
        <w:t xml:space="preserve"> </w:t>
      </w:r>
      <w:r>
        <w:rPr>
          <w:rFonts w:ascii="Times New Roman" w:hAnsi="Times New Roman" w:eastAsia="Times New Roman" w:cs="Times New Roman"/>
          <w:color w:val="auto"/>
          <w:spacing w:val="-1"/>
          <w:sz w:val="24"/>
          <w:szCs w:val="24"/>
        </w:rPr>
        <w:t xml:space="preserve">A </w:t>
      </w:r>
      <w:r>
        <w:rPr>
          <w:color w:val="auto"/>
          <w:spacing w:val="-1"/>
          <w:sz w:val="24"/>
          <w:szCs w:val="24"/>
        </w:rPr>
        <w:t>声压级，</w:t>
      </w:r>
      <w:r>
        <w:rPr>
          <w:rFonts w:ascii="Times New Roman" w:hAnsi="Times New Roman" w:eastAsia="Times New Roman" w:cs="Times New Roman"/>
          <w:color w:val="auto"/>
          <w:spacing w:val="-1"/>
          <w:sz w:val="24"/>
          <w:szCs w:val="24"/>
        </w:rPr>
        <w:t>dB(A</w:t>
      </w:r>
      <w:r>
        <w:rPr>
          <w:color w:val="auto"/>
          <w:spacing w:val="1"/>
          <w:sz w:val="24"/>
          <w:szCs w:val="24"/>
        </w:rPr>
        <w:t>）；</w:t>
      </w:r>
    </w:p>
    <w:p w14:paraId="60ADA17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rFonts w:ascii="Times New Roman" w:hAnsi="Times New Roman" w:eastAsia="Times New Roman" w:cs="Times New Roman"/>
          <w:color w:val="auto"/>
          <w:spacing w:val="-2"/>
          <w:sz w:val="24"/>
          <w:szCs w:val="24"/>
        </w:rPr>
        <w:t>Lr</w:t>
      </w:r>
      <w:r>
        <w:rPr>
          <w:rFonts w:ascii="Times New Roman" w:hAnsi="Times New Roman" w:eastAsia="Times New Roman" w:cs="Times New Roman"/>
          <w:color w:val="auto"/>
          <w:spacing w:val="-2"/>
          <w:position w:val="-1"/>
          <w:sz w:val="24"/>
          <w:szCs w:val="24"/>
        </w:rPr>
        <w:t>0</w:t>
      </w:r>
      <w:r>
        <w:rPr>
          <w:rFonts w:ascii="Times New Roman" w:hAnsi="Times New Roman" w:eastAsia="Times New Roman" w:cs="Times New Roman"/>
          <w:color w:val="auto"/>
          <w:spacing w:val="-2"/>
          <w:sz w:val="24"/>
          <w:szCs w:val="24"/>
        </w:rPr>
        <w:t>—</w:t>
      </w:r>
      <w:r>
        <w:rPr>
          <w:color w:val="auto"/>
          <w:spacing w:val="-2"/>
          <w:sz w:val="24"/>
          <w:szCs w:val="24"/>
        </w:rPr>
        <w:t>距声源</w:t>
      </w:r>
      <w:r>
        <w:rPr>
          <w:color w:val="auto"/>
          <w:spacing w:val="-58"/>
          <w:sz w:val="24"/>
          <w:szCs w:val="24"/>
        </w:rPr>
        <w:t xml:space="preserve"> </w:t>
      </w:r>
      <w:r>
        <w:rPr>
          <w:rFonts w:ascii="Times New Roman" w:hAnsi="Times New Roman" w:eastAsia="Times New Roman" w:cs="Times New Roman"/>
          <w:color w:val="auto"/>
          <w:spacing w:val="-2"/>
          <w:sz w:val="24"/>
          <w:szCs w:val="24"/>
        </w:rPr>
        <w:t>r</w:t>
      </w:r>
      <w:r>
        <w:rPr>
          <w:rFonts w:ascii="Times New Roman" w:hAnsi="Times New Roman" w:eastAsia="Times New Roman" w:cs="Times New Roman"/>
          <w:color w:val="auto"/>
          <w:spacing w:val="-2"/>
          <w:position w:val="-1"/>
          <w:sz w:val="24"/>
          <w:szCs w:val="24"/>
        </w:rPr>
        <w:t>0</w:t>
      </w:r>
      <w:r>
        <w:rPr>
          <w:rFonts w:ascii="Times New Roman" w:hAnsi="Times New Roman" w:eastAsia="Times New Roman" w:cs="Times New Roman"/>
          <w:color w:val="auto"/>
          <w:spacing w:val="16"/>
          <w:w w:val="101"/>
          <w:position w:val="-1"/>
          <w:sz w:val="24"/>
          <w:szCs w:val="24"/>
        </w:rPr>
        <w:t xml:space="preserve"> </w:t>
      </w:r>
      <w:r>
        <w:rPr>
          <w:color w:val="auto"/>
          <w:spacing w:val="-2"/>
          <w:sz w:val="24"/>
          <w:szCs w:val="24"/>
        </w:rPr>
        <w:t>处的</w:t>
      </w:r>
      <w:r>
        <w:rPr>
          <w:color w:val="auto"/>
          <w:spacing w:val="-58"/>
          <w:sz w:val="24"/>
          <w:szCs w:val="24"/>
        </w:rPr>
        <w:t xml:space="preserve"> </w:t>
      </w:r>
      <w:r>
        <w:rPr>
          <w:rFonts w:ascii="Times New Roman" w:hAnsi="Times New Roman" w:eastAsia="Times New Roman" w:cs="Times New Roman"/>
          <w:color w:val="auto"/>
          <w:spacing w:val="-2"/>
          <w:sz w:val="24"/>
          <w:szCs w:val="24"/>
        </w:rPr>
        <w:t xml:space="preserve">A </w:t>
      </w:r>
      <w:r>
        <w:rPr>
          <w:color w:val="auto"/>
          <w:spacing w:val="-2"/>
          <w:sz w:val="24"/>
          <w:szCs w:val="24"/>
        </w:rPr>
        <w:t>声压级，</w:t>
      </w:r>
      <w:r>
        <w:rPr>
          <w:rFonts w:ascii="Times New Roman" w:hAnsi="Times New Roman" w:eastAsia="Times New Roman" w:cs="Times New Roman"/>
          <w:color w:val="auto"/>
          <w:spacing w:val="-2"/>
          <w:sz w:val="24"/>
          <w:szCs w:val="24"/>
        </w:rPr>
        <w:t>dB(A</w:t>
      </w:r>
      <w:r>
        <w:rPr>
          <w:color w:val="auto"/>
          <w:spacing w:val="9"/>
          <w:sz w:val="24"/>
          <w:szCs w:val="24"/>
        </w:rPr>
        <w:t>）；</w:t>
      </w:r>
    </w:p>
    <w:p w14:paraId="79A0177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rFonts w:ascii="Times New Roman" w:hAnsi="Times New Roman" w:eastAsia="Times New Roman" w:cs="Times New Roman"/>
          <w:color w:val="auto"/>
          <w:spacing w:val="-1"/>
          <w:sz w:val="24"/>
          <w:szCs w:val="24"/>
        </w:rPr>
        <w:t>r—</w:t>
      </w:r>
      <w:r>
        <w:rPr>
          <w:color w:val="auto"/>
          <w:spacing w:val="-1"/>
          <w:sz w:val="24"/>
          <w:szCs w:val="24"/>
        </w:rPr>
        <w:t>预测点与声源的距离，</w:t>
      </w:r>
      <w:r>
        <w:rPr>
          <w:rFonts w:ascii="Times New Roman" w:hAnsi="Times New Roman" w:eastAsia="Times New Roman" w:cs="Times New Roman"/>
          <w:color w:val="auto"/>
          <w:spacing w:val="-1"/>
          <w:sz w:val="24"/>
          <w:szCs w:val="24"/>
        </w:rPr>
        <w:t>m</w:t>
      </w:r>
      <w:r>
        <w:rPr>
          <w:color w:val="auto"/>
          <w:spacing w:val="-1"/>
          <w:sz w:val="24"/>
          <w:szCs w:val="24"/>
        </w:rPr>
        <w:t>；</w:t>
      </w:r>
    </w:p>
    <w:p w14:paraId="762F35C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rFonts w:ascii="Times New Roman" w:hAnsi="Times New Roman" w:eastAsia="Times New Roman" w:cs="Times New Roman"/>
          <w:color w:val="auto"/>
          <w:spacing w:val="-1"/>
          <w:sz w:val="24"/>
          <w:szCs w:val="24"/>
        </w:rPr>
        <w:t>r</w:t>
      </w:r>
      <w:r>
        <w:rPr>
          <w:rFonts w:ascii="Times New Roman" w:hAnsi="Times New Roman" w:eastAsia="Times New Roman" w:cs="Times New Roman"/>
          <w:color w:val="auto"/>
          <w:spacing w:val="-1"/>
          <w:position w:val="-1"/>
          <w:sz w:val="24"/>
          <w:szCs w:val="24"/>
        </w:rPr>
        <w:t>0</w:t>
      </w:r>
      <w:r>
        <w:rPr>
          <w:rFonts w:ascii="Times New Roman" w:hAnsi="Times New Roman" w:eastAsia="Times New Roman" w:cs="Times New Roman"/>
          <w:color w:val="auto"/>
          <w:spacing w:val="-1"/>
          <w:sz w:val="24"/>
          <w:szCs w:val="24"/>
        </w:rPr>
        <w:t>—</w:t>
      </w:r>
      <w:r>
        <w:rPr>
          <w:color w:val="auto"/>
          <w:spacing w:val="-1"/>
          <w:sz w:val="24"/>
          <w:szCs w:val="24"/>
        </w:rPr>
        <w:t>监测设备噪声时的距离，</w:t>
      </w:r>
      <w:r>
        <w:rPr>
          <w:rFonts w:ascii="Times New Roman" w:hAnsi="Times New Roman" w:eastAsia="Times New Roman" w:cs="Times New Roman"/>
          <w:color w:val="auto"/>
          <w:spacing w:val="-1"/>
          <w:sz w:val="24"/>
          <w:szCs w:val="24"/>
        </w:rPr>
        <w:t>m</w:t>
      </w:r>
      <w:r>
        <w:rPr>
          <w:color w:val="auto"/>
          <w:spacing w:val="-1"/>
          <w:sz w:val="24"/>
          <w:szCs w:val="24"/>
        </w:rPr>
        <w:t>；</w:t>
      </w:r>
    </w:p>
    <w:p w14:paraId="442FDA1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w:t>
      </w:r>
      <w:r>
        <w:rPr>
          <w:rFonts w:ascii="Times New Roman" w:hAnsi="Times New Roman" w:eastAsia="Times New Roman" w:cs="Times New Roman"/>
          <w:color w:val="auto"/>
          <w:spacing w:val="-2"/>
          <w:sz w:val="24"/>
          <w:szCs w:val="24"/>
        </w:rPr>
        <w:t>L—</w:t>
      </w:r>
      <w:r>
        <w:rPr>
          <w:color w:val="auto"/>
          <w:spacing w:val="-2"/>
          <w:sz w:val="24"/>
          <w:szCs w:val="24"/>
        </w:rPr>
        <w:t>其他衰减因素。影响△</w:t>
      </w:r>
      <w:r>
        <w:rPr>
          <w:rFonts w:ascii="Times New Roman" w:hAnsi="Times New Roman" w:eastAsia="Times New Roman" w:cs="Times New Roman"/>
          <w:color w:val="auto"/>
          <w:spacing w:val="-2"/>
          <w:sz w:val="24"/>
          <w:szCs w:val="24"/>
        </w:rPr>
        <w:t>L</w:t>
      </w:r>
      <w:r>
        <w:rPr>
          <w:color w:val="auto"/>
          <w:spacing w:val="-2"/>
          <w:sz w:val="24"/>
          <w:szCs w:val="24"/>
        </w:rPr>
        <w:t>取值的因素很多，</w:t>
      </w:r>
      <w:r>
        <w:rPr>
          <w:color w:val="auto"/>
          <w:spacing w:val="-3"/>
          <w:sz w:val="24"/>
          <w:szCs w:val="24"/>
        </w:rPr>
        <w:t>主要考虑屏障隔声、</w:t>
      </w:r>
      <w:r>
        <w:rPr>
          <w:color w:val="auto"/>
          <w:spacing w:val="-1"/>
          <w:sz w:val="24"/>
          <w:szCs w:val="24"/>
        </w:rPr>
        <w:t>反射及空气稀释等影响，本报告计算时取△</w:t>
      </w:r>
      <w:r>
        <w:rPr>
          <w:rFonts w:ascii="Times New Roman" w:hAnsi="Times New Roman" w:eastAsia="Times New Roman" w:cs="Times New Roman"/>
          <w:color w:val="auto"/>
          <w:spacing w:val="-1"/>
          <w:sz w:val="24"/>
          <w:szCs w:val="24"/>
        </w:rPr>
        <w:t>L=8dB</w:t>
      </w:r>
      <w:r>
        <w:rPr>
          <w:color w:val="auto"/>
          <w:spacing w:val="-1"/>
          <w:sz w:val="24"/>
          <w:szCs w:val="24"/>
        </w:rPr>
        <w:t>（</w:t>
      </w:r>
      <w:r>
        <w:rPr>
          <w:rFonts w:ascii="Times New Roman" w:hAnsi="Times New Roman" w:eastAsia="Times New Roman" w:cs="Times New Roman"/>
          <w:color w:val="auto"/>
          <w:spacing w:val="-1"/>
          <w:sz w:val="24"/>
          <w:szCs w:val="24"/>
        </w:rPr>
        <w:t>A</w:t>
      </w:r>
      <w:r>
        <w:rPr>
          <w:color w:val="auto"/>
          <w:spacing w:val="-1"/>
          <w:sz w:val="24"/>
          <w:szCs w:val="24"/>
        </w:rPr>
        <w:t>）。</w:t>
      </w:r>
    </w:p>
    <w:p w14:paraId="746994F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对两个以上多个声源同时存在时，其预测点总</w:t>
      </w:r>
      <w:r>
        <w:rPr>
          <w:color w:val="auto"/>
          <w:spacing w:val="-1"/>
          <w:sz w:val="24"/>
          <w:szCs w:val="24"/>
        </w:rPr>
        <w:t>声压级采用下面公式：</w:t>
      </w:r>
    </w:p>
    <w:p w14:paraId="34813B87">
      <w:pPr>
        <w:spacing w:before="178" w:line="750" w:lineRule="exact"/>
        <w:ind w:left="3112"/>
        <w:rPr>
          <w:color w:val="auto"/>
          <w:sz w:val="24"/>
          <w:szCs w:val="24"/>
        </w:rPr>
      </w:pPr>
      <w:r>
        <w:rPr>
          <w:color w:val="auto"/>
          <w:position w:val="-15"/>
          <w:sz w:val="24"/>
          <w:szCs w:val="24"/>
        </w:rPr>
        <w:drawing>
          <wp:inline distT="0" distB="0" distL="0" distR="0">
            <wp:extent cx="1334135" cy="476250"/>
            <wp:effectExtent l="0" t="0" r="18415"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74"/>
                    <a:stretch>
                      <a:fillRect/>
                    </a:stretch>
                  </pic:blipFill>
                  <pic:spPr>
                    <a:xfrm>
                      <a:off x="0" y="0"/>
                      <a:ext cx="1334264" cy="476459"/>
                    </a:xfrm>
                    <a:prstGeom prst="rect">
                      <a:avLst/>
                    </a:prstGeom>
                  </pic:spPr>
                </pic:pic>
              </a:graphicData>
            </a:graphic>
          </wp:inline>
        </w:drawing>
      </w:r>
    </w:p>
    <w:p w14:paraId="30854E3C">
      <w:pPr>
        <w:pStyle w:val="9"/>
        <w:spacing w:before="149" w:line="323" w:lineRule="exact"/>
        <w:ind w:left="505"/>
        <w:rPr>
          <w:color w:val="auto"/>
          <w:sz w:val="24"/>
          <w:szCs w:val="24"/>
        </w:rPr>
      </w:pPr>
      <w:r>
        <w:rPr>
          <w:color w:val="auto"/>
          <w:spacing w:val="-1"/>
          <w:position w:val="1"/>
          <w:sz w:val="24"/>
          <w:szCs w:val="24"/>
        </w:rPr>
        <w:t>式中：</w:t>
      </w:r>
      <w:r>
        <w:rPr>
          <w:rFonts w:ascii="Times New Roman" w:hAnsi="Times New Roman" w:eastAsia="Times New Roman" w:cs="Times New Roman"/>
          <w:color w:val="auto"/>
          <w:spacing w:val="-1"/>
          <w:position w:val="1"/>
          <w:sz w:val="24"/>
          <w:szCs w:val="24"/>
        </w:rPr>
        <w:t>L=</w:t>
      </w:r>
      <w:r>
        <w:rPr>
          <w:color w:val="auto"/>
          <w:spacing w:val="-1"/>
          <w:position w:val="1"/>
          <w:sz w:val="24"/>
          <w:szCs w:val="24"/>
        </w:rPr>
        <w:t>预测点的总等效声级，</w:t>
      </w:r>
      <w:r>
        <w:rPr>
          <w:rFonts w:ascii="Times New Roman" w:hAnsi="Times New Roman" w:eastAsia="Times New Roman" w:cs="Times New Roman"/>
          <w:color w:val="auto"/>
          <w:spacing w:val="-1"/>
          <w:position w:val="1"/>
          <w:sz w:val="24"/>
          <w:szCs w:val="24"/>
        </w:rPr>
        <w:t>dB</w:t>
      </w:r>
      <w:r>
        <w:rPr>
          <w:color w:val="auto"/>
          <w:spacing w:val="-1"/>
          <w:position w:val="1"/>
          <w:sz w:val="24"/>
          <w:szCs w:val="24"/>
        </w:rPr>
        <w:t>（</w:t>
      </w:r>
      <w:r>
        <w:rPr>
          <w:rFonts w:ascii="Times New Roman" w:hAnsi="Times New Roman" w:eastAsia="Times New Roman" w:cs="Times New Roman"/>
          <w:color w:val="auto"/>
          <w:spacing w:val="-1"/>
          <w:position w:val="1"/>
          <w:sz w:val="24"/>
          <w:szCs w:val="24"/>
        </w:rPr>
        <w:t>A</w:t>
      </w:r>
      <w:r>
        <w:rPr>
          <w:color w:val="auto"/>
          <w:spacing w:val="1"/>
          <w:position w:val="1"/>
          <w:sz w:val="24"/>
          <w:szCs w:val="24"/>
        </w:rPr>
        <w:t>）；</w:t>
      </w:r>
    </w:p>
    <w:p w14:paraId="6A83064D">
      <w:pPr>
        <w:pStyle w:val="9"/>
        <w:spacing w:before="142" w:line="323" w:lineRule="exact"/>
        <w:ind w:left="976"/>
        <w:rPr>
          <w:color w:val="auto"/>
          <w:sz w:val="24"/>
          <w:szCs w:val="24"/>
        </w:rPr>
      </w:pPr>
      <w:r>
        <w:rPr>
          <w:rFonts w:ascii="Times New Roman" w:hAnsi="Times New Roman" w:eastAsia="Times New Roman" w:cs="Times New Roman"/>
          <w:color w:val="auto"/>
          <w:spacing w:val="-1"/>
          <w:position w:val="1"/>
          <w:sz w:val="24"/>
          <w:szCs w:val="24"/>
        </w:rPr>
        <w:t>Li=</w:t>
      </w:r>
      <w:r>
        <w:rPr>
          <w:color w:val="auto"/>
          <w:spacing w:val="-1"/>
          <w:position w:val="1"/>
          <w:sz w:val="24"/>
          <w:szCs w:val="24"/>
        </w:rPr>
        <w:t>第</w:t>
      </w:r>
      <w:r>
        <w:rPr>
          <w:color w:val="auto"/>
          <w:spacing w:val="-54"/>
          <w:position w:val="1"/>
          <w:sz w:val="24"/>
          <w:szCs w:val="24"/>
        </w:rPr>
        <w:t xml:space="preserve"> </w:t>
      </w:r>
      <w:r>
        <w:rPr>
          <w:rFonts w:ascii="Times New Roman" w:hAnsi="Times New Roman" w:eastAsia="Times New Roman" w:cs="Times New Roman"/>
          <w:color w:val="auto"/>
          <w:spacing w:val="-1"/>
          <w:position w:val="1"/>
          <w:sz w:val="24"/>
          <w:szCs w:val="24"/>
        </w:rPr>
        <w:t xml:space="preserve">i </w:t>
      </w:r>
      <w:r>
        <w:rPr>
          <w:color w:val="auto"/>
          <w:spacing w:val="-1"/>
          <w:position w:val="1"/>
          <w:sz w:val="24"/>
          <w:szCs w:val="24"/>
        </w:rPr>
        <w:t>个声源对预测点的声级影响，</w:t>
      </w:r>
      <w:r>
        <w:rPr>
          <w:rFonts w:ascii="Times New Roman" w:hAnsi="Times New Roman" w:eastAsia="Times New Roman" w:cs="Times New Roman"/>
          <w:color w:val="auto"/>
          <w:spacing w:val="-1"/>
          <w:position w:val="1"/>
          <w:sz w:val="24"/>
          <w:szCs w:val="24"/>
        </w:rPr>
        <w:t>dB</w:t>
      </w:r>
      <w:r>
        <w:rPr>
          <w:color w:val="auto"/>
          <w:spacing w:val="-1"/>
          <w:position w:val="1"/>
          <w:sz w:val="24"/>
          <w:szCs w:val="24"/>
        </w:rPr>
        <w:t>（</w:t>
      </w:r>
      <w:r>
        <w:rPr>
          <w:rFonts w:ascii="Times New Roman" w:hAnsi="Times New Roman" w:eastAsia="Times New Roman" w:cs="Times New Roman"/>
          <w:color w:val="auto"/>
          <w:spacing w:val="-1"/>
          <w:position w:val="1"/>
          <w:sz w:val="24"/>
          <w:szCs w:val="24"/>
        </w:rPr>
        <w:t>A</w:t>
      </w:r>
      <w:r>
        <w:rPr>
          <w:color w:val="auto"/>
          <w:spacing w:val="4"/>
          <w:position w:val="1"/>
          <w:sz w:val="24"/>
          <w:szCs w:val="24"/>
        </w:rPr>
        <w:t>）；</w:t>
      </w:r>
    </w:p>
    <w:p w14:paraId="57154F88">
      <w:pPr>
        <w:pStyle w:val="9"/>
        <w:spacing w:before="188" w:line="359" w:lineRule="auto"/>
        <w:ind w:left="26" w:right="219" w:firstLine="476"/>
        <w:rPr>
          <w:color w:val="auto"/>
          <w:sz w:val="24"/>
          <w:szCs w:val="24"/>
        </w:rPr>
      </w:pPr>
      <w:r>
        <w:rPr>
          <w:color w:val="auto"/>
          <w:spacing w:val="-3"/>
          <w:sz w:val="24"/>
          <w:szCs w:val="24"/>
        </w:rPr>
        <w:t>预测单台施工机械不同距离处的贡献值以及多声源叠加的总等效声级</w:t>
      </w:r>
      <w:r>
        <w:rPr>
          <w:color w:val="auto"/>
          <w:spacing w:val="-4"/>
          <w:sz w:val="24"/>
          <w:szCs w:val="24"/>
        </w:rPr>
        <w:t>，预测结果详见下表</w:t>
      </w:r>
      <w:r>
        <w:rPr>
          <w:color w:val="auto"/>
          <w:spacing w:val="-49"/>
          <w:sz w:val="24"/>
          <w:szCs w:val="24"/>
        </w:rPr>
        <w:t xml:space="preserve"> </w:t>
      </w:r>
      <w:r>
        <w:rPr>
          <w:rFonts w:ascii="Times New Roman" w:hAnsi="Times New Roman" w:eastAsia="Times New Roman" w:cs="Times New Roman"/>
          <w:color w:val="auto"/>
          <w:spacing w:val="-4"/>
          <w:sz w:val="24"/>
          <w:szCs w:val="24"/>
        </w:rPr>
        <w:t>4.1-</w:t>
      </w:r>
      <w:r>
        <w:rPr>
          <w:rFonts w:hint="eastAsia" w:ascii="Times New Roman" w:hAnsi="Times New Roman" w:eastAsia="宋体" w:cs="Times New Roman"/>
          <w:color w:val="auto"/>
          <w:spacing w:val="-32"/>
          <w:sz w:val="24"/>
          <w:szCs w:val="24"/>
          <w:lang w:val="en-US" w:eastAsia="zh-CN"/>
        </w:rPr>
        <w:t>2</w:t>
      </w:r>
      <w:r>
        <w:rPr>
          <w:color w:val="auto"/>
          <w:spacing w:val="-4"/>
          <w:sz w:val="24"/>
          <w:szCs w:val="24"/>
        </w:rPr>
        <w:t>。</w:t>
      </w:r>
    </w:p>
    <w:p w14:paraId="1926AC43">
      <w:pPr>
        <w:pStyle w:val="9"/>
        <w:spacing w:before="1" w:line="212" w:lineRule="auto"/>
        <w:ind w:left="802"/>
        <w:rPr>
          <w:color w:val="auto"/>
        </w:rPr>
      </w:pPr>
      <w:r>
        <w:rPr>
          <w:b/>
          <w:bCs/>
          <w:color w:val="auto"/>
          <w:spacing w:val="-1"/>
        </w:rPr>
        <w:t>表</w:t>
      </w:r>
      <w:r>
        <w:rPr>
          <w:color w:val="auto"/>
          <w:spacing w:val="-54"/>
        </w:rPr>
        <w:t xml:space="preserve"> </w:t>
      </w:r>
      <w:r>
        <w:rPr>
          <w:rFonts w:ascii="Times New Roman" w:hAnsi="Times New Roman" w:eastAsia="Times New Roman" w:cs="Times New Roman"/>
          <w:b/>
          <w:bCs/>
          <w:color w:val="auto"/>
          <w:spacing w:val="-1"/>
        </w:rPr>
        <w:t>4.1-</w:t>
      </w:r>
      <w:r>
        <w:rPr>
          <w:rFonts w:hint="eastAsia" w:ascii="Times New Roman" w:hAnsi="Times New Roman" w:eastAsia="宋体" w:cs="Times New Roman"/>
          <w:b/>
          <w:bCs/>
          <w:color w:val="auto"/>
          <w:spacing w:val="-1"/>
          <w:lang w:val="en-US" w:eastAsia="zh-CN"/>
        </w:rPr>
        <w:t>2</w:t>
      </w:r>
      <w:r>
        <w:rPr>
          <w:rFonts w:ascii="Times New Roman" w:hAnsi="Times New Roman" w:eastAsia="Times New Roman" w:cs="Times New Roman"/>
          <w:b/>
          <w:bCs/>
          <w:color w:val="auto"/>
          <w:spacing w:val="-1"/>
        </w:rPr>
        <w:t xml:space="preserve">   </w:t>
      </w:r>
      <w:r>
        <w:rPr>
          <w:b/>
          <w:bCs/>
          <w:color w:val="auto"/>
          <w:spacing w:val="-1"/>
        </w:rPr>
        <w:t>各主要施工机械在不同距离</w:t>
      </w:r>
      <w:r>
        <w:rPr>
          <w:b/>
          <w:bCs/>
          <w:color w:val="auto"/>
          <w:spacing w:val="-2"/>
        </w:rPr>
        <w:t>处的贡献值</w:t>
      </w:r>
      <w:r>
        <w:rPr>
          <w:color w:val="auto"/>
          <w:spacing w:val="-2"/>
        </w:rPr>
        <w:t xml:space="preserve">  </w:t>
      </w:r>
      <w:r>
        <w:rPr>
          <w:b/>
          <w:bCs/>
          <w:color w:val="auto"/>
          <w:spacing w:val="-2"/>
        </w:rPr>
        <w:t>单位：</w:t>
      </w:r>
      <w:r>
        <w:rPr>
          <w:rFonts w:ascii="Times New Roman" w:hAnsi="Times New Roman" w:eastAsia="Times New Roman" w:cs="Times New Roman"/>
          <w:b/>
          <w:bCs/>
          <w:color w:val="auto"/>
          <w:spacing w:val="-2"/>
        </w:rPr>
        <w:t>dB</w:t>
      </w:r>
      <w:r>
        <w:rPr>
          <w:b/>
          <w:bCs/>
          <w:color w:val="auto"/>
          <w:spacing w:val="-2"/>
        </w:rPr>
        <w:t>（</w:t>
      </w:r>
      <w:r>
        <w:rPr>
          <w:rFonts w:ascii="Times New Roman" w:hAnsi="Times New Roman" w:eastAsia="Times New Roman" w:cs="Times New Roman"/>
          <w:b/>
          <w:bCs/>
          <w:color w:val="auto"/>
          <w:spacing w:val="-2"/>
        </w:rPr>
        <w:t>A</w:t>
      </w:r>
      <w:r>
        <w:rPr>
          <w:b/>
          <w:bCs/>
          <w:color w:val="auto"/>
          <w:spacing w:val="-2"/>
        </w:rPr>
        <w:t>）</w:t>
      </w:r>
    </w:p>
    <w:tbl>
      <w:tblPr>
        <w:tblStyle w:val="26"/>
        <w:tblW w:w="8487"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5"/>
        <w:gridCol w:w="1283"/>
        <w:gridCol w:w="732"/>
        <w:gridCol w:w="583"/>
        <w:gridCol w:w="584"/>
        <w:gridCol w:w="566"/>
        <w:gridCol w:w="699"/>
        <w:gridCol w:w="550"/>
        <w:gridCol w:w="633"/>
        <w:gridCol w:w="583"/>
        <w:gridCol w:w="600"/>
        <w:gridCol w:w="567"/>
        <w:gridCol w:w="622"/>
      </w:tblGrid>
      <w:tr w14:paraId="51203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85" w:type="dxa"/>
            <w:vMerge w:val="restart"/>
            <w:tcBorders>
              <w:bottom w:val="nil"/>
            </w:tcBorders>
            <w:vAlign w:val="center"/>
          </w:tcPr>
          <w:p w14:paraId="6B8269D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序号</w:t>
            </w:r>
          </w:p>
        </w:tc>
        <w:tc>
          <w:tcPr>
            <w:tcW w:w="1283" w:type="dxa"/>
            <w:vMerge w:val="restart"/>
            <w:tcBorders>
              <w:bottom w:val="nil"/>
            </w:tcBorders>
            <w:vAlign w:val="center"/>
          </w:tcPr>
          <w:p w14:paraId="55023C1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b/>
                <w:bCs/>
                <w:color w:val="auto"/>
                <w:spacing w:val="0"/>
                <w:sz w:val="21"/>
                <w:szCs w:val="21"/>
              </w:rPr>
              <w:t>机械名称</w:t>
            </w:r>
          </w:p>
        </w:tc>
        <w:tc>
          <w:tcPr>
            <w:tcW w:w="732" w:type="dxa"/>
            <w:vMerge w:val="restart"/>
            <w:tcBorders>
              <w:bottom w:val="nil"/>
            </w:tcBorders>
            <w:vAlign w:val="center"/>
          </w:tcPr>
          <w:p w14:paraId="1A79D69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rFonts w:ascii="Times New Roman" w:hAnsi="Times New Roman" w:eastAsia="Times New Roman" w:cs="Times New Roman"/>
                <w:b/>
                <w:bCs/>
                <w:color w:val="auto"/>
                <w:spacing w:val="0"/>
                <w:sz w:val="21"/>
                <w:szCs w:val="21"/>
              </w:rPr>
              <w:t>10m</w:t>
            </w:r>
            <w:r>
              <w:rPr>
                <w:b/>
                <w:bCs/>
                <w:color w:val="auto"/>
                <w:spacing w:val="0"/>
                <w:sz w:val="21"/>
                <w:szCs w:val="21"/>
              </w:rPr>
              <w:t>处的源强</w:t>
            </w:r>
          </w:p>
        </w:tc>
        <w:tc>
          <w:tcPr>
            <w:tcW w:w="5987" w:type="dxa"/>
            <w:gridSpan w:val="10"/>
            <w:vAlign w:val="center"/>
          </w:tcPr>
          <w:p w14:paraId="450F73F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b/>
                <w:bCs/>
                <w:color w:val="auto"/>
                <w:spacing w:val="0"/>
                <w:sz w:val="21"/>
                <w:szCs w:val="21"/>
              </w:rPr>
              <w:t>不同距离处的噪声预测</w:t>
            </w:r>
            <w:r>
              <w:rPr>
                <w:color w:val="auto"/>
                <w:spacing w:val="0"/>
                <w:sz w:val="21"/>
                <w:szCs w:val="21"/>
              </w:rPr>
              <w:t xml:space="preserve"> </w:t>
            </w:r>
            <w:r>
              <w:rPr>
                <w:rFonts w:ascii="Times New Roman" w:hAnsi="Times New Roman" w:eastAsia="Times New Roman" w:cs="Times New Roman"/>
                <w:b/>
                <w:bCs/>
                <w:color w:val="auto"/>
                <w:spacing w:val="0"/>
                <w:sz w:val="21"/>
                <w:szCs w:val="21"/>
              </w:rPr>
              <w:t>dB(A)</w:t>
            </w:r>
          </w:p>
        </w:tc>
      </w:tr>
      <w:tr w14:paraId="10218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85" w:type="dxa"/>
            <w:vMerge w:val="continue"/>
            <w:tcBorders>
              <w:top w:val="nil"/>
            </w:tcBorders>
            <w:vAlign w:val="center"/>
          </w:tcPr>
          <w:p w14:paraId="6D11F5D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1283" w:type="dxa"/>
            <w:vMerge w:val="continue"/>
            <w:tcBorders>
              <w:top w:val="nil"/>
            </w:tcBorders>
            <w:vAlign w:val="center"/>
          </w:tcPr>
          <w:p w14:paraId="2CB13BB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732" w:type="dxa"/>
            <w:vMerge w:val="continue"/>
            <w:tcBorders>
              <w:top w:val="nil"/>
            </w:tcBorders>
            <w:vAlign w:val="center"/>
          </w:tcPr>
          <w:p w14:paraId="58F7EF9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sz w:val="21"/>
                <w:szCs w:val="21"/>
              </w:rPr>
            </w:pPr>
          </w:p>
        </w:tc>
        <w:tc>
          <w:tcPr>
            <w:tcW w:w="583" w:type="dxa"/>
            <w:vAlign w:val="center"/>
          </w:tcPr>
          <w:p w14:paraId="3D4314C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b/>
                <w:bCs/>
                <w:color w:val="auto"/>
                <w:spacing w:val="0"/>
                <w:sz w:val="21"/>
                <w:szCs w:val="21"/>
              </w:rPr>
              <w:t>20m</w:t>
            </w:r>
          </w:p>
        </w:tc>
        <w:tc>
          <w:tcPr>
            <w:tcW w:w="584" w:type="dxa"/>
            <w:vAlign w:val="center"/>
          </w:tcPr>
          <w:p w14:paraId="327D0D2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b/>
                <w:bCs/>
                <w:color w:val="auto"/>
                <w:spacing w:val="0"/>
                <w:sz w:val="21"/>
                <w:szCs w:val="21"/>
              </w:rPr>
              <w:t>30m</w:t>
            </w:r>
          </w:p>
        </w:tc>
        <w:tc>
          <w:tcPr>
            <w:tcW w:w="566" w:type="dxa"/>
            <w:vAlign w:val="center"/>
          </w:tcPr>
          <w:p w14:paraId="680A419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b/>
                <w:bCs/>
                <w:color w:val="auto"/>
                <w:spacing w:val="0"/>
                <w:sz w:val="21"/>
                <w:szCs w:val="21"/>
              </w:rPr>
              <w:t>40m</w:t>
            </w:r>
          </w:p>
        </w:tc>
        <w:tc>
          <w:tcPr>
            <w:tcW w:w="699" w:type="dxa"/>
            <w:vAlign w:val="center"/>
          </w:tcPr>
          <w:p w14:paraId="44A0C78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b/>
                <w:bCs/>
                <w:color w:val="auto"/>
                <w:spacing w:val="0"/>
                <w:sz w:val="21"/>
                <w:szCs w:val="21"/>
              </w:rPr>
              <w:t>5</w:t>
            </w:r>
            <w:r>
              <w:rPr>
                <w:rFonts w:hint="eastAsia" w:ascii="Times New Roman" w:hAnsi="Times New Roman" w:eastAsia="宋体" w:cs="Times New Roman"/>
                <w:b/>
                <w:bCs/>
                <w:color w:val="auto"/>
                <w:spacing w:val="0"/>
                <w:sz w:val="21"/>
                <w:szCs w:val="21"/>
                <w:lang w:val="en-US" w:eastAsia="zh-CN"/>
              </w:rPr>
              <w:t>0</w:t>
            </w:r>
            <w:r>
              <w:rPr>
                <w:rFonts w:ascii="Times New Roman" w:hAnsi="Times New Roman" w:eastAsia="Times New Roman" w:cs="Times New Roman"/>
                <w:b/>
                <w:bCs/>
                <w:color w:val="auto"/>
                <w:spacing w:val="0"/>
                <w:sz w:val="21"/>
                <w:szCs w:val="21"/>
              </w:rPr>
              <w:t>m</w:t>
            </w:r>
          </w:p>
        </w:tc>
        <w:tc>
          <w:tcPr>
            <w:tcW w:w="550" w:type="dxa"/>
            <w:vAlign w:val="center"/>
          </w:tcPr>
          <w:p w14:paraId="798346E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hint="eastAsia" w:ascii="Times New Roman" w:hAnsi="Times New Roman" w:eastAsia="宋体" w:cs="Times New Roman"/>
                <w:b/>
                <w:bCs/>
                <w:color w:val="auto"/>
                <w:spacing w:val="0"/>
                <w:sz w:val="21"/>
                <w:szCs w:val="21"/>
                <w:lang w:val="en-US" w:eastAsia="zh-CN"/>
              </w:rPr>
              <w:t>6</w:t>
            </w:r>
            <w:r>
              <w:rPr>
                <w:rFonts w:ascii="Times New Roman" w:hAnsi="Times New Roman" w:eastAsia="Times New Roman" w:cs="Times New Roman"/>
                <w:b/>
                <w:bCs/>
                <w:color w:val="auto"/>
                <w:spacing w:val="0"/>
                <w:sz w:val="21"/>
                <w:szCs w:val="21"/>
              </w:rPr>
              <w:t>0m</w:t>
            </w:r>
          </w:p>
        </w:tc>
        <w:tc>
          <w:tcPr>
            <w:tcW w:w="633" w:type="dxa"/>
            <w:vAlign w:val="center"/>
          </w:tcPr>
          <w:p w14:paraId="5E4D043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hint="eastAsia" w:ascii="Times New Roman" w:hAnsi="Times New Roman" w:eastAsia="宋体" w:cs="Times New Roman"/>
                <w:b/>
                <w:bCs/>
                <w:color w:val="auto"/>
                <w:spacing w:val="0"/>
                <w:sz w:val="21"/>
                <w:szCs w:val="21"/>
                <w:lang w:val="en-US" w:eastAsia="zh-CN"/>
              </w:rPr>
              <w:t>7</w:t>
            </w:r>
            <w:r>
              <w:rPr>
                <w:rFonts w:ascii="Times New Roman" w:hAnsi="Times New Roman" w:eastAsia="Times New Roman" w:cs="Times New Roman"/>
                <w:b/>
                <w:bCs/>
                <w:color w:val="auto"/>
                <w:spacing w:val="0"/>
                <w:sz w:val="21"/>
                <w:szCs w:val="21"/>
              </w:rPr>
              <w:t>0m</w:t>
            </w:r>
          </w:p>
        </w:tc>
        <w:tc>
          <w:tcPr>
            <w:tcW w:w="583" w:type="dxa"/>
            <w:vAlign w:val="center"/>
          </w:tcPr>
          <w:p w14:paraId="60B84D7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hint="eastAsia" w:ascii="Times New Roman" w:hAnsi="Times New Roman" w:eastAsia="宋体" w:cs="Times New Roman"/>
                <w:b/>
                <w:bCs/>
                <w:color w:val="auto"/>
                <w:spacing w:val="0"/>
                <w:sz w:val="21"/>
                <w:szCs w:val="21"/>
                <w:lang w:val="en-US" w:eastAsia="zh-CN"/>
              </w:rPr>
              <w:t>8</w:t>
            </w:r>
            <w:r>
              <w:rPr>
                <w:rFonts w:ascii="Times New Roman" w:hAnsi="Times New Roman" w:eastAsia="Times New Roman" w:cs="Times New Roman"/>
                <w:b/>
                <w:bCs/>
                <w:color w:val="auto"/>
                <w:spacing w:val="0"/>
                <w:sz w:val="21"/>
                <w:szCs w:val="21"/>
              </w:rPr>
              <w:t>0</w:t>
            </w:r>
          </w:p>
        </w:tc>
        <w:tc>
          <w:tcPr>
            <w:tcW w:w="600" w:type="dxa"/>
            <w:vAlign w:val="center"/>
          </w:tcPr>
          <w:p w14:paraId="58F9DFA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hint="eastAsia" w:ascii="Times New Roman" w:hAnsi="Times New Roman" w:eastAsia="宋体" w:cs="Times New Roman"/>
                <w:b/>
                <w:bCs/>
                <w:color w:val="auto"/>
                <w:spacing w:val="0"/>
                <w:sz w:val="21"/>
                <w:szCs w:val="21"/>
                <w:lang w:val="en-US" w:eastAsia="zh-CN"/>
              </w:rPr>
              <w:t>9</w:t>
            </w:r>
            <w:r>
              <w:rPr>
                <w:rFonts w:ascii="Times New Roman" w:hAnsi="Times New Roman" w:eastAsia="Times New Roman" w:cs="Times New Roman"/>
                <w:b/>
                <w:bCs/>
                <w:color w:val="auto"/>
                <w:spacing w:val="0"/>
                <w:sz w:val="21"/>
                <w:szCs w:val="21"/>
              </w:rPr>
              <w:t>0m</w:t>
            </w:r>
          </w:p>
        </w:tc>
        <w:tc>
          <w:tcPr>
            <w:tcW w:w="567" w:type="dxa"/>
            <w:vAlign w:val="center"/>
          </w:tcPr>
          <w:p w14:paraId="78D9319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hint="eastAsia" w:ascii="Times New Roman" w:hAnsi="Times New Roman" w:eastAsia="宋体" w:cs="Times New Roman"/>
                <w:b/>
                <w:bCs/>
                <w:color w:val="auto"/>
                <w:spacing w:val="0"/>
                <w:sz w:val="21"/>
                <w:szCs w:val="21"/>
                <w:lang w:val="en-US" w:eastAsia="zh-CN"/>
              </w:rPr>
              <w:t>10</w:t>
            </w:r>
            <w:r>
              <w:rPr>
                <w:rFonts w:ascii="Times New Roman" w:hAnsi="Times New Roman" w:eastAsia="Times New Roman" w:cs="Times New Roman"/>
                <w:b/>
                <w:bCs/>
                <w:color w:val="auto"/>
                <w:spacing w:val="0"/>
                <w:sz w:val="21"/>
                <w:szCs w:val="21"/>
              </w:rPr>
              <w:t>0m</w:t>
            </w:r>
          </w:p>
        </w:tc>
        <w:tc>
          <w:tcPr>
            <w:tcW w:w="622" w:type="dxa"/>
            <w:vAlign w:val="center"/>
          </w:tcPr>
          <w:p w14:paraId="460E23F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hint="eastAsia" w:ascii="Times New Roman" w:hAnsi="Times New Roman" w:eastAsia="宋体" w:cs="Times New Roman"/>
                <w:b/>
                <w:bCs/>
                <w:color w:val="auto"/>
                <w:spacing w:val="0"/>
                <w:sz w:val="21"/>
                <w:szCs w:val="21"/>
                <w:lang w:val="en-US" w:eastAsia="zh-CN"/>
              </w:rPr>
              <w:t>2</w:t>
            </w:r>
            <w:r>
              <w:rPr>
                <w:rFonts w:ascii="Times New Roman" w:hAnsi="Times New Roman" w:eastAsia="Times New Roman" w:cs="Times New Roman"/>
                <w:b/>
                <w:bCs/>
                <w:color w:val="auto"/>
                <w:spacing w:val="0"/>
                <w:sz w:val="21"/>
                <w:szCs w:val="21"/>
              </w:rPr>
              <w:t>00m</w:t>
            </w:r>
          </w:p>
        </w:tc>
      </w:tr>
      <w:tr w14:paraId="4086C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85" w:type="dxa"/>
            <w:vAlign w:val="center"/>
          </w:tcPr>
          <w:p w14:paraId="5C976F7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1</w:t>
            </w:r>
          </w:p>
        </w:tc>
        <w:tc>
          <w:tcPr>
            <w:tcW w:w="1283" w:type="dxa"/>
            <w:vAlign w:val="center"/>
          </w:tcPr>
          <w:p w14:paraId="20C521BA">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default" w:ascii="Times New Roman" w:hAnsi="Times New Roman" w:cs="Times New Roman" w:eastAsiaTheme="minorEastAsia"/>
                <w:color w:val="auto"/>
                <w:kern w:val="2"/>
                <w:sz w:val="21"/>
                <w:szCs w:val="21"/>
                <w:highlight w:val="none"/>
                <w:lang w:val="en-US" w:eastAsia="zh-CN" w:bidi="ar-SA"/>
              </w:rPr>
              <w:t>混凝土输送泵</w:t>
            </w:r>
          </w:p>
        </w:tc>
        <w:tc>
          <w:tcPr>
            <w:tcW w:w="732" w:type="dxa"/>
            <w:vAlign w:val="center"/>
          </w:tcPr>
          <w:p w14:paraId="2A5E2BCC">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84</w:t>
            </w:r>
          </w:p>
        </w:tc>
        <w:tc>
          <w:tcPr>
            <w:tcW w:w="583" w:type="dxa"/>
            <w:vAlign w:val="center"/>
          </w:tcPr>
          <w:p w14:paraId="0A694BD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78.0</w:t>
            </w:r>
          </w:p>
        </w:tc>
        <w:tc>
          <w:tcPr>
            <w:tcW w:w="584" w:type="dxa"/>
            <w:vAlign w:val="center"/>
          </w:tcPr>
          <w:p w14:paraId="52DB908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74.5</w:t>
            </w:r>
          </w:p>
        </w:tc>
        <w:tc>
          <w:tcPr>
            <w:tcW w:w="566" w:type="dxa"/>
            <w:vAlign w:val="center"/>
          </w:tcPr>
          <w:p w14:paraId="46F58EC4">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72.0</w:t>
            </w:r>
          </w:p>
        </w:tc>
        <w:tc>
          <w:tcPr>
            <w:tcW w:w="699" w:type="dxa"/>
            <w:vAlign w:val="center"/>
          </w:tcPr>
          <w:p w14:paraId="5F8D84F8">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70.0</w:t>
            </w:r>
          </w:p>
        </w:tc>
        <w:tc>
          <w:tcPr>
            <w:tcW w:w="550" w:type="dxa"/>
            <w:vAlign w:val="center"/>
          </w:tcPr>
          <w:p w14:paraId="1F68425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68.4</w:t>
            </w:r>
          </w:p>
        </w:tc>
        <w:tc>
          <w:tcPr>
            <w:tcW w:w="633" w:type="dxa"/>
            <w:vAlign w:val="center"/>
          </w:tcPr>
          <w:p w14:paraId="4663BA41">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67.1</w:t>
            </w:r>
          </w:p>
        </w:tc>
        <w:tc>
          <w:tcPr>
            <w:tcW w:w="583" w:type="dxa"/>
            <w:vAlign w:val="center"/>
          </w:tcPr>
          <w:p w14:paraId="041814CD">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65.9</w:t>
            </w:r>
          </w:p>
        </w:tc>
        <w:tc>
          <w:tcPr>
            <w:tcW w:w="600" w:type="dxa"/>
            <w:vAlign w:val="center"/>
          </w:tcPr>
          <w:p w14:paraId="749B3477">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64.9</w:t>
            </w:r>
          </w:p>
        </w:tc>
        <w:tc>
          <w:tcPr>
            <w:tcW w:w="567" w:type="dxa"/>
            <w:vAlign w:val="center"/>
          </w:tcPr>
          <w:p w14:paraId="021C825B">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64.0</w:t>
            </w:r>
          </w:p>
        </w:tc>
        <w:tc>
          <w:tcPr>
            <w:tcW w:w="622" w:type="dxa"/>
            <w:vAlign w:val="center"/>
          </w:tcPr>
          <w:p w14:paraId="12C2F4F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58.0</w:t>
            </w:r>
          </w:p>
        </w:tc>
      </w:tr>
      <w:tr w14:paraId="6A15F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85" w:type="dxa"/>
            <w:vAlign w:val="center"/>
          </w:tcPr>
          <w:p w14:paraId="1054650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2</w:t>
            </w:r>
          </w:p>
        </w:tc>
        <w:tc>
          <w:tcPr>
            <w:tcW w:w="1283" w:type="dxa"/>
            <w:vAlign w:val="center"/>
          </w:tcPr>
          <w:p w14:paraId="0524D70A">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default" w:ascii="Times New Roman" w:hAnsi="Times New Roman" w:cs="Times New Roman" w:eastAsiaTheme="minorEastAsia"/>
                <w:color w:val="auto"/>
                <w:kern w:val="2"/>
                <w:sz w:val="21"/>
                <w:szCs w:val="21"/>
                <w:highlight w:val="none"/>
                <w:lang w:val="en-US" w:eastAsia="zh-CN" w:bidi="ar-SA"/>
              </w:rPr>
              <w:t>振捣机</w:t>
            </w:r>
          </w:p>
        </w:tc>
        <w:tc>
          <w:tcPr>
            <w:tcW w:w="732" w:type="dxa"/>
            <w:vAlign w:val="center"/>
          </w:tcPr>
          <w:p w14:paraId="0EE7BAE3">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75</w:t>
            </w:r>
          </w:p>
        </w:tc>
        <w:tc>
          <w:tcPr>
            <w:tcW w:w="583" w:type="dxa"/>
            <w:vAlign w:val="center"/>
          </w:tcPr>
          <w:p w14:paraId="66D1E838">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69.0</w:t>
            </w:r>
          </w:p>
        </w:tc>
        <w:tc>
          <w:tcPr>
            <w:tcW w:w="584" w:type="dxa"/>
            <w:vAlign w:val="center"/>
          </w:tcPr>
          <w:p w14:paraId="18663791">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65.5</w:t>
            </w:r>
          </w:p>
        </w:tc>
        <w:tc>
          <w:tcPr>
            <w:tcW w:w="566" w:type="dxa"/>
            <w:vAlign w:val="center"/>
          </w:tcPr>
          <w:p w14:paraId="64D1957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63.0</w:t>
            </w:r>
          </w:p>
        </w:tc>
        <w:tc>
          <w:tcPr>
            <w:tcW w:w="699" w:type="dxa"/>
            <w:vAlign w:val="center"/>
          </w:tcPr>
          <w:p w14:paraId="2BE5773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61.0</w:t>
            </w:r>
          </w:p>
        </w:tc>
        <w:tc>
          <w:tcPr>
            <w:tcW w:w="550" w:type="dxa"/>
            <w:vAlign w:val="center"/>
          </w:tcPr>
          <w:p w14:paraId="1755DE9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59.4</w:t>
            </w:r>
          </w:p>
        </w:tc>
        <w:tc>
          <w:tcPr>
            <w:tcW w:w="633" w:type="dxa"/>
            <w:vAlign w:val="center"/>
          </w:tcPr>
          <w:p w14:paraId="136F2BD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58.1</w:t>
            </w:r>
          </w:p>
        </w:tc>
        <w:tc>
          <w:tcPr>
            <w:tcW w:w="583" w:type="dxa"/>
            <w:vAlign w:val="center"/>
          </w:tcPr>
          <w:p w14:paraId="2BC6D761">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56.9</w:t>
            </w:r>
          </w:p>
        </w:tc>
        <w:tc>
          <w:tcPr>
            <w:tcW w:w="600" w:type="dxa"/>
            <w:vAlign w:val="center"/>
          </w:tcPr>
          <w:p w14:paraId="687CA4DB">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55.9</w:t>
            </w:r>
          </w:p>
        </w:tc>
        <w:tc>
          <w:tcPr>
            <w:tcW w:w="567" w:type="dxa"/>
            <w:vAlign w:val="center"/>
          </w:tcPr>
          <w:p w14:paraId="3522DE5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55.0</w:t>
            </w:r>
          </w:p>
        </w:tc>
        <w:tc>
          <w:tcPr>
            <w:tcW w:w="622" w:type="dxa"/>
            <w:vAlign w:val="center"/>
          </w:tcPr>
          <w:p w14:paraId="1F4F7F3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49.0</w:t>
            </w:r>
          </w:p>
        </w:tc>
      </w:tr>
      <w:tr w14:paraId="63B85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85" w:type="dxa"/>
            <w:vAlign w:val="center"/>
          </w:tcPr>
          <w:p w14:paraId="5D88DF0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3</w:t>
            </w:r>
          </w:p>
        </w:tc>
        <w:tc>
          <w:tcPr>
            <w:tcW w:w="1283" w:type="dxa"/>
            <w:vAlign w:val="center"/>
          </w:tcPr>
          <w:p w14:paraId="04A03AF5">
            <w:pPr>
              <w:pStyle w:val="27"/>
              <w:keepNext w:val="0"/>
              <w:keepLines w:val="0"/>
              <w:pageBreakBefore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color w:val="auto"/>
                <w:spacing w:val="4"/>
                <w:sz w:val="21"/>
                <w:szCs w:val="21"/>
              </w:rPr>
              <w:t>空压机</w:t>
            </w:r>
          </w:p>
        </w:tc>
        <w:tc>
          <w:tcPr>
            <w:tcW w:w="732" w:type="dxa"/>
            <w:vAlign w:val="center"/>
          </w:tcPr>
          <w:p w14:paraId="3AF1C8CB">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83</w:t>
            </w:r>
          </w:p>
        </w:tc>
        <w:tc>
          <w:tcPr>
            <w:tcW w:w="583" w:type="dxa"/>
            <w:vAlign w:val="center"/>
          </w:tcPr>
          <w:p w14:paraId="054CE60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77.0</w:t>
            </w:r>
          </w:p>
        </w:tc>
        <w:tc>
          <w:tcPr>
            <w:tcW w:w="584" w:type="dxa"/>
            <w:vAlign w:val="center"/>
          </w:tcPr>
          <w:p w14:paraId="6E7A580D">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73.5</w:t>
            </w:r>
          </w:p>
        </w:tc>
        <w:tc>
          <w:tcPr>
            <w:tcW w:w="566" w:type="dxa"/>
            <w:vAlign w:val="center"/>
          </w:tcPr>
          <w:p w14:paraId="12E3698D">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71.0</w:t>
            </w:r>
          </w:p>
        </w:tc>
        <w:tc>
          <w:tcPr>
            <w:tcW w:w="699" w:type="dxa"/>
            <w:vAlign w:val="center"/>
          </w:tcPr>
          <w:p w14:paraId="280F8A3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69.0</w:t>
            </w:r>
          </w:p>
        </w:tc>
        <w:tc>
          <w:tcPr>
            <w:tcW w:w="550" w:type="dxa"/>
            <w:vAlign w:val="center"/>
          </w:tcPr>
          <w:p w14:paraId="6433D31C">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67.4</w:t>
            </w:r>
          </w:p>
        </w:tc>
        <w:tc>
          <w:tcPr>
            <w:tcW w:w="633" w:type="dxa"/>
            <w:vAlign w:val="center"/>
          </w:tcPr>
          <w:p w14:paraId="7C7DBC68">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66.1</w:t>
            </w:r>
          </w:p>
        </w:tc>
        <w:tc>
          <w:tcPr>
            <w:tcW w:w="583" w:type="dxa"/>
            <w:vAlign w:val="center"/>
          </w:tcPr>
          <w:p w14:paraId="0092A69C">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64.9</w:t>
            </w:r>
          </w:p>
        </w:tc>
        <w:tc>
          <w:tcPr>
            <w:tcW w:w="600" w:type="dxa"/>
            <w:vAlign w:val="center"/>
          </w:tcPr>
          <w:p w14:paraId="0332DE4B">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63.9</w:t>
            </w:r>
          </w:p>
        </w:tc>
        <w:tc>
          <w:tcPr>
            <w:tcW w:w="567" w:type="dxa"/>
            <w:vAlign w:val="center"/>
          </w:tcPr>
          <w:p w14:paraId="73859480">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63.0</w:t>
            </w:r>
          </w:p>
        </w:tc>
        <w:tc>
          <w:tcPr>
            <w:tcW w:w="622" w:type="dxa"/>
            <w:vAlign w:val="center"/>
          </w:tcPr>
          <w:p w14:paraId="1764DEF6">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57.0</w:t>
            </w:r>
          </w:p>
        </w:tc>
      </w:tr>
      <w:tr w14:paraId="3822D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85" w:type="dxa"/>
            <w:vAlign w:val="center"/>
          </w:tcPr>
          <w:p w14:paraId="4433301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4</w:t>
            </w:r>
          </w:p>
        </w:tc>
        <w:tc>
          <w:tcPr>
            <w:tcW w:w="1283" w:type="dxa"/>
            <w:vAlign w:val="center"/>
          </w:tcPr>
          <w:p w14:paraId="49BCFBCD">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default" w:ascii="Times New Roman" w:hAnsi="Times New Roman" w:cs="Times New Roman" w:eastAsiaTheme="minorEastAsia"/>
                <w:color w:val="auto"/>
                <w:kern w:val="2"/>
                <w:sz w:val="21"/>
                <w:szCs w:val="21"/>
                <w:highlight w:val="none"/>
                <w:lang w:val="en-US" w:eastAsia="zh-CN" w:bidi="ar-SA"/>
              </w:rPr>
              <w:t>电钻</w:t>
            </w:r>
          </w:p>
        </w:tc>
        <w:tc>
          <w:tcPr>
            <w:tcW w:w="732" w:type="dxa"/>
            <w:vAlign w:val="center"/>
          </w:tcPr>
          <w:p w14:paraId="49BFC40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83</w:t>
            </w:r>
          </w:p>
        </w:tc>
        <w:tc>
          <w:tcPr>
            <w:tcW w:w="583" w:type="dxa"/>
            <w:vAlign w:val="center"/>
          </w:tcPr>
          <w:p w14:paraId="05BE467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77.0</w:t>
            </w:r>
          </w:p>
        </w:tc>
        <w:tc>
          <w:tcPr>
            <w:tcW w:w="584" w:type="dxa"/>
            <w:vAlign w:val="center"/>
          </w:tcPr>
          <w:p w14:paraId="2931E007">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73.5</w:t>
            </w:r>
          </w:p>
        </w:tc>
        <w:tc>
          <w:tcPr>
            <w:tcW w:w="566" w:type="dxa"/>
            <w:vAlign w:val="center"/>
          </w:tcPr>
          <w:p w14:paraId="0D7859C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71.0</w:t>
            </w:r>
          </w:p>
        </w:tc>
        <w:tc>
          <w:tcPr>
            <w:tcW w:w="699" w:type="dxa"/>
            <w:vAlign w:val="center"/>
          </w:tcPr>
          <w:p w14:paraId="01DB55EB">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69.0</w:t>
            </w:r>
          </w:p>
        </w:tc>
        <w:tc>
          <w:tcPr>
            <w:tcW w:w="550" w:type="dxa"/>
            <w:vAlign w:val="center"/>
          </w:tcPr>
          <w:p w14:paraId="44D4ABD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67.4</w:t>
            </w:r>
          </w:p>
        </w:tc>
        <w:tc>
          <w:tcPr>
            <w:tcW w:w="633" w:type="dxa"/>
            <w:vAlign w:val="center"/>
          </w:tcPr>
          <w:p w14:paraId="3383987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66.1</w:t>
            </w:r>
          </w:p>
        </w:tc>
        <w:tc>
          <w:tcPr>
            <w:tcW w:w="583" w:type="dxa"/>
            <w:vAlign w:val="center"/>
          </w:tcPr>
          <w:p w14:paraId="081B3820">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64.9</w:t>
            </w:r>
          </w:p>
        </w:tc>
        <w:tc>
          <w:tcPr>
            <w:tcW w:w="600" w:type="dxa"/>
            <w:vAlign w:val="center"/>
          </w:tcPr>
          <w:p w14:paraId="1C778E8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63.9</w:t>
            </w:r>
          </w:p>
        </w:tc>
        <w:tc>
          <w:tcPr>
            <w:tcW w:w="567" w:type="dxa"/>
            <w:vAlign w:val="center"/>
          </w:tcPr>
          <w:p w14:paraId="2BB6BE77">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63.0</w:t>
            </w:r>
          </w:p>
        </w:tc>
        <w:tc>
          <w:tcPr>
            <w:tcW w:w="622" w:type="dxa"/>
            <w:vAlign w:val="center"/>
          </w:tcPr>
          <w:p w14:paraId="017DB01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57.0</w:t>
            </w:r>
          </w:p>
        </w:tc>
      </w:tr>
      <w:tr w14:paraId="3DBA3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85" w:type="dxa"/>
            <w:vAlign w:val="center"/>
          </w:tcPr>
          <w:p w14:paraId="3BD06BC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5</w:t>
            </w:r>
          </w:p>
        </w:tc>
        <w:tc>
          <w:tcPr>
            <w:tcW w:w="1283" w:type="dxa"/>
            <w:vAlign w:val="center"/>
          </w:tcPr>
          <w:p w14:paraId="7B5E9331">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eastAsia" w:ascii="Times New Roman" w:hAnsi="Times New Roman" w:cs="Times New Roman" w:eastAsiaTheme="minorEastAsia"/>
                <w:color w:val="auto"/>
                <w:kern w:val="2"/>
                <w:sz w:val="21"/>
                <w:szCs w:val="21"/>
                <w:highlight w:val="none"/>
                <w:lang w:val="en-US" w:eastAsia="zh-CN" w:bidi="ar-SA"/>
              </w:rPr>
              <w:t>振动夯锤</w:t>
            </w:r>
          </w:p>
        </w:tc>
        <w:tc>
          <w:tcPr>
            <w:tcW w:w="732" w:type="dxa"/>
            <w:vAlign w:val="center"/>
          </w:tcPr>
          <w:p w14:paraId="081102AB">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83</w:t>
            </w:r>
          </w:p>
        </w:tc>
        <w:tc>
          <w:tcPr>
            <w:tcW w:w="583" w:type="dxa"/>
            <w:vAlign w:val="center"/>
          </w:tcPr>
          <w:p w14:paraId="35B9FEE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77.0</w:t>
            </w:r>
          </w:p>
        </w:tc>
        <w:tc>
          <w:tcPr>
            <w:tcW w:w="584" w:type="dxa"/>
            <w:vAlign w:val="center"/>
          </w:tcPr>
          <w:p w14:paraId="66C9311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73.5</w:t>
            </w:r>
          </w:p>
        </w:tc>
        <w:tc>
          <w:tcPr>
            <w:tcW w:w="566" w:type="dxa"/>
            <w:vAlign w:val="center"/>
          </w:tcPr>
          <w:p w14:paraId="787C9BB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71.0</w:t>
            </w:r>
          </w:p>
        </w:tc>
        <w:tc>
          <w:tcPr>
            <w:tcW w:w="699" w:type="dxa"/>
            <w:vAlign w:val="center"/>
          </w:tcPr>
          <w:p w14:paraId="35D1E851">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69.0</w:t>
            </w:r>
          </w:p>
        </w:tc>
        <w:tc>
          <w:tcPr>
            <w:tcW w:w="550" w:type="dxa"/>
            <w:vAlign w:val="center"/>
          </w:tcPr>
          <w:p w14:paraId="50F6A5A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67.4</w:t>
            </w:r>
          </w:p>
        </w:tc>
        <w:tc>
          <w:tcPr>
            <w:tcW w:w="633" w:type="dxa"/>
            <w:vAlign w:val="center"/>
          </w:tcPr>
          <w:p w14:paraId="3A3333C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66.1</w:t>
            </w:r>
          </w:p>
        </w:tc>
        <w:tc>
          <w:tcPr>
            <w:tcW w:w="583" w:type="dxa"/>
            <w:vAlign w:val="center"/>
          </w:tcPr>
          <w:p w14:paraId="22CA827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64.9</w:t>
            </w:r>
          </w:p>
        </w:tc>
        <w:tc>
          <w:tcPr>
            <w:tcW w:w="600" w:type="dxa"/>
            <w:vAlign w:val="center"/>
          </w:tcPr>
          <w:p w14:paraId="11DD173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63.9</w:t>
            </w:r>
          </w:p>
        </w:tc>
        <w:tc>
          <w:tcPr>
            <w:tcW w:w="567" w:type="dxa"/>
            <w:vAlign w:val="center"/>
          </w:tcPr>
          <w:p w14:paraId="3CDA17CD">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63.0</w:t>
            </w:r>
          </w:p>
        </w:tc>
        <w:tc>
          <w:tcPr>
            <w:tcW w:w="622" w:type="dxa"/>
            <w:vAlign w:val="center"/>
          </w:tcPr>
          <w:p w14:paraId="14A6E76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57.0</w:t>
            </w:r>
          </w:p>
        </w:tc>
      </w:tr>
      <w:tr w14:paraId="2C912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85" w:type="dxa"/>
            <w:vAlign w:val="center"/>
          </w:tcPr>
          <w:p w14:paraId="628B9AA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6</w:t>
            </w:r>
          </w:p>
        </w:tc>
        <w:tc>
          <w:tcPr>
            <w:tcW w:w="1283" w:type="dxa"/>
            <w:vAlign w:val="center"/>
          </w:tcPr>
          <w:p w14:paraId="18BFB25D">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default" w:ascii="Times New Roman" w:hAnsi="Times New Roman" w:cs="Times New Roman" w:eastAsiaTheme="minorEastAsia"/>
                <w:color w:val="auto"/>
                <w:kern w:val="2"/>
                <w:sz w:val="21"/>
                <w:szCs w:val="21"/>
                <w:highlight w:val="none"/>
                <w:lang w:val="en-US" w:eastAsia="zh-CN" w:bidi="ar-SA"/>
              </w:rPr>
              <w:t>角向磨光机</w:t>
            </w:r>
          </w:p>
        </w:tc>
        <w:tc>
          <w:tcPr>
            <w:tcW w:w="732" w:type="dxa"/>
            <w:vAlign w:val="center"/>
          </w:tcPr>
          <w:p w14:paraId="48BA7EF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84</w:t>
            </w:r>
          </w:p>
        </w:tc>
        <w:tc>
          <w:tcPr>
            <w:tcW w:w="583" w:type="dxa"/>
            <w:vAlign w:val="center"/>
          </w:tcPr>
          <w:p w14:paraId="29245B3F">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78.0</w:t>
            </w:r>
          </w:p>
        </w:tc>
        <w:tc>
          <w:tcPr>
            <w:tcW w:w="584" w:type="dxa"/>
            <w:vAlign w:val="center"/>
          </w:tcPr>
          <w:p w14:paraId="722E414F">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74.5</w:t>
            </w:r>
          </w:p>
        </w:tc>
        <w:tc>
          <w:tcPr>
            <w:tcW w:w="566" w:type="dxa"/>
            <w:vAlign w:val="center"/>
          </w:tcPr>
          <w:p w14:paraId="47366FB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72.0</w:t>
            </w:r>
          </w:p>
        </w:tc>
        <w:tc>
          <w:tcPr>
            <w:tcW w:w="699" w:type="dxa"/>
            <w:vAlign w:val="center"/>
          </w:tcPr>
          <w:p w14:paraId="5E7C640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70.0</w:t>
            </w:r>
          </w:p>
        </w:tc>
        <w:tc>
          <w:tcPr>
            <w:tcW w:w="550" w:type="dxa"/>
            <w:vAlign w:val="center"/>
          </w:tcPr>
          <w:p w14:paraId="02422D68">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68.4</w:t>
            </w:r>
          </w:p>
        </w:tc>
        <w:tc>
          <w:tcPr>
            <w:tcW w:w="633" w:type="dxa"/>
            <w:vAlign w:val="center"/>
          </w:tcPr>
          <w:p w14:paraId="5161F65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67.1</w:t>
            </w:r>
          </w:p>
        </w:tc>
        <w:tc>
          <w:tcPr>
            <w:tcW w:w="583" w:type="dxa"/>
            <w:vAlign w:val="center"/>
          </w:tcPr>
          <w:p w14:paraId="7E33F5F8">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65.9</w:t>
            </w:r>
          </w:p>
        </w:tc>
        <w:tc>
          <w:tcPr>
            <w:tcW w:w="600" w:type="dxa"/>
            <w:vAlign w:val="center"/>
          </w:tcPr>
          <w:p w14:paraId="3AF0F196">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64.9</w:t>
            </w:r>
          </w:p>
        </w:tc>
        <w:tc>
          <w:tcPr>
            <w:tcW w:w="567" w:type="dxa"/>
            <w:vAlign w:val="center"/>
          </w:tcPr>
          <w:p w14:paraId="6B940670">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64.0</w:t>
            </w:r>
          </w:p>
        </w:tc>
        <w:tc>
          <w:tcPr>
            <w:tcW w:w="622" w:type="dxa"/>
            <w:vAlign w:val="center"/>
          </w:tcPr>
          <w:p w14:paraId="6D0F204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58.0</w:t>
            </w:r>
          </w:p>
        </w:tc>
      </w:tr>
      <w:tr w14:paraId="05718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85" w:type="dxa"/>
            <w:vAlign w:val="center"/>
          </w:tcPr>
          <w:p w14:paraId="145F29E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7</w:t>
            </w:r>
          </w:p>
        </w:tc>
        <w:tc>
          <w:tcPr>
            <w:tcW w:w="1283" w:type="dxa"/>
            <w:vAlign w:val="center"/>
          </w:tcPr>
          <w:p w14:paraId="19073BA1">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default" w:ascii="Times New Roman" w:hAnsi="Times New Roman" w:cs="Times New Roman" w:eastAsiaTheme="minorEastAsia"/>
                <w:color w:val="auto"/>
                <w:kern w:val="2"/>
                <w:sz w:val="21"/>
                <w:szCs w:val="21"/>
                <w:highlight w:val="none"/>
                <w:lang w:val="en-US" w:eastAsia="zh-CN" w:bidi="ar-SA"/>
              </w:rPr>
              <w:t>大型载重车</w:t>
            </w:r>
          </w:p>
        </w:tc>
        <w:tc>
          <w:tcPr>
            <w:tcW w:w="732" w:type="dxa"/>
            <w:vAlign w:val="center"/>
          </w:tcPr>
          <w:p w14:paraId="5BAA69E1">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78</w:t>
            </w:r>
          </w:p>
        </w:tc>
        <w:tc>
          <w:tcPr>
            <w:tcW w:w="583" w:type="dxa"/>
            <w:vAlign w:val="center"/>
          </w:tcPr>
          <w:p w14:paraId="026054E3">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72.0</w:t>
            </w:r>
          </w:p>
        </w:tc>
        <w:tc>
          <w:tcPr>
            <w:tcW w:w="584" w:type="dxa"/>
            <w:vAlign w:val="center"/>
          </w:tcPr>
          <w:p w14:paraId="51D567F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68.5</w:t>
            </w:r>
          </w:p>
        </w:tc>
        <w:tc>
          <w:tcPr>
            <w:tcW w:w="566" w:type="dxa"/>
            <w:vAlign w:val="center"/>
          </w:tcPr>
          <w:p w14:paraId="74443F1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66.0</w:t>
            </w:r>
          </w:p>
        </w:tc>
        <w:tc>
          <w:tcPr>
            <w:tcW w:w="699" w:type="dxa"/>
            <w:vAlign w:val="center"/>
          </w:tcPr>
          <w:p w14:paraId="3889B886">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64.0</w:t>
            </w:r>
          </w:p>
        </w:tc>
        <w:tc>
          <w:tcPr>
            <w:tcW w:w="550" w:type="dxa"/>
            <w:vAlign w:val="center"/>
          </w:tcPr>
          <w:p w14:paraId="7E8D037C">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62.4</w:t>
            </w:r>
          </w:p>
        </w:tc>
        <w:tc>
          <w:tcPr>
            <w:tcW w:w="633" w:type="dxa"/>
            <w:vAlign w:val="center"/>
          </w:tcPr>
          <w:p w14:paraId="5DC50A37">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61.1</w:t>
            </w:r>
          </w:p>
        </w:tc>
        <w:tc>
          <w:tcPr>
            <w:tcW w:w="583" w:type="dxa"/>
            <w:vAlign w:val="center"/>
          </w:tcPr>
          <w:p w14:paraId="2F741DD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59.9</w:t>
            </w:r>
          </w:p>
        </w:tc>
        <w:tc>
          <w:tcPr>
            <w:tcW w:w="600" w:type="dxa"/>
            <w:vAlign w:val="center"/>
          </w:tcPr>
          <w:p w14:paraId="244C673F">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58.9</w:t>
            </w:r>
          </w:p>
        </w:tc>
        <w:tc>
          <w:tcPr>
            <w:tcW w:w="567" w:type="dxa"/>
            <w:vAlign w:val="center"/>
          </w:tcPr>
          <w:p w14:paraId="095C87FD">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58.0</w:t>
            </w:r>
          </w:p>
        </w:tc>
        <w:tc>
          <w:tcPr>
            <w:tcW w:w="622" w:type="dxa"/>
            <w:vAlign w:val="center"/>
          </w:tcPr>
          <w:p w14:paraId="7553E0A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52.0</w:t>
            </w:r>
          </w:p>
        </w:tc>
      </w:tr>
      <w:tr w14:paraId="1A51F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85" w:type="dxa"/>
            <w:vAlign w:val="center"/>
          </w:tcPr>
          <w:p w14:paraId="25A971B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8</w:t>
            </w:r>
          </w:p>
        </w:tc>
        <w:tc>
          <w:tcPr>
            <w:tcW w:w="1283" w:type="dxa"/>
            <w:vAlign w:val="center"/>
          </w:tcPr>
          <w:p w14:paraId="17B74DF1">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default" w:ascii="Times New Roman" w:hAnsi="Times New Roman" w:cs="Times New Roman" w:eastAsiaTheme="minorEastAsia"/>
                <w:color w:val="auto"/>
                <w:kern w:val="2"/>
                <w:sz w:val="21"/>
                <w:szCs w:val="21"/>
                <w:highlight w:val="none"/>
                <w:lang w:val="en-US" w:eastAsia="zh-CN" w:bidi="ar-SA"/>
              </w:rPr>
              <w:t>混凝土罐车</w:t>
            </w:r>
          </w:p>
        </w:tc>
        <w:tc>
          <w:tcPr>
            <w:tcW w:w="732" w:type="dxa"/>
            <w:vAlign w:val="center"/>
          </w:tcPr>
          <w:p w14:paraId="6A290307">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82</w:t>
            </w:r>
          </w:p>
        </w:tc>
        <w:tc>
          <w:tcPr>
            <w:tcW w:w="583" w:type="dxa"/>
            <w:vAlign w:val="center"/>
          </w:tcPr>
          <w:p w14:paraId="5D8C42C1">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76.0</w:t>
            </w:r>
          </w:p>
        </w:tc>
        <w:tc>
          <w:tcPr>
            <w:tcW w:w="584" w:type="dxa"/>
            <w:vAlign w:val="center"/>
          </w:tcPr>
          <w:p w14:paraId="54980813">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72.5</w:t>
            </w:r>
          </w:p>
        </w:tc>
        <w:tc>
          <w:tcPr>
            <w:tcW w:w="566" w:type="dxa"/>
            <w:vAlign w:val="center"/>
          </w:tcPr>
          <w:p w14:paraId="0A34826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70.0</w:t>
            </w:r>
          </w:p>
        </w:tc>
        <w:tc>
          <w:tcPr>
            <w:tcW w:w="699" w:type="dxa"/>
            <w:vAlign w:val="center"/>
          </w:tcPr>
          <w:p w14:paraId="41AE33F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68.0</w:t>
            </w:r>
          </w:p>
        </w:tc>
        <w:tc>
          <w:tcPr>
            <w:tcW w:w="550" w:type="dxa"/>
            <w:vAlign w:val="center"/>
          </w:tcPr>
          <w:p w14:paraId="7330321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66.4</w:t>
            </w:r>
          </w:p>
        </w:tc>
        <w:tc>
          <w:tcPr>
            <w:tcW w:w="633" w:type="dxa"/>
            <w:vAlign w:val="center"/>
          </w:tcPr>
          <w:p w14:paraId="30E9565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65.1</w:t>
            </w:r>
          </w:p>
        </w:tc>
        <w:tc>
          <w:tcPr>
            <w:tcW w:w="583" w:type="dxa"/>
            <w:vAlign w:val="center"/>
          </w:tcPr>
          <w:p w14:paraId="29C6150D">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63.9</w:t>
            </w:r>
          </w:p>
        </w:tc>
        <w:tc>
          <w:tcPr>
            <w:tcW w:w="600" w:type="dxa"/>
            <w:vAlign w:val="center"/>
          </w:tcPr>
          <w:p w14:paraId="4172926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62.9</w:t>
            </w:r>
          </w:p>
        </w:tc>
        <w:tc>
          <w:tcPr>
            <w:tcW w:w="567" w:type="dxa"/>
            <w:vAlign w:val="center"/>
          </w:tcPr>
          <w:p w14:paraId="31597322">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62.0</w:t>
            </w:r>
          </w:p>
        </w:tc>
        <w:tc>
          <w:tcPr>
            <w:tcW w:w="622" w:type="dxa"/>
            <w:vAlign w:val="center"/>
          </w:tcPr>
          <w:p w14:paraId="3E8A0E2D">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56.0</w:t>
            </w:r>
          </w:p>
        </w:tc>
      </w:tr>
      <w:tr w14:paraId="4DB66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85" w:type="dxa"/>
            <w:vAlign w:val="center"/>
          </w:tcPr>
          <w:p w14:paraId="5D150D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9</w:t>
            </w:r>
          </w:p>
        </w:tc>
        <w:tc>
          <w:tcPr>
            <w:tcW w:w="1283" w:type="dxa"/>
            <w:vAlign w:val="center"/>
          </w:tcPr>
          <w:p w14:paraId="76B2D80A">
            <w:pPr>
              <w:keepNext w:val="0"/>
              <w:keepLines w:val="0"/>
              <w:pageBreakBefore w:val="0"/>
              <w:widowControl w:val="0"/>
              <w:kinsoku w:val="0"/>
              <w:wordWrap/>
              <w:overflowPunct/>
              <w:topLinePunct w:val="0"/>
              <w:autoSpaceDE w:val="0"/>
              <w:autoSpaceDN w:val="0"/>
              <w:bidi w:val="0"/>
              <w:adjustRightInd/>
              <w:snapToGrid/>
              <w:spacing w:line="240" w:lineRule="auto"/>
              <w:ind w:left="0" w:leftChars="0"/>
              <w:jc w:val="center"/>
              <w:rPr>
                <w:color w:val="auto"/>
                <w:spacing w:val="0"/>
                <w:sz w:val="21"/>
                <w:szCs w:val="21"/>
              </w:rPr>
            </w:pPr>
            <w:r>
              <w:rPr>
                <w:rFonts w:hint="default" w:ascii="Times New Roman" w:hAnsi="Times New Roman" w:cs="Times New Roman" w:eastAsiaTheme="minorEastAsia"/>
                <w:color w:val="auto"/>
                <w:kern w:val="2"/>
                <w:sz w:val="21"/>
                <w:szCs w:val="21"/>
                <w:highlight w:val="none"/>
                <w:lang w:val="en-US" w:eastAsia="zh-CN" w:bidi="ar-SA"/>
              </w:rPr>
              <w:t>轻型载重车</w:t>
            </w:r>
          </w:p>
        </w:tc>
        <w:tc>
          <w:tcPr>
            <w:tcW w:w="732" w:type="dxa"/>
            <w:vAlign w:val="center"/>
          </w:tcPr>
          <w:p w14:paraId="59E5BB4F">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78</w:t>
            </w:r>
          </w:p>
        </w:tc>
        <w:tc>
          <w:tcPr>
            <w:tcW w:w="583" w:type="dxa"/>
            <w:vAlign w:val="center"/>
          </w:tcPr>
          <w:p w14:paraId="442A014A">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72.0</w:t>
            </w:r>
          </w:p>
        </w:tc>
        <w:tc>
          <w:tcPr>
            <w:tcW w:w="584" w:type="dxa"/>
            <w:vAlign w:val="center"/>
          </w:tcPr>
          <w:p w14:paraId="1E3E4DC0">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68.5</w:t>
            </w:r>
          </w:p>
        </w:tc>
        <w:tc>
          <w:tcPr>
            <w:tcW w:w="566" w:type="dxa"/>
            <w:vAlign w:val="center"/>
          </w:tcPr>
          <w:p w14:paraId="50B7D054">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66.0</w:t>
            </w:r>
          </w:p>
        </w:tc>
        <w:tc>
          <w:tcPr>
            <w:tcW w:w="699" w:type="dxa"/>
            <w:vAlign w:val="center"/>
          </w:tcPr>
          <w:p w14:paraId="30F1940F">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64.0</w:t>
            </w:r>
          </w:p>
        </w:tc>
        <w:tc>
          <w:tcPr>
            <w:tcW w:w="550" w:type="dxa"/>
            <w:vAlign w:val="center"/>
          </w:tcPr>
          <w:p w14:paraId="71518DB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62.4</w:t>
            </w:r>
          </w:p>
        </w:tc>
        <w:tc>
          <w:tcPr>
            <w:tcW w:w="633" w:type="dxa"/>
            <w:vAlign w:val="center"/>
          </w:tcPr>
          <w:p w14:paraId="71BB3EE4">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61.1</w:t>
            </w:r>
          </w:p>
        </w:tc>
        <w:tc>
          <w:tcPr>
            <w:tcW w:w="583" w:type="dxa"/>
            <w:vAlign w:val="center"/>
          </w:tcPr>
          <w:p w14:paraId="400A1C7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59.9</w:t>
            </w:r>
          </w:p>
        </w:tc>
        <w:tc>
          <w:tcPr>
            <w:tcW w:w="600" w:type="dxa"/>
            <w:vAlign w:val="center"/>
          </w:tcPr>
          <w:p w14:paraId="53D73804">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58.9</w:t>
            </w:r>
          </w:p>
        </w:tc>
        <w:tc>
          <w:tcPr>
            <w:tcW w:w="567" w:type="dxa"/>
            <w:vAlign w:val="center"/>
          </w:tcPr>
          <w:p w14:paraId="25C093B8">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58.0</w:t>
            </w:r>
          </w:p>
        </w:tc>
        <w:tc>
          <w:tcPr>
            <w:tcW w:w="622" w:type="dxa"/>
            <w:vAlign w:val="center"/>
          </w:tcPr>
          <w:p w14:paraId="2EE3733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52.0</w:t>
            </w:r>
          </w:p>
        </w:tc>
      </w:tr>
      <w:tr w14:paraId="680D7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768" w:type="dxa"/>
            <w:gridSpan w:val="2"/>
            <w:vAlign w:val="center"/>
          </w:tcPr>
          <w:p w14:paraId="01E7C1F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sz w:val="21"/>
                <w:szCs w:val="21"/>
              </w:rPr>
            </w:pPr>
            <w:r>
              <w:rPr>
                <w:color w:val="auto"/>
                <w:spacing w:val="0"/>
                <w:sz w:val="21"/>
                <w:szCs w:val="21"/>
              </w:rPr>
              <w:t>多声源叠加值</w:t>
            </w:r>
          </w:p>
        </w:tc>
        <w:tc>
          <w:tcPr>
            <w:tcW w:w="732" w:type="dxa"/>
            <w:vAlign w:val="center"/>
          </w:tcPr>
          <w:p w14:paraId="4C836205">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91.5</w:t>
            </w:r>
          </w:p>
        </w:tc>
        <w:tc>
          <w:tcPr>
            <w:tcW w:w="583" w:type="dxa"/>
            <w:vAlign w:val="center"/>
          </w:tcPr>
          <w:p w14:paraId="2EC97976">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81.6</w:t>
            </w:r>
          </w:p>
        </w:tc>
        <w:tc>
          <w:tcPr>
            <w:tcW w:w="584" w:type="dxa"/>
            <w:vAlign w:val="center"/>
          </w:tcPr>
          <w:p w14:paraId="4A259376">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78.1</w:t>
            </w:r>
          </w:p>
        </w:tc>
        <w:tc>
          <w:tcPr>
            <w:tcW w:w="566" w:type="dxa"/>
            <w:vAlign w:val="center"/>
          </w:tcPr>
          <w:p w14:paraId="46325A5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75.6</w:t>
            </w:r>
          </w:p>
        </w:tc>
        <w:tc>
          <w:tcPr>
            <w:tcW w:w="699" w:type="dxa"/>
            <w:vAlign w:val="center"/>
          </w:tcPr>
          <w:p w14:paraId="5A3CFC13">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73.6</w:t>
            </w:r>
          </w:p>
        </w:tc>
        <w:tc>
          <w:tcPr>
            <w:tcW w:w="550" w:type="dxa"/>
            <w:vAlign w:val="center"/>
          </w:tcPr>
          <w:p w14:paraId="031A7B4E">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72.0</w:t>
            </w:r>
          </w:p>
        </w:tc>
        <w:tc>
          <w:tcPr>
            <w:tcW w:w="633" w:type="dxa"/>
            <w:vAlign w:val="center"/>
          </w:tcPr>
          <w:p w14:paraId="4D764181">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70.4</w:t>
            </w:r>
          </w:p>
        </w:tc>
        <w:tc>
          <w:tcPr>
            <w:tcW w:w="583" w:type="dxa"/>
            <w:vAlign w:val="center"/>
          </w:tcPr>
          <w:p w14:paraId="53F0768C">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69.5</w:t>
            </w:r>
          </w:p>
        </w:tc>
        <w:tc>
          <w:tcPr>
            <w:tcW w:w="600" w:type="dxa"/>
            <w:vAlign w:val="center"/>
          </w:tcPr>
          <w:p w14:paraId="5EDA25C0">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68.5</w:t>
            </w:r>
          </w:p>
        </w:tc>
        <w:tc>
          <w:tcPr>
            <w:tcW w:w="567" w:type="dxa"/>
            <w:vAlign w:val="center"/>
          </w:tcPr>
          <w:p w14:paraId="2C631BE3">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67.6</w:t>
            </w:r>
          </w:p>
        </w:tc>
        <w:tc>
          <w:tcPr>
            <w:tcW w:w="622" w:type="dxa"/>
            <w:vAlign w:val="center"/>
          </w:tcPr>
          <w:p w14:paraId="7CAD0609">
            <w:pPr>
              <w:keepNext w:val="0"/>
              <w:keepLines w:val="0"/>
              <w:widowControl/>
              <w:suppressLineNumbers w:val="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61.6</w:t>
            </w:r>
          </w:p>
        </w:tc>
      </w:tr>
    </w:tbl>
    <w:p w14:paraId="6AA70E48">
      <w:pPr>
        <w:pStyle w:val="9"/>
        <w:spacing w:before="36" w:line="359" w:lineRule="auto"/>
        <w:ind w:left="20" w:right="219" w:firstLine="480"/>
        <w:rPr>
          <w:rFonts w:hint="default" w:ascii="Times New Roman" w:hAnsi="Times New Roman" w:cs="Times New Roman"/>
          <w:color w:val="auto"/>
          <w:spacing w:val="-1"/>
          <w:sz w:val="24"/>
          <w:szCs w:val="24"/>
        </w:rPr>
      </w:pPr>
      <w:r>
        <w:rPr>
          <w:rFonts w:hint="default" w:ascii="Times New Roman" w:hAnsi="Times New Roman" w:cs="Times New Roman"/>
          <w:color w:val="auto"/>
          <w:spacing w:val="-2"/>
          <w:sz w:val="24"/>
          <w:szCs w:val="24"/>
        </w:rPr>
        <w:t>根据表</w:t>
      </w:r>
      <w:r>
        <w:rPr>
          <w:rFonts w:hint="default" w:ascii="Times New Roman" w:hAnsi="Times New Roman" w:eastAsia="Times New Roman" w:cs="Times New Roman"/>
          <w:color w:val="auto"/>
          <w:spacing w:val="-2"/>
          <w:sz w:val="24"/>
          <w:szCs w:val="24"/>
        </w:rPr>
        <w:t>4.1-</w:t>
      </w:r>
      <w:r>
        <w:rPr>
          <w:rFonts w:hint="default" w:ascii="Times New Roman" w:hAnsi="Times New Roman" w:eastAsia="宋体" w:cs="Times New Roman"/>
          <w:color w:val="auto"/>
          <w:spacing w:val="-33"/>
          <w:sz w:val="24"/>
          <w:szCs w:val="24"/>
          <w:lang w:val="en-US" w:eastAsia="zh-CN"/>
        </w:rPr>
        <w:t>2</w:t>
      </w:r>
      <w:r>
        <w:rPr>
          <w:rFonts w:hint="eastAsia" w:ascii="Times New Roman" w:hAnsi="Times New Roman" w:eastAsia="宋体" w:cs="Times New Roman"/>
          <w:color w:val="auto"/>
          <w:spacing w:val="-33"/>
          <w:sz w:val="24"/>
          <w:szCs w:val="24"/>
          <w:lang w:val="en-US" w:eastAsia="zh-CN"/>
        </w:rPr>
        <w:t>，</w:t>
      </w:r>
      <w:r>
        <w:rPr>
          <w:rFonts w:hint="default" w:ascii="Times New Roman" w:hAnsi="Times New Roman" w:cs="Times New Roman"/>
          <w:color w:val="auto"/>
          <w:spacing w:val="-2"/>
          <w:sz w:val="24"/>
          <w:szCs w:val="24"/>
        </w:rPr>
        <w:t>各主要施工机械在不同距离处的</w:t>
      </w:r>
      <w:r>
        <w:rPr>
          <w:rFonts w:hint="default" w:ascii="Times New Roman" w:hAnsi="Times New Roman" w:cs="Times New Roman"/>
          <w:color w:val="auto"/>
          <w:spacing w:val="-3"/>
          <w:sz w:val="24"/>
          <w:szCs w:val="24"/>
        </w:rPr>
        <w:t>预测值表明，单台施工机械在</w:t>
      </w:r>
      <w:r>
        <w:rPr>
          <w:rFonts w:hint="default" w:ascii="Times New Roman" w:hAnsi="Times New Roman" w:cs="Times New Roman"/>
          <w:color w:val="auto"/>
          <w:spacing w:val="4"/>
          <w:sz w:val="24"/>
          <w:szCs w:val="24"/>
        </w:rPr>
        <w:t>距离主体建筑物建设区＞</w:t>
      </w:r>
      <w:r>
        <w:rPr>
          <w:rFonts w:hint="eastAsia" w:ascii="Times New Roman" w:hAnsi="Times New Roman" w:eastAsia="宋体" w:cs="Times New Roman"/>
          <w:color w:val="auto"/>
          <w:spacing w:val="4"/>
          <w:sz w:val="24"/>
          <w:szCs w:val="24"/>
          <w:lang w:val="en-US" w:eastAsia="zh-CN"/>
        </w:rPr>
        <w:t>60</w:t>
      </w:r>
      <w:r>
        <w:rPr>
          <w:rFonts w:hint="default" w:ascii="Times New Roman" w:hAnsi="Times New Roman" w:eastAsia="Times New Roman" w:cs="Times New Roman"/>
          <w:color w:val="auto"/>
          <w:spacing w:val="4"/>
          <w:sz w:val="24"/>
          <w:szCs w:val="24"/>
        </w:rPr>
        <w:t>m</w:t>
      </w:r>
      <w:r>
        <w:rPr>
          <w:rFonts w:hint="default" w:ascii="Times New Roman" w:hAnsi="Times New Roman" w:cs="Times New Roman"/>
          <w:color w:val="auto"/>
          <w:spacing w:val="4"/>
          <w:sz w:val="24"/>
          <w:szCs w:val="24"/>
        </w:rPr>
        <w:t>处时可满</w:t>
      </w:r>
      <w:r>
        <w:rPr>
          <w:rFonts w:hint="default" w:ascii="Times New Roman" w:hAnsi="Times New Roman" w:cs="Times New Roman"/>
          <w:color w:val="auto"/>
          <w:spacing w:val="-71"/>
          <w:sz w:val="24"/>
          <w:szCs w:val="24"/>
        </w:rPr>
        <w:t xml:space="preserve"> </w:t>
      </w:r>
      <w:r>
        <w:rPr>
          <w:rFonts w:hint="default" w:ascii="Times New Roman" w:hAnsi="Times New Roman" w:cs="Times New Roman"/>
          <w:color w:val="auto"/>
          <w:spacing w:val="4"/>
          <w:sz w:val="24"/>
          <w:szCs w:val="24"/>
        </w:rPr>
        <w:t>足《建筑施工噪声排放标准》</w:t>
      </w:r>
      <w:r>
        <w:rPr>
          <w:rFonts w:hint="default" w:ascii="Times New Roman" w:hAnsi="Times New Roman" w:cs="Times New Roman"/>
          <w:color w:val="auto"/>
          <w:spacing w:val="2"/>
          <w:sz w:val="24"/>
          <w:szCs w:val="24"/>
        </w:rPr>
        <w:t>（</w:t>
      </w:r>
      <w:r>
        <w:rPr>
          <w:rFonts w:hint="default" w:ascii="Times New Roman" w:hAnsi="Times New Roman" w:eastAsia="Times New Roman" w:cs="Times New Roman"/>
          <w:color w:val="auto"/>
          <w:sz w:val="24"/>
          <w:szCs w:val="24"/>
        </w:rPr>
        <w:t>GB</w:t>
      </w:r>
      <w:r>
        <w:rPr>
          <w:rFonts w:hint="default" w:ascii="Times New Roman" w:hAnsi="Times New Roman" w:eastAsia="Times New Roman" w:cs="Times New Roman"/>
          <w:color w:val="auto"/>
          <w:spacing w:val="2"/>
          <w:sz w:val="24"/>
          <w:szCs w:val="24"/>
        </w:rPr>
        <w:t>12523-2025</w:t>
      </w:r>
      <w:r>
        <w:rPr>
          <w:rFonts w:hint="default" w:ascii="Times New Roman" w:hAnsi="Times New Roman" w:cs="Times New Roman"/>
          <w:color w:val="auto"/>
          <w:spacing w:val="2"/>
          <w:sz w:val="24"/>
          <w:szCs w:val="24"/>
        </w:rPr>
        <w:t>）中标准要求；同时开启</w:t>
      </w:r>
      <w:r>
        <w:rPr>
          <w:rFonts w:hint="default" w:ascii="Times New Roman" w:hAnsi="Times New Roman" w:eastAsia="宋体" w:cs="Times New Roman"/>
          <w:color w:val="auto"/>
          <w:spacing w:val="2"/>
          <w:sz w:val="24"/>
          <w:szCs w:val="24"/>
          <w:lang w:val="en-US" w:eastAsia="zh-CN"/>
        </w:rPr>
        <w:t>9台</w:t>
      </w:r>
      <w:r>
        <w:rPr>
          <w:rFonts w:hint="default" w:ascii="Times New Roman" w:hAnsi="Times New Roman" w:cs="Times New Roman"/>
          <w:color w:val="auto"/>
          <w:spacing w:val="2"/>
          <w:sz w:val="24"/>
          <w:szCs w:val="24"/>
        </w:rPr>
        <w:t>施工设备，多声源叠加后在</w:t>
      </w:r>
      <w:r>
        <w:rPr>
          <w:rFonts w:hint="default" w:ascii="Times New Roman" w:hAnsi="Times New Roman" w:cs="Times New Roman"/>
          <w:color w:val="auto"/>
          <w:spacing w:val="1"/>
          <w:sz w:val="24"/>
          <w:szCs w:val="24"/>
        </w:rPr>
        <w:t>距离</w:t>
      </w:r>
      <w:r>
        <w:rPr>
          <w:rFonts w:hint="default" w:ascii="Times New Roman" w:hAnsi="Times New Roman" w:cs="Times New Roman"/>
          <w:color w:val="auto"/>
          <w:spacing w:val="-11"/>
          <w:sz w:val="24"/>
          <w:szCs w:val="24"/>
        </w:rPr>
        <w:t>主体建筑物建设区＞</w:t>
      </w:r>
      <w:r>
        <w:rPr>
          <w:rFonts w:hint="default" w:ascii="Times New Roman" w:hAnsi="Times New Roman" w:eastAsia="宋体" w:cs="Times New Roman"/>
          <w:color w:val="auto"/>
          <w:spacing w:val="-11"/>
          <w:sz w:val="24"/>
          <w:szCs w:val="24"/>
          <w:lang w:val="en-US" w:eastAsia="zh-CN"/>
        </w:rPr>
        <w:t>80</w:t>
      </w:r>
      <w:r>
        <w:rPr>
          <w:rFonts w:hint="default" w:ascii="Times New Roman" w:hAnsi="Times New Roman" w:eastAsia="Times New Roman" w:cs="Times New Roman"/>
          <w:color w:val="auto"/>
          <w:spacing w:val="-11"/>
          <w:sz w:val="24"/>
          <w:szCs w:val="24"/>
        </w:rPr>
        <w:t>m</w:t>
      </w:r>
      <w:r>
        <w:rPr>
          <w:rFonts w:hint="default" w:ascii="Times New Roman" w:hAnsi="Times New Roman" w:cs="Times New Roman"/>
          <w:color w:val="auto"/>
          <w:spacing w:val="-11"/>
          <w:sz w:val="24"/>
          <w:szCs w:val="24"/>
        </w:rPr>
        <w:t>处，即可满足《建筑施工噪声排放标准》（</w:t>
      </w:r>
      <w:r>
        <w:rPr>
          <w:rFonts w:hint="default" w:ascii="Times New Roman" w:hAnsi="Times New Roman" w:eastAsia="Times New Roman" w:cs="Times New Roman"/>
          <w:color w:val="auto"/>
          <w:spacing w:val="-11"/>
          <w:sz w:val="24"/>
          <w:szCs w:val="24"/>
        </w:rPr>
        <w:t>GB12523-2025</w:t>
      </w:r>
      <w:r>
        <w:rPr>
          <w:rFonts w:hint="default" w:ascii="Times New Roman" w:hAnsi="Times New Roman" w:cs="Times New Roman"/>
          <w:color w:val="auto"/>
          <w:spacing w:val="-11"/>
          <w:sz w:val="24"/>
          <w:szCs w:val="24"/>
        </w:rPr>
        <w:t>）</w:t>
      </w:r>
      <w:r>
        <w:rPr>
          <w:rFonts w:hint="default" w:ascii="Times New Roman" w:hAnsi="Times New Roman" w:cs="Times New Roman"/>
          <w:color w:val="auto"/>
          <w:spacing w:val="-1"/>
          <w:sz w:val="24"/>
          <w:szCs w:val="24"/>
        </w:rPr>
        <w:t>中标准值，即昼间≤</w:t>
      </w:r>
      <w:r>
        <w:rPr>
          <w:rFonts w:hint="default" w:ascii="Times New Roman" w:hAnsi="Times New Roman" w:eastAsia="Times New Roman" w:cs="Times New Roman"/>
          <w:color w:val="auto"/>
          <w:spacing w:val="-1"/>
          <w:sz w:val="24"/>
          <w:szCs w:val="24"/>
        </w:rPr>
        <w:t>70dB</w:t>
      </w:r>
      <w:r>
        <w:rPr>
          <w:rFonts w:hint="default" w:ascii="Times New Roman" w:hAnsi="Times New Roman" w:cs="Times New Roman"/>
          <w:color w:val="auto"/>
          <w:spacing w:val="-1"/>
          <w:sz w:val="24"/>
          <w:szCs w:val="24"/>
        </w:rPr>
        <w:t>（</w:t>
      </w:r>
      <w:r>
        <w:rPr>
          <w:rFonts w:hint="default" w:ascii="Times New Roman" w:hAnsi="Times New Roman" w:eastAsia="Times New Roman" w:cs="Times New Roman"/>
          <w:color w:val="auto"/>
          <w:spacing w:val="-1"/>
          <w:sz w:val="24"/>
          <w:szCs w:val="24"/>
        </w:rPr>
        <w:t>A</w:t>
      </w:r>
      <w:r>
        <w:rPr>
          <w:rFonts w:hint="default" w:ascii="Times New Roman" w:hAnsi="Times New Roman" w:cs="Times New Roman"/>
          <w:color w:val="auto"/>
          <w:spacing w:val="-1"/>
          <w:sz w:val="24"/>
          <w:szCs w:val="24"/>
        </w:rPr>
        <w:t>）限值要求，项目夜间不施工。</w:t>
      </w:r>
    </w:p>
    <w:p w14:paraId="2E1E4ECB">
      <w:pPr>
        <w:pStyle w:val="9"/>
        <w:spacing w:before="36" w:line="359" w:lineRule="auto"/>
        <w:ind w:left="20" w:right="219" w:firstLine="480"/>
        <w:rPr>
          <w:rFonts w:hint="eastAsia" w:ascii="Times New Roman" w:hAnsi="Times New Roman" w:eastAsia="宋体" w:cs="Times New Roman"/>
          <w:b w:val="0"/>
          <w:bCs w:val="0"/>
          <w:color w:val="auto"/>
          <w:spacing w:val="-1"/>
          <w:sz w:val="24"/>
          <w:szCs w:val="24"/>
          <w:lang w:val="en-US" w:eastAsia="zh-CN"/>
        </w:rPr>
      </w:pPr>
      <w:r>
        <w:rPr>
          <w:rFonts w:hint="default" w:ascii="Times New Roman" w:hAnsi="Times New Roman" w:eastAsia="宋体" w:cs="Times New Roman"/>
          <w:b w:val="0"/>
          <w:bCs w:val="0"/>
          <w:color w:val="auto"/>
          <w:spacing w:val="-1"/>
          <w:sz w:val="24"/>
          <w:szCs w:val="24"/>
          <w:lang w:val="en-US" w:eastAsia="zh-CN"/>
        </w:rPr>
        <w:t>根据项目</w:t>
      </w:r>
      <w:r>
        <w:rPr>
          <w:rFonts w:hint="default" w:ascii="Times New Roman" w:hAnsi="Times New Roman" w:cs="Times New Roman"/>
          <w:b w:val="0"/>
          <w:bCs w:val="0"/>
          <w:color w:val="auto"/>
          <w:spacing w:val="-1"/>
          <w:sz w:val="24"/>
          <w:szCs w:val="24"/>
        </w:rPr>
        <w:t>各主要施工机械</w:t>
      </w:r>
      <w:r>
        <w:rPr>
          <w:rFonts w:hint="default" w:ascii="Times New Roman" w:hAnsi="Times New Roman" w:eastAsia="宋体" w:cs="Times New Roman"/>
          <w:b w:val="0"/>
          <w:bCs w:val="0"/>
          <w:color w:val="auto"/>
          <w:spacing w:val="-1"/>
          <w:sz w:val="24"/>
          <w:szCs w:val="24"/>
          <w:lang w:val="en-US" w:eastAsia="zh-CN"/>
        </w:rPr>
        <w:t>特征，除移动声源（车辆）外，</w:t>
      </w:r>
      <w:r>
        <w:rPr>
          <w:rFonts w:hint="eastAsia" w:ascii="Times New Roman" w:hAnsi="Times New Roman" w:eastAsia="宋体" w:cs="Times New Roman"/>
          <w:b w:val="0"/>
          <w:bCs w:val="0"/>
          <w:color w:val="auto"/>
          <w:spacing w:val="-1"/>
          <w:sz w:val="24"/>
          <w:szCs w:val="24"/>
          <w:lang w:val="en-US" w:eastAsia="zh-CN"/>
        </w:rPr>
        <w:t>其余</w:t>
      </w:r>
      <w:r>
        <w:rPr>
          <w:rFonts w:hint="default" w:ascii="Times New Roman" w:hAnsi="Times New Roman" w:cs="Times New Roman"/>
          <w:b w:val="0"/>
          <w:bCs w:val="0"/>
          <w:color w:val="auto"/>
          <w:spacing w:val="-1"/>
          <w:sz w:val="24"/>
          <w:szCs w:val="24"/>
        </w:rPr>
        <w:t>施工机械</w:t>
      </w:r>
      <w:r>
        <w:rPr>
          <w:rFonts w:hint="default" w:ascii="Times New Roman" w:hAnsi="Times New Roman" w:eastAsia="宋体" w:cs="Times New Roman"/>
          <w:b w:val="0"/>
          <w:bCs w:val="0"/>
          <w:color w:val="auto"/>
          <w:spacing w:val="-1"/>
          <w:sz w:val="24"/>
          <w:szCs w:val="24"/>
          <w:lang w:val="en-US" w:eastAsia="zh-CN"/>
        </w:rPr>
        <w:t>主要布设在新建H1、H2货运线附近，</w:t>
      </w:r>
      <w:r>
        <w:rPr>
          <w:rFonts w:hint="eastAsia" w:ascii="Times New Roman" w:hAnsi="Times New Roman" w:eastAsia="宋体" w:cs="Times New Roman"/>
          <w:b w:val="0"/>
          <w:bCs w:val="0"/>
          <w:color w:val="auto"/>
          <w:spacing w:val="-1"/>
          <w:sz w:val="24"/>
          <w:szCs w:val="24"/>
          <w:lang w:val="en-US" w:eastAsia="zh-CN"/>
        </w:rPr>
        <w:t>多声源距离厂界位置及噪声值见下表.</w:t>
      </w:r>
    </w:p>
    <w:p w14:paraId="12E1F5D4">
      <w:pPr>
        <w:pStyle w:val="9"/>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color w:val="auto"/>
        </w:rPr>
      </w:pPr>
      <w:r>
        <w:rPr>
          <w:b/>
          <w:bCs/>
          <w:color w:val="auto"/>
          <w:spacing w:val="-1"/>
        </w:rPr>
        <w:t>表</w:t>
      </w:r>
      <w:r>
        <w:rPr>
          <w:color w:val="auto"/>
          <w:spacing w:val="-54"/>
        </w:rPr>
        <w:t xml:space="preserve"> </w:t>
      </w:r>
      <w:r>
        <w:rPr>
          <w:rFonts w:ascii="Times New Roman" w:hAnsi="Times New Roman" w:eastAsia="Times New Roman" w:cs="Times New Roman"/>
          <w:b/>
          <w:bCs/>
          <w:color w:val="auto"/>
          <w:spacing w:val="-1"/>
        </w:rPr>
        <w:t>4.1-</w:t>
      </w:r>
      <w:r>
        <w:rPr>
          <w:rFonts w:hint="eastAsia" w:ascii="Times New Roman" w:hAnsi="Times New Roman" w:eastAsia="宋体" w:cs="Times New Roman"/>
          <w:b/>
          <w:bCs/>
          <w:color w:val="auto"/>
          <w:spacing w:val="-1"/>
          <w:lang w:val="en-US" w:eastAsia="zh-CN"/>
        </w:rPr>
        <w:t>3</w:t>
      </w:r>
      <w:r>
        <w:rPr>
          <w:rFonts w:ascii="Times New Roman" w:hAnsi="Times New Roman" w:eastAsia="Times New Roman" w:cs="Times New Roman"/>
          <w:b/>
          <w:bCs/>
          <w:color w:val="auto"/>
          <w:spacing w:val="-1"/>
        </w:rPr>
        <w:t xml:space="preserve">  </w:t>
      </w:r>
      <w:r>
        <w:rPr>
          <w:b/>
          <w:bCs/>
          <w:color w:val="auto"/>
          <w:spacing w:val="-1"/>
        </w:rPr>
        <w:t>各主要施工机械在</w:t>
      </w:r>
      <w:r>
        <w:rPr>
          <w:rFonts w:hint="eastAsia" w:eastAsia="宋体"/>
          <w:b/>
          <w:bCs/>
          <w:color w:val="auto"/>
          <w:spacing w:val="-1"/>
          <w:lang w:val="en-US" w:eastAsia="zh-CN"/>
        </w:rPr>
        <w:t>厂界的距离</w:t>
      </w:r>
      <w:r>
        <w:rPr>
          <w:rFonts w:hint="eastAsia" w:eastAsia="宋体"/>
          <w:b/>
          <w:bCs/>
          <w:color w:val="auto"/>
          <w:spacing w:val="-2"/>
          <w:lang w:val="en-US" w:eastAsia="zh-CN"/>
        </w:rPr>
        <w:t>和</w:t>
      </w:r>
      <w:r>
        <w:rPr>
          <w:b/>
          <w:bCs/>
          <w:color w:val="auto"/>
          <w:spacing w:val="-2"/>
        </w:rPr>
        <w:t>贡献值</w:t>
      </w:r>
      <w:r>
        <w:rPr>
          <w:color w:val="auto"/>
          <w:spacing w:val="-2"/>
        </w:rPr>
        <w:t xml:space="preserve">  </w:t>
      </w:r>
      <w:r>
        <w:rPr>
          <w:b/>
          <w:bCs/>
          <w:color w:val="auto"/>
          <w:spacing w:val="-2"/>
        </w:rPr>
        <w:t>单位：</w:t>
      </w:r>
      <w:r>
        <w:rPr>
          <w:rFonts w:ascii="Times New Roman" w:hAnsi="Times New Roman" w:eastAsia="Times New Roman" w:cs="Times New Roman"/>
          <w:b/>
          <w:bCs/>
          <w:color w:val="auto"/>
          <w:spacing w:val="-2"/>
        </w:rPr>
        <w:t>dB</w:t>
      </w:r>
      <w:r>
        <w:rPr>
          <w:b/>
          <w:bCs/>
          <w:color w:val="auto"/>
          <w:spacing w:val="-2"/>
        </w:rPr>
        <w:t>（</w:t>
      </w:r>
      <w:r>
        <w:rPr>
          <w:rFonts w:ascii="Times New Roman" w:hAnsi="Times New Roman" w:eastAsia="Times New Roman" w:cs="Times New Roman"/>
          <w:b/>
          <w:bCs/>
          <w:color w:val="auto"/>
          <w:spacing w:val="-2"/>
        </w:rPr>
        <w:t>A</w:t>
      </w:r>
      <w:r>
        <w:rPr>
          <w:b/>
          <w:bCs/>
          <w:color w:val="auto"/>
          <w:spacing w:val="-2"/>
        </w:rPr>
        <w:t>）</w:t>
      </w:r>
    </w:p>
    <w:tbl>
      <w:tblPr>
        <w:tblStyle w:val="21"/>
        <w:tblW w:w="450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95"/>
        <w:gridCol w:w="1242"/>
        <w:gridCol w:w="2024"/>
        <w:gridCol w:w="1303"/>
        <w:gridCol w:w="1514"/>
      </w:tblGrid>
      <w:tr w14:paraId="21637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vMerge w:val="restart"/>
            <w:noWrap w:val="0"/>
            <w:vAlign w:val="center"/>
          </w:tcPr>
          <w:p w14:paraId="19D5528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eastAsia" w:ascii="Times New Roman" w:hAnsi="Times New Roman" w:eastAsia="宋体" w:cs="Times New Roman"/>
                <w:b/>
                <w:bCs/>
                <w:color w:val="auto"/>
                <w:kern w:val="1"/>
                <w:sz w:val="21"/>
                <w:szCs w:val="21"/>
                <w:lang w:val="en-US" w:eastAsia="zh-CN"/>
              </w:rPr>
              <w:t>（现状厂界监测背景点）</w:t>
            </w:r>
          </w:p>
        </w:tc>
        <w:tc>
          <w:tcPr>
            <w:tcW w:w="788" w:type="pct"/>
            <w:vMerge w:val="restart"/>
            <w:tcBorders>
              <w:left w:val="single" w:color="auto" w:sz="4" w:space="0"/>
              <w:right w:val="single" w:color="auto" w:sz="4" w:space="0"/>
            </w:tcBorders>
            <w:noWrap w:val="0"/>
            <w:vAlign w:val="center"/>
          </w:tcPr>
          <w:p w14:paraId="69EDB5F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eastAsia" w:ascii="Times New Roman" w:hAnsi="Times New Roman" w:eastAsia="宋体" w:cs="Times New Roman"/>
                <w:b/>
                <w:bCs/>
                <w:color w:val="auto"/>
                <w:kern w:val="1"/>
                <w:sz w:val="21"/>
                <w:szCs w:val="21"/>
                <w:lang w:val="en-US" w:eastAsia="zh-CN"/>
              </w:rPr>
              <w:t>多声源距离（m）</w:t>
            </w:r>
          </w:p>
        </w:tc>
        <w:tc>
          <w:tcPr>
            <w:tcW w:w="1284" w:type="pct"/>
            <w:vMerge w:val="restart"/>
            <w:tcBorders>
              <w:left w:val="single" w:color="auto" w:sz="4" w:space="0"/>
            </w:tcBorders>
            <w:noWrap w:val="0"/>
            <w:vAlign w:val="center"/>
          </w:tcPr>
          <w:p w14:paraId="05265D2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b/>
                <w:bCs/>
                <w:color w:val="auto"/>
                <w:kern w:val="1"/>
                <w:sz w:val="21"/>
                <w:szCs w:val="21"/>
                <w:lang w:val="en-US" w:eastAsia="zh-CN"/>
              </w:rPr>
            </w:pPr>
            <w:r>
              <w:rPr>
                <w:rFonts w:hint="eastAsia" w:ascii="Times New Roman" w:hAnsi="Times New Roman" w:eastAsia="宋体" w:cs="Times New Roman"/>
                <w:b/>
                <w:bCs/>
                <w:color w:val="auto"/>
                <w:kern w:val="1"/>
                <w:sz w:val="21"/>
                <w:szCs w:val="21"/>
                <w:lang w:val="en-US" w:eastAsia="zh-CN"/>
              </w:rPr>
              <w:t>对应距离</w:t>
            </w:r>
            <w:r>
              <w:rPr>
                <w:b/>
                <w:bCs/>
                <w:color w:val="auto"/>
                <w:spacing w:val="-2"/>
              </w:rPr>
              <w:t>贡献值</w:t>
            </w:r>
          </w:p>
        </w:tc>
        <w:tc>
          <w:tcPr>
            <w:tcW w:w="826" w:type="pct"/>
            <w:tcBorders>
              <w:right w:val="single" w:color="auto" w:sz="4" w:space="0"/>
            </w:tcBorders>
            <w:noWrap w:val="0"/>
            <w:vAlign w:val="center"/>
          </w:tcPr>
          <w:p w14:paraId="72D9A03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eastAsia" w:ascii="Times New Roman" w:hAnsi="Times New Roman" w:eastAsia="宋体" w:cs="Times New Roman"/>
                <w:b/>
                <w:bCs/>
                <w:color w:val="auto"/>
                <w:kern w:val="1"/>
                <w:sz w:val="21"/>
                <w:szCs w:val="21"/>
                <w:lang w:val="en-US" w:eastAsia="zh-CN"/>
              </w:rPr>
              <w:t>达标值</w:t>
            </w:r>
          </w:p>
        </w:tc>
        <w:tc>
          <w:tcPr>
            <w:tcW w:w="960" w:type="pct"/>
            <w:vMerge w:val="restart"/>
            <w:noWrap w:val="0"/>
            <w:vAlign w:val="center"/>
          </w:tcPr>
          <w:p w14:paraId="04CA669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达标</w:t>
            </w:r>
          </w:p>
          <w:p w14:paraId="32F8536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情况</w:t>
            </w:r>
          </w:p>
        </w:tc>
      </w:tr>
      <w:tr w14:paraId="1CE88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vMerge w:val="continue"/>
            <w:noWrap w:val="0"/>
            <w:vAlign w:val="center"/>
          </w:tcPr>
          <w:p w14:paraId="008E7BB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p>
        </w:tc>
        <w:tc>
          <w:tcPr>
            <w:tcW w:w="788" w:type="pct"/>
            <w:vMerge w:val="continue"/>
            <w:tcBorders>
              <w:left w:val="single" w:color="auto" w:sz="4" w:space="0"/>
              <w:right w:val="single" w:color="auto" w:sz="4" w:space="0"/>
            </w:tcBorders>
            <w:noWrap w:val="0"/>
            <w:vAlign w:val="center"/>
          </w:tcPr>
          <w:p w14:paraId="766D531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p>
        </w:tc>
        <w:tc>
          <w:tcPr>
            <w:tcW w:w="1284" w:type="pct"/>
            <w:vMerge w:val="continue"/>
            <w:tcBorders>
              <w:left w:val="single" w:color="auto" w:sz="4" w:space="0"/>
            </w:tcBorders>
            <w:noWrap w:val="0"/>
            <w:vAlign w:val="center"/>
          </w:tcPr>
          <w:p w14:paraId="50D8C83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p>
        </w:tc>
        <w:tc>
          <w:tcPr>
            <w:tcW w:w="826" w:type="pct"/>
            <w:tcBorders>
              <w:top w:val="single" w:color="auto" w:sz="4" w:space="0"/>
              <w:right w:val="single" w:color="auto" w:sz="4" w:space="0"/>
            </w:tcBorders>
            <w:noWrap w:val="0"/>
            <w:vAlign w:val="center"/>
          </w:tcPr>
          <w:p w14:paraId="7856942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昼间</w:t>
            </w:r>
          </w:p>
        </w:tc>
        <w:tc>
          <w:tcPr>
            <w:tcW w:w="960" w:type="pct"/>
            <w:vMerge w:val="continue"/>
            <w:noWrap w:val="0"/>
            <w:vAlign w:val="center"/>
          </w:tcPr>
          <w:p w14:paraId="7439C3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p>
        </w:tc>
      </w:tr>
      <w:tr w14:paraId="49661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noWrap w:val="0"/>
            <w:vAlign w:val="center"/>
          </w:tcPr>
          <w:p w14:paraId="5772DD2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项目厂界东1#</w:t>
            </w:r>
          </w:p>
        </w:tc>
        <w:tc>
          <w:tcPr>
            <w:tcW w:w="788" w:type="pct"/>
            <w:noWrap w:val="0"/>
            <w:vAlign w:val="center"/>
          </w:tcPr>
          <w:p w14:paraId="7E7FD2B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120</w:t>
            </w:r>
          </w:p>
        </w:tc>
        <w:tc>
          <w:tcPr>
            <w:tcW w:w="1284" w:type="pct"/>
            <w:noWrap w:val="0"/>
            <w:vAlign w:val="center"/>
          </w:tcPr>
          <w:p w14:paraId="40CD99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49.9</w:t>
            </w:r>
          </w:p>
        </w:tc>
        <w:tc>
          <w:tcPr>
            <w:tcW w:w="826" w:type="pct"/>
            <w:tcBorders>
              <w:bottom w:val="single" w:color="auto" w:sz="4" w:space="0"/>
              <w:right w:val="single" w:color="auto" w:sz="4" w:space="0"/>
            </w:tcBorders>
            <w:noWrap w:val="0"/>
            <w:vAlign w:val="center"/>
          </w:tcPr>
          <w:p w14:paraId="2E99D73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70</w:t>
            </w:r>
          </w:p>
        </w:tc>
        <w:tc>
          <w:tcPr>
            <w:tcW w:w="960" w:type="pct"/>
            <w:noWrap w:val="0"/>
            <w:vAlign w:val="center"/>
          </w:tcPr>
          <w:p w14:paraId="74C7A13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08646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noWrap w:val="0"/>
            <w:vAlign w:val="center"/>
          </w:tcPr>
          <w:p w14:paraId="17D7F91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项目厂界南2#</w:t>
            </w:r>
          </w:p>
        </w:tc>
        <w:tc>
          <w:tcPr>
            <w:tcW w:w="788" w:type="pct"/>
            <w:noWrap w:val="0"/>
            <w:vAlign w:val="center"/>
          </w:tcPr>
          <w:p w14:paraId="0076EE5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389</w:t>
            </w:r>
          </w:p>
        </w:tc>
        <w:tc>
          <w:tcPr>
            <w:tcW w:w="1284" w:type="pct"/>
            <w:noWrap w:val="0"/>
            <w:vAlign w:val="center"/>
          </w:tcPr>
          <w:p w14:paraId="7FA524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39.7</w:t>
            </w:r>
          </w:p>
        </w:tc>
        <w:tc>
          <w:tcPr>
            <w:tcW w:w="826" w:type="pct"/>
            <w:tcBorders>
              <w:top w:val="single" w:color="auto" w:sz="4" w:space="0"/>
              <w:bottom w:val="single" w:color="auto" w:sz="4" w:space="0"/>
              <w:right w:val="single" w:color="auto" w:sz="4" w:space="0"/>
            </w:tcBorders>
            <w:noWrap w:val="0"/>
            <w:vAlign w:val="center"/>
          </w:tcPr>
          <w:p w14:paraId="688BE64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70</w:t>
            </w:r>
          </w:p>
        </w:tc>
        <w:tc>
          <w:tcPr>
            <w:tcW w:w="960" w:type="pct"/>
            <w:noWrap w:val="0"/>
            <w:vAlign w:val="center"/>
          </w:tcPr>
          <w:p w14:paraId="519C077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2B51D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noWrap w:val="0"/>
            <w:vAlign w:val="center"/>
          </w:tcPr>
          <w:p w14:paraId="6203E32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项目厂界西3#</w:t>
            </w:r>
          </w:p>
        </w:tc>
        <w:tc>
          <w:tcPr>
            <w:tcW w:w="788" w:type="pct"/>
            <w:noWrap w:val="0"/>
            <w:vAlign w:val="center"/>
          </w:tcPr>
          <w:p w14:paraId="4AD0B6A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166</w:t>
            </w:r>
          </w:p>
        </w:tc>
        <w:tc>
          <w:tcPr>
            <w:tcW w:w="1284" w:type="pct"/>
            <w:noWrap w:val="0"/>
            <w:vAlign w:val="center"/>
          </w:tcPr>
          <w:p w14:paraId="076B036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47.1</w:t>
            </w:r>
          </w:p>
        </w:tc>
        <w:tc>
          <w:tcPr>
            <w:tcW w:w="826" w:type="pct"/>
            <w:tcBorders>
              <w:top w:val="single" w:color="auto" w:sz="4" w:space="0"/>
              <w:bottom w:val="single" w:color="auto" w:sz="4" w:space="0"/>
              <w:right w:val="single" w:color="auto" w:sz="4" w:space="0"/>
            </w:tcBorders>
            <w:noWrap w:val="0"/>
            <w:vAlign w:val="center"/>
          </w:tcPr>
          <w:p w14:paraId="600F85D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70</w:t>
            </w:r>
          </w:p>
        </w:tc>
        <w:tc>
          <w:tcPr>
            <w:tcW w:w="960" w:type="pct"/>
            <w:noWrap w:val="0"/>
            <w:vAlign w:val="center"/>
          </w:tcPr>
          <w:p w14:paraId="62ECA22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0FCBF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jc w:val="center"/>
        </w:trPr>
        <w:tc>
          <w:tcPr>
            <w:tcW w:w="1139" w:type="pct"/>
            <w:noWrap w:val="0"/>
            <w:vAlign w:val="center"/>
          </w:tcPr>
          <w:p w14:paraId="0C2D0DD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项目厂界西北4#</w:t>
            </w:r>
          </w:p>
        </w:tc>
        <w:tc>
          <w:tcPr>
            <w:tcW w:w="788" w:type="pct"/>
            <w:noWrap w:val="0"/>
            <w:vAlign w:val="center"/>
          </w:tcPr>
          <w:p w14:paraId="79BD35B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80</w:t>
            </w:r>
          </w:p>
        </w:tc>
        <w:tc>
          <w:tcPr>
            <w:tcW w:w="1284" w:type="pct"/>
            <w:noWrap w:val="0"/>
            <w:vAlign w:val="center"/>
          </w:tcPr>
          <w:p w14:paraId="6F3BF3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53.4</w:t>
            </w:r>
          </w:p>
        </w:tc>
        <w:tc>
          <w:tcPr>
            <w:tcW w:w="826" w:type="pct"/>
            <w:tcBorders>
              <w:top w:val="single" w:color="auto" w:sz="4" w:space="0"/>
              <w:bottom w:val="single" w:color="auto" w:sz="4" w:space="0"/>
              <w:right w:val="single" w:color="auto" w:sz="4" w:space="0"/>
            </w:tcBorders>
            <w:noWrap w:val="0"/>
            <w:vAlign w:val="center"/>
          </w:tcPr>
          <w:p w14:paraId="678C6DB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70</w:t>
            </w:r>
          </w:p>
        </w:tc>
        <w:tc>
          <w:tcPr>
            <w:tcW w:w="960" w:type="pct"/>
            <w:noWrap w:val="0"/>
            <w:vAlign w:val="center"/>
          </w:tcPr>
          <w:p w14:paraId="74EA81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69D4B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jc w:val="center"/>
        </w:trPr>
        <w:tc>
          <w:tcPr>
            <w:tcW w:w="1139" w:type="pct"/>
            <w:noWrap w:val="0"/>
            <w:vAlign w:val="center"/>
          </w:tcPr>
          <w:p w14:paraId="7DD3F76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项目厂界北5#</w:t>
            </w:r>
          </w:p>
        </w:tc>
        <w:tc>
          <w:tcPr>
            <w:tcW w:w="788" w:type="pct"/>
            <w:noWrap w:val="0"/>
            <w:vAlign w:val="center"/>
          </w:tcPr>
          <w:p w14:paraId="4C490E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202</w:t>
            </w:r>
          </w:p>
        </w:tc>
        <w:tc>
          <w:tcPr>
            <w:tcW w:w="1284" w:type="pct"/>
            <w:noWrap w:val="0"/>
            <w:vAlign w:val="center"/>
          </w:tcPr>
          <w:p w14:paraId="36F4A5A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45.4</w:t>
            </w:r>
          </w:p>
        </w:tc>
        <w:tc>
          <w:tcPr>
            <w:tcW w:w="826" w:type="pct"/>
            <w:tcBorders>
              <w:top w:val="single" w:color="auto" w:sz="4" w:space="0"/>
              <w:bottom w:val="single" w:color="auto" w:sz="4" w:space="0"/>
              <w:right w:val="single" w:color="auto" w:sz="4" w:space="0"/>
            </w:tcBorders>
            <w:noWrap w:val="0"/>
            <w:vAlign w:val="center"/>
          </w:tcPr>
          <w:p w14:paraId="2D4187D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70</w:t>
            </w:r>
          </w:p>
        </w:tc>
        <w:tc>
          <w:tcPr>
            <w:tcW w:w="960" w:type="pct"/>
            <w:noWrap w:val="0"/>
            <w:vAlign w:val="center"/>
          </w:tcPr>
          <w:p w14:paraId="0557BB5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bl>
    <w:p w14:paraId="609AEAB9">
      <w:pPr>
        <w:pStyle w:val="9"/>
        <w:spacing w:before="36" w:line="359" w:lineRule="auto"/>
        <w:ind w:left="20" w:right="219" w:firstLine="480"/>
        <w:rPr>
          <w:rFonts w:hint="default" w:ascii="Times New Roman" w:hAnsi="Times New Roman" w:cs="Times New Roman"/>
          <w:color w:val="auto"/>
          <w:sz w:val="24"/>
          <w:szCs w:val="24"/>
        </w:rPr>
      </w:pPr>
      <w:r>
        <w:rPr>
          <w:rFonts w:hint="eastAsia" w:ascii="Times New Roman" w:hAnsi="Times New Roman" w:eastAsia="宋体" w:cs="Times New Roman"/>
          <w:b w:val="0"/>
          <w:bCs w:val="0"/>
          <w:color w:val="auto"/>
          <w:spacing w:val="-1"/>
          <w:sz w:val="24"/>
          <w:szCs w:val="24"/>
          <w:lang w:val="en-US" w:eastAsia="zh-CN"/>
        </w:rPr>
        <w:t>根据上表可知，项目施工期多声源同时施工，在厂界处均</w:t>
      </w:r>
      <w:r>
        <w:rPr>
          <w:rFonts w:hint="default" w:ascii="Times New Roman" w:hAnsi="Times New Roman" w:eastAsia="宋体" w:cs="Times New Roman"/>
          <w:b w:val="0"/>
          <w:bCs w:val="0"/>
          <w:color w:val="auto"/>
          <w:spacing w:val="-1"/>
          <w:sz w:val="24"/>
          <w:szCs w:val="24"/>
          <w:lang w:val="en-US" w:eastAsia="zh-CN"/>
        </w:rPr>
        <w:t>可满足《建筑施工噪声排放标准》（GB12523-2025）中标准值，即昼间≤70dB（A）限值要求，</w:t>
      </w:r>
    </w:p>
    <w:p w14:paraId="461A3E90">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3、</w:t>
      </w:r>
      <w:r>
        <w:rPr>
          <w:b/>
          <w:bCs/>
          <w:color w:val="auto"/>
          <w:spacing w:val="-2"/>
          <w:sz w:val="24"/>
          <w:szCs w:val="24"/>
        </w:rPr>
        <w:t>施工噪声对周边环境影响分析</w:t>
      </w:r>
    </w:p>
    <w:p w14:paraId="409C35E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项目周边</w:t>
      </w:r>
      <w:r>
        <w:rPr>
          <w:rFonts w:hint="eastAsia" w:ascii="Times New Roman" w:hAnsi="Times New Roman" w:cs="Times New Roman"/>
          <w:color w:val="auto"/>
          <w:spacing w:val="0"/>
          <w:sz w:val="24"/>
          <w:szCs w:val="24"/>
          <w:lang w:val="en-US" w:eastAsia="zh-CN"/>
        </w:rPr>
        <w:t>2</w:t>
      </w:r>
      <w:r>
        <w:rPr>
          <w:rFonts w:hint="default" w:ascii="Times New Roman" w:hAnsi="Times New Roman" w:cs="Times New Roman"/>
          <w:color w:val="auto"/>
          <w:spacing w:val="0"/>
          <w:sz w:val="24"/>
          <w:szCs w:val="24"/>
        </w:rPr>
        <w:t>00m范围内</w:t>
      </w:r>
      <w:r>
        <w:rPr>
          <w:rFonts w:hint="default" w:ascii="Times New Roman" w:hAnsi="Times New Roman" w:cs="Times New Roman"/>
          <w:color w:val="auto"/>
          <w:spacing w:val="0"/>
          <w:sz w:val="24"/>
          <w:szCs w:val="24"/>
          <w:lang w:val="en-US" w:eastAsia="zh-CN"/>
        </w:rPr>
        <w:t>无声环境保护目标</w:t>
      </w:r>
      <w:r>
        <w:rPr>
          <w:rFonts w:hint="default" w:ascii="Times New Roman" w:hAnsi="Times New Roman" w:cs="Times New Roman"/>
          <w:color w:val="auto"/>
          <w:spacing w:val="0"/>
          <w:sz w:val="24"/>
          <w:szCs w:val="24"/>
        </w:rPr>
        <w:t>。若项目施工过程中同时开启全部的设备，对周边声环境敏感点造成影响</w:t>
      </w:r>
      <w:r>
        <w:rPr>
          <w:rFonts w:hint="default" w:ascii="Times New Roman" w:hAnsi="Times New Roman" w:cs="Times New Roman"/>
          <w:color w:val="auto"/>
          <w:spacing w:val="0"/>
          <w:sz w:val="24"/>
          <w:szCs w:val="24"/>
          <w:lang w:val="en-US" w:eastAsia="zh-CN"/>
        </w:rPr>
        <w:t>较小</w:t>
      </w:r>
      <w:r>
        <w:rPr>
          <w:rFonts w:hint="default" w:ascii="Times New Roman" w:hAnsi="Times New Roman" w:cs="Times New Roman"/>
          <w:color w:val="auto"/>
          <w:spacing w:val="0"/>
          <w:sz w:val="24"/>
          <w:szCs w:val="24"/>
        </w:rPr>
        <w:t>。</w:t>
      </w:r>
    </w:p>
    <w:p w14:paraId="71B1907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施工单位在施工时应加强施工管理，要求施工队文明施工、加强有效管理，施工区域设置施工围挡；在施工作业时尽量避免多机械设备同时启用，对机械设备采取减振措施；其次，减少施工期间的敲击、人为喊叫等施工活动声源，同时运输车辆经过这些路段应减速慢行，禁止鸣笛；经过采取上述措施后项目施工期产生的噪声对周围居民点的影响是有限，施工期的影响随着施工的结束而终止，影响是可以接受的。</w:t>
      </w:r>
    </w:p>
    <w:p w14:paraId="01EA07EA">
      <w:pPr>
        <w:pStyle w:val="9"/>
        <w:keepNext w:val="0"/>
        <w:keepLines w:val="0"/>
        <w:pageBreakBefore w:val="0"/>
        <w:widowControl/>
        <w:kinsoku/>
        <w:wordWrap/>
        <w:overflowPunct/>
        <w:topLinePunct w:val="0"/>
        <w:autoSpaceDE w:val="0"/>
        <w:autoSpaceDN w:val="0"/>
        <w:bidi w:val="0"/>
        <w:adjustRightInd w:val="0"/>
        <w:snapToGrid w:val="0"/>
        <w:spacing w:before="1" w:line="360" w:lineRule="auto"/>
        <w:ind w:left="17"/>
        <w:textAlignment w:val="baseline"/>
        <w:outlineLvl w:val="3"/>
        <w:rPr>
          <w:rFonts w:ascii="Times New Roman" w:hAnsi="Times New Roman" w:eastAsia="Times New Roman" w:cs="Times New Roman"/>
          <w:b/>
          <w:bCs/>
          <w:color w:val="auto"/>
          <w:spacing w:val="-2"/>
          <w:sz w:val="24"/>
          <w:szCs w:val="24"/>
        </w:rPr>
      </w:pPr>
      <w:r>
        <w:rPr>
          <w:rFonts w:ascii="Times New Roman" w:hAnsi="Times New Roman" w:eastAsia="Times New Roman" w:cs="Times New Roman"/>
          <w:b/>
          <w:bCs/>
          <w:color w:val="auto"/>
          <w:spacing w:val="-2"/>
          <w:sz w:val="24"/>
          <w:szCs w:val="24"/>
        </w:rPr>
        <w:t>4.1.</w:t>
      </w:r>
      <w:r>
        <w:rPr>
          <w:rFonts w:hint="eastAsia" w:ascii="Times New Roman" w:hAnsi="Times New Roman" w:eastAsia="宋体" w:cs="Times New Roman"/>
          <w:b/>
          <w:bCs/>
          <w:color w:val="auto"/>
          <w:spacing w:val="-2"/>
          <w:sz w:val="24"/>
          <w:szCs w:val="24"/>
          <w:lang w:val="en-US" w:eastAsia="zh-CN"/>
        </w:rPr>
        <w:t>2.5</w:t>
      </w:r>
      <w:r>
        <w:rPr>
          <w:rFonts w:ascii="Times New Roman" w:hAnsi="Times New Roman" w:eastAsia="Times New Roman" w:cs="Times New Roman"/>
          <w:b/>
          <w:bCs/>
          <w:color w:val="auto"/>
          <w:spacing w:val="-2"/>
          <w:sz w:val="24"/>
          <w:szCs w:val="24"/>
        </w:rPr>
        <w:t xml:space="preserve"> 固体废物影响分析</w:t>
      </w:r>
    </w:p>
    <w:p w14:paraId="7AB3D9D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48" w:firstLineChars="200"/>
        <w:jc w:val="both"/>
        <w:textAlignment w:val="baseline"/>
        <w:rPr>
          <w:color w:val="auto"/>
          <w:spacing w:val="-8"/>
          <w:sz w:val="24"/>
          <w:szCs w:val="24"/>
        </w:rPr>
      </w:pPr>
      <w:r>
        <w:rPr>
          <w:color w:val="auto"/>
          <w:spacing w:val="-8"/>
          <w:sz w:val="24"/>
          <w:szCs w:val="24"/>
        </w:rPr>
        <w:t>项目施工过程中产生的固体废弃物主要为施工人员生活垃圾、建筑垃圾、土石方。</w:t>
      </w:r>
    </w:p>
    <w:p w14:paraId="21376B36">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1、</w:t>
      </w:r>
      <w:r>
        <w:rPr>
          <w:b/>
          <w:bCs/>
          <w:color w:val="auto"/>
          <w:spacing w:val="-2"/>
          <w:sz w:val="24"/>
          <w:szCs w:val="24"/>
        </w:rPr>
        <w:t>生活垃圾影响分析</w:t>
      </w:r>
    </w:p>
    <w:p w14:paraId="07D5545E">
      <w:pPr>
        <w:pStyle w:val="9"/>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项目施工期间产生的生活垃圾经垃圾桶收集后，及时运往</w:t>
      </w:r>
      <w:r>
        <w:rPr>
          <w:rFonts w:hint="eastAsia" w:ascii="Times New Roman" w:hAnsi="Times New Roman" w:eastAsia="宋体" w:cs="Times New Roman"/>
          <w:color w:val="auto"/>
          <w:spacing w:val="0"/>
          <w:sz w:val="24"/>
          <w:szCs w:val="24"/>
          <w:lang w:val="en-US" w:eastAsia="zh-CN"/>
        </w:rPr>
        <w:t>园区</w:t>
      </w:r>
      <w:r>
        <w:rPr>
          <w:rFonts w:hint="default" w:ascii="Times New Roman" w:hAnsi="Times New Roman" w:cs="Times New Roman"/>
          <w:color w:val="auto"/>
          <w:spacing w:val="0"/>
          <w:sz w:val="24"/>
          <w:szCs w:val="24"/>
        </w:rPr>
        <w:t>站环卫部门指定地点，交由环卫部门统一处置。</w:t>
      </w:r>
    </w:p>
    <w:p w14:paraId="1E53CAD2">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pacing w:val="-1"/>
          <w:sz w:val="24"/>
          <w:szCs w:val="24"/>
        </w:rPr>
      </w:pPr>
      <w:r>
        <w:rPr>
          <w:color w:val="auto"/>
          <w:spacing w:val="-3"/>
          <w:sz w:val="24"/>
          <w:szCs w:val="24"/>
        </w:rPr>
        <w:t>综上，项目只要采取以上措施，严格管理，本项目施工期间产生的</w:t>
      </w:r>
      <w:r>
        <w:rPr>
          <w:color w:val="auto"/>
          <w:spacing w:val="-4"/>
          <w:sz w:val="24"/>
          <w:szCs w:val="24"/>
        </w:rPr>
        <w:t>生活垃圾</w:t>
      </w:r>
      <w:r>
        <w:rPr>
          <w:color w:val="auto"/>
          <w:spacing w:val="-1"/>
          <w:sz w:val="24"/>
          <w:szCs w:val="24"/>
        </w:rPr>
        <w:t>均能得到妥善处置，对外环境影响较小。</w:t>
      </w:r>
    </w:p>
    <w:p w14:paraId="7F71EAC5">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4" w:firstLineChars="200"/>
        <w:textAlignment w:val="baseline"/>
        <w:outlineLvl w:val="9"/>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2、建筑垃圾影响分析</w:t>
      </w:r>
    </w:p>
    <w:p w14:paraId="16F5C9BD">
      <w:pPr>
        <w:pStyle w:val="9"/>
        <w:keepNext w:val="0"/>
        <w:keepLines w:val="0"/>
        <w:pageBreakBefore w:val="0"/>
        <w:widowControl/>
        <w:wordWrap/>
        <w:overflowPunct/>
        <w:topLinePunct w:val="0"/>
        <w:autoSpaceDE w:val="0"/>
        <w:autoSpaceDN w:val="0"/>
        <w:bidi w:val="0"/>
        <w:adjustRightInd/>
        <w:snapToGrid/>
        <w:spacing w:line="360" w:lineRule="auto"/>
        <w:ind w:left="0" w:right="0" w:firstLine="448" w:firstLineChars="200"/>
        <w:jc w:val="both"/>
        <w:textAlignment w:val="baseline"/>
        <w:rPr>
          <w:rFonts w:hint="default" w:ascii="Times New Roman" w:hAnsi="Times New Roman" w:cs="Times New Roman"/>
          <w:color w:val="auto"/>
          <w:spacing w:val="0"/>
          <w:sz w:val="24"/>
          <w:szCs w:val="24"/>
        </w:rPr>
      </w:pPr>
      <w:r>
        <w:rPr>
          <w:rFonts w:hint="eastAsia" w:ascii="Times New Roman" w:hAnsi="Times New Roman" w:eastAsia="宋体" w:cs="Times New Roman"/>
          <w:color w:val="auto"/>
          <w:spacing w:val="-8"/>
          <w:sz w:val="24"/>
          <w:szCs w:val="24"/>
        </w:rPr>
        <w:t>门卫、箱检平台</w:t>
      </w:r>
      <w:r>
        <w:rPr>
          <w:rFonts w:hint="default" w:ascii="Times New Roman" w:hAnsi="Times New Roman" w:eastAsia="宋体" w:cs="Times New Roman"/>
          <w:color w:val="auto"/>
          <w:spacing w:val="-8"/>
          <w:sz w:val="24"/>
          <w:szCs w:val="24"/>
        </w:rPr>
        <w:t>、</w:t>
      </w:r>
      <w:r>
        <w:rPr>
          <w:rFonts w:hint="eastAsia" w:ascii="Times New Roman" w:hAnsi="Times New Roman" w:eastAsia="宋体" w:cs="Times New Roman"/>
          <w:color w:val="auto"/>
          <w:spacing w:val="-8"/>
          <w:sz w:val="24"/>
          <w:szCs w:val="24"/>
        </w:rPr>
        <w:t>危废暂存间施工期间产生的建筑垃圾主要为一些废弃钢结构材料、废混凝土、和砖块等，项目对建筑垃圾进行分类，集中堆存，分拣出有利用价值的部分后外卖至当地废品站，不可回收利用部分集中收集后，</w:t>
      </w:r>
      <w:r>
        <w:rPr>
          <w:rFonts w:hint="default" w:ascii="Times New Roman" w:hAnsi="Times New Roman" w:eastAsia="宋体" w:cs="Times New Roman"/>
          <w:color w:val="auto"/>
          <w:sz w:val="24"/>
          <w:szCs w:val="24"/>
          <w:lang w:val="en-US" w:eastAsia="zh-CN"/>
        </w:rPr>
        <w:t>委托专业建筑垃圾运输单位及时运送至政府指定的建筑垃圾收纳场处置。</w:t>
      </w:r>
    </w:p>
    <w:p w14:paraId="08304582">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4" w:firstLineChars="200"/>
        <w:textAlignment w:val="baseline"/>
        <w:outlineLvl w:val="9"/>
        <w:rPr>
          <w:color w:val="auto"/>
          <w:sz w:val="24"/>
          <w:szCs w:val="24"/>
        </w:rPr>
      </w:pPr>
      <w:r>
        <w:rPr>
          <w:rFonts w:hint="eastAsia" w:ascii="Times New Roman" w:hAnsi="Times New Roman" w:eastAsia="宋体" w:cs="Times New Roman"/>
          <w:b/>
          <w:bCs/>
          <w:color w:val="auto"/>
          <w:spacing w:val="-2"/>
          <w:sz w:val="24"/>
          <w:szCs w:val="24"/>
          <w:lang w:val="en-US" w:eastAsia="zh-CN"/>
        </w:rPr>
        <w:t>3、</w:t>
      </w:r>
      <w:r>
        <w:rPr>
          <w:b/>
          <w:bCs/>
          <w:color w:val="auto"/>
          <w:spacing w:val="-2"/>
          <w:sz w:val="24"/>
          <w:szCs w:val="24"/>
        </w:rPr>
        <w:t>土石方影响分析</w:t>
      </w:r>
    </w:p>
    <w:p w14:paraId="78D1F998">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项目土石方调配平衡，不会产生弃方，且及时将土石方进行回填，</w:t>
      </w:r>
      <w:r>
        <w:rPr>
          <w:color w:val="auto"/>
          <w:spacing w:val="-4"/>
          <w:sz w:val="24"/>
          <w:szCs w:val="24"/>
        </w:rPr>
        <w:t>对沿线水</w:t>
      </w:r>
      <w:r>
        <w:rPr>
          <w:color w:val="auto"/>
          <w:spacing w:val="-2"/>
          <w:sz w:val="24"/>
          <w:szCs w:val="24"/>
        </w:rPr>
        <w:t>土流失影响较小。</w:t>
      </w:r>
    </w:p>
    <w:p w14:paraId="05EE670C">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4" w:firstLineChars="200"/>
        <w:textAlignment w:val="baseline"/>
        <w:outlineLvl w:val="9"/>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4、施工固废对周边环境影响分析</w:t>
      </w:r>
    </w:p>
    <w:p w14:paraId="28746803">
      <w:pPr>
        <w:pStyle w:val="9"/>
        <w:keepNext w:val="0"/>
        <w:keepLines w:val="0"/>
        <w:pageBreakBefore w:val="0"/>
        <w:widowControl/>
        <w:kinsoku/>
        <w:wordWrap/>
        <w:overflowPunct/>
        <w:topLinePunct w:val="0"/>
        <w:autoSpaceDE w:val="0"/>
        <w:autoSpaceDN w:val="0"/>
        <w:bidi w:val="0"/>
        <w:adjustRightInd w:val="0"/>
        <w:snapToGrid w:val="0"/>
        <w:spacing w:before="182" w:line="358" w:lineRule="auto"/>
        <w:ind w:left="23" w:right="79"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项目施工期产生的施工人员生活垃圾、建筑垃圾可100%处置，施工期不产生土石方，土石方调配平衡，施工期固废对文物保护单位及周边环境的影响较小。</w:t>
      </w:r>
    </w:p>
    <w:p w14:paraId="48D35A35">
      <w:pPr>
        <w:pStyle w:val="9"/>
        <w:spacing w:line="221" w:lineRule="auto"/>
        <w:ind w:left="489"/>
        <w:outlineLvl w:val="3"/>
        <w:rPr>
          <w:color w:val="auto"/>
          <w:sz w:val="24"/>
          <w:szCs w:val="24"/>
        </w:rPr>
      </w:pPr>
      <w:r>
        <w:rPr>
          <w:rFonts w:ascii="Times New Roman" w:hAnsi="Times New Roman" w:eastAsia="Times New Roman" w:cs="Times New Roman"/>
          <w:b/>
          <w:bCs/>
          <w:color w:val="auto"/>
          <w:spacing w:val="-5"/>
          <w:sz w:val="24"/>
          <w:szCs w:val="24"/>
        </w:rPr>
        <w:t>4.1.</w:t>
      </w:r>
      <w:r>
        <w:rPr>
          <w:rFonts w:hint="eastAsia" w:ascii="Times New Roman" w:hAnsi="Times New Roman" w:eastAsia="宋体" w:cs="Times New Roman"/>
          <w:b/>
          <w:bCs/>
          <w:color w:val="auto"/>
          <w:spacing w:val="-5"/>
          <w:sz w:val="24"/>
          <w:szCs w:val="24"/>
          <w:lang w:val="en-US" w:eastAsia="zh-CN"/>
        </w:rPr>
        <w:t>2.6</w:t>
      </w:r>
      <w:r>
        <w:rPr>
          <w:rFonts w:ascii="Times New Roman" w:hAnsi="Times New Roman" w:eastAsia="Times New Roman" w:cs="Times New Roman"/>
          <w:b/>
          <w:bCs/>
          <w:color w:val="auto"/>
          <w:spacing w:val="21"/>
          <w:sz w:val="24"/>
          <w:szCs w:val="24"/>
        </w:rPr>
        <w:t xml:space="preserve"> </w:t>
      </w:r>
      <w:r>
        <w:rPr>
          <w:b/>
          <w:bCs/>
          <w:color w:val="auto"/>
          <w:spacing w:val="-5"/>
          <w:sz w:val="24"/>
          <w:szCs w:val="24"/>
        </w:rPr>
        <w:t>小结</w:t>
      </w:r>
    </w:p>
    <w:p w14:paraId="067CD57D">
      <w:pPr>
        <w:pStyle w:val="9"/>
        <w:spacing w:before="182" w:line="357" w:lineRule="auto"/>
        <w:ind w:left="20" w:right="80" w:firstLine="484"/>
        <w:jc w:val="both"/>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综上所述，项目在施工阶段产生的施工扬尘、施工噪声、固体废物对环境影响较小，在采取有效防治措施。一般情况下，上述施工期环境影响是暂时性的，待施工结束后，受影响的环境因素大多可以恢复到现状水平。总之，施工期环境影响是暂时的，随着施工期结束而结束。</w:t>
      </w:r>
    </w:p>
    <w:p w14:paraId="5E7C5BB4">
      <w:pPr>
        <w:pStyle w:val="9"/>
        <w:spacing w:before="4" w:line="220" w:lineRule="auto"/>
        <w:ind w:left="489"/>
        <w:outlineLvl w:val="1"/>
        <w:rPr>
          <w:color w:val="auto"/>
          <w:sz w:val="24"/>
          <w:szCs w:val="24"/>
        </w:rPr>
      </w:pPr>
      <w:bookmarkStart w:id="158" w:name="bookmark28"/>
      <w:bookmarkEnd w:id="158"/>
      <w:bookmarkStart w:id="159" w:name="_Toc29180"/>
      <w:r>
        <w:rPr>
          <w:rFonts w:ascii="Times New Roman" w:hAnsi="Times New Roman" w:eastAsia="Times New Roman" w:cs="Times New Roman"/>
          <w:b/>
          <w:bCs/>
          <w:color w:val="auto"/>
          <w:spacing w:val="-2"/>
          <w:sz w:val="24"/>
          <w:szCs w:val="24"/>
        </w:rPr>
        <w:t xml:space="preserve">4.2.  </w:t>
      </w:r>
      <w:r>
        <w:rPr>
          <w:b/>
          <w:bCs/>
          <w:color w:val="auto"/>
          <w:spacing w:val="-2"/>
          <w:sz w:val="24"/>
          <w:szCs w:val="24"/>
        </w:rPr>
        <w:t>运营期大气环境影响分析</w:t>
      </w:r>
      <w:bookmarkEnd w:id="159"/>
    </w:p>
    <w:p w14:paraId="37CAD4C9">
      <w:pPr>
        <w:pStyle w:val="9"/>
        <w:spacing w:before="219" w:line="221" w:lineRule="auto"/>
        <w:ind w:left="489"/>
        <w:outlineLvl w:val="3"/>
        <w:rPr>
          <w:color w:val="auto"/>
          <w:sz w:val="24"/>
          <w:szCs w:val="24"/>
        </w:rPr>
      </w:pPr>
      <w:r>
        <w:rPr>
          <w:rFonts w:ascii="Times New Roman" w:hAnsi="Times New Roman" w:eastAsia="Times New Roman" w:cs="Times New Roman"/>
          <w:b/>
          <w:bCs/>
          <w:color w:val="auto"/>
          <w:spacing w:val="-2"/>
          <w:sz w:val="24"/>
          <w:szCs w:val="24"/>
        </w:rPr>
        <w:t xml:space="preserve">4.2.1  </w:t>
      </w:r>
      <w:r>
        <w:rPr>
          <w:b/>
          <w:bCs/>
          <w:color w:val="auto"/>
          <w:spacing w:val="-2"/>
          <w:sz w:val="24"/>
          <w:szCs w:val="24"/>
        </w:rPr>
        <w:t>运营期废气污染源统计</w:t>
      </w:r>
    </w:p>
    <w:p w14:paraId="64E32F15">
      <w:pPr>
        <w:pStyle w:val="9"/>
        <w:spacing w:before="205" w:line="360" w:lineRule="auto"/>
        <w:ind w:left="491" w:right="401" w:firstLine="480"/>
        <w:rPr>
          <w:color w:val="auto"/>
          <w:sz w:val="24"/>
          <w:szCs w:val="24"/>
        </w:rPr>
      </w:pPr>
      <w:r>
        <w:rPr>
          <w:color w:val="auto"/>
          <w:spacing w:val="-8"/>
          <w:sz w:val="24"/>
          <w:szCs w:val="24"/>
        </w:rPr>
        <w:t>根据上文分析，项目运营期排放的大气污染物主要是内燃机废气、汽车尾气、</w:t>
      </w:r>
      <w:r>
        <w:rPr>
          <w:color w:val="auto"/>
          <w:spacing w:val="-1"/>
          <w:sz w:val="24"/>
          <w:szCs w:val="24"/>
        </w:rPr>
        <w:t>装卸扬尘和道路扬尘。</w:t>
      </w:r>
    </w:p>
    <w:p w14:paraId="2D482A92">
      <w:pPr>
        <w:pStyle w:val="9"/>
        <w:spacing w:before="1" w:line="210" w:lineRule="auto"/>
        <w:ind w:left="2648"/>
        <w:rPr>
          <w:color w:val="auto"/>
        </w:rPr>
      </w:pPr>
      <w:r>
        <w:rPr>
          <w:b/>
          <w:bCs/>
          <w:color w:val="auto"/>
          <w:spacing w:val="-2"/>
        </w:rPr>
        <w:t>表</w:t>
      </w:r>
      <w:r>
        <w:rPr>
          <w:color w:val="auto"/>
          <w:spacing w:val="-46"/>
        </w:rPr>
        <w:t xml:space="preserve"> </w:t>
      </w:r>
      <w:r>
        <w:rPr>
          <w:rFonts w:ascii="Times New Roman" w:hAnsi="Times New Roman" w:eastAsia="Times New Roman" w:cs="Times New Roman"/>
          <w:b/>
          <w:bCs/>
          <w:color w:val="auto"/>
          <w:spacing w:val="-2"/>
        </w:rPr>
        <w:t xml:space="preserve">4.2-1  </w:t>
      </w:r>
      <w:r>
        <w:rPr>
          <w:b/>
          <w:bCs/>
          <w:color w:val="auto"/>
          <w:spacing w:val="-2"/>
        </w:rPr>
        <w:t>大气污染物无组织排放量核算表</w:t>
      </w:r>
    </w:p>
    <w:tbl>
      <w:tblPr>
        <w:tblStyle w:val="26"/>
        <w:tblW w:w="829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5"/>
        <w:gridCol w:w="1121"/>
        <w:gridCol w:w="1073"/>
        <w:gridCol w:w="1812"/>
        <w:gridCol w:w="1655"/>
        <w:gridCol w:w="984"/>
        <w:gridCol w:w="1037"/>
      </w:tblGrid>
      <w:tr w14:paraId="61EC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615" w:type="dxa"/>
            <w:vMerge w:val="restart"/>
            <w:vAlign w:val="center"/>
          </w:tcPr>
          <w:p w14:paraId="4FDEE717">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序号</w:t>
            </w:r>
          </w:p>
        </w:tc>
        <w:tc>
          <w:tcPr>
            <w:tcW w:w="1121" w:type="dxa"/>
            <w:vMerge w:val="restart"/>
            <w:vAlign w:val="center"/>
          </w:tcPr>
          <w:p w14:paraId="72B76744">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产污环节</w:t>
            </w:r>
          </w:p>
        </w:tc>
        <w:tc>
          <w:tcPr>
            <w:tcW w:w="1073" w:type="dxa"/>
            <w:vMerge w:val="restart"/>
            <w:vAlign w:val="center"/>
          </w:tcPr>
          <w:p w14:paraId="1B37C1A5">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污染物</w:t>
            </w:r>
          </w:p>
        </w:tc>
        <w:tc>
          <w:tcPr>
            <w:tcW w:w="1812" w:type="dxa"/>
            <w:vMerge w:val="restart"/>
            <w:vAlign w:val="center"/>
          </w:tcPr>
          <w:p w14:paraId="06AA3C6A">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主要污染防治措施</w:t>
            </w:r>
          </w:p>
        </w:tc>
        <w:tc>
          <w:tcPr>
            <w:tcW w:w="2639" w:type="dxa"/>
            <w:gridSpan w:val="2"/>
            <w:vAlign w:val="center"/>
          </w:tcPr>
          <w:p w14:paraId="300F1F5E">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国家或地方污染物排放标准</w:t>
            </w:r>
          </w:p>
        </w:tc>
        <w:tc>
          <w:tcPr>
            <w:tcW w:w="1037" w:type="dxa"/>
            <w:vMerge w:val="restart"/>
            <w:vAlign w:val="center"/>
          </w:tcPr>
          <w:p w14:paraId="22224774">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核算年排放量</w:t>
            </w:r>
            <w:r>
              <w:rPr>
                <w:rFonts w:ascii="Times New Roman" w:hAnsi="Times New Roman" w:eastAsia="Times New Roman" w:cs="Times New Roman"/>
                <w:b/>
                <w:bCs/>
                <w:color w:val="auto"/>
                <w:spacing w:val="0"/>
                <w:w w:val="100"/>
                <w:position w:val="0"/>
                <w:sz w:val="21"/>
                <w:szCs w:val="21"/>
              </w:rPr>
              <w:t>/</w:t>
            </w:r>
            <w:r>
              <w:rPr>
                <w:b/>
                <w:bCs/>
                <w:color w:val="auto"/>
                <w:spacing w:val="0"/>
                <w:w w:val="100"/>
                <w:position w:val="0"/>
                <w:sz w:val="21"/>
                <w:szCs w:val="21"/>
              </w:rPr>
              <w:t>（</w:t>
            </w:r>
            <w:r>
              <w:rPr>
                <w:rFonts w:ascii="Times New Roman" w:hAnsi="Times New Roman" w:eastAsia="Times New Roman" w:cs="Times New Roman"/>
                <w:b/>
                <w:bCs/>
                <w:color w:val="auto"/>
                <w:spacing w:val="0"/>
                <w:w w:val="100"/>
                <w:position w:val="0"/>
                <w:sz w:val="21"/>
                <w:szCs w:val="21"/>
              </w:rPr>
              <w:t>t/a</w:t>
            </w:r>
            <w:r>
              <w:rPr>
                <w:b/>
                <w:bCs/>
                <w:color w:val="auto"/>
                <w:spacing w:val="0"/>
                <w:w w:val="100"/>
                <w:position w:val="0"/>
                <w:sz w:val="21"/>
                <w:szCs w:val="21"/>
              </w:rPr>
              <w:t>）</w:t>
            </w:r>
          </w:p>
        </w:tc>
      </w:tr>
      <w:tr w14:paraId="22E8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3" w:hRule="atLeast"/>
        </w:trPr>
        <w:tc>
          <w:tcPr>
            <w:tcW w:w="615" w:type="dxa"/>
            <w:vMerge w:val="continue"/>
            <w:vAlign w:val="center"/>
          </w:tcPr>
          <w:p w14:paraId="3D529EEB">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121" w:type="dxa"/>
            <w:vMerge w:val="continue"/>
            <w:vAlign w:val="center"/>
          </w:tcPr>
          <w:p w14:paraId="3A12B50A">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073" w:type="dxa"/>
            <w:vMerge w:val="continue"/>
            <w:vAlign w:val="center"/>
          </w:tcPr>
          <w:p w14:paraId="5A808AD5">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812" w:type="dxa"/>
            <w:vMerge w:val="continue"/>
            <w:vAlign w:val="center"/>
          </w:tcPr>
          <w:p w14:paraId="0E29922C">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655" w:type="dxa"/>
            <w:vAlign w:val="center"/>
          </w:tcPr>
          <w:p w14:paraId="69116410">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标准名称</w:t>
            </w:r>
          </w:p>
        </w:tc>
        <w:tc>
          <w:tcPr>
            <w:tcW w:w="984" w:type="dxa"/>
            <w:vAlign w:val="center"/>
          </w:tcPr>
          <w:p w14:paraId="020B0691">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浓度限值</w:t>
            </w:r>
            <w:r>
              <w:rPr>
                <w:color w:val="auto"/>
                <w:spacing w:val="0"/>
                <w:w w:val="100"/>
                <w:position w:val="0"/>
                <w:sz w:val="21"/>
                <w:szCs w:val="21"/>
              </w:rPr>
              <w:t xml:space="preserve"> </w:t>
            </w:r>
            <w:r>
              <w:rPr>
                <w:rFonts w:ascii="Times New Roman" w:hAnsi="Times New Roman" w:eastAsia="Times New Roman" w:cs="Times New Roman"/>
                <w:b/>
                <w:bCs/>
                <w:color w:val="auto"/>
                <w:spacing w:val="0"/>
                <w:w w:val="100"/>
                <w:position w:val="0"/>
                <w:sz w:val="21"/>
                <w:szCs w:val="21"/>
              </w:rPr>
              <w:t>/</w:t>
            </w:r>
            <w:r>
              <w:rPr>
                <w:b/>
                <w:bCs/>
                <w:color w:val="auto"/>
                <w:spacing w:val="0"/>
                <w:w w:val="100"/>
                <w:position w:val="0"/>
                <w:sz w:val="21"/>
                <w:szCs w:val="21"/>
              </w:rPr>
              <w:t>（</w:t>
            </w:r>
            <w:r>
              <w:rPr>
                <w:rFonts w:ascii="Times New Roman" w:hAnsi="Times New Roman" w:eastAsia="Times New Roman" w:cs="Times New Roman"/>
                <w:b/>
                <w:bCs/>
                <w:color w:val="auto"/>
                <w:spacing w:val="0"/>
                <w:w w:val="100"/>
                <w:position w:val="0"/>
                <w:sz w:val="21"/>
                <w:szCs w:val="21"/>
              </w:rPr>
              <w:t>mg/m</w:t>
            </w:r>
            <w:r>
              <w:rPr>
                <w:rFonts w:ascii="Times New Roman" w:hAnsi="Times New Roman" w:eastAsia="Times New Roman" w:cs="Times New Roman"/>
                <w:b/>
                <w:bCs/>
                <w:color w:val="auto"/>
                <w:spacing w:val="0"/>
                <w:w w:val="100"/>
                <w:position w:val="0"/>
                <w:sz w:val="21"/>
                <w:szCs w:val="21"/>
                <w:vertAlign w:val="superscript"/>
              </w:rPr>
              <w:t>3</w:t>
            </w:r>
            <w:r>
              <w:rPr>
                <w:b/>
                <w:bCs/>
                <w:color w:val="auto"/>
                <w:spacing w:val="0"/>
                <w:w w:val="100"/>
                <w:position w:val="0"/>
                <w:sz w:val="21"/>
                <w:szCs w:val="21"/>
              </w:rPr>
              <w:t>）</w:t>
            </w:r>
          </w:p>
        </w:tc>
        <w:tc>
          <w:tcPr>
            <w:tcW w:w="1037" w:type="dxa"/>
            <w:vMerge w:val="continue"/>
            <w:vAlign w:val="center"/>
          </w:tcPr>
          <w:p w14:paraId="38EF0C06">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r>
      <w:tr w14:paraId="1D9D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trPr>
        <w:tc>
          <w:tcPr>
            <w:tcW w:w="615" w:type="dxa"/>
            <w:vMerge w:val="restart"/>
            <w:vAlign w:val="center"/>
          </w:tcPr>
          <w:p w14:paraId="09A74F4E">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1</w:t>
            </w:r>
          </w:p>
        </w:tc>
        <w:tc>
          <w:tcPr>
            <w:tcW w:w="1121" w:type="dxa"/>
            <w:vMerge w:val="restart"/>
            <w:vAlign w:val="center"/>
          </w:tcPr>
          <w:p w14:paraId="28438F0D">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列车运输行驶</w:t>
            </w:r>
          </w:p>
        </w:tc>
        <w:tc>
          <w:tcPr>
            <w:tcW w:w="1073" w:type="dxa"/>
            <w:vAlign w:val="center"/>
          </w:tcPr>
          <w:p w14:paraId="71B81BD1">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颗粒物</w:t>
            </w:r>
          </w:p>
        </w:tc>
        <w:tc>
          <w:tcPr>
            <w:tcW w:w="1812" w:type="dxa"/>
            <w:vAlign w:val="center"/>
          </w:tcPr>
          <w:p w14:paraId="0F9BB362">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自然排放、大气稀释</w:t>
            </w:r>
          </w:p>
        </w:tc>
        <w:tc>
          <w:tcPr>
            <w:tcW w:w="1655" w:type="dxa"/>
            <w:vMerge w:val="restart"/>
            <w:vAlign w:val="center"/>
          </w:tcPr>
          <w:p w14:paraId="17D0E615">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《大气污染物综合排放标准》（</w:t>
            </w:r>
            <w:r>
              <w:rPr>
                <w:rFonts w:ascii="Times New Roman" w:hAnsi="Times New Roman" w:eastAsia="Times New Roman" w:cs="Times New Roman"/>
                <w:color w:val="auto"/>
                <w:spacing w:val="0"/>
                <w:w w:val="100"/>
                <w:position w:val="0"/>
                <w:sz w:val="21"/>
                <w:szCs w:val="21"/>
              </w:rPr>
              <w:t>GB16297-1996</w:t>
            </w:r>
            <w:r>
              <w:rPr>
                <w:color w:val="auto"/>
                <w:spacing w:val="0"/>
                <w:w w:val="100"/>
                <w:position w:val="0"/>
                <w:sz w:val="21"/>
                <w:szCs w:val="21"/>
              </w:rPr>
              <w:t>）表</w:t>
            </w:r>
            <w:r>
              <w:rPr>
                <w:rFonts w:ascii="Times New Roman" w:hAnsi="Times New Roman" w:eastAsia="Times New Roman" w:cs="Times New Roman"/>
                <w:color w:val="auto"/>
                <w:spacing w:val="0"/>
                <w:w w:val="100"/>
                <w:position w:val="0"/>
                <w:sz w:val="21"/>
                <w:szCs w:val="21"/>
              </w:rPr>
              <w:t xml:space="preserve">2 </w:t>
            </w:r>
            <w:r>
              <w:rPr>
                <w:color w:val="auto"/>
                <w:spacing w:val="0"/>
                <w:w w:val="100"/>
                <w:position w:val="0"/>
                <w:sz w:val="21"/>
                <w:szCs w:val="21"/>
              </w:rPr>
              <w:t>中无组织排放标准限值。</w:t>
            </w:r>
          </w:p>
        </w:tc>
        <w:tc>
          <w:tcPr>
            <w:tcW w:w="984" w:type="dxa"/>
            <w:vAlign w:val="center"/>
          </w:tcPr>
          <w:p w14:paraId="695FD89A">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1.0</w:t>
            </w:r>
          </w:p>
        </w:tc>
        <w:tc>
          <w:tcPr>
            <w:tcW w:w="1037" w:type="dxa"/>
            <w:vAlign w:val="center"/>
          </w:tcPr>
          <w:p w14:paraId="4C059206">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0.6462</w:t>
            </w:r>
          </w:p>
        </w:tc>
      </w:tr>
      <w:tr w14:paraId="2F8A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615" w:type="dxa"/>
            <w:vMerge w:val="continue"/>
            <w:vAlign w:val="center"/>
          </w:tcPr>
          <w:p w14:paraId="55966482">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121" w:type="dxa"/>
            <w:vMerge w:val="continue"/>
            <w:vAlign w:val="center"/>
          </w:tcPr>
          <w:p w14:paraId="5BA5B810">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073" w:type="dxa"/>
            <w:vAlign w:val="center"/>
          </w:tcPr>
          <w:p w14:paraId="4407B7BC">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SO</w:t>
            </w:r>
            <w:r>
              <w:rPr>
                <w:rFonts w:ascii="Times New Roman" w:hAnsi="Times New Roman" w:eastAsia="Times New Roman" w:cs="Times New Roman"/>
                <w:color w:val="auto"/>
                <w:spacing w:val="0"/>
                <w:w w:val="100"/>
                <w:position w:val="0"/>
                <w:sz w:val="21"/>
                <w:szCs w:val="21"/>
                <w:vertAlign w:val="subscript"/>
              </w:rPr>
              <w:t>2</w:t>
            </w:r>
          </w:p>
        </w:tc>
        <w:tc>
          <w:tcPr>
            <w:tcW w:w="1812" w:type="dxa"/>
            <w:vMerge w:val="restart"/>
            <w:vAlign w:val="center"/>
          </w:tcPr>
          <w:p w14:paraId="18DFC0E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扩散、绿化吸收等。</w:t>
            </w:r>
          </w:p>
        </w:tc>
        <w:tc>
          <w:tcPr>
            <w:tcW w:w="1655" w:type="dxa"/>
            <w:vMerge w:val="continue"/>
            <w:vAlign w:val="center"/>
          </w:tcPr>
          <w:p w14:paraId="7F09DBBA">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p>
        </w:tc>
        <w:tc>
          <w:tcPr>
            <w:tcW w:w="984" w:type="dxa"/>
            <w:vAlign w:val="center"/>
          </w:tcPr>
          <w:p w14:paraId="61A43CF7">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0.4</w:t>
            </w:r>
          </w:p>
        </w:tc>
        <w:tc>
          <w:tcPr>
            <w:tcW w:w="1037" w:type="dxa"/>
            <w:vAlign w:val="center"/>
          </w:tcPr>
          <w:p w14:paraId="68398FBC">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0.9862</w:t>
            </w:r>
          </w:p>
        </w:tc>
      </w:tr>
      <w:tr w14:paraId="2032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615" w:type="dxa"/>
            <w:vMerge w:val="continue"/>
            <w:vAlign w:val="center"/>
          </w:tcPr>
          <w:p w14:paraId="7AF90784">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121" w:type="dxa"/>
            <w:vMerge w:val="continue"/>
            <w:vAlign w:val="center"/>
          </w:tcPr>
          <w:p w14:paraId="6B9C7298">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073" w:type="dxa"/>
            <w:vAlign w:val="center"/>
          </w:tcPr>
          <w:p w14:paraId="553A50BC">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NOx</w:t>
            </w:r>
          </w:p>
        </w:tc>
        <w:tc>
          <w:tcPr>
            <w:tcW w:w="1812" w:type="dxa"/>
            <w:vMerge w:val="continue"/>
            <w:vAlign w:val="center"/>
          </w:tcPr>
          <w:p w14:paraId="5B73483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655" w:type="dxa"/>
            <w:vMerge w:val="continue"/>
            <w:vAlign w:val="center"/>
          </w:tcPr>
          <w:p w14:paraId="728F71F8">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984" w:type="dxa"/>
            <w:vAlign w:val="center"/>
          </w:tcPr>
          <w:p w14:paraId="426748B2">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0.12</w:t>
            </w:r>
          </w:p>
        </w:tc>
        <w:tc>
          <w:tcPr>
            <w:tcW w:w="1037" w:type="dxa"/>
            <w:vAlign w:val="center"/>
          </w:tcPr>
          <w:p w14:paraId="41C9461D">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0.8077</w:t>
            </w:r>
          </w:p>
        </w:tc>
      </w:tr>
      <w:tr w14:paraId="2735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trPr>
        <w:tc>
          <w:tcPr>
            <w:tcW w:w="615" w:type="dxa"/>
            <w:vMerge w:val="restart"/>
            <w:vAlign w:val="center"/>
          </w:tcPr>
          <w:p w14:paraId="5EAF717F">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2</w:t>
            </w:r>
          </w:p>
        </w:tc>
        <w:tc>
          <w:tcPr>
            <w:tcW w:w="1121" w:type="dxa"/>
            <w:vMerge w:val="restart"/>
            <w:vAlign w:val="center"/>
          </w:tcPr>
          <w:p w14:paraId="5C7F2974">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货物运输车辆行驶</w:t>
            </w:r>
          </w:p>
        </w:tc>
        <w:tc>
          <w:tcPr>
            <w:tcW w:w="1073" w:type="dxa"/>
            <w:vAlign w:val="center"/>
          </w:tcPr>
          <w:p w14:paraId="0D248063">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总烃</w:t>
            </w:r>
          </w:p>
        </w:tc>
        <w:tc>
          <w:tcPr>
            <w:tcW w:w="1812" w:type="dxa"/>
            <w:vMerge w:val="restart"/>
            <w:vAlign w:val="center"/>
          </w:tcPr>
          <w:p w14:paraId="7B175D8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减速慢行、绿化吸收、大气扩散等。</w:t>
            </w:r>
          </w:p>
        </w:tc>
        <w:tc>
          <w:tcPr>
            <w:tcW w:w="1655" w:type="dxa"/>
            <w:vMerge w:val="restart"/>
            <w:vAlign w:val="center"/>
          </w:tcPr>
          <w:p w14:paraId="5CECE8E1">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w:t>
            </w:r>
          </w:p>
        </w:tc>
        <w:tc>
          <w:tcPr>
            <w:tcW w:w="984" w:type="dxa"/>
            <w:vAlign w:val="center"/>
          </w:tcPr>
          <w:p w14:paraId="6B915959">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w:t>
            </w:r>
          </w:p>
        </w:tc>
        <w:tc>
          <w:tcPr>
            <w:tcW w:w="1037" w:type="dxa"/>
            <w:vAlign w:val="center"/>
          </w:tcPr>
          <w:p w14:paraId="30464E78">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w w:val="10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0.053</w:t>
            </w:r>
          </w:p>
        </w:tc>
      </w:tr>
      <w:tr w14:paraId="1E82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615" w:type="dxa"/>
            <w:vMerge w:val="continue"/>
            <w:vAlign w:val="center"/>
          </w:tcPr>
          <w:p w14:paraId="6A3FFA59">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121" w:type="dxa"/>
            <w:vMerge w:val="continue"/>
            <w:vAlign w:val="center"/>
          </w:tcPr>
          <w:p w14:paraId="3C6DC0F7">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073" w:type="dxa"/>
            <w:vAlign w:val="center"/>
          </w:tcPr>
          <w:p w14:paraId="79730D02">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CO</w:t>
            </w:r>
          </w:p>
        </w:tc>
        <w:tc>
          <w:tcPr>
            <w:tcW w:w="1812" w:type="dxa"/>
            <w:vMerge w:val="continue"/>
            <w:vAlign w:val="center"/>
          </w:tcPr>
          <w:p w14:paraId="4EF0ED4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655" w:type="dxa"/>
            <w:vMerge w:val="continue"/>
            <w:vAlign w:val="center"/>
          </w:tcPr>
          <w:p w14:paraId="2C7728B3">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984" w:type="dxa"/>
            <w:vAlign w:val="center"/>
          </w:tcPr>
          <w:p w14:paraId="7CC20379">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w:t>
            </w:r>
          </w:p>
        </w:tc>
        <w:tc>
          <w:tcPr>
            <w:tcW w:w="1037" w:type="dxa"/>
            <w:vAlign w:val="center"/>
          </w:tcPr>
          <w:p w14:paraId="7B845358">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w w:val="10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0.322</w:t>
            </w:r>
          </w:p>
        </w:tc>
      </w:tr>
      <w:tr w14:paraId="2019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615" w:type="dxa"/>
            <w:vMerge w:val="continue"/>
            <w:vAlign w:val="center"/>
          </w:tcPr>
          <w:p w14:paraId="58F6B3B5">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121" w:type="dxa"/>
            <w:vMerge w:val="continue"/>
            <w:vAlign w:val="center"/>
          </w:tcPr>
          <w:p w14:paraId="46881E2B">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073" w:type="dxa"/>
            <w:vAlign w:val="center"/>
          </w:tcPr>
          <w:p w14:paraId="76BD28F5">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NOx</w:t>
            </w:r>
          </w:p>
        </w:tc>
        <w:tc>
          <w:tcPr>
            <w:tcW w:w="1812" w:type="dxa"/>
            <w:vMerge w:val="continue"/>
            <w:vAlign w:val="center"/>
          </w:tcPr>
          <w:p w14:paraId="507B4E8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655" w:type="dxa"/>
            <w:vMerge w:val="continue"/>
            <w:vAlign w:val="center"/>
          </w:tcPr>
          <w:p w14:paraId="26DF8053">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984" w:type="dxa"/>
            <w:vAlign w:val="center"/>
          </w:tcPr>
          <w:p w14:paraId="6D01C603">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w:t>
            </w:r>
          </w:p>
        </w:tc>
        <w:tc>
          <w:tcPr>
            <w:tcW w:w="1037" w:type="dxa"/>
            <w:vAlign w:val="center"/>
          </w:tcPr>
          <w:p w14:paraId="50D60E7E">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w w:val="10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0.529</w:t>
            </w:r>
          </w:p>
        </w:tc>
      </w:tr>
      <w:tr w14:paraId="7ACC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trPr>
        <w:tc>
          <w:tcPr>
            <w:tcW w:w="615" w:type="dxa"/>
            <w:vAlign w:val="center"/>
          </w:tcPr>
          <w:p w14:paraId="7005ED84">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3</w:t>
            </w:r>
          </w:p>
        </w:tc>
        <w:tc>
          <w:tcPr>
            <w:tcW w:w="1121" w:type="dxa"/>
            <w:vAlign w:val="center"/>
          </w:tcPr>
          <w:p w14:paraId="72A7BB4B">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hint="default" w:eastAsia="宋体"/>
                <w:color w:val="auto"/>
                <w:spacing w:val="0"/>
                <w:w w:val="100"/>
                <w:position w:val="0"/>
                <w:sz w:val="21"/>
                <w:szCs w:val="21"/>
                <w:lang w:val="en-US" w:eastAsia="zh-CN"/>
              </w:rPr>
            </w:pPr>
            <w:r>
              <w:rPr>
                <w:rFonts w:hint="eastAsia"/>
                <w:color w:val="auto"/>
                <w:spacing w:val="0"/>
                <w:w w:val="100"/>
                <w:position w:val="0"/>
                <w:sz w:val="21"/>
                <w:szCs w:val="21"/>
                <w:lang w:val="en-US" w:eastAsia="zh-CN"/>
              </w:rPr>
              <w:t>道路扬尘</w:t>
            </w:r>
          </w:p>
        </w:tc>
        <w:tc>
          <w:tcPr>
            <w:tcW w:w="1073" w:type="dxa"/>
            <w:vAlign w:val="center"/>
          </w:tcPr>
          <w:p w14:paraId="41B80C5F">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TSP</w:t>
            </w:r>
          </w:p>
        </w:tc>
        <w:tc>
          <w:tcPr>
            <w:tcW w:w="1812" w:type="dxa"/>
            <w:vAlign w:val="center"/>
          </w:tcPr>
          <w:p w14:paraId="5FABB0F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道路早、晚各洒水降尘</w:t>
            </w:r>
            <w:r>
              <w:rPr>
                <w:rFonts w:ascii="Times New Roman" w:hAnsi="Times New Roman" w:eastAsia="Times New Roman" w:cs="Times New Roman"/>
                <w:color w:val="auto"/>
                <w:spacing w:val="0"/>
                <w:w w:val="100"/>
                <w:position w:val="0"/>
                <w:sz w:val="21"/>
                <w:szCs w:val="21"/>
              </w:rPr>
              <w:t>1</w:t>
            </w:r>
            <w:r>
              <w:rPr>
                <w:color w:val="auto"/>
                <w:spacing w:val="0"/>
                <w:w w:val="100"/>
                <w:position w:val="0"/>
                <w:sz w:val="21"/>
                <w:szCs w:val="21"/>
              </w:rPr>
              <w:t>次、定期清扫。</w:t>
            </w:r>
          </w:p>
        </w:tc>
        <w:tc>
          <w:tcPr>
            <w:tcW w:w="1655" w:type="dxa"/>
            <w:vAlign w:val="center"/>
          </w:tcPr>
          <w:p w14:paraId="3A219875">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《大气污染物综合排放标准》（</w:t>
            </w:r>
            <w:r>
              <w:rPr>
                <w:rFonts w:ascii="Times New Roman" w:hAnsi="Times New Roman" w:eastAsia="Times New Roman" w:cs="Times New Roman"/>
                <w:color w:val="auto"/>
                <w:spacing w:val="0"/>
                <w:w w:val="100"/>
                <w:position w:val="0"/>
                <w:sz w:val="21"/>
                <w:szCs w:val="21"/>
              </w:rPr>
              <w:t>GB16297-1996</w:t>
            </w:r>
            <w:r>
              <w:rPr>
                <w:color w:val="auto"/>
                <w:spacing w:val="0"/>
                <w:w w:val="100"/>
                <w:position w:val="0"/>
                <w:sz w:val="21"/>
                <w:szCs w:val="21"/>
              </w:rPr>
              <w:t>）表</w:t>
            </w:r>
            <w:r>
              <w:rPr>
                <w:rFonts w:ascii="Times New Roman" w:hAnsi="Times New Roman" w:eastAsia="Times New Roman" w:cs="Times New Roman"/>
                <w:color w:val="auto"/>
                <w:spacing w:val="0"/>
                <w:w w:val="100"/>
                <w:position w:val="0"/>
                <w:sz w:val="21"/>
                <w:szCs w:val="21"/>
              </w:rPr>
              <w:t xml:space="preserve">2 </w:t>
            </w:r>
            <w:r>
              <w:rPr>
                <w:color w:val="auto"/>
                <w:spacing w:val="0"/>
                <w:w w:val="100"/>
                <w:position w:val="0"/>
                <w:sz w:val="21"/>
                <w:szCs w:val="21"/>
              </w:rPr>
              <w:t>中无组织排放标准限值。</w:t>
            </w:r>
          </w:p>
        </w:tc>
        <w:tc>
          <w:tcPr>
            <w:tcW w:w="984" w:type="dxa"/>
            <w:vAlign w:val="center"/>
          </w:tcPr>
          <w:p w14:paraId="3F806E41">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1.0</w:t>
            </w:r>
          </w:p>
        </w:tc>
        <w:tc>
          <w:tcPr>
            <w:tcW w:w="1037" w:type="dxa"/>
            <w:vAlign w:val="center"/>
          </w:tcPr>
          <w:p w14:paraId="689AE961">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hint="eastAsia" w:ascii="Times New Roman" w:hAnsi="Times New Roman" w:eastAsia="宋体" w:cs="Times New Roman"/>
                <w:color w:val="auto"/>
                <w:spacing w:val="0"/>
                <w:position w:val="0"/>
                <w:sz w:val="21"/>
                <w:szCs w:val="21"/>
                <w:lang w:val="en-US" w:eastAsia="zh-CN"/>
              </w:rPr>
              <w:t>3.754</w:t>
            </w:r>
          </w:p>
        </w:tc>
      </w:tr>
      <w:tr w14:paraId="65B6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trPr>
        <w:tc>
          <w:tcPr>
            <w:tcW w:w="8297" w:type="dxa"/>
            <w:gridSpan w:val="7"/>
            <w:vAlign w:val="center"/>
          </w:tcPr>
          <w:p w14:paraId="1FEA30A2">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无组织排放总计</w:t>
            </w:r>
          </w:p>
        </w:tc>
      </w:tr>
      <w:tr w14:paraId="26A7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9" w:hRule="atLeast"/>
        </w:trPr>
        <w:tc>
          <w:tcPr>
            <w:tcW w:w="2809" w:type="dxa"/>
            <w:gridSpan w:val="3"/>
            <w:vMerge w:val="restart"/>
            <w:vAlign w:val="center"/>
          </w:tcPr>
          <w:p w14:paraId="3D9ADDEC">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无组织排放总计</w:t>
            </w:r>
          </w:p>
        </w:tc>
        <w:tc>
          <w:tcPr>
            <w:tcW w:w="4451" w:type="dxa"/>
            <w:gridSpan w:val="3"/>
            <w:vAlign w:val="center"/>
          </w:tcPr>
          <w:p w14:paraId="214383D2">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颗粒物</w:t>
            </w:r>
          </w:p>
        </w:tc>
        <w:tc>
          <w:tcPr>
            <w:tcW w:w="1037" w:type="dxa"/>
            <w:vAlign w:val="center"/>
          </w:tcPr>
          <w:p w14:paraId="3829A611">
            <w:pPr>
              <w:keepNext w:val="0"/>
              <w:keepLines w:val="0"/>
              <w:widowControl/>
              <w:suppressLineNumbers w:val="0"/>
              <w:jc w:val="center"/>
              <w:textAlignment w:val="center"/>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4.4002</w:t>
            </w:r>
          </w:p>
        </w:tc>
      </w:tr>
      <w:tr w14:paraId="3BC9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 w:hRule="atLeast"/>
        </w:trPr>
        <w:tc>
          <w:tcPr>
            <w:tcW w:w="2809" w:type="dxa"/>
            <w:gridSpan w:val="3"/>
            <w:vMerge w:val="continue"/>
            <w:vAlign w:val="center"/>
          </w:tcPr>
          <w:p w14:paraId="28FEB75F">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4451" w:type="dxa"/>
            <w:gridSpan w:val="3"/>
            <w:vAlign w:val="center"/>
          </w:tcPr>
          <w:p w14:paraId="1844DBDF">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SO</w:t>
            </w:r>
            <w:r>
              <w:rPr>
                <w:rFonts w:ascii="Times New Roman" w:hAnsi="Times New Roman" w:eastAsia="Times New Roman" w:cs="Times New Roman"/>
                <w:color w:val="auto"/>
                <w:spacing w:val="0"/>
                <w:w w:val="100"/>
                <w:position w:val="0"/>
                <w:sz w:val="21"/>
                <w:szCs w:val="21"/>
                <w:vertAlign w:val="subscript"/>
              </w:rPr>
              <w:t>2</w:t>
            </w:r>
          </w:p>
        </w:tc>
        <w:tc>
          <w:tcPr>
            <w:tcW w:w="1037" w:type="dxa"/>
            <w:vAlign w:val="center"/>
          </w:tcPr>
          <w:p w14:paraId="4A58F164">
            <w:pPr>
              <w:keepNext w:val="0"/>
              <w:keepLines w:val="0"/>
              <w:widowControl/>
              <w:suppressLineNumbers w:val="0"/>
              <w:jc w:val="center"/>
              <w:textAlignment w:val="center"/>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0.9862</w:t>
            </w:r>
          </w:p>
        </w:tc>
      </w:tr>
      <w:tr w14:paraId="7B77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2809" w:type="dxa"/>
            <w:gridSpan w:val="3"/>
            <w:vMerge w:val="continue"/>
            <w:vAlign w:val="center"/>
          </w:tcPr>
          <w:p w14:paraId="6425EC61">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4451" w:type="dxa"/>
            <w:gridSpan w:val="3"/>
            <w:vAlign w:val="center"/>
          </w:tcPr>
          <w:p w14:paraId="267E4156">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NOx</w:t>
            </w:r>
          </w:p>
        </w:tc>
        <w:tc>
          <w:tcPr>
            <w:tcW w:w="1037" w:type="dxa"/>
            <w:vAlign w:val="center"/>
          </w:tcPr>
          <w:p w14:paraId="1C6D6A6B">
            <w:pPr>
              <w:keepNext w:val="0"/>
              <w:keepLines w:val="0"/>
              <w:widowControl/>
              <w:suppressLineNumbers w:val="0"/>
              <w:jc w:val="center"/>
              <w:textAlignment w:val="center"/>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1.3367</w:t>
            </w:r>
          </w:p>
        </w:tc>
      </w:tr>
      <w:tr w14:paraId="3631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trPr>
        <w:tc>
          <w:tcPr>
            <w:tcW w:w="2809" w:type="dxa"/>
            <w:gridSpan w:val="3"/>
            <w:vMerge w:val="continue"/>
            <w:vAlign w:val="center"/>
          </w:tcPr>
          <w:p w14:paraId="1A543573">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4451" w:type="dxa"/>
            <w:gridSpan w:val="3"/>
            <w:vAlign w:val="center"/>
          </w:tcPr>
          <w:p w14:paraId="4B82F98B">
            <w:pPr>
              <w:pStyle w:val="27"/>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总烃</w:t>
            </w:r>
          </w:p>
        </w:tc>
        <w:tc>
          <w:tcPr>
            <w:tcW w:w="1037" w:type="dxa"/>
            <w:vAlign w:val="center"/>
          </w:tcPr>
          <w:p w14:paraId="2DF90CAC">
            <w:pPr>
              <w:keepNext w:val="0"/>
              <w:keepLines w:val="0"/>
              <w:widowControl/>
              <w:suppressLineNumbers w:val="0"/>
              <w:jc w:val="center"/>
              <w:textAlignment w:val="center"/>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0.053</w:t>
            </w:r>
          </w:p>
        </w:tc>
      </w:tr>
      <w:tr w14:paraId="7A1F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1" w:hRule="atLeast"/>
        </w:trPr>
        <w:tc>
          <w:tcPr>
            <w:tcW w:w="2809" w:type="dxa"/>
            <w:gridSpan w:val="3"/>
            <w:vMerge w:val="continue"/>
            <w:vAlign w:val="center"/>
          </w:tcPr>
          <w:p w14:paraId="25B38627">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4451" w:type="dxa"/>
            <w:gridSpan w:val="3"/>
            <w:vAlign w:val="center"/>
          </w:tcPr>
          <w:p w14:paraId="2DF4A66B">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CO</w:t>
            </w:r>
          </w:p>
        </w:tc>
        <w:tc>
          <w:tcPr>
            <w:tcW w:w="1037" w:type="dxa"/>
            <w:vAlign w:val="center"/>
          </w:tcPr>
          <w:p w14:paraId="453F9C85">
            <w:pPr>
              <w:keepNext w:val="0"/>
              <w:keepLines w:val="0"/>
              <w:widowControl/>
              <w:suppressLineNumbers w:val="0"/>
              <w:jc w:val="center"/>
              <w:textAlignment w:val="center"/>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0.322</w:t>
            </w:r>
          </w:p>
        </w:tc>
      </w:tr>
    </w:tbl>
    <w:p w14:paraId="307D6495">
      <w:pPr>
        <w:pStyle w:val="9"/>
        <w:keepNext w:val="0"/>
        <w:keepLines w:val="0"/>
        <w:pageBreakBefore w:val="0"/>
        <w:widowControl/>
        <w:wordWrap/>
        <w:overflowPunct/>
        <w:topLinePunct w:val="0"/>
        <w:autoSpaceDE w:val="0"/>
        <w:autoSpaceDN w:val="0"/>
        <w:bidi w:val="0"/>
        <w:spacing w:before="41" w:line="360" w:lineRule="auto"/>
        <w:ind w:left="489"/>
        <w:textAlignment w:val="baseline"/>
        <w:outlineLvl w:val="3"/>
        <w:rPr>
          <w:color w:val="auto"/>
          <w:sz w:val="28"/>
          <w:szCs w:val="28"/>
        </w:rPr>
      </w:pPr>
      <w:r>
        <w:rPr>
          <w:rFonts w:ascii="Times New Roman" w:hAnsi="Times New Roman" w:eastAsia="Times New Roman" w:cs="Times New Roman"/>
          <w:b/>
          <w:bCs/>
          <w:color w:val="auto"/>
          <w:spacing w:val="-2"/>
          <w:sz w:val="28"/>
          <w:szCs w:val="28"/>
        </w:rPr>
        <w:t xml:space="preserve">4.2.2  </w:t>
      </w:r>
      <w:r>
        <w:rPr>
          <w:b/>
          <w:bCs/>
          <w:color w:val="auto"/>
          <w:spacing w:val="-2"/>
          <w:sz w:val="28"/>
          <w:szCs w:val="28"/>
        </w:rPr>
        <w:t>废气影响分析</w:t>
      </w:r>
    </w:p>
    <w:p w14:paraId="548359E3">
      <w:pPr>
        <w:pStyle w:val="9"/>
        <w:keepNext w:val="0"/>
        <w:keepLines w:val="0"/>
        <w:pageBreakBefore w:val="0"/>
        <w:widowControl/>
        <w:wordWrap/>
        <w:overflowPunct/>
        <w:topLinePunct w:val="0"/>
        <w:autoSpaceDE w:val="0"/>
        <w:autoSpaceDN w:val="0"/>
        <w:bidi w:val="0"/>
        <w:spacing w:before="201" w:line="360" w:lineRule="auto"/>
        <w:ind w:left="488"/>
        <w:textAlignment w:val="baseline"/>
        <w:outlineLvl w:val="4"/>
        <w:rPr>
          <w:color w:val="auto"/>
          <w:sz w:val="24"/>
          <w:szCs w:val="24"/>
        </w:rPr>
      </w:pPr>
      <w:r>
        <w:rPr>
          <w:rFonts w:ascii="Times New Roman" w:hAnsi="Times New Roman" w:eastAsia="Times New Roman" w:cs="Times New Roman"/>
          <w:b/>
          <w:bCs/>
          <w:color w:val="auto"/>
          <w:spacing w:val="-4"/>
          <w:sz w:val="24"/>
          <w:szCs w:val="24"/>
        </w:rPr>
        <w:t>4.2.2.1</w:t>
      </w:r>
      <w:r>
        <w:rPr>
          <w:rFonts w:ascii="Times New Roman" w:hAnsi="Times New Roman" w:eastAsia="Times New Roman" w:cs="Times New Roman"/>
          <w:b/>
          <w:bCs/>
          <w:color w:val="auto"/>
          <w:spacing w:val="41"/>
          <w:sz w:val="24"/>
          <w:szCs w:val="24"/>
        </w:rPr>
        <w:t xml:space="preserve"> </w:t>
      </w:r>
      <w:r>
        <w:rPr>
          <w:b/>
          <w:bCs/>
          <w:color w:val="auto"/>
          <w:spacing w:val="-4"/>
          <w:sz w:val="24"/>
          <w:szCs w:val="24"/>
        </w:rPr>
        <w:t>内燃机废气影响分析</w:t>
      </w:r>
    </w:p>
    <w:p w14:paraId="09FC5B8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w w:val="100"/>
          <w:sz w:val="24"/>
          <w:szCs w:val="24"/>
        </w:rPr>
      </w:pPr>
      <w:r>
        <w:rPr>
          <w:rFonts w:hint="default" w:ascii="Times New Roman" w:hAnsi="Times New Roman" w:cs="Times New Roman"/>
          <w:color w:val="auto"/>
          <w:spacing w:val="0"/>
          <w:w w:val="100"/>
          <w:sz w:val="24"/>
          <w:szCs w:val="24"/>
        </w:rPr>
        <w:t>项目列车由内燃机牵引，牵引机车排放的尾气，属无组织排放的非连续流动源，主要污染物为烟尘、</w:t>
      </w:r>
      <w:r>
        <w:rPr>
          <w:rFonts w:hint="default" w:ascii="Times New Roman" w:hAnsi="Times New Roman" w:eastAsia="Times New Roman" w:cs="Times New Roman"/>
          <w:color w:val="auto"/>
          <w:spacing w:val="0"/>
          <w:w w:val="100"/>
          <w:sz w:val="24"/>
          <w:szCs w:val="24"/>
        </w:rPr>
        <w:t>NOx</w:t>
      </w:r>
      <w:r>
        <w:rPr>
          <w:rFonts w:hint="default" w:ascii="Times New Roman" w:hAnsi="Times New Roman" w:cs="Times New Roman"/>
          <w:color w:val="auto"/>
          <w:spacing w:val="0"/>
          <w:w w:val="100"/>
          <w:sz w:val="24"/>
          <w:szCs w:val="24"/>
        </w:rPr>
        <w:t>、</w:t>
      </w:r>
      <w:r>
        <w:rPr>
          <w:rFonts w:hint="default" w:ascii="Times New Roman" w:hAnsi="Times New Roman" w:eastAsia="Times New Roman" w:cs="Times New Roman"/>
          <w:color w:val="auto"/>
          <w:spacing w:val="0"/>
          <w:w w:val="100"/>
          <w:sz w:val="24"/>
          <w:szCs w:val="24"/>
        </w:rPr>
        <w:t>SO</w:t>
      </w:r>
      <w:r>
        <w:rPr>
          <w:rFonts w:hint="default" w:ascii="Times New Roman" w:hAnsi="Times New Roman" w:eastAsia="Times New Roman" w:cs="Times New Roman"/>
          <w:color w:val="auto"/>
          <w:spacing w:val="0"/>
          <w:w w:val="100"/>
          <w:position w:val="-1"/>
          <w:sz w:val="24"/>
          <w:szCs w:val="24"/>
          <w:vertAlign w:val="subscript"/>
        </w:rPr>
        <w:t>2</w:t>
      </w:r>
      <w:r>
        <w:rPr>
          <w:rFonts w:hint="default" w:ascii="Times New Roman" w:hAnsi="Times New Roman" w:cs="Times New Roman"/>
          <w:color w:val="auto"/>
          <w:spacing w:val="0"/>
          <w:w w:val="100"/>
          <w:sz w:val="24"/>
          <w:szCs w:val="24"/>
        </w:rPr>
        <w:t>。加强对设备及车辆的维护，使之处于良好运行状态，则行驶期间污染物排放量较少。行驶路线短且两侧区域开阔，空气扩散条件好，有利于污染物扩散，对周围大气环境影响较小。</w:t>
      </w:r>
    </w:p>
    <w:p w14:paraId="7ACE3C64">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4"/>
        <w:rPr>
          <w:color w:val="auto"/>
          <w:sz w:val="24"/>
          <w:szCs w:val="24"/>
        </w:rPr>
      </w:pPr>
      <w:r>
        <w:rPr>
          <w:rFonts w:ascii="Times New Roman" w:hAnsi="Times New Roman" w:eastAsia="Times New Roman" w:cs="Times New Roman"/>
          <w:b/>
          <w:bCs/>
          <w:color w:val="auto"/>
          <w:spacing w:val="-2"/>
          <w:sz w:val="24"/>
          <w:szCs w:val="24"/>
        </w:rPr>
        <w:t xml:space="preserve">4.2.2.2 </w:t>
      </w:r>
      <w:r>
        <w:rPr>
          <w:b/>
          <w:bCs/>
          <w:color w:val="auto"/>
          <w:spacing w:val="-2"/>
          <w:sz w:val="24"/>
          <w:szCs w:val="24"/>
        </w:rPr>
        <w:t>装卸扬尘影响分析</w:t>
      </w:r>
    </w:p>
    <w:p w14:paraId="2C79916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w w:val="100"/>
          <w:sz w:val="24"/>
          <w:szCs w:val="24"/>
        </w:rPr>
      </w:pPr>
      <w:r>
        <w:rPr>
          <w:rFonts w:hint="default" w:ascii="Times New Roman" w:hAnsi="Times New Roman" w:cs="Times New Roman"/>
          <w:color w:val="auto"/>
          <w:spacing w:val="0"/>
          <w:w w:val="100"/>
          <w:sz w:val="24"/>
          <w:szCs w:val="24"/>
        </w:rPr>
        <w:t>项目到达的货物均由集装箱封闭，采用正面吊装卸作业。货物集装箱到达项目区后暂存至集装箱堆场，不会产生扬尘。转为路运时货车直接拉运集装箱，不会产生装卸货扬尘；产生的扬尘可忽略不计，本次环评不做定量分析。</w:t>
      </w:r>
    </w:p>
    <w:p w14:paraId="7EBE0A2E">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4"/>
        <w:rPr>
          <w:color w:val="auto"/>
          <w:sz w:val="24"/>
          <w:szCs w:val="24"/>
        </w:rPr>
      </w:pPr>
      <w:r>
        <w:rPr>
          <w:rFonts w:ascii="Times New Roman" w:hAnsi="Times New Roman" w:eastAsia="Times New Roman" w:cs="Times New Roman"/>
          <w:b/>
          <w:bCs/>
          <w:color w:val="auto"/>
          <w:spacing w:val="-2"/>
          <w:sz w:val="24"/>
          <w:szCs w:val="24"/>
        </w:rPr>
        <w:t xml:space="preserve">4.2.2.3 </w:t>
      </w:r>
      <w:r>
        <w:rPr>
          <w:b/>
          <w:bCs/>
          <w:color w:val="auto"/>
          <w:spacing w:val="-2"/>
          <w:sz w:val="24"/>
          <w:szCs w:val="24"/>
        </w:rPr>
        <w:t>运输车辆尾气影响分析</w:t>
      </w:r>
    </w:p>
    <w:p w14:paraId="20BF842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w w:val="100"/>
          <w:sz w:val="24"/>
          <w:szCs w:val="24"/>
        </w:rPr>
      </w:pPr>
      <w:r>
        <w:rPr>
          <w:rFonts w:hint="default" w:ascii="Times New Roman" w:hAnsi="Times New Roman" w:cs="Times New Roman"/>
          <w:color w:val="auto"/>
          <w:spacing w:val="0"/>
          <w:w w:val="100"/>
          <w:sz w:val="24"/>
          <w:szCs w:val="24"/>
        </w:rPr>
        <w:t>货车运送货物在项目内会产生一定的汽车尾气，主要污染因子为总烃、CO、NOX等。汽车尾气的排放量与车型、车况和车辆数等有关，呈无组织排放。根据上文分析，项目汽车尾气排放废气总烃为</w:t>
      </w:r>
      <w:r>
        <w:rPr>
          <w:rFonts w:hint="eastAsia" w:ascii="Times New Roman" w:hAnsi="Times New Roman" w:eastAsia="宋体" w:cs="Times New Roman"/>
          <w:color w:val="auto"/>
          <w:spacing w:val="0"/>
          <w:w w:val="100"/>
          <w:sz w:val="24"/>
          <w:szCs w:val="24"/>
          <w:lang w:val="en-US" w:eastAsia="zh-CN"/>
        </w:rPr>
        <w:t>0.053</w:t>
      </w:r>
      <w:r>
        <w:rPr>
          <w:rFonts w:hint="default" w:ascii="Times New Roman" w:hAnsi="Times New Roman" w:cs="Times New Roman"/>
          <w:color w:val="auto"/>
          <w:spacing w:val="0"/>
          <w:w w:val="100"/>
          <w:sz w:val="24"/>
          <w:szCs w:val="24"/>
        </w:rPr>
        <w:t>t/a，CO为</w:t>
      </w:r>
      <w:r>
        <w:rPr>
          <w:rFonts w:hint="eastAsia" w:ascii="Times New Roman" w:hAnsi="Times New Roman" w:eastAsia="宋体" w:cs="Times New Roman"/>
          <w:color w:val="auto"/>
          <w:spacing w:val="0"/>
          <w:w w:val="100"/>
          <w:sz w:val="24"/>
          <w:szCs w:val="24"/>
          <w:lang w:val="en-US" w:eastAsia="zh-CN"/>
        </w:rPr>
        <w:t>0.322</w:t>
      </w:r>
      <w:r>
        <w:rPr>
          <w:rFonts w:hint="default" w:ascii="Times New Roman" w:hAnsi="Times New Roman" w:cs="Times New Roman"/>
          <w:color w:val="auto"/>
          <w:spacing w:val="0"/>
          <w:w w:val="100"/>
          <w:sz w:val="24"/>
          <w:szCs w:val="24"/>
        </w:rPr>
        <w:t>t/a，NO</w:t>
      </w:r>
      <w:r>
        <w:rPr>
          <w:rFonts w:hint="default" w:ascii="Times New Roman" w:hAnsi="Times New Roman" w:cs="Times New Roman"/>
          <w:color w:val="auto"/>
          <w:spacing w:val="0"/>
          <w:w w:val="100"/>
          <w:sz w:val="24"/>
          <w:szCs w:val="24"/>
          <w:vertAlign w:val="subscript"/>
        </w:rPr>
        <w:t>X</w:t>
      </w:r>
      <w:r>
        <w:rPr>
          <w:rFonts w:hint="default" w:ascii="Times New Roman" w:hAnsi="Times New Roman" w:cs="Times New Roman"/>
          <w:color w:val="auto"/>
          <w:spacing w:val="0"/>
          <w:w w:val="100"/>
          <w:sz w:val="24"/>
          <w:szCs w:val="24"/>
        </w:rPr>
        <w:t>为</w:t>
      </w:r>
      <w:r>
        <w:rPr>
          <w:rFonts w:hint="eastAsia" w:ascii="Times New Roman" w:hAnsi="Times New Roman" w:eastAsia="宋体" w:cs="Times New Roman"/>
          <w:color w:val="auto"/>
          <w:spacing w:val="0"/>
          <w:w w:val="100"/>
          <w:sz w:val="24"/>
          <w:szCs w:val="24"/>
          <w:lang w:val="en-US" w:eastAsia="zh-CN"/>
        </w:rPr>
        <w:t>0.529</w:t>
      </w:r>
      <w:r>
        <w:rPr>
          <w:rFonts w:hint="default" w:ascii="Times New Roman" w:hAnsi="Times New Roman" w:cs="Times New Roman"/>
          <w:color w:val="auto"/>
          <w:spacing w:val="0"/>
          <w:w w:val="100"/>
          <w:sz w:val="24"/>
          <w:szCs w:val="24"/>
        </w:rPr>
        <w:t>t/a。项目货车采用经审核合格的燃油运输车辆，尾气污染物可达标排放；且项目区范围较大，运输车辆尾气产生量不大，经自然扩散、稀释后，对周围环境较小。</w:t>
      </w:r>
    </w:p>
    <w:p w14:paraId="7C88E934">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4"/>
        <w:rPr>
          <w:color w:val="auto"/>
          <w:sz w:val="24"/>
          <w:szCs w:val="24"/>
        </w:rPr>
      </w:pPr>
      <w:r>
        <w:rPr>
          <w:rFonts w:ascii="Times New Roman" w:hAnsi="Times New Roman" w:eastAsia="Times New Roman" w:cs="Times New Roman"/>
          <w:b/>
          <w:bCs/>
          <w:color w:val="auto"/>
          <w:spacing w:val="-2"/>
          <w:sz w:val="24"/>
          <w:szCs w:val="24"/>
        </w:rPr>
        <w:t xml:space="preserve">4.2.2.4 </w:t>
      </w:r>
      <w:r>
        <w:rPr>
          <w:b/>
          <w:bCs/>
          <w:color w:val="auto"/>
          <w:spacing w:val="-2"/>
          <w:sz w:val="24"/>
          <w:szCs w:val="24"/>
        </w:rPr>
        <w:t>道路扬尘影响分析</w:t>
      </w:r>
    </w:p>
    <w:p w14:paraId="7045B99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w w:val="100"/>
          <w:sz w:val="24"/>
          <w:szCs w:val="24"/>
        </w:rPr>
      </w:pPr>
      <w:r>
        <w:rPr>
          <w:rFonts w:hint="default" w:ascii="Times New Roman" w:hAnsi="Times New Roman" w:cs="Times New Roman"/>
          <w:color w:val="auto"/>
          <w:spacing w:val="0"/>
          <w:w w:val="100"/>
          <w:sz w:val="24"/>
          <w:szCs w:val="24"/>
        </w:rPr>
        <w:t>货物运输尤其是在旱季，会产生间断的粉尘。根据上文分析，道路运输车辆扬尘总量为</w:t>
      </w:r>
      <w:r>
        <w:rPr>
          <w:rFonts w:hint="default" w:ascii="Times New Roman" w:hAnsi="Times New Roman" w:eastAsia="宋体" w:cs="Times New Roman"/>
          <w:color w:val="auto"/>
          <w:spacing w:val="0"/>
          <w:w w:val="100"/>
          <w:sz w:val="24"/>
          <w:szCs w:val="24"/>
          <w:lang w:val="en-US" w:eastAsia="zh-CN"/>
        </w:rPr>
        <w:t>11.041</w:t>
      </w:r>
      <w:r>
        <w:rPr>
          <w:rFonts w:hint="default" w:ascii="Times New Roman" w:hAnsi="Times New Roman" w:eastAsia="Times New Roman" w:cs="Times New Roman"/>
          <w:color w:val="auto"/>
          <w:spacing w:val="0"/>
          <w:w w:val="100"/>
          <w:sz w:val="24"/>
          <w:szCs w:val="24"/>
        </w:rPr>
        <w:t>t/a</w:t>
      </w:r>
      <w:r>
        <w:rPr>
          <w:rFonts w:hint="default" w:ascii="Times New Roman" w:hAnsi="Times New Roman" w:cs="Times New Roman"/>
          <w:color w:val="auto"/>
          <w:spacing w:val="0"/>
          <w:w w:val="100"/>
          <w:sz w:val="24"/>
          <w:szCs w:val="24"/>
        </w:rPr>
        <w:t>。</w:t>
      </w:r>
    </w:p>
    <w:p w14:paraId="7C787F6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w w:val="100"/>
          <w:sz w:val="24"/>
          <w:szCs w:val="24"/>
        </w:rPr>
      </w:pPr>
      <w:r>
        <w:rPr>
          <w:rFonts w:hint="default" w:ascii="Times New Roman" w:hAnsi="Times New Roman" w:cs="Times New Roman"/>
          <w:color w:val="auto"/>
          <w:spacing w:val="0"/>
          <w:w w:val="100"/>
          <w:sz w:val="24"/>
          <w:szCs w:val="24"/>
        </w:rPr>
        <w:t>经过采取运输道路晴天早、晚各洒水降尘</w:t>
      </w:r>
      <w:r>
        <w:rPr>
          <w:rFonts w:hint="default" w:ascii="Times New Roman" w:hAnsi="Times New Roman" w:eastAsia="Times New Roman" w:cs="Times New Roman"/>
          <w:color w:val="auto"/>
          <w:spacing w:val="0"/>
          <w:w w:val="100"/>
          <w:sz w:val="24"/>
          <w:szCs w:val="24"/>
        </w:rPr>
        <w:t>1</w:t>
      </w:r>
      <w:r>
        <w:rPr>
          <w:rFonts w:hint="default" w:ascii="Times New Roman" w:hAnsi="Times New Roman" w:cs="Times New Roman"/>
          <w:color w:val="auto"/>
          <w:spacing w:val="0"/>
          <w:w w:val="100"/>
          <w:sz w:val="24"/>
          <w:szCs w:val="24"/>
        </w:rPr>
        <w:t>次，并由专人定期清扫道路等措施后，项目运输粉尘排放量为</w:t>
      </w:r>
      <w:r>
        <w:rPr>
          <w:rFonts w:hint="default" w:ascii="Times New Roman" w:hAnsi="Times New Roman" w:eastAsia="宋体" w:cs="Times New Roman"/>
          <w:color w:val="auto"/>
          <w:spacing w:val="0"/>
          <w:w w:val="100"/>
          <w:sz w:val="24"/>
          <w:szCs w:val="24"/>
          <w:lang w:val="en-US" w:eastAsia="zh-CN"/>
        </w:rPr>
        <w:t>3.754</w:t>
      </w:r>
      <w:r>
        <w:rPr>
          <w:rFonts w:hint="default" w:ascii="Times New Roman" w:hAnsi="Times New Roman" w:eastAsia="Times New Roman" w:cs="Times New Roman"/>
          <w:color w:val="auto"/>
          <w:spacing w:val="0"/>
          <w:w w:val="100"/>
          <w:sz w:val="24"/>
          <w:szCs w:val="24"/>
        </w:rPr>
        <w:t>t/a</w:t>
      </w:r>
      <w:r>
        <w:rPr>
          <w:rFonts w:hint="default" w:ascii="Times New Roman" w:hAnsi="Times New Roman" w:cs="Times New Roman"/>
          <w:color w:val="auto"/>
          <w:spacing w:val="0"/>
          <w:w w:val="100"/>
          <w:sz w:val="24"/>
          <w:szCs w:val="24"/>
        </w:rPr>
        <w:t>。项目运输的货物为集装箱封闭，产生的扬尘量较少，再采取车辆减速慢行、道路洒水降尘等措施后对周边环境影响较小。</w:t>
      </w:r>
    </w:p>
    <w:p w14:paraId="6968955F">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3"/>
        <w:rPr>
          <w:color w:val="auto"/>
          <w:sz w:val="28"/>
          <w:szCs w:val="28"/>
        </w:rPr>
      </w:pPr>
      <w:r>
        <w:rPr>
          <w:rFonts w:ascii="Times New Roman" w:hAnsi="Times New Roman" w:eastAsia="Times New Roman" w:cs="Times New Roman"/>
          <w:b/>
          <w:bCs/>
          <w:color w:val="auto"/>
          <w:spacing w:val="-2"/>
          <w:sz w:val="28"/>
          <w:szCs w:val="28"/>
        </w:rPr>
        <w:t xml:space="preserve">4.2.3 </w:t>
      </w:r>
      <w:r>
        <w:rPr>
          <w:b/>
          <w:bCs/>
          <w:color w:val="auto"/>
          <w:spacing w:val="-2"/>
          <w:sz w:val="28"/>
          <w:szCs w:val="28"/>
        </w:rPr>
        <w:t>环境空气影响评价结论</w:t>
      </w:r>
    </w:p>
    <w:p w14:paraId="0542F40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rPr>
      </w:pPr>
      <w:r>
        <w:rPr>
          <w:color w:val="auto"/>
          <w:spacing w:val="-3"/>
          <w:sz w:val="24"/>
          <w:szCs w:val="24"/>
        </w:rPr>
        <w:t>本项目运营期产生的内燃机废气、汽车尾气、装卸扬尘和道路扬尘等废</w:t>
      </w:r>
      <w:r>
        <w:rPr>
          <w:color w:val="auto"/>
          <w:spacing w:val="-4"/>
          <w:sz w:val="24"/>
          <w:szCs w:val="24"/>
        </w:rPr>
        <w:t>气经</w:t>
      </w:r>
      <w:r>
        <w:rPr>
          <w:color w:val="auto"/>
          <w:spacing w:val="-3"/>
          <w:sz w:val="24"/>
          <w:szCs w:val="24"/>
        </w:rPr>
        <w:t>过洒水降尘、自然扩散、绿化吸收、车辆减速慢行等措施后排放量较少，对外环境影响较小，项目环境影响可以接受。</w:t>
      </w:r>
    </w:p>
    <w:p w14:paraId="4B014F39">
      <w:pPr>
        <w:pStyle w:val="9"/>
        <w:keepNext w:val="0"/>
        <w:keepLines w:val="0"/>
        <w:pageBreakBefore w:val="0"/>
        <w:widowControl/>
        <w:kinsoku/>
        <w:wordWrap/>
        <w:overflowPunct/>
        <w:topLinePunct w:val="0"/>
        <w:autoSpaceDE w:val="0"/>
        <w:autoSpaceDN w:val="0"/>
        <w:bidi w:val="0"/>
        <w:adjustRightInd/>
        <w:snapToGrid/>
        <w:spacing w:line="360" w:lineRule="auto"/>
        <w:ind w:left="0" w:firstLine="588" w:firstLineChars="200"/>
        <w:textAlignment w:val="baseline"/>
        <w:outlineLvl w:val="1"/>
        <w:rPr>
          <w:rFonts w:hint="default" w:ascii="Times New Roman" w:hAnsi="Times New Roman" w:cs="Times New Roman"/>
          <w:color w:val="auto"/>
          <w:sz w:val="30"/>
          <w:szCs w:val="30"/>
        </w:rPr>
      </w:pPr>
      <w:bookmarkStart w:id="160" w:name="bookmark29"/>
      <w:bookmarkEnd w:id="160"/>
      <w:bookmarkStart w:id="161" w:name="_Toc31516"/>
      <w:r>
        <w:rPr>
          <w:rFonts w:hint="default" w:ascii="Times New Roman" w:hAnsi="Times New Roman" w:eastAsia="Times New Roman" w:cs="Times New Roman"/>
          <w:b/>
          <w:bCs/>
          <w:color w:val="auto"/>
          <w:spacing w:val="-3"/>
          <w:sz w:val="30"/>
          <w:szCs w:val="30"/>
        </w:rPr>
        <w:t>4.3.</w:t>
      </w:r>
      <w:r>
        <w:rPr>
          <w:rFonts w:hint="default" w:ascii="Times New Roman" w:hAnsi="Times New Roman" w:cs="Times New Roman"/>
          <w:b/>
          <w:bCs/>
          <w:color w:val="auto"/>
          <w:spacing w:val="-3"/>
          <w:sz w:val="30"/>
          <w:szCs w:val="30"/>
        </w:rPr>
        <w:t>运营期地表水环境影响分析</w:t>
      </w:r>
      <w:bookmarkEnd w:id="161"/>
    </w:p>
    <w:p w14:paraId="15D3995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本项目地表水环境影响评价等级根据《环境影响评价技术导则地表水环境》（HJ2.3-2018）确定为三级B，按照导则要求，水污染影响型三级B评价可不进行水环境影响预测，本次评价主要对项目运营期废水处置方式的可行性和可靠性进行论述。</w:t>
      </w:r>
    </w:p>
    <w:p w14:paraId="41310BFF">
      <w:pPr>
        <w:pStyle w:val="9"/>
        <w:keepNext w:val="0"/>
        <w:keepLines w:val="0"/>
        <w:pageBreakBefore w:val="0"/>
        <w:widowControl/>
        <w:kinsoku/>
        <w:wordWrap/>
        <w:overflowPunct/>
        <w:topLinePunct w:val="0"/>
        <w:autoSpaceDE w:val="0"/>
        <w:autoSpaceDN w:val="0"/>
        <w:bidi w:val="0"/>
        <w:adjustRightInd/>
        <w:snapToGrid/>
        <w:spacing w:line="360" w:lineRule="auto"/>
        <w:ind w:left="0" w:firstLine="472" w:firstLineChars="200"/>
        <w:textAlignment w:val="baseline"/>
        <w:outlineLvl w:val="3"/>
        <w:rPr>
          <w:rFonts w:hint="default" w:ascii="Times New Roman" w:hAnsi="Times New Roman" w:cs="Times New Roman"/>
          <w:color w:val="auto"/>
          <w:sz w:val="24"/>
          <w:szCs w:val="24"/>
        </w:rPr>
      </w:pPr>
      <w:r>
        <w:rPr>
          <w:rFonts w:hint="default" w:ascii="Times New Roman" w:hAnsi="Times New Roman" w:eastAsia="Times New Roman" w:cs="Times New Roman"/>
          <w:b/>
          <w:bCs/>
          <w:color w:val="auto"/>
          <w:spacing w:val="-2"/>
          <w:sz w:val="24"/>
          <w:szCs w:val="24"/>
        </w:rPr>
        <w:t>4.3.1</w:t>
      </w:r>
      <w:r>
        <w:rPr>
          <w:rFonts w:hint="default" w:ascii="Times New Roman" w:hAnsi="Times New Roman" w:cs="Times New Roman"/>
          <w:b/>
          <w:bCs/>
          <w:color w:val="auto"/>
          <w:spacing w:val="-2"/>
          <w:sz w:val="24"/>
          <w:szCs w:val="24"/>
        </w:rPr>
        <w:t>水资源影响分析</w:t>
      </w:r>
    </w:p>
    <w:p w14:paraId="2CD8ED6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项目生活水源为</w:t>
      </w:r>
      <w:r>
        <w:rPr>
          <w:rFonts w:hint="eastAsia" w:ascii="Times New Roman" w:hAnsi="Times New Roman" w:eastAsia="宋体" w:cs="Times New Roman"/>
          <w:color w:val="auto"/>
          <w:spacing w:val="-3"/>
          <w:sz w:val="24"/>
          <w:szCs w:val="24"/>
          <w:lang w:val="en-US" w:eastAsia="zh-CN"/>
        </w:rPr>
        <w:t>园区供水管网</w:t>
      </w:r>
      <w:r>
        <w:rPr>
          <w:rFonts w:hint="default" w:ascii="Times New Roman" w:hAnsi="Times New Roman" w:cs="Times New Roman"/>
          <w:color w:val="auto"/>
          <w:spacing w:val="-3"/>
          <w:sz w:val="24"/>
          <w:szCs w:val="24"/>
        </w:rPr>
        <w:t>供给，供水量满足本项目需要，供水水质满足生活饮用水水质标准。故评价认为项目取水符合有关管理规定并能获得较为可靠的保障。</w:t>
      </w:r>
    </w:p>
    <w:p w14:paraId="40757ECC">
      <w:pPr>
        <w:pStyle w:val="9"/>
        <w:keepNext w:val="0"/>
        <w:keepLines w:val="0"/>
        <w:pageBreakBefore w:val="0"/>
        <w:widowControl/>
        <w:kinsoku/>
        <w:wordWrap/>
        <w:overflowPunct/>
        <w:topLinePunct w:val="0"/>
        <w:autoSpaceDE w:val="0"/>
        <w:autoSpaceDN w:val="0"/>
        <w:bidi w:val="0"/>
        <w:adjustRightInd/>
        <w:snapToGrid/>
        <w:spacing w:line="360" w:lineRule="auto"/>
        <w:ind w:left="0" w:firstLine="472" w:firstLineChars="200"/>
        <w:textAlignment w:val="baseline"/>
        <w:outlineLvl w:val="3"/>
        <w:rPr>
          <w:rFonts w:hint="default" w:ascii="Times New Roman" w:hAnsi="Times New Roman" w:cs="Times New Roman"/>
          <w:color w:val="auto"/>
          <w:sz w:val="24"/>
          <w:szCs w:val="24"/>
        </w:rPr>
      </w:pPr>
      <w:r>
        <w:rPr>
          <w:rFonts w:hint="default" w:ascii="Times New Roman" w:hAnsi="Times New Roman" w:eastAsia="Times New Roman" w:cs="Times New Roman"/>
          <w:b/>
          <w:bCs/>
          <w:color w:val="auto"/>
          <w:spacing w:val="-2"/>
          <w:sz w:val="24"/>
          <w:szCs w:val="24"/>
        </w:rPr>
        <w:t xml:space="preserve">4.3.2 </w:t>
      </w:r>
      <w:r>
        <w:rPr>
          <w:rFonts w:hint="default" w:ascii="Times New Roman" w:hAnsi="Times New Roman" w:cs="Times New Roman"/>
          <w:b/>
          <w:bCs/>
          <w:color w:val="auto"/>
          <w:spacing w:val="-2"/>
          <w:sz w:val="24"/>
          <w:szCs w:val="24"/>
        </w:rPr>
        <w:t>废水产生及排放情况</w:t>
      </w:r>
    </w:p>
    <w:p w14:paraId="614BF38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lang w:val="en-US" w:eastAsia="zh-CN"/>
        </w:rPr>
      </w:pPr>
      <w:r>
        <w:rPr>
          <w:rFonts w:hint="default" w:ascii="Times New Roman" w:hAnsi="Times New Roman" w:eastAsia="宋体" w:cs="Times New Roman"/>
          <w:color w:val="auto"/>
          <w:sz w:val="24"/>
          <w:szCs w:val="24"/>
          <w:highlight w:val="none"/>
          <w:lang w:eastAsia="zh-CN"/>
        </w:rPr>
        <w:t>根据前文水平衡，</w:t>
      </w:r>
      <w:r>
        <w:rPr>
          <w:rFonts w:hint="default" w:ascii="Times New Roman" w:hAnsi="Times New Roman" w:eastAsia="宋体" w:cs="Times New Roman"/>
          <w:color w:val="auto"/>
          <w:sz w:val="24"/>
          <w:lang w:val="en-US" w:eastAsia="zh-CN"/>
        </w:rPr>
        <w:t>本项目自来水用量约0.6m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/d，219m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/a。其中生活废水经化粪池处理后</w:t>
      </w:r>
      <w:r>
        <w:rPr>
          <w:rFonts w:hint="default" w:ascii="Times New Roman" w:hAnsi="Times New Roman" w:cs="Times New Roman"/>
          <w:color w:val="auto"/>
          <w:sz w:val="24"/>
          <w:lang w:val="en-US" w:eastAsia="zh-CN"/>
        </w:rPr>
        <w:t>委托环卫部门清运处置</w:t>
      </w:r>
      <w:r>
        <w:rPr>
          <w:rFonts w:hint="default" w:ascii="Times New Roman" w:hAnsi="Times New Roman" w:eastAsia="宋体" w:cs="Times New Roman"/>
          <w:color w:val="auto"/>
          <w:sz w:val="24"/>
          <w:lang w:val="en-US" w:eastAsia="zh-CN"/>
        </w:rPr>
        <w:t>，生活废水</w:t>
      </w:r>
      <w:r>
        <w:rPr>
          <w:rFonts w:hint="default" w:ascii="Times New Roman" w:hAnsi="Times New Roman" w:cs="Times New Roman"/>
          <w:color w:val="auto"/>
          <w:sz w:val="24"/>
          <w:lang w:val="en-US" w:eastAsia="zh-CN"/>
        </w:rPr>
        <w:t>产生</w:t>
      </w:r>
      <w:r>
        <w:rPr>
          <w:rFonts w:hint="default" w:ascii="Times New Roman" w:hAnsi="Times New Roman" w:eastAsia="宋体" w:cs="Times New Roman"/>
          <w:color w:val="auto"/>
          <w:sz w:val="24"/>
          <w:lang w:val="en-US" w:eastAsia="zh-CN"/>
        </w:rPr>
        <w:t>量为197.1m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w:t>
      </w:r>
      <w:r>
        <w:rPr>
          <w:rFonts w:hint="default" w:ascii="Times New Roman" w:hAnsi="Times New Roman" w:eastAsia="宋体" w:cs="Times New Roman"/>
          <w:color w:val="auto"/>
          <w:sz w:val="24"/>
          <w:szCs w:val="24"/>
          <w:highlight w:val="none"/>
          <w:lang w:val="en-US" w:eastAsia="zh-CN"/>
        </w:rPr>
        <w:t>。初期雨水经雨水收集池处理后回用于绿化、洒水降尘，雨水收集量为</w:t>
      </w:r>
      <w:r>
        <w:rPr>
          <w:rFonts w:hint="default" w:ascii="Times New Roman" w:hAnsi="Times New Roman" w:cs="Times New Roman"/>
          <w:color w:val="auto"/>
          <w:sz w:val="24"/>
          <w:szCs w:val="24"/>
          <w:highlight w:val="none"/>
          <w:lang w:val="en-US" w:eastAsia="zh-CN"/>
        </w:rPr>
        <w:t>14430.5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w:t>
      </w:r>
      <w:r>
        <w:rPr>
          <w:rFonts w:hint="default" w:ascii="Times New Roman" w:hAnsi="Times New Roman" w:cs="Times New Roman"/>
          <w:color w:val="auto"/>
          <w:sz w:val="24"/>
          <w:lang w:val="en-US" w:eastAsia="zh-CN"/>
        </w:rPr>
        <w:t>。</w:t>
      </w:r>
      <w:r>
        <w:rPr>
          <w:rFonts w:hint="default" w:ascii="Times New Roman" w:hAnsi="Times New Roman" w:eastAsia="宋体" w:cs="Times New Roman"/>
          <w:color w:val="auto"/>
          <w:sz w:val="24"/>
          <w:szCs w:val="24"/>
          <w:highlight w:val="none"/>
          <w:lang w:val="en-US" w:eastAsia="zh-CN"/>
        </w:rPr>
        <w:t>绿化、洒水降尘合计用水量为</w:t>
      </w:r>
      <w:r>
        <w:rPr>
          <w:rFonts w:hint="eastAsia" w:ascii="Times New Roman" w:hAnsi="Times New Roman" w:eastAsia="宋体" w:cs="Times New Roman"/>
          <w:color w:val="auto"/>
          <w:sz w:val="24"/>
          <w:szCs w:val="24"/>
          <w:highlight w:val="none"/>
          <w:lang w:val="en-US" w:eastAsia="zh-CN"/>
        </w:rPr>
        <w:t>5397</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/a，收集的雨水不能完全回用完，剩余</w:t>
      </w:r>
      <w:r>
        <w:rPr>
          <w:rFonts w:hint="eastAsia" w:ascii="Times New Roman" w:hAnsi="Times New Roman" w:cs="Times New Roman"/>
          <w:color w:val="auto"/>
          <w:sz w:val="24"/>
          <w:lang w:val="en-US" w:eastAsia="zh-CN"/>
        </w:rPr>
        <w:t>9033.5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/a由曲煤焦化内部</w:t>
      </w:r>
      <w:r>
        <w:rPr>
          <w:rFonts w:hint="eastAsia" w:ascii="Times New Roman" w:hAnsi="Times New Roman" w:eastAsia="宋体" w:cs="Times New Roman"/>
          <w:color w:val="auto"/>
          <w:sz w:val="24"/>
          <w:lang w:val="en-US" w:eastAsia="zh-CN"/>
        </w:rPr>
        <w:t>通过抽吸罐车</w:t>
      </w:r>
      <w:r>
        <w:rPr>
          <w:rFonts w:hint="default" w:ascii="Times New Roman" w:hAnsi="Times New Roman" w:eastAsia="宋体" w:cs="Times New Roman"/>
          <w:color w:val="auto"/>
          <w:sz w:val="24"/>
          <w:lang w:val="en-US" w:eastAsia="zh-CN"/>
        </w:rPr>
        <w:t>清运至铁路卸煤区洒水降尘</w:t>
      </w:r>
      <w:r>
        <w:rPr>
          <w:rFonts w:hint="default" w:ascii="Times New Roman" w:hAnsi="Times New Roman" w:cs="Times New Roman"/>
          <w:color w:val="auto"/>
          <w:sz w:val="24"/>
          <w:lang w:val="en-US" w:eastAsia="zh-CN"/>
        </w:rPr>
        <w:t>（本项目</w:t>
      </w:r>
      <w:r>
        <w:rPr>
          <w:rFonts w:hint="default" w:ascii="Times New Roman" w:hAnsi="Times New Roman" w:cs="Times New Roman"/>
          <w:color w:val="auto"/>
          <w:sz w:val="24"/>
          <w:highlight w:val="none"/>
          <w:lang w:val="en-US" w:eastAsia="zh-CN"/>
        </w:rPr>
        <w:t>不涉及</w:t>
      </w:r>
      <w:r>
        <w:rPr>
          <w:rFonts w:hint="default" w:ascii="Times New Roman" w:hAnsi="Times New Roman" w:eastAsia="宋体" w:cs="Times New Roman"/>
          <w:color w:val="auto"/>
          <w:sz w:val="24"/>
          <w:lang w:val="en-US" w:eastAsia="zh-CN"/>
        </w:rPr>
        <w:t>铁路卸煤区</w:t>
      </w:r>
      <w:r>
        <w:rPr>
          <w:rFonts w:hint="default" w:ascii="Times New Roman" w:hAnsi="Times New Roman" w:cs="Times New Roman"/>
          <w:color w:val="auto"/>
          <w:sz w:val="24"/>
          <w:lang w:val="en-US" w:eastAsia="zh-CN"/>
        </w:rPr>
        <w:t>、不装卸煤）</w:t>
      </w:r>
      <w:r>
        <w:rPr>
          <w:rFonts w:hint="default" w:ascii="Times New Roman" w:hAnsi="Times New Roman" w:cs="Times New Roman"/>
          <w:color w:val="auto"/>
          <w:sz w:val="24"/>
          <w:szCs w:val="24"/>
          <w:highlight w:val="none"/>
          <w:lang w:val="en-US" w:eastAsia="zh-CN"/>
        </w:rPr>
        <w:t>，根据下文分析剩余雨水能全部用于</w:t>
      </w:r>
      <w:r>
        <w:rPr>
          <w:rFonts w:hint="default" w:ascii="Times New Roman" w:hAnsi="Times New Roman" w:eastAsia="宋体" w:cs="Times New Roman"/>
          <w:color w:val="auto"/>
          <w:sz w:val="24"/>
          <w:lang w:val="en-US" w:eastAsia="zh-CN"/>
        </w:rPr>
        <w:t>洒水降尘</w:t>
      </w:r>
      <w:r>
        <w:rPr>
          <w:rFonts w:hint="default" w:ascii="Times New Roman" w:hAnsi="Times New Roman" w:cs="Times New Roman"/>
          <w:color w:val="auto"/>
          <w:sz w:val="24"/>
          <w:lang w:val="en-US" w:eastAsia="zh-CN"/>
        </w:rPr>
        <w:t>。</w:t>
      </w:r>
    </w:p>
    <w:p w14:paraId="4F5A68E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z w:val="24"/>
          <w:lang w:val="en-US" w:eastAsia="zh-CN"/>
        </w:rPr>
      </w:pPr>
      <w:r>
        <w:rPr>
          <w:rFonts w:hint="default" w:ascii="Times New Roman" w:hAnsi="Times New Roman" w:eastAsia="宋体" w:cs="Times New Roman"/>
          <w:color w:val="auto"/>
          <w:sz w:val="24"/>
          <w:lang w:val="en-US" w:eastAsia="zh-CN"/>
        </w:rPr>
        <w:t>项目排水系统采用雨污分流制。</w:t>
      </w:r>
      <w:r>
        <w:rPr>
          <w:rFonts w:hint="default" w:ascii="Times New Roman" w:hAnsi="Times New Roman" w:eastAsia="宋体" w:cs="Times New Roman"/>
          <w:color w:val="auto"/>
          <w:sz w:val="24"/>
          <w:lang w:val="en-US" w:eastAsia="zh-CN"/>
        </w:rPr>
        <w:fldChar w:fldCharType="begin"/>
      </w:r>
      <w:r>
        <w:rPr>
          <w:rFonts w:hint="default" w:ascii="Times New Roman" w:hAnsi="Times New Roman" w:eastAsia="宋体" w:cs="Times New Roman"/>
          <w:color w:val="auto"/>
          <w:sz w:val="24"/>
          <w:lang w:val="en-US" w:eastAsia="zh-CN"/>
        </w:rPr>
        <w:instrText xml:space="preserve"> = 1 \* GB3 </w:instrText>
      </w:r>
      <w:r>
        <w:rPr>
          <w:rFonts w:hint="default"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①</w:t>
      </w:r>
      <w:r>
        <w:rPr>
          <w:rFonts w:hint="default" w:ascii="Times New Roman" w:hAnsi="Times New Roman" w:eastAsia="宋体" w:cs="Times New Roman"/>
          <w:color w:val="auto"/>
          <w:sz w:val="24"/>
          <w:lang w:val="en-US" w:eastAsia="zh-CN"/>
        </w:rPr>
        <w:fldChar w:fldCharType="end"/>
      </w:r>
      <w:r>
        <w:rPr>
          <w:rFonts w:hint="default" w:ascii="Times New Roman" w:hAnsi="Times New Roman" w:eastAsia="宋体" w:cs="Times New Roman"/>
          <w:b w:val="0"/>
          <w:bCs w:val="0"/>
          <w:color w:val="auto"/>
          <w:sz w:val="24"/>
          <w:szCs w:val="24"/>
          <w:lang w:val="en-US" w:eastAsia="zh-CN"/>
        </w:rPr>
        <w:t>前15分钟</w:t>
      </w:r>
      <w:r>
        <w:rPr>
          <w:rFonts w:hint="default" w:ascii="Times New Roman" w:hAnsi="Times New Roman" w:eastAsia="宋体" w:cs="Times New Roman"/>
          <w:b w:val="0"/>
          <w:bCs w:val="0"/>
          <w:color w:val="auto"/>
          <w:sz w:val="24"/>
          <w:szCs w:val="24"/>
        </w:rPr>
        <w:t>雨水</w:t>
      </w:r>
      <w:r>
        <w:rPr>
          <w:rFonts w:hint="default" w:ascii="Times New Roman" w:hAnsi="Times New Roman" w:eastAsia="宋体" w:cs="Times New Roman"/>
          <w:b w:val="0"/>
          <w:bCs w:val="0"/>
          <w:color w:val="auto"/>
          <w:sz w:val="24"/>
          <w:szCs w:val="24"/>
          <w:lang w:eastAsia="zh-CN"/>
        </w:rPr>
        <w:t>经雨水沟收集，</w:t>
      </w:r>
      <w:r>
        <w:rPr>
          <w:rFonts w:hint="eastAsia" w:ascii="Times New Roman" w:hAnsi="Times New Roman" w:eastAsia="宋体" w:cs="Times New Roman"/>
          <w:b w:val="0"/>
          <w:bCs w:val="0"/>
          <w:color w:val="auto"/>
          <w:sz w:val="24"/>
          <w:szCs w:val="24"/>
          <w:lang w:val="en-US" w:eastAsia="zh-CN"/>
        </w:rPr>
        <w:t>排入</w:t>
      </w:r>
      <w:r>
        <w:rPr>
          <w:rFonts w:hint="default" w:ascii="Times New Roman" w:hAnsi="Times New Roman" w:eastAsia="宋体" w:cs="Times New Roman"/>
          <w:b w:val="0"/>
          <w:bCs w:val="0"/>
          <w:color w:val="auto"/>
          <w:sz w:val="24"/>
          <w:szCs w:val="24"/>
          <w:lang w:val="en-US" w:eastAsia="zh-CN"/>
        </w:rPr>
        <w:t>项目区雨水收集</w:t>
      </w:r>
      <w:r>
        <w:rPr>
          <w:rFonts w:hint="eastAsia" w:cs="Times New Roman"/>
          <w:b w:val="0"/>
          <w:bCs w:val="0"/>
          <w:color w:val="auto"/>
          <w:sz w:val="24"/>
          <w:szCs w:val="24"/>
          <w:lang w:val="en-US" w:eastAsia="zh-CN"/>
        </w:rPr>
        <w:t>沉淀</w:t>
      </w:r>
      <w:r>
        <w:rPr>
          <w:rFonts w:hint="default" w:ascii="Times New Roman" w:hAnsi="Times New Roman" w:eastAsia="宋体" w:cs="Times New Roman"/>
          <w:b w:val="0"/>
          <w:bCs w:val="0"/>
          <w:color w:val="auto"/>
          <w:sz w:val="24"/>
          <w:szCs w:val="24"/>
          <w:lang w:val="en-US" w:eastAsia="zh-CN"/>
        </w:rPr>
        <w:t>处理</w:t>
      </w:r>
      <w:r>
        <w:rPr>
          <w:rFonts w:hint="eastAsia" w:cs="Times New Roman"/>
          <w:b w:val="0"/>
          <w:bCs w:val="0"/>
          <w:color w:val="auto"/>
          <w:sz w:val="24"/>
          <w:szCs w:val="24"/>
          <w:lang w:val="en-US" w:eastAsia="zh-CN"/>
        </w:rPr>
        <w:t>后</w:t>
      </w:r>
      <w:r>
        <w:rPr>
          <w:rFonts w:hint="default" w:ascii="Times New Roman" w:hAnsi="Times New Roman" w:eastAsia="宋体" w:cs="Times New Roman"/>
          <w:b w:val="0"/>
          <w:bCs w:val="0"/>
          <w:color w:val="auto"/>
          <w:sz w:val="24"/>
          <w:szCs w:val="24"/>
          <w:lang w:val="en-US" w:eastAsia="zh-CN"/>
        </w:rPr>
        <w:t>，回用于</w:t>
      </w:r>
      <w:r>
        <w:rPr>
          <w:rFonts w:hint="default" w:ascii="Times New Roman" w:hAnsi="Times New Roman" w:eastAsia="宋体" w:cs="Times New Roman"/>
          <w:color w:val="auto"/>
          <w:sz w:val="24"/>
          <w:szCs w:val="24"/>
          <w:highlight w:val="none"/>
          <w:lang w:val="en-US" w:eastAsia="zh-CN"/>
        </w:rPr>
        <w:t>绿化、洒水降尘，</w:t>
      </w:r>
      <w:r>
        <w:rPr>
          <w:rFonts w:hint="eastAsia" w:cs="Times New Roman"/>
          <w:color w:val="auto"/>
          <w:sz w:val="24"/>
          <w:szCs w:val="24"/>
          <w:highlight w:val="none"/>
          <w:lang w:val="en-US" w:eastAsia="zh-CN"/>
        </w:rPr>
        <w:t>回用不完的</w:t>
      </w:r>
      <w:r>
        <w:rPr>
          <w:rFonts w:hint="default" w:ascii="Times New Roman" w:hAnsi="Times New Roman" w:eastAsia="宋体" w:cs="Times New Roman"/>
          <w:color w:val="auto"/>
          <w:sz w:val="24"/>
          <w:lang w:val="en-US" w:eastAsia="zh-CN"/>
        </w:rPr>
        <w:t>由曲煤焦化内部清运至铁路卸煤区洒水降尘</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color w:val="auto"/>
          <w:sz w:val="24"/>
          <w:lang w:val="en-US" w:eastAsia="zh-CN"/>
        </w:rPr>
        <w:fldChar w:fldCharType="begin"/>
      </w:r>
      <w:r>
        <w:rPr>
          <w:rFonts w:hint="default" w:ascii="Times New Roman" w:hAnsi="Times New Roman" w:eastAsia="宋体" w:cs="Times New Roman"/>
          <w:color w:val="auto"/>
          <w:sz w:val="24"/>
          <w:lang w:val="en-US" w:eastAsia="zh-CN"/>
        </w:rPr>
        <w:instrText xml:space="preserve"> = 2 \* GB3 </w:instrText>
      </w:r>
      <w:r>
        <w:rPr>
          <w:rFonts w:hint="default"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②</w:t>
      </w:r>
      <w:r>
        <w:rPr>
          <w:rFonts w:hint="default" w:ascii="Times New Roman" w:hAnsi="Times New Roman" w:eastAsia="宋体" w:cs="Times New Roman"/>
          <w:color w:val="auto"/>
          <w:sz w:val="24"/>
          <w:lang w:val="en-US" w:eastAsia="zh-CN"/>
        </w:rPr>
        <w:fldChar w:fldCharType="end"/>
      </w:r>
      <w:r>
        <w:rPr>
          <w:rFonts w:hint="default" w:ascii="Times New Roman" w:hAnsi="Times New Roman" w:eastAsia="宋体" w:cs="Times New Roman"/>
          <w:color w:val="auto"/>
          <w:sz w:val="24"/>
          <w:lang w:val="en-US" w:eastAsia="zh-CN"/>
        </w:rPr>
        <w:t>生活废水经化粪池处理</w:t>
      </w:r>
      <w:r>
        <w:rPr>
          <w:rFonts w:hint="eastAsia" w:cs="Times New Roman"/>
          <w:color w:val="auto"/>
          <w:sz w:val="24"/>
          <w:lang w:val="en-US" w:eastAsia="zh-CN"/>
        </w:rPr>
        <w:t>后</w:t>
      </w:r>
      <w:r>
        <w:rPr>
          <w:rFonts w:hint="default" w:ascii="Times New Roman" w:hAnsi="Times New Roman" w:eastAsia="宋体" w:cs="Times New Roman"/>
          <w:color w:val="auto"/>
          <w:sz w:val="24"/>
          <w:lang w:val="en-US" w:eastAsia="zh-CN"/>
        </w:rPr>
        <w:t>委托</w:t>
      </w:r>
      <w:r>
        <w:rPr>
          <w:rFonts w:hint="eastAsia" w:cs="Times New Roman"/>
          <w:color w:val="auto"/>
          <w:sz w:val="24"/>
          <w:lang w:val="en-US" w:eastAsia="zh-CN"/>
        </w:rPr>
        <w:t>环卫部门清运处置</w:t>
      </w:r>
      <w:r>
        <w:rPr>
          <w:rFonts w:hint="default" w:ascii="Times New Roman" w:hAnsi="Times New Roman" w:eastAsia="宋体" w:cs="Times New Roman"/>
          <w:b w:val="0"/>
          <w:bCs w:val="0"/>
          <w:color w:val="auto"/>
          <w:sz w:val="24"/>
          <w:szCs w:val="24"/>
          <w:lang w:val="en-US" w:eastAsia="zh-CN"/>
        </w:rPr>
        <w:t>。</w:t>
      </w:r>
    </w:p>
    <w:p w14:paraId="50F25FEF">
      <w:pPr>
        <w:pStyle w:val="9"/>
        <w:keepNext w:val="0"/>
        <w:keepLines w:val="0"/>
        <w:pageBreakBefore w:val="0"/>
        <w:widowControl/>
        <w:kinsoku/>
        <w:wordWrap/>
        <w:overflowPunct/>
        <w:topLinePunct w:val="0"/>
        <w:autoSpaceDE w:val="0"/>
        <w:autoSpaceDN w:val="0"/>
        <w:bidi w:val="0"/>
        <w:adjustRightInd/>
        <w:snapToGrid/>
        <w:spacing w:line="360" w:lineRule="auto"/>
        <w:textAlignment w:val="baseline"/>
        <w:outlineLvl w:val="3"/>
        <w:rPr>
          <w:color w:val="auto"/>
          <w:sz w:val="24"/>
          <w:szCs w:val="24"/>
        </w:rPr>
      </w:pPr>
      <w:r>
        <w:rPr>
          <w:rFonts w:ascii="Times New Roman" w:hAnsi="Times New Roman" w:eastAsia="Times New Roman" w:cs="Times New Roman"/>
          <w:b/>
          <w:bCs/>
          <w:color w:val="auto"/>
          <w:spacing w:val="-2"/>
          <w:sz w:val="24"/>
          <w:szCs w:val="24"/>
        </w:rPr>
        <w:t xml:space="preserve">4.3.3 </w:t>
      </w:r>
      <w:r>
        <w:rPr>
          <w:b/>
          <w:bCs/>
          <w:color w:val="auto"/>
          <w:spacing w:val="-2"/>
          <w:sz w:val="24"/>
          <w:szCs w:val="24"/>
        </w:rPr>
        <w:t>废水影响分析</w:t>
      </w:r>
    </w:p>
    <w:p w14:paraId="56362EB8">
      <w:pPr>
        <w:keepNext w:val="0"/>
        <w:keepLines w:val="0"/>
        <w:pageBreakBefore w:val="0"/>
        <w:widowControl/>
        <w:kinsoku/>
        <w:wordWrap/>
        <w:overflowPunct/>
        <w:topLinePunct w:val="0"/>
        <w:autoSpaceDE w:val="0"/>
        <w:autoSpaceDN w:val="0"/>
        <w:bidi w:val="0"/>
        <w:adjustRightInd/>
        <w:snapToGrid/>
        <w:spacing w:line="360" w:lineRule="auto"/>
        <w:ind w:left="0" w:firstLine="472" w:firstLineChars="200"/>
        <w:jc w:val="both"/>
        <w:textAlignment w:val="baseline"/>
        <w:rPr>
          <w:rFonts w:hint="default" w:ascii="Times New Roman" w:hAnsi="Times New Roman" w:cs="Times New Roman"/>
          <w:b/>
          <w:bCs/>
          <w:color w:val="auto"/>
          <w:sz w:val="24"/>
          <w:szCs w:val="24"/>
          <w:highlight w:val="none"/>
          <w:lang w:eastAsia="zh-CN"/>
        </w:rPr>
      </w:pPr>
      <w:r>
        <w:rPr>
          <w:rFonts w:hint="default" w:ascii="Times New Roman" w:hAnsi="Times New Roman" w:eastAsia="Times New Roman" w:cs="Times New Roman"/>
          <w:b/>
          <w:bCs/>
          <w:color w:val="auto"/>
          <w:spacing w:val="-2"/>
          <w:sz w:val="24"/>
          <w:szCs w:val="24"/>
        </w:rPr>
        <w:t>4.3.3.1</w:t>
      </w:r>
      <w:r>
        <w:rPr>
          <w:rFonts w:hint="default" w:ascii="Times New Roman" w:hAnsi="Times New Roman" w:cs="Times New Roman"/>
          <w:b/>
          <w:bCs/>
          <w:color w:val="auto"/>
          <w:sz w:val="24"/>
          <w:szCs w:val="24"/>
          <w:highlight w:val="none"/>
          <w:shd w:val="clear" w:color="auto" w:fill="auto"/>
          <w:lang w:eastAsia="zh-CN"/>
        </w:rPr>
        <w:t>本</w:t>
      </w:r>
      <w:r>
        <w:rPr>
          <w:rFonts w:hint="default" w:ascii="Times New Roman" w:hAnsi="Times New Roman" w:cs="Times New Roman"/>
          <w:b/>
          <w:bCs/>
          <w:color w:val="auto"/>
          <w:sz w:val="24"/>
          <w:szCs w:val="24"/>
          <w:highlight w:val="none"/>
          <w:shd w:val="clear" w:color="auto" w:fill="auto"/>
        </w:rPr>
        <w:t>项目</w:t>
      </w:r>
      <w:r>
        <w:rPr>
          <w:rFonts w:hint="default" w:ascii="Times New Roman" w:hAnsi="Times New Roman" w:cs="Times New Roman"/>
          <w:b/>
          <w:bCs/>
          <w:color w:val="auto"/>
          <w:sz w:val="24"/>
          <w:szCs w:val="24"/>
          <w:highlight w:val="none"/>
          <w:shd w:val="clear" w:color="auto" w:fill="auto"/>
          <w:lang w:val="en-US" w:eastAsia="zh-CN"/>
        </w:rPr>
        <w:t>办公生活</w:t>
      </w:r>
      <w:r>
        <w:rPr>
          <w:rFonts w:hint="default" w:ascii="Times New Roman" w:hAnsi="Times New Roman" w:cs="Times New Roman"/>
          <w:b/>
          <w:bCs/>
          <w:color w:val="auto"/>
          <w:sz w:val="24"/>
          <w:szCs w:val="24"/>
          <w:highlight w:val="none"/>
          <w:shd w:val="clear" w:color="auto" w:fill="auto"/>
          <w:lang w:eastAsia="zh-CN"/>
        </w:rPr>
        <w:t>废水</w:t>
      </w:r>
      <w:r>
        <w:rPr>
          <w:rFonts w:hint="default" w:ascii="Times New Roman" w:hAnsi="Times New Roman" w:cs="Times New Roman"/>
          <w:b/>
          <w:bCs/>
          <w:color w:val="auto"/>
          <w:sz w:val="24"/>
          <w:szCs w:val="24"/>
          <w:highlight w:val="none"/>
          <w:shd w:val="clear" w:color="auto" w:fill="auto"/>
          <w:lang w:val="en-US" w:eastAsia="zh-CN"/>
        </w:rPr>
        <w:t>处理</w:t>
      </w:r>
      <w:r>
        <w:rPr>
          <w:rFonts w:hint="default" w:ascii="Times New Roman" w:hAnsi="Times New Roman" w:cs="Times New Roman"/>
          <w:b/>
          <w:bCs/>
          <w:color w:val="auto"/>
          <w:sz w:val="24"/>
          <w:szCs w:val="24"/>
          <w:highlight w:val="none"/>
          <w:shd w:val="clear" w:color="auto" w:fill="auto"/>
        </w:rPr>
        <w:t>可行性分析</w:t>
      </w:r>
    </w:p>
    <w:p w14:paraId="1ACBFD02">
      <w:pPr>
        <w:keepNext w:val="0"/>
        <w:keepLines w:val="0"/>
        <w:pageBreakBefore w:val="0"/>
        <w:widowControl/>
        <w:suppressLineNumbers w:val="0"/>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cs="Times New Roman"/>
          <w:bCs/>
          <w:color w:val="auto"/>
          <w:sz w:val="24"/>
          <w:lang w:eastAsia="zh-CN"/>
        </w:rPr>
      </w:pPr>
      <w:r>
        <w:rPr>
          <w:rFonts w:hint="default" w:ascii="Times New Roman" w:hAnsi="Times New Roman" w:cs="Times New Roman"/>
          <w:bCs/>
          <w:color w:val="auto"/>
          <w:sz w:val="24"/>
          <w:highlight w:val="none"/>
        </w:rPr>
        <w:t>根据工程分析，</w:t>
      </w:r>
      <w:r>
        <w:rPr>
          <w:rFonts w:hint="default" w:ascii="Times New Roman" w:hAnsi="Times New Roman" w:cs="Times New Roman"/>
          <w:bCs/>
          <w:color w:val="auto"/>
          <w:sz w:val="24"/>
          <w:highlight w:val="none"/>
          <w:lang w:val="en-US" w:eastAsia="zh-CN"/>
        </w:rPr>
        <w:t>本项目</w:t>
      </w:r>
      <w:r>
        <w:rPr>
          <w:rFonts w:hint="default" w:ascii="Times New Roman" w:hAnsi="Times New Roman" w:cs="Times New Roman"/>
          <w:bCs/>
          <w:color w:val="auto"/>
          <w:sz w:val="24"/>
        </w:rPr>
        <w:t>运营期</w:t>
      </w:r>
      <w:r>
        <w:rPr>
          <w:rFonts w:hint="default" w:ascii="Times New Roman" w:hAnsi="Times New Roman" w:cs="Times New Roman"/>
          <w:color w:val="auto"/>
          <w:sz w:val="24"/>
          <w:lang w:val="en-US" w:eastAsia="zh-CN"/>
        </w:rPr>
        <w:t>办公</w:t>
      </w:r>
      <w:r>
        <w:rPr>
          <w:rFonts w:hint="default" w:ascii="Times New Roman" w:hAnsi="Times New Roman" w:cs="Times New Roman"/>
          <w:bCs/>
          <w:color w:val="auto"/>
          <w:sz w:val="24"/>
        </w:rPr>
        <w:t>生活废水产生量</w:t>
      </w:r>
      <w:r>
        <w:rPr>
          <w:rFonts w:hint="default" w:ascii="Times New Roman" w:hAnsi="Times New Roman" w:cs="Times New Roman"/>
          <w:bCs/>
          <w:color w:val="auto"/>
          <w:sz w:val="24"/>
          <w:lang w:eastAsia="zh-CN"/>
        </w:rPr>
        <w:t>约</w:t>
      </w:r>
      <w:r>
        <w:rPr>
          <w:rFonts w:hint="default" w:ascii="Times New Roman" w:hAnsi="Times New Roman" w:cs="Times New Roman"/>
          <w:bCs/>
          <w:color w:val="auto"/>
          <w:sz w:val="24"/>
          <w:lang w:val="en-US" w:eastAsia="zh-CN"/>
        </w:rPr>
        <w:t>0.54</w:t>
      </w:r>
      <w:r>
        <w:rPr>
          <w:rFonts w:hint="default" w:ascii="Times New Roman" w:hAnsi="Times New Roman" w:cs="Times New Roman"/>
          <w:bCs/>
          <w:color w:val="auto"/>
          <w:sz w:val="24"/>
        </w:rPr>
        <w:t>m³/d，</w:t>
      </w:r>
      <w:r>
        <w:rPr>
          <w:rFonts w:hint="default" w:ascii="Times New Roman" w:hAnsi="Times New Roman" w:cs="Times New Roman"/>
          <w:bCs/>
          <w:color w:val="auto"/>
          <w:sz w:val="24"/>
          <w:lang w:eastAsia="zh-CN"/>
        </w:rPr>
        <w:t>项目区</w:t>
      </w:r>
      <w:r>
        <w:rPr>
          <w:rFonts w:hint="default" w:ascii="Times New Roman" w:hAnsi="Times New Roman" w:cs="Times New Roman"/>
          <w:bCs/>
          <w:color w:val="auto"/>
          <w:sz w:val="24"/>
        </w:rPr>
        <w:t>设</w:t>
      </w:r>
      <w:r>
        <w:rPr>
          <w:rFonts w:hint="default" w:ascii="Times New Roman" w:hAnsi="Times New Roman" w:cs="Times New Roman"/>
          <w:bCs/>
          <w:color w:val="auto"/>
          <w:sz w:val="24"/>
          <w:lang w:eastAsia="zh-CN"/>
        </w:rPr>
        <w:t>置</w:t>
      </w:r>
      <w:r>
        <w:rPr>
          <w:rFonts w:hint="default" w:ascii="Times New Roman" w:hAnsi="Times New Roman" w:cs="Times New Roman"/>
          <w:bCs/>
          <w:color w:val="auto"/>
          <w:sz w:val="24"/>
        </w:rPr>
        <w:t>一个容积</w:t>
      </w:r>
      <w:r>
        <w:rPr>
          <w:rFonts w:hint="default" w:ascii="Times New Roman" w:hAnsi="Times New Roman" w:cs="Times New Roman"/>
          <w:bCs/>
          <w:color w:val="auto"/>
          <w:sz w:val="24"/>
          <w:lang w:val="en-US" w:eastAsia="zh-CN"/>
        </w:rPr>
        <w:t>10</w:t>
      </w:r>
      <w:r>
        <w:rPr>
          <w:rFonts w:hint="default" w:ascii="Times New Roman" w:hAnsi="Times New Roman" w:cs="Times New Roman"/>
          <w:bCs/>
          <w:color w:val="auto"/>
          <w:sz w:val="24"/>
        </w:rPr>
        <w:t>m³的</w:t>
      </w:r>
      <w:r>
        <w:rPr>
          <w:rFonts w:hint="default" w:ascii="Times New Roman" w:hAnsi="Times New Roman" w:cs="Times New Roman"/>
          <w:bCs/>
          <w:color w:val="auto"/>
          <w:sz w:val="24"/>
          <w:lang w:eastAsia="zh-CN"/>
        </w:rPr>
        <w:t>化粪池，</w:t>
      </w:r>
      <w:r>
        <w:rPr>
          <w:rFonts w:hint="default" w:ascii="Times New Roman" w:hAnsi="Times New Roman" w:cs="Times New Roman"/>
          <w:color w:val="auto"/>
          <w:sz w:val="24"/>
          <w:highlight w:val="none"/>
          <w:lang w:eastAsia="zh-CN"/>
        </w:rPr>
        <w:t>生活废水经化粪池处理后</w:t>
      </w:r>
      <w:r>
        <w:rPr>
          <w:rFonts w:hint="default" w:ascii="Times New Roman" w:hAnsi="Times New Roman" w:cs="Times New Roman"/>
          <w:color w:val="auto"/>
          <w:sz w:val="24"/>
          <w:highlight w:val="none"/>
          <w:lang w:val="en-US" w:eastAsia="zh-CN"/>
        </w:rPr>
        <w:t>暂存，</w:t>
      </w:r>
      <w:r>
        <w:rPr>
          <w:rFonts w:hint="default" w:ascii="Times New Roman" w:hAnsi="Times New Roman" w:cs="Times New Roman"/>
          <w:color w:val="auto"/>
          <w:sz w:val="24"/>
          <w:lang w:val="en-US" w:eastAsia="zh-CN"/>
        </w:rPr>
        <w:t>化粪池能满足半个月</w:t>
      </w:r>
      <w:r>
        <w:rPr>
          <w:rFonts w:hint="default" w:ascii="Times New Roman" w:hAnsi="Times New Roman" w:cs="Times New Roman"/>
          <w:color w:val="auto"/>
          <w:sz w:val="24"/>
          <w:highlight w:val="none"/>
          <w:lang w:eastAsia="zh-CN"/>
        </w:rPr>
        <w:t>生活废水</w:t>
      </w:r>
      <w:r>
        <w:rPr>
          <w:rFonts w:hint="default" w:ascii="Times New Roman" w:hAnsi="Times New Roman" w:cs="Times New Roman"/>
          <w:color w:val="auto"/>
          <w:sz w:val="24"/>
          <w:highlight w:val="none"/>
          <w:lang w:val="en-US" w:eastAsia="zh-CN"/>
        </w:rPr>
        <w:t>暂存，需半个月委托环卫部门</w:t>
      </w:r>
      <w:r>
        <w:rPr>
          <w:rFonts w:hint="default" w:ascii="Times New Roman" w:hAnsi="Times New Roman" w:eastAsia="宋体" w:cs="Times New Roman"/>
          <w:color w:val="auto"/>
          <w:sz w:val="24"/>
          <w:lang w:val="en-US" w:eastAsia="zh-CN"/>
        </w:rPr>
        <w:t>清运处置</w:t>
      </w:r>
      <w:r>
        <w:rPr>
          <w:rFonts w:hint="default" w:ascii="Times New Roman" w:hAnsi="Times New Roman" w:cs="Times New Roman"/>
          <w:color w:val="auto"/>
          <w:sz w:val="24"/>
          <w:lang w:val="en-US" w:eastAsia="zh-CN"/>
        </w:rPr>
        <w:t>一次</w:t>
      </w:r>
      <w:r>
        <w:rPr>
          <w:rFonts w:hint="default" w:ascii="Times New Roman" w:hAnsi="Times New Roman" w:cs="Times New Roman"/>
          <w:bCs/>
          <w:color w:val="auto"/>
          <w:sz w:val="24"/>
          <w:lang w:eastAsia="zh-CN"/>
        </w:rPr>
        <w:t>。</w:t>
      </w:r>
    </w:p>
    <w:p w14:paraId="2BA92AEA">
      <w:pPr>
        <w:keepNext w:val="0"/>
        <w:keepLines w:val="0"/>
        <w:pageBreakBefore w:val="0"/>
        <w:widowControl/>
        <w:suppressLineNumbers w:val="0"/>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bCs/>
          <w:color w:val="auto"/>
          <w:sz w:val="24"/>
          <w:lang w:val="en-US" w:eastAsia="zh-CN"/>
        </w:rPr>
      </w:pPr>
      <w:r>
        <w:rPr>
          <w:rFonts w:hint="default" w:ascii="Times New Roman" w:hAnsi="Times New Roman" w:cs="Times New Roman"/>
          <w:bCs/>
          <w:color w:val="auto"/>
          <w:sz w:val="24"/>
          <w:lang w:val="en-US" w:eastAsia="zh-CN"/>
        </w:rPr>
        <w:t>综上，本项目</w:t>
      </w:r>
      <w:r>
        <w:rPr>
          <w:rFonts w:hint="default" w:ascii="Times New Roman" w:hAnsi="Times New Roman" w:cs="Times New Roman"/>
          <w:bCs/>
          <w:color w:val="auto"/>
          <w:sz w:val="24"/>
        </w:rPr>
        <w:t>生活废水</w:t>
      </w:r>
      <w:r>
        <w:rPr>
          <w:rFonts w:hint="default" w:ascii="Times New Roman" w:hAnsi="Times New Roman" w:cs="Times New Roman"/>
          <w:bCs/>
          <w:color w:val="auto"/>
          <w:sz w:val="24"/>
          <w:lang w:val="en-US" w:eastAsia="zh-CN"/>
        </w:rPr>
        <w:t>处理措施可行。</w:t>
      </w:r>
    </w:p>
    <w:p w14:paraId="105BAE92">
      <w:pPr>
        <w:keepNext w:val="0"/>
        <w:keepLines w:val="0"/>
        <w:pageBreakBefore w:val="0"/>
        <w:widowControl/>
        <w:kinsoku/>
        <w:wordWrap/>
        <w:overflowPunct/>
        <w:topLinePunct w:val="0"/>
        <w:autoSpaceDE w:val="0"/>
        <w:autoSpaceDN w:val="0"/>
        <w:bidi w:val="0"/>
        <w:adjustRightInd/>
        <w:snapToGrid/>
        <w:spacing w:line="360" w:lineRule="auto"/>
        <w:ind w:left="0" w:firstLine="472" w:firstLineChars="200"/>
        <w:jc w:val="both"/>
        <w:textAlignment w:val="baseline"/>
        <w:rPr>
          <w:rFonts w:hint="default" w:ascii="Times New Roman" w:hAnsi="Times New Roman" w:eastAsia="宋体" w:cs="Times New Roman"/>
          <w:b/>
          <w:bCs/>
          <w:color w:val="auto"/>
          <w:sz w:val="24"/>
          <w:lang w:eastAsia="zh-CN"/>
        </w:rPr>
      </w:pPr>
      <w:r>
        <w:rPr>
          <w:rFonts w:hint="default" w:ascii="Times New Roman" w:hAnsi="Times New Roman" w:eastAsia="Times New Roman" w:cs="Times New Roman"/>
          <w:b/>
          <w:bCs/>
          <w:color w:val="auto"/>
          <w:spacing w:val="-2"/>
          <w:sz w:val="24"/>
          <w:szCs w:val="24"/>
          <w:lang w:val="en-US" w:eastAsia="zh-CN"/>
        </w:rPr>
        <w:t>4.3.3.2</w:t>
      </w:r>
      <w:r>
        <w:rPr>
          <w:rFonts w:hint="default" w:ascii="Times New Roman" w:hAnsi="Times New Roman" w:eastAsia="Times New Roman" w:cs="Times New Roman"/>
          <w:b/>
          <w:bCs/>
          <w:color w:val="auto"/>
          <w:spacing w:val="-2"/>
          <w:sz w:val="24"/>
          <w:szCs w:val="24"/>
          <w:lang w:eastAsia="zh-CN"/>
        </w:rPr>
        <w:t>本</w:t>
      </w:r>
      <w:r>
        <w:rPr>
          <w:rFonts w:hint="default" w:ascii="Times New Roman" w:hAnsi="Times New Roman" w:eastAsia="Times New Roman" w:cs="Times New Roman"/>
          <w:b/>
          <w:bCs/>
          <w:color w:val="auto"/>
          <w:spacing w:val="-2"/>
          <w:sz w:val="24"/>
          <w:szCs w:val="24"/>
        </w:rPr>
        <w:t>项目</w:t>
      </w:r>
      <w:r>
        <w:rPr>
          <w:rFonts w:hint="default" w:ascii="Times New Roman" w:hAnsi="Times New Roman" w:eastAsia="Times New Roman" w:cs="Times New Roman"/>
          <w:b/>
          <w:bCs/>
          <w:color w:val="auto"/>
          <w:spacing w:val="-2"/>
          <w:sz w:val="24"/>
          <w:szCs w:val="24"/>
          <w:lang w:val="en-US" w:eastAsia="zh-CN"/>
        </w:rPr>
        <w:t>雨水处理措施</w:t>
      </w:r>
      <w:r>
        <w:rPr>
          <w:rFonts w:hint="default" w:ascii="Times New Roman" w:hAnsi="Times New Roman" w:eastAsia="Times New Roman" w:cs="Times New Roman"/>
          <w:b/>
          <w:bCs/>
          <w:color w:val="auto"/>
          <w:spacing w:val="-2"/>
          <w:sz w:val="24"/>
          <w:szCs w:val="24"/>
        </w:rPr>
        <w:t>可行性分析</w:t>
      </w:r>
    </w:p>
    <w:p w14:paraId="5B9B77F9">
      <w:pPr>
        <w:keepNext w:val="0"/>
        <w:keepLines w:val="0"/>
        <w:pageBreakBefore w:val="0"/>
        <w:widowControl/>
        <w:kinsoku/>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color w:val="auto"/>
          <w:sz w:val="24"/>
          <w:vertAlign w:val="baseline"/>
          <w:lang w:val="en-US" w:eastAsia="zh-CN"/>
        </w:rPr>
      </w:pPr>
      <w:r>
        <w:rPr>
          <w:rFonts w:hint="default" w:ascii="Times New Roman" w:hAnsi="Times New Roman" w:eastAsia="宋体" w:cs="Times New Roman"/>
          <w:color w:val="auto"/>
          <w:sz w:val="24"/>
          <w:szCs w:val="24"/>
          <w:highlight w:val="none"/>
          <w:lang w:eastAsia="zh-CN"/>
        </w:rPr>
        <w:t>根据前文水平衡</w:t>
      </w:r>
      <w:r>
        <w:rPr>
          <w:rFonts w:hint="default" w:ascii="Times New Roman" w:hAnsi="Times New Roman" w:eastAsia="宋体" w:cs="Times New Roman"/>
          <w:color w:val="auto"/>
          <w:sz w:val="24"/>
          <w:szCs w:val="24"/>
          <w:highlight w:val="none"/>
          <w:lang w:val="en-US" w:eastAsia="zh-CN"/>
        </w:rPr>
        <w:t>计算，</w:t>
      </w:r>
      <w:r>
        <w:rPr>
          <w:rFonts w:hint="default" w:ascii="Times New Roman" w:hAnsi="Times New Roman" w:eastAsia="宋体" w:cs="Times New Roman"/>
          <w:color w:val="auto"/>
          <w:sz w:val="24"/>
          <w:lang w:val="en-US" w:eastAsia="zh-CN"/>
        </w:rPr>
        <w:t>本项目雨天</w:t>
      </w:r>
      <w:r>
        <w:rPr>
          <w:rFonts w:hint="default" w:ascii="Times New Roman" w:hAnsi="Times New Roman" w:cs="Times New Roman"/>
          <w:color w:val="auto"/>
          <w:sz w:val="24"/>
          <w:lang w:val="en-US" w:eastAsia="zh-CN"/>
        </w:rPr>
        <w:t>需</w:t>
      </w:r>
      <w:r>
        <w:rPr>
          <w:rFonts w:hint="default" w:ascii="Times New Roman" w:hAnsi="Times New Roman" w:eastAsia="宋体" w:cs="Times New Roman"/>
          <w:color w:val="auto"/>
          <w:sz w:val="24"/>
          <w:lang w:val="en-US" w:eastAsia="zh-CN"/>
        </w:rPr>
        <w:t>收集约93.</w:t>
      </w: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初期雨水，</w:t>
      </w:r>
      <w:r>
        <w:rPr>
          <w:rFonts w:hint="default" w:ascii="Times New Roman" w:hAnsi="Times New Roman" w:cs="Times New Roman"/>
          <w:color w:val="auto"/>
          <w:sz w:val="24"/>
          <w:lang w:val="en-US" w:eastAsia="zh-CN"/>
        </w:rPr>
        <w:t>初期雨水收集池</w:t>
      </w:r>
      <w:r>
        <w:rPr>
          <w:rFonts w:hint="default" w:ascii="Times New Roman" w:hAnsi="Times New Roman" w:eastAsia="宋体" w:cs="Times New Roman"/>
          <w:color w:val="auto"/>
          <w:sz w:val="24"/>
        </w:rPr>
        <w:t>容积是在实际水量基础上再乘以1.2～1.5的系数（以1.</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计）</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则初期雨水收集有效容积不应小于140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w:t>
      </w:r>
      <w:r>
        <w:rPr>
          <w:rFonts w:hint="default" w:ascii="Times New Roman" w:hAnsi="Times New Roman" w:eastAsia="宋体" w:cs="Times New Roman"/>
          <w:color w:val="auto"/>
          <w:sz w:val="24"/>
          <w:lang w:val="en-US" w:eastAsia="zh-CN"/>
        </w:rPr>
        <w:t>根据建设方提供的可研，本项目拟建</w:t>
      </w:r>
      <w:r>
        <w:rPr>
          <w:rFonts w:hint="default" w:ascii="Times New Roman" w:hAnsi="Times New Roman" w:cs="Times New Roman"/>
          <w:color w:val="auto"/>
          <w:sz w:val="24"/>
          <w:lang w:val="en-US" w:eastAsia="zh-CN"/>
        </w:rPr>
        <w:t>初期雨水收集池</w:t>
      </w:r>
      <w:r>
        <w:rPr>
          <w:rFonts w:hint="eastAsia" w:ascii="Times New Roman" w:hAnsi="Times New Roman" w:eastAsia="宋体" w:cs="Times New Roman"/>
          <w:color w:val="auto"/>
          <w:sz w:val="24"/>
          <w:lang w:val="en-US" w:eastAsia="zh-CN"/>
        </w:rPr>
        <w:t>1500m</w:t>
      </w:r>
      <w:r>
        <w:rPr>
          <w:rFonts w:hint="eastAsia"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，可满足16天暂存需求，</w:t>
      </w:r>
      <w:r>
        <w:rPr>
          <w:rFonts w:hint="default" w:ascii="Times New Roman" w:hAnsi="Times New Roman" w:cs="Times New Roman"/>
          <w:color w:val="auto"/>
          <w:sz w:val="24"/>
          <w:vertAlign w:val="baseline"/>
          <w:lang w:val="en-US" w:eastAsia="zh-CN"/>
        </w:rPr>
        <w:t>初期雨水经</w:t>
      </w:r>
      <w:r>
        <w:rPr>
          <w:rFonts w:hint="default" w:ascii="Times New Roman" w:hAnsi="Times New Roman" w:cs="Times New Roman"/>
          <w:color w:val="auto"/>
          <w:sz w:val="24"/>
          <w:lang w:val="en-US" w:eastAsia="zh-CN"/>
        </w:rPr>
        <w:t>初期雨水收集池沉淀处理后</w:t>
      </w:r>
      <w:r>
        <w:rPr>
          <w:rFonts w:hint="default" w:ascii="Times New Roman" w:hAnsi="Times New Roman" w:eastAsia="宋体" w:cs="Times New Roman"/>
          <w:color w:val="auto"/>
          <w:sz w:val="24"/>
          <w:vertAlign w:val="baseline"/>
          <w:lang w:val="en-US" w:eastAsia="zh-CN"/>
        </w:rPr>
        <w:t>晴天回用于项目区绿化及洒水降尘</w:t>
      </w:r>
      <w:r>
        <w:rPr>
          <w:rFonts w:hint="default" w:ascii="Times New Roman" w:hAnsi="Times New Roman" w:cs="Times New Roman"/>
          <w:color w:val="auto"/>
          <w:sz w:val="24"/>
          <w:vertAlign w:val="baseline"/>
          <w:lang w:val="en-US" w:eastAsia="zh-CN"/>
        </w:rPr>
        <w:t>，</w:t>
      </w:r>
      <w:r>
        <w:rPr>
          <w:rFonts w:hint="default" w:ascii="Times New Roman" w:hAnsi="Times New Roman" w:eastAsia="宋体" w:cs="Times New Roman"/>
          <w:color w:val="auto"/>
          <w:sz w:val="24"/>
          <w:vertAlign w:val="baseline"/>
          <w:lang w:val="en-US" w:eastAsia="zh-CN"/>
        </w:rPr>
        <w:t>回用不完的雨水由曲煤焦化内部清运至铁路卸煤区洒水降尘。</w:t>
      </w:r>
    </w:p>
    <w:p w14:paraId="46B7FF4B">
      <w:pPr>
        <w:spacing w:line="360" w:lineRule="auto"/>
        <w:ind w:firstLine="480" w:firstLineChars="200"/>
        <w:jc w:val="both"/>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vertAlign w:val="baseline"/>
          <w:lang w:val="en-US" w:eastAsia="zh-CN"/>
        </w:rPr>
        <w:t>根据建设单位提供资料，</w:t>
      </w:r>
      <w:r>
        <w:rPr>
          <w:rFonts w:hint="default" w:ascii="Times New Roman" w:hAnsi="Times New Roman" w:eastAsia="宋体" w:cs="Times New Roman"/>
          <w:color w:val="auto"/>
          <w:sz w:val="24"/>
          <w:vertAlign w:val="baseline"/>
          <w:lang w:val="en-US" w:eastAsia="zh-CN"/>
        </w:rPr>
        <w:t>铁路卸煤区洒水降尘面积36000平方米，采用新鲜水</w:t>
      </w:r>
      <w:r>
        <w:rPr>
          <w:rFonts w:hint="default" w:ascii="Times New Roman" w:hAnsi="Times New Roman" w:cs="Times New Roman"/>
          <w:color w:val="auto"/>
          <w:sz w:val="24"/>
          <w:vertAlign w:val="baseline"/>
          <w:lang w:val="en-US" w:eastAsia="zh-CN"/>
        </w:rPr>
        <w:t>降尘</w:t>
      </w:r>
      <w:r>
        <w:rPr>
          <w:rFonts w:hint="default" w:ascii="Times New Roman" w:hAnsi="Times New Roman" w:eastAsia="宋体" w:cs="Times New Roman"/>
          <w:color w:val="auto"/>
          <w:sz w:val="24"/>
          <w:vertAlign w:val="baseline"/>
          <w:lang w:val="en-US" w:eastAsia="zh-CN"/>
        </w:rPr>
        <w:t>，经计算降尘需水量为：108</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/d，22680</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vertAlign w:val="baseline"/>
          <w:lang w:val="en-US" w:eastAsia="zh-CN"/>
        </w:rPr>
        <w:t>/a。本项目</w:t>
      </w:r>
      <w:r>
        <w:rPr>
          <w:rFonts w:hint="default" w:ascii="Times New Roman" w:hAnsi="Times New Roman" w:eastAsia="宋体" w:cs="Times New Roman"/>
          <w:color w:val="auto"/>
          <w:sz w:val="24"/>
          <w:lang w:val="en-US" w:eastAsia="zh-CN"/>
        </w:rPr>
        <w:t>剩余</w:t>
      </w:r>
      <w:r>
        <w:rPr>
          <w:rFonts w:hint="eastAsia" w:ascii="Times New Roman" w:hAnsi="Times New Roman" w:cs="Times New Roman"/>
          <w:color w:val="auto"/>
          <w:sz w:val="24"/>
          <w:lang w:val="en-US" w:eastAsia="zh-CN"/>
        </w:rPr>
        <w:t>9033.5</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/a初期雨水，能完全回用完。</w:t>
      </w:r>
    </w:p>
    <w:p w14:paraId="14E9A0C9">
      <w:pPr>
        <w:spacing w:line="360" w:lineRule="auto"/>
        <w:ind w:firstLine="480"/>
        <w:jc w:val="both"/>
        <w:rPr>
          <w:rFonts w:hint="default" w:ascii="Times New Roman" w:hAnsi="Times New Roman" w:cs="Times New Roman"/>
          <w:bCs/>
          <w:color w:val="auto"/>
          <w:lang w:val="en-US" w:eastAsia="zh-CN"/>
        </w:rPr>
      </w:pPr>
      <w:r>
        <w:rPr>
          <w:rFonts w:hint="default" w:ascii="Times New Roman" w:hAnsi="Times New Roman" w:cs="Times New Roman"/>
          <w:bCs/>
          <w:color w:val="auto"/>
          <w:sz w:val="24"/>
        </w:rPr>
        <w:t>综上所述，本项目</w:t>
      </w:r>
      <w:r>
        <w:rPr>
          <w:rFonts w:hint="default" w:ascii="Times New Roman" w:hAnsi="Times New Roman" w:cs="Times New Roman"/>
          <w:bCs/>
          <w:color w:val="auto"/>
          <w:sz w:val="24"/>
          <w:lang w:val="en-US" w:eastAsia="zh-CN"/>
        </w:rPr>
        <w:t>初期雨水能够</w:t>
      </w:r>
      <w:r>
        <w:rPr>
          <w:rFonts w:hint="default" w:ascii="Times New Roman" w:hAnsi="Times New Roman" w:cs="Times New Roman"/>
          <w:bCs/>
          <w:color w:val="auto"/>
          <w:sz w:val="24"/>
        </w:rPr>
        <w:t>妥善</w:t>
      </w:r>
      <w:r>
        <w:rPr>
          <w:rFonts w:hint="default" w:ascii="Times New Roman" w:hAnsi="Times New Roman" w:cs="Times New Roman"/>
          <w:bCs/>
          <w:color w:val="auto"/>
          <w:sz w:val="24"/>
          <w:lang w:val="en-US" w:eastAsia="zh-CN"/>
        </w:rPr>
        <w:t>处理，</w:t>
      </w:r>
      <w:r>
        <w:rPr>
          <w:rFonts w:hint="default" w:ascii="Times New Roman" w:hAnsi="Times New Roman" w:cs="Times New Roman"/>
          <w:bCs/>
          <w:color w:val="auto"/>
          <w:sz w:val="24"/>
        </w:rPr>
        <w:t>对周围水环境影响较小。</w:t>
      </w:r>
    </w:p>
    <w:p w14:paraId="57D5F0D1">
      <w:pPr>
        <w:spacing w:line="360" w:lineRule="auto"/>
        <w:ind w:firstLine="472" w:firstLineChars="200"/>
        <w:jc w:val="both"/>
        <w:rPr>
          <w:rFonts w:hint="default" w:ascii="Times New Roman" w:hAnsi="Times New Roman" w:eastAsia="Times New Roman" w:cs="Times New Roman"/>
          <w:b/>
          <w:bCs/>
          <w:color w:val="auto"/>
          <w:spacing w:val="-2"/>
          <w:sz w:val="24"/>
          <w:szCs w:val="24"/>
          <w:lang w:eastAsia="zh-CN"/>
        </w:rPr>
      </w:pPr>
      <w:r>
        <w:rPr>
          <w:rFonts w:hint="default" w:ascii="Times New Roman" w:hAnsi="Times New Roman" w:eastAsia="Times New Roman" w:cs="Times New Roman"/>
          <w:b/>
          <w:bCs/>
          <w:color w:val="auto"/>
          <w:spacing w:val="-2"/>
          <w:sz w:val="24"/>
          <w:szCs w:val="24"/>
          <w:lang w:val="en-US" w:eastAsia="zh-CN"/>
        </w:rPr>
        <w:t>4.3.3.3</w:t>
      </w:r>
      <w:r>
        <w:rPr>
          <w:rFonts w:hint="default" w:ascii="Times New Roman" w:hAnsi="Times New Roman" w:eastAsia="Times New Roman" w:cs="Times New Roman"/>
          <w:b/>
          <w:bCs/>
          <w:color w:val="auto"/>
          <w:spacing w:val="-2"/>
          <w:sz w:val="24"/>
          <w:szCs w:val="24"/>
          <w:lang w:eastAsia="zh-CN"/>
        </w:rPr>
        <w:t>本项目废水非正常排放分析</w:t>
      </w:r>
    </w:p>
    <w:p w14:paraId="77F96639">
      <w:pPr>
        <w:keepLines w:val="0"/>
        <w:pageBreakBefore w:val="0"/>
        <w:wordWrap/>
        <w:topLinePunct w:val="0"/>
        <w:bidi w:val="0"/>
        <w:adjustRightInd/>
        <w:snapToGrid/>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aps w:val="0"/>
          <w:snapToGrid w:val="0"/>
          <w:color w:val="auto"/>
          <w:spacing w:val="0"/>
          <w:w w:val="100"/>
          <w:position w:val="0"/>
          <w:sz w:val="24"/>
          <w:szCs w:val="24"/>
          <w:highlight w:val="none"/>
          <w:lang w:val="zh-CN"/>
        </w:rPr>
        <w:t>当项目生活区化粪池、</w:t>
      </w:r>
      <w:r>
        <w:rPr>
          <w:rFonts w:hint="default" w:ascii="Times New Roman" w:hAnsi="Times New Roman" w:cs="Times New Roman"/>
          <w:caps w:val="0"/>
          <w:snapToGrid w:val="0"/>
          <w:color w:val="auto"/>
          <w:spacing w:val="0"/>
          <w:w w:val="100"/>
          <w:position w:val="0"/>
          <w:sz w:val="24"/>
          <w:szCs w:val="24"/>
          <w:highlight w:val="none"/>
          <w:lang w:val="en-US" w:eastAsia="zh-CN"/>
        </w:rPr>
        <w:t>初期雨水收集池</w:t>
      </w:r>
      <w:r>
        <w:rPr>
          <w:rFonts w:hint="default" w:ascii="Times New Roman" w:hAnsi="Times New Roman" w:eastAsia="宋体" w:cs="Times New Roman"/>
          <w:caps w:val="0"/>
          <w:snapToGrid w:val="0"/>
          <w:color w:val="auto"/>
          <w:spacing w:val="0"/>
          <w:w w:val="100"/>
          <w:position w:val="0"/>
          <w:sz w:val="24"/>
          <w:szCs w:val="24"/>
          <w:highlight w:val="none"/>
          <w:lang w:val="zh-CN"/>
        </w:rPr>
        <w:t>非正常使用时，如管道破裂、泵设备损坏、人为操作失误等原因故障时，导致废水污染物未经处理直接排放，会对地表水造成一定的影响</w:t>
      </w:r>
      <w:r>
        <w:rPr>
          <w:rFonts w:hint="default" w:ascii="Times New Roman" w:hAnsi="Times New Roman" w:cs="Times New Roman"/>
          <w:caps w:val="0"/>
          <w:snapToGrid w:val="0"/>
          <w:color w:val="auto"/>
          <w:spacing w:val="0"/>
          <w:w w:val="100"/>
          <w:position w:val="0"/>
          <w:sz w:val="24"/>
          <w:szCs w:val="24"/>
          <w:highlight w:val="none"/>
          <w:lang w:val="zh-CN"/>
        </w:rPr>
        <w:t>，</w:t>
      </w:r>
      <w:r>
        <w:rPr>
          <w:rFonts w:hint="default" w:ascii="Times New Roman" w:hAnsi="Times New Roman" w:eastAsia="宋体" w:cs="Times New Roman"/>
          <w:color w:val="auto"/>
          <w:sz w:val="24"/>
          <w:szCs w:val="24"/>
          <w:highlight w:val="none"/>
        </w:rPr>
        <w:t>本环评提出如下措施：</w:t>
      </w:r>
    </w:p>
    <w:p w14:paraId="453E6681">
      <w:pPr>
        <w:keepLines w:val="0"/>
        <w:pageBreakBefore w:val="0"/>
        <w:wordWrap/>
        <w:topLinePunct w:val="0"/>
        <w:bidi w:val="0"/>
        <w:adjustRightInd/>
        <w:snapToGrid/>
        <w:spacing w:line="360" w:lineRule="auto"/>
        <w:ind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lang w:bidi="ar"/>
        </w:rPr>
        <w:t>①</w:t>
      </w:r>
      <w:r>
        <w:rPr>
          <w:rFonts w:hint="default" w:ascii="Times New Roman" w:hAnsi="Times New Roman" w:eastAsia="宋体" w:cs="Times New Roman"/>
          <w:color w:val="auto"/>
          <w:sz w:val="24"/>
          <w:szCs w:val="24"/>
          <w:lang w:eastAsia="zh-CN"/>
        </w:rPr>
        <w:t>化粪池、</w:t>
      </w:r>
      <w:r>
        <w:rPr>
          <w:rFonts w:hint="default" w:ascii="Times New Roman" w:hAnsi="Times New Roman" w:cs="Times New Roman"/>
          <w:color w:val="auto"/>
          <w:sz w:val="24"/>
          <w:szCs w:val="24"/>
          <w:lang w:val="en-US" w:eastAsia="zh-CN"/>
        </w:rPr>
        <w:t>初期雨水收集池</w:t>
      </w:r>
      <w:r>
        <w:rPr>
          <w:rFonts w:hint="default" w:ascii="Times New Roman" w:hAnsi="Times New Roman" w:eastAsia="宋体" w:cs="Times New Roman"/>
          <w:color w:val="auto"/>
          <w:sz w:val="24"/>
          <w:szCs w:val="24"/>
          <w:lang w:eastAsia="zh-CN"/>
        </w:rPr>
        <w:t>发生渗漏、损坏时，立即停用，</w:t>
      </w:r>
      <w:r>
        <w:rPr>
          <w:rFonts w:hint="default" w:ascii="Times New Roman" w:hAnsi="Times New Roman" w:eastAsia="宋体" w:cs="Times New Roman"/>
          <w:color w:val="auto"/>
          <w:sz w:val="24"/>
          <w:szCs w:val="24"/>
        </w:rPr>
        <w:t>及时进行修复正常运行</w:t>
      </w:r>
      <w:r>
        <w:rPr>
          <w:rFonts w:hint="default" w:ascii="Times New Roman" w:hAnsi="Times New Roman" w:eastAsia="宋体" w:cs="Times New Roman"/>
          <w:color w:val="auto"/>
          <w:sz w:val="24"/>
          <w:szCs w:val="24"/>
          <w:lang w:eastAsia="zh-CN"/>
        </w:rPr>
        <w:t>后</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方可使用；</w:t>
      </w:r>
    </w:p>
    <w:p w14:paraId="314D273E">
      <w:pPr>
        <w:keepLines w:val="0"/>
        <w:pageBreakBefore w:val="0"/>
        <w:wordWrap/>
        <w:topLinePunct w:val="0"/>
        <w:bidi w:val="0"/>
        <w:adjustRightInd/>
        <w:snapToGrid/>
        <w:spacing w:line="360" w:lineRule="auto"/>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bidi="ar"/>
        </w:rPr>
        <w:t>②</w:t>
      </w:r>
      <w:r>
        <w:rPr>
          <w:rFonts w:hint="default" w:ascii="Times New Roman" w:hAnsi="Times New Roman" w:eastAsia="宋体" w:cs="Times New Roman"/>
          <w:color w:val="auto"/>
          <w:sz w:val="24"/>
          <w:szCs w:val="24"/>
          <w:lang w:eastAsia="zh-CN"/>
        </w:rPr>
        <w:t>化粪池</w:t>
      </w:r>
      <w:r>
        <w:rPr>
          <w:rFonts w:hint="default" w:ascii="Times New Roman" w:hAnsi="Times New Roman" w:cs="Times New Roman"/>
          <w:color w:val="auto"/>
          <w:sz w:val="24"/>
          <w:szCs w:val="24"/>
          <w:lang w:val="en-US" w:eastAsia="zh-CN"/>
        </w:rPr>
        <w:t>或初期雨水收集池不正常运作时，</w:t>
      </w:r>
      <w:r>
        <w:rPr>
          <w:rFonts w:hint="default" w:ascii="Times New Roman" w:hAnsi="Times New Roman" w:eastAsia="宋体" w:cs="Times New Roman"/>
          <w:color w:val="auto"/>
          <w:sz w:val="24"/>
          <w:szCs w:val="24"/>
          <w:lang w:val="en-US" w:eastAsia="zh-CN"/>
        </w:rPr>
        <w:t>将污水暂存于化粪池或</w:t>
      </w:r>
      <w:r>
        <w:rPr>
          <w:rFonts w:hint="default" w:ascii="Times New Roman" w:hAnsi="Times New Roman" w:cs="Times New Roman"/>
          <w:color w:val="auto"/>
          <w:sz w:val="24"/>
          <w:szCs w:val="24"/>
          <w:lang w:val="en-US" w:eastAsia="zh-CN"/>
        </w:rPr>
        <w:t>初期雨水收集池</w:t>
      </w:r>
      <w:r>
        <w:rPr>
          <w:rFonts w:hint="default" w:ascii="Times New Roman" w:hAnsi="Times New Roman" w:eastAsia="宋体" w:cs="Times New Roman"/>
          <w:color w:val="auto"/>
          <w:sz w:val="24"/>
          <w:szCs w:val="24"/>
          <w:lang w:val="en-US" w:eastAsia="zh-CN"/>
        </w:rPr>
        <w:t>（不超过五天）</w:t>
      </w:r>
      <w:r>
        <w:rPr>
          <w:rFonts w:hint="default" w:ascii="Times New Roman" w:hAnsi="Times New Roman" w:cs="Times New Roman"/>
          <w:color w:val="auto"/>
          <w:sz w:val="24"/>
          <w:szCs w:val="24"/>
          <w:lang w:val="en-US" w:eastAsia="zh-CN"/>
        </w:rPr>
        <w:t>，然后委托</w:t>
      </w:r>
      <w:r>
        <w:rPr>
          <w:rFonts w:hint="default" w:ascii="Times New Roman" w:hAnsi="Times New Roman" w:eastAsia="宋体" w:cs="Times New Roman"/>
          <w:color w:val="auto"/>
          <w:sz w:val="24"/>
          <w:lang w:val="en-US" w:eastAsia="zh-CN"/>
        </w:rPr>
        <w:t>有资质单位清运处置</w:t>
      </w:r>
      <w:r>
        <w:rPr>
          <w:rFonts w:hint="default" w:ascii="Times New Roman" w:hAnsi="Times New Roman" w:eastAsia="宋体" w:cs="Times New Roman"/>
          <w:color w:val="auto"/>
          <w:sz w:val="24"/>
          <w:szCs w:val="24"/>
        </w:rPr>
        <w:t>。</w:t>
      </w:r>
    </w:p>
    <w:p w14:paraId="7BD4B8FE">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b/>
          <w:bCs/>
          <w:color w:val="auto"/>
          <w:sz w:val="24"/>
          <w:lang w:eastAsia="zh-CN"/>
        </w:rPr>
      </w:pPr>
      <w:r>
        <w:rPr>
          <w:rFonts w:hint="default" w:ascii="Times New Roman" w:hAnsi="Times New Roman" w:eastAsia="宋体" w:cs="Times New Roman"/>
          <w:color w:val="auto"/>
          <w:sz w:val="24"/>
          <w:szCs w:val="24"/>
        </w:rPr>
        <w:t>综上所述，</w:t>
      </w:r>
      <w:r>
        <w:rPr>
          <w:rFonts w:hint="default" w:ascii="Times New Roman" w:hAnsi="Times New Roman" w:eastAsia="宋体" w:cs="Times New Roman"/>
          <w:bCs/>
          <w:color w:val="auto"/>
          <w:sz w:val="24"/>
          <w:szCs w:val="24"/>
        </w:rPr>
        <w:t>建设单</w:t>
      </w:r>
      <w:r>
        <w:rPr>
          <w:rFonts w:hint="default" w:ascii="Times New Roman" w:hAnsi="Times New Roman" w:cs="Times New Roman"/>
          <w:bCs/>
          <w:color w:val="auto"/>
          <w:sz w:val="24"/>
          <w:szCs w:val="24"/>
          <w:lang w:eastAsia="zh-CN"/>
        </w:rPr>
        <w:t>位在</w:t>
      </w:r>
      <w:r>
        <w:rPr>
          <w:rFonts w:hint="default" w:ascii="Times New Roman" w:hAnsi="Times New Roman" w:eastAsia="宋体" w:cs="Times New Roman"/>
          <w:bCs/>
          <w:color w:val="auto"/>
          <w:sz w:val="24"/>
          <w:szCs w:val="24"/>
        </w:rPr>
        <w:t>运营过程中，</w:t>
      </w:r>
      <w:r>
        <w:rPr>
          <w:rFonts w:hint="default" w:ascii="Times New Roman" w:hAnsi="Times New Roman" w:eastAsia="宋体" w:cs="Times New Roman"/>
          <w:color w:val="auto"/>
          <w:kern w:val="0"/>
          <w:sz w:val="24"/>
          <w:szCs w:val="24"/>
        </w:rPr>
        <w:t>加强管理，定期</w:t>
      </w:r>
      <w:r>
        <w:rPr>
          <w:rFonts w:hint="default" w:ascii="Times New Roman" w:hAnsi="Times New Roman" w:cs="Times New Roman"/>
          <w:color w:val="auto"/>
          <w:kern w:val="0"/>
          <w:sz w:val="24"/>
          <w:szCs w:val="24"/>
          <w:lang w:val="en-US" w:eastAsia="zh-CN"/>
        </w:rPr>
        <w:t>检查</w:t>
      </w:r>
      <w:r>
        <w:rPr>
          <w:rFonts w:hint="default" w:ascii="Times New Roman" w:hAnsi="Times New Roman" w:eastAsia="宋体" w:cs="Times New Roman"/>
          <w:color w:val="auto"/>
          <w:kern w:val="0"/>
          <w:sz w:val="24"/>
          <w:szCs w:val="24"/>
        </w:rPr>
        <w:t>化粪池</w:t>
      </w:r>
      <w:r>
        <w:rPr>
          <w:rFonts w:hint="default" w:ascii="Times New Roman" w:hAnsi="Times New Roman" w:cs="Times New Roman"/>
          <w:color w:val="auto"/>
          <w:kern w:val="0"/>
          <w:sz w:val="24"/>
          <w:szCs w:val="24"/>
          <w:lang w:val="en-US" w:eastAsia="zh-CN"/>
        </w:rPr>
        <w:t>、</w:t>
      </w:r>
      <w:r>
        <w:rPr>
          <w:rFonts w:hint="default" w:ascii="Times New Roman" w:hAnsi="Times New Roman" w:cs="Times New Roman"/>
          <w:color w:val="auto"/>
          <w:sz w:val="24"/>
          <w:szCs w:val="24"/>
          <w:lang w:val="en-US" w:eastAsia="zh-CN"/>
        </w:rPr>
        <w:t>初期雨水收集池</w:t>
      </w:r>
      <w:r>
        <w:rPr>
          <w:rFonts w:hint="default" w:ascii="Times New Roman" w:hAnsi="Times New Roman" w:eastAsia="宋体" w:cs="Times New Roman"/>
          <w:color w:val="auto"/>
          <w:sz w:val="24"/>
          <w:szCs w:val="24"/>
        </w:rPr>
        <w:t>，以保证</w:t>
      </w:r>
      <w:r>
        <w:rPr>
          <w:rFonts w:hint="default" w:ascii="Times New Roman" w:hAnsi="Times New Roman" w:eastAsia="宋体" w:cs="Times New Roman"/>
          <w:color w:val="auto"/>
          <w:kern w:val="0"/>
          <w:sz w:val="24"/>
          <w:szCs w:val="24"/>
          <w:lang w:val="en-US" w:eastAsia="zh-CN"/>
        </w:rPr>
        <w:t>废水</w:t>
      </w:r>
      <w:r>
        <w:rPr>
          <w:rFonts w:hint="default" w:ascii="Times New Roman" w:hAnsi="Times New Roman" w:eastAsia="宋体" w:cs="Times New Roman"/>
          <w:color w:val="auto"/>
          <w:sz w:val="24"/>
          <w:szCs w:val="24"/>
        </w:rPr>
        <w:t>处理效果</w:t>
      </w:r>
      <w:r>
        <w:rPr>
          <w:rFonts w:hint="default" w:ascii="Times New Roman" w:hAnsi="Times New Roman" w:eastAsia="宋体" w:cs="Times New Roman"/>
          <w:color w:val="auto"/>
          <w:sz w:val="24"/>
          <w:szCs w:val="24"/>
          <w:lang w:val="zh-CN" w:bidi="ar"/>
        </w:rPr>
        <w:t>，杜绝事故性排放，建立健全突发环境事件应急预案体系、环保管理机制和各项环保规章制度，落实岗位环保责任制，</w:t>
      </w:r>
      <w:r>
        <w:rPr>
          <w:rFonts w:hint="eastAsia" w:ascii="Times New Roman" w:hAnsi="Times New Roman" w:eastAsia="宋体" w:cs="Times New Roman"/>
          <w:color w:val="auto"/>
          <w:sz w:val="24"/>
          <w:szCs w:val="24"/>
          <w:lang w:val="zh-CN" w:bidi="ar"/>
        </w:rPr>
        <w:t>加强环境风险防控</w:t>
      </w:r>
      <w:r>
        <w:rPr>
          <w:rFonts w:hint="default" w:ascii="Times New Roman" w:hAnsi="Times New Roman" w:eastAsia="宋体" w:cs="Times New Roman"/>
          <w:color w:val="auto"/>
          <w:sz w:val="24"/>
          <w:szCs w:val="24"/>
          <w:lang w:val="zh-CN" w:bidi="ar"/>
        </w:rPr>
        <w:t>工作，防止事故排放导致环境问题，项目废水对周围水环境影响较小。</w:t>
      </w:r>
    </w:p>
    <w:p w14:paraId="715619C3">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z w:val="24"/>
          <w:szCs w:val="24"/>
        </w:rPr>
      </w:pPr>
      <w:r>
        <w:rPr>
          <w:rFonts w:ascii="Times New Roman" w:hAnsi="Times New Roman" w:eastAsia="Times New Roman" w:cs="Times New Roman"/>
          <w:b/>
          <w:bCs/>
          <w:color w:val="auto"/>
          <w:spacing w:val="-2"/>
          <w:sz w:val="24"/>
          <w:szCs w:val="24"/>
        </w:rPr>
        <w:t xml:space="preserve">4.3.4 </w:t>
      </w:r>
      <w:r>
        <w:rPr>
          <w:b/>
          <w:bCs/>
          <w:color w:val="auto"/>
          <w:spacing w:val="-2"/>
          <w:sz w:val="24"/>
          <w:szCs w:val="24"/>
        </w:rPr>
        <w:t>地表水环境影响评价结论</w:t>
      </w:r>
    </w:p>
    <w:p w14:paraId="79AE1D7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4"/>
        <w:textAlignment w:val="baseline"/>
        <w:rPr>
          <w:color w:val="auto"/>
          <w:sz w:val="24"/>
          <w:szCs w:val="24"/>
        </w:rPr>
      </w:pPr>
      <w:r>
        <w:rPr>
          <w:color w:val="auto"/>
          <w:spacing w:val="-3"/>
          <w:sz w:val="24"/>
          <w:szCs w:val="24"/>
        </w:rPr>
        <w:t>项目运营期污水不排入周边地表水体，项目运营对所在区域地表水</w:t>
      </w:r>
      <w:r>
        <w:rPr>
          <w:color w:val="auto"/>
          <w:spacing w:val="-4"/>
          <w:sz w:val="24"/>
          <w:szCs w:val="24"/>
        </w:rPr>
        <w:t>环境产生</w:t>
      </w:r>
      <w:r>
        <w:rPr>
          <w:color w:val="auto"/>
          <w:spacing w:val="-5"/>
          <w:sz w:val="24"/>
          <w:szCs w:val="24"/>
        </w:rPr>
        <w:t>的影响较小。</w:t>
      </w:r>
    </w:p>
    <w:p w14:paraId="35686503">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z w:val="30"/>
          <w:szCs w:val="30"/>
        </w:rPr>
      </w:pPr>
      <w:bookmarkStart w:id="162" w:name="bookmark30"/>
      <w:bookmarkEnd w:id="162"/>
      <w:bookmarkStart w:id="163" w:name="_Toc28582"/>
      <w:r>
        <w:rPr>
          <w:rFonts w:ascii="Times New Roman" w:hAnsi="Times New Roman" w:eastAsia="Times New Roman" w:cs="Times New Roman"/>
          <w:b/>
          <w:bCs/>
          <w:color w:val="auto"/>
          <w:spacing w:val="-3"/>
          <w:sz w:val="30"/>
          <w:szCs w:val="30"/>
        </w:rPr>
        <w:t xml:space="preserve">4.4 </w:t>
      </w:r>
      <w:r>
        <w:rPr>
          <w:b/>
          <w:bCs/>
          <w:color w:val="auto"/>
          <w:spacing w:val="-3"/>
          <w:sz w:val="30"/>
          <w:szCs w:val="30"/>
        </w:rPr>
        <w:t>运营期声环境影响分析</w:t>
      </w:r>
      <w:bookmarkEnd w:id="163"/>
    </w:p>
    <w:p w14:paraId="3BE77260">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z w:val="24"/>
          <w:szCs w:val="24"/>
        </w:rPr>
      </w:pPr>
      <w:r>
        <w:rPr>
          <w:rFonts w:ascii="Times New Roman" w:hAnsi="Times New Roman" w:eastAsia="Times New Roman" w:cs="Times New Roman"/>
          <w:b/>
          <w:bCs/>
          <w:color w:val="auto"/>
          <w:spacing w:val="-2"/>
          <w:sz w:val="24"/>
          <w:szCs w:val="24"/>
        </w:rPr>
        <w:t xml:space="preserve">4.4.1  </w:t>
      </w:r>
      <w:r>
        <w:rPr>
          <w:b/>
          <w:bCs/>
          <w:color w:val="auto"/>
          <w:spacing w:val="-2"/>
          <w:sz w:val="24"/>
          <w:szCs w:val="24"/>
        </w:rPr>
        <w:t>执行标准</w:t>
      </w:r>
    </w:p>
    <w:p w14:paraId="2BA8C46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pacing w:val="-2"/>
          <w:sz w:val="24"/>
          <w:szCs w:val="24"/>
        </w:rPr>
      </w:pPr>
      <w:r>
        <w:rPr>
          <w:color w:val="auto"/>
          <w:spacing w:val="-3"/>
          <w:sz w:val="24"/>
          <w:szCs w:val="24"/>
        </w:rPr>
        <w:t>本项目位于</w:t>
      </w:r>
      <w:r>
        <w:rPr>
          <w:rFonts w:hint="eastAsia" w:eastAsia="宋体"/>
          <w:color w:val="auto"/>
          <w:spacing w:val="-3"/>
          <w:sz w:val="24"/>
          <w:szCs w:val="24"/>
          <w:lang w:eastAsia="zh-CN"/>
        </w:rPr>
        <w:t>曲靖高新技术产业开发区花山片区</w:t>
      </w:r>
      <w:r>
        <w:rPr>
          <w:color w:val="auto"/>
          <w:spacing w:val="-3"/>
          <w:sz w:val="24"/>
          <w:szCs w:val="24"/>
        </w:rPr>
        <w:t>，项目集装箱堆场厂</w:t>
      </w:r>
      <w:r>
        <w:rPr>
          <w:color w:val="auto"/>
          <w:spacing w:val="-4"/>
          <w:sz w:val="24"/>
          <w:szCs w:val="24"/>
        </w:rPr>
        <w:t>界噪</w:t>
      </w:r>
      <w:r>
        <w:rPr>
          <w:color w:val="auto"/>
          <w:sz w:val="24"/>
          <w:szCs w:val="24"/>
        </w:rPr>
        <w:t>声执</w:t>
      </w:r>
      <w:bookmarkStart w:id="258" w:name="_GoBack"/>
      <w:bookmarkEnd w:id="258"/>
      <w:r>
        <w:rPr>
          <w:color w:val="auto"/>
          <w:sz w:val="24"/>
          <w:szCs w:val="24"/>
        </w:rPr>
        <w:t>行《工业企业厂界环境噪声排放标准》（</w:t>
      </w:r>
      <w:r>
        <w:rPr>
          <w:rFonts w:ascii="Times New Roman" w:hAnsi="Times New Roman" w:eastAsia="Times New Roman" w:cs="Times New Roman"/>
          <w:color w:val="auto"/>
          <w:sz w:val="24"/>
          <w:szCs w:val="24"/>
        </w:rPr>
        <w:t>GB12348—2</w:t>
      </w:r>
      <w:r>
        <w:rPr>
          <w:rFonts w:ascii="Times New Roman" w:hAnsi="Times New Roman" w:eastAsia="Times New Roman" w:cs="Times New Roman"/>
          <w:color w:val="auto"/>
          <w:spacing w:val="-1"/>
          <w:sz w:val="24"/>
          <w:szCs w:val="24"/>
        </w:rPr>
        <w:t>008</w:t>
      </w:r>
      <w:r>
        <w:rPr>
          <w:color w:val="auto"/>
          <w:spacing w:val="-1"/>
          <w:sz w:val="24"/>
          <w:szCs w:val="24"/>
        </w:rPr>
        <w:t>）</w:t>
      </w:r>
      <w:r>
        <w:rPr>
          <w:rFonts w:ascii="Times New Roman" w:hAnsi="Times New Roman" w:eastAsia="Times New Roman" w:cs="Times New Roman"/>
          <w:color w:val="auto"/>
          <w:spacing w:val="-1"/>
          <w:sz w:val="24"/>
          <w:szCs w:val="24"/>
        </w:rPr>
        <w:t>3</w:t>
      </w:r>
      <w:r>
        <w:rPr>
          <w:color w:val="auto"/>
          <w:spacing w:val="-1"/>
          <w:sz w:val="24"/>
          <w:szCs w:val="24"/>
        </w:rPr>
        <w:t>类标准</w:t>
      </w:r>
      <w:r>
        <w:rPr>
          <w:color w:val="auto"/>
          <w:spacing w:val="-2"/>
          <w:sz w:val="24"/>
          <w:szCs w:val="24"/>
        </w:rPr>
        <w:t>。</w:t>
      </w:r>
    </w:p>
    <w:p w14:paraId="0064063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既有铁路</w:t>
      </w:r>
      <w:r>
        <w:rPr>
          <w:rFonts w:hint="eastAsia" w:ascii="Times New Roman" w:hAnsi="Times New Roman" w:eastAsia="宋体" w:cs="Times New Roman"/>
          <w:color w:val="auto"/>
          <w:spacing w:val="-3"/>
          <w:sz w:val="24"/>
          <w:szCs w:val="24"/>
          <w:lang w:eastAsia="zh-CN"/>
        </w:rPr>
        <w:t>（现有到发4条货运线）</w:t>
      </w:r>
      <w:r>
        <w:rPr>
          <w:rFonts w:hint="default" w:ascii="Times New Roman" w:hAnsi="Times New Roman" w:cs="Times New Roman"/>
          <w:color w:val="auto"/>
          <w:spacing w:val="-3"/>
          <w:sz w:val="24"/>
          <w:szCs w:val="24"/>
        </w:rPr>
        <w:t>距外轨中心线30m处执行《铁路边界噪声限值及其测量方法》（GB12525-90）修改方案中表1限值；新建铁路距外轨中心线30m处执行《铁路边界噪声限值及其测量方法》（GB12525-90）修改方案中表2限值。</w:t>
      </w:r>
    </w:p>
    <w:p w14:paraId="253275BA">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z w:val="24"/>
          <w:szCs w:val="24"/>
        </w:rPr>
      </w:pPr>
      <w:r>
        <w:rPr>
          <w:rFonts w:ascii="Times New Roman" w:hAnsi="Times New Roman" w:eastAsia="Times New Roman" w:cs="Times New Roman"/>
          <w:b/>
          <w:bCs/>
          <w:color w:val="auto"/>
          <w:spacing w:val="-2"/>
          <w:sz w:val="24"/>
          <w:szCs w:val="24"/>
        </w:rPr>
        <w:t xml:space="preserve">4.4.2  </w:t>
      </w:r>
      <w:r>
        <w:rPr>
          <w:b/>
          <w:bCs/>
          <w:color w:val="auto"/>
          <w:spacing w:val="-2"/>
          <w:sz w:val="24"/>
          <w:szCs w:val="24"/>
        </w:rPr>
        <w:t>评价范围</w:t>
      </w:r>
    </w:p>
    <w:p w14:paraId="3E4BA29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3"/>
          <w:sz w:val="24"/>
          <w:szCs w:val="24"/>
          <w:highlight w:val="none"/>
        </w:rPr>
      </w:pPr>
      <w:r>
        <w:rPr>
          <w:rFonts w:hint="default" w:ascii="Times New Roman" w:hAnsi="Times New Roman" w:cs="Times New Roman"/>
          <w:color w:val="auto"/>
          <w:spacing w:val="-3"/>
          <w:sz w:val="24"/>
          <w:szCs w:val="24"/>
          <w:highlight w:val="none"/>
        </w:rPr>
        <w:t>项目所在区域适用《声环境质量标准》（GB3096-2008）3</w:t>
      </w:r>
      <w:r>
        <w:rPr>
          <w:rFonts w:hint="eastAsia" w:ascii="Times New Roman" w:hAnsi="Times New Roman" w:eastAsia="宋体" w:cs="Times New Roman"/>
          <w:color w:val="auto"/>
          <w:spacing w:val="-3"/>
          <w:sz w:val="24"/>
          <w:szCs w:val="24"/>
          <w:highlight w:val="none"/>
          <w:lang w:val="en-US" w:eastAsia="zh-CN"/>
        </w:rPr>
        <w:t>类标准</w:t>
      </w:r>
      <w:r>
        <w:rPr>
          <w:rFonts w:hint="default" w:ascii="Times New Roman" w:hAnsi="Times New Roman" w:cs="Times New Roman"/>
          <w:color w:val="auto"/>
          <w:spacing w:val="-3"/>
          <w:sz w:val="24"/>
          <w:szCs w:val="24"/>
          <w:highlight w:val="none"/>
        </w:rPr>
        <w:t>。根据《环境影响评价技术导则 声环境》（HJ2.4-2021），项目声环境评价工作等级确定为</w:t>
      </w:r>
      <w:r>
        <w:rPr>
          <w:rFonts w:hint="eastAsia" w:ascii="Times New Roman" w:hAnsi="Times New Roman" w:eastAsia="宋体" w:cs="Times New Roman"/>
          <w:color w:val="auto"/>
          <w:spacing w:val="-3"/>
          <w:sz w:val="24"/>
          <w:szCs w:val="24"/>
          <w:highlight w:val="none"/>
          <w:lang w:val="en-US" w:eastAsia="zh-CN"/>
        </w:rPr>
        <w:t>三</w:t>
      </w:r>
      <w:r>
        <w:rPr>
          <w:rFonts w:hint="default" w:ascii="Times New Roman" w:hAnsi="Times New Roman" w:cs="Times New Roman"/>
          <w:color w:val="auto"/>
          <w:spacing w:val="-3"/>
          <w:sz w:val="24"/>
          <w:szCs w:val="24"/>
          <w:highlight w:val="none"/>
        </w:rPr>
        <w:t>级。</w:t>
      </w:r>
    </w:p>
    <w:p w14:paraId="08A8D4D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根据《环境影响评价技术导则 声环境》（HJ2.4-2021）第5.2节：满足一级评价的要求，一般以建设项目边界向外200m为评价范围；二级、三级评价范围可根据建设项目所在区域和相邻区域的声环境功能区类别及声环境保护目标等实际情况适当缩小；如依据建设项目声源计算得到的贡献值到200m处，仍不能满足相应功能区标准值时，应将评价范围扩大到满足标准值的距离。</w:t>
      </w:r>
    </w:p>
    <w:p w14:paraId="684B01BE">
      <w:pPr>
        <w:pStyle w:val="9"/>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综合考虑，本次评价范围为以建设项目边界向外200m为评价范围。</w:t>
      </w:r>
    </w:p>
    <w:p w14:paraId="17A274C6">
      <w:pPr>
        <w:pStyle w:val="9"/>
        <w:keepNext w:val="0"/>
        <w:keepLines w:val="0"/>
        <w:pageBreakBefore w:val="0"/>
        <w:widowControl/>
        <w:wordWrap/>
        <w:overflowPunct/>
        <w:topLinePunct w:val="0"/>
        <w:autoSpaceDE w:val="0"/>
        <w:autoSpaceDN w:val="0"/>
        <w:bidi w:val="0"/>
        <w:adjustRightInd/>
        <w:snapToGrid/>
        <w:spacing w:line="360" w:lineRule="auto"/>
        <w:ind w:left="0"/>
        <w:textAlignment w:val="baseline"/>
        <w:outlineLvl w:val="3"/>
        <w:rPr>
          <w:color w:val="auto"/>
          <w:sz w:val="24"/>
          <w:szCs w:val="24"/>
        </w:rPr>
      </w:pPr>
      <w:r>
        <w:rPr>
          <w:rFonts w:ascii="Times New Roman" w:hAnsi="Times New Roman" w:eastAsia="Times New Roman" w:cs="Times New Roman"/>
          <w:b/>
          <w:bCs/>
          <w:color w:val="auto"/>
          <w:spacing w:val="-2"/>
          <w:sz w:val="24"/>
          <w:szCs w:val="24"/>
        </w:rPr>
        <w:t xml:space="preserve">4.4.3  </w:t>
      </w:r>
      <w:r>
        <w:rPr>
          <w:b/>
          <w:bCs/>
          <w:color w:val="auto"/>
          <w:spacing w:val="-2"/>
          <w:sz w:val="24"/>
          <w:szCs w:val="24"/>
        </w:rPr>
        <w:t>设备噪声源情况</w:t>
      </w:r>
    </w:p>
    <w:p w14:paraId="1266A557">
      <w:pPr>
        <w:pStyle w:val="9"/>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项目运营期铁路噪声主要是列车运行过程中机车牵引噪声，机车、车辆与轨道相互作用产生的轮轨噪声，机车鸣笛噪声，货车交通运输噪声等。</w:t>
      </w:r>
    </w:p>
    <w:p w14:paraId="689B64EC">
      <w:pPr>
        <w:pStyle w:val="9"/>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default" w:ascii="Times New Roman" w:hAnsi="Times New Roman" w:cs="Times New Roman"/>
          <w:color w:val="auto"/>
          <w:spacing w:val="-3"/>
          <w:sz w:val="24"/>
          <w:szCs w:val="24"/>
          <w:highlight w:val="none"/>
        </w:rPr>
      </w:pPr>
      <w:r>
        <w:rPr>
          <w:rFonts w:hint="default" w:ascii="Times New Roman" w:hAnsi="Times New Roman" w:cs="Times New Roman"/>
          <w:color w:val="auto"/>
          <w:spacing w:val="-3"/>
          <w:sz w:val="24"/>
          <w:szCs w:val="24"/>
        </w:rPr>
        <w:t>本工程建成运营后，铁路噪声主要为列车运行产生，根据本工程的具体情况及声环境现状，工程实施后主要受噪声影响的是</w:t>
      </w:r>
      <w:r>
        <w:rPr>
          <w:rFonts w:hint="eastAsia" w:ascii="Times New Roman" w:hAnsi="Times New Roman" w:eastAsia="宋体" w:cs="Times New Roman"/>
          <w:color w:val="auto"/>
          <w:spacing w:val="-3"/>
          <w:sz w:val="24"/>
          <w:szCs w:val="24"/>
          <w:lang w:val="en-US" w:eastAsia="zh-CN"/>
        </w:rPr>
        <w:t>列车</w:t>
      </w:r>
      <w:r>
        <w:rPr>
          <w:rFonts w:hint="default" w:ascii="Times New Roman" w:hAnsi="Times New Roman" w:cs="Times New Roman"/>
          <w:color w:val="auto"/>
          <w:spacing w:val="-3"/>
          <w:sz w:val="24"/>
          <w:szCs w:val="24"/>
        </w:rPr>
        <w:t>线路两侧评价范围内的声环境保护目标。</w:t>
      </w:r>
      <w:r>
        <w:rPr>
          <w:rFonts w:hint="default" w:ascii="Times New Roman" w:hAnsi="Times New Roman" w:cs="Times New Roman"/>
          <w:color w:val="auto"/>
          <w:spacing w:val="-3"/>
          <w:sz w:val="24"/>
          <w:szCs w:val="24"/>
          <w:highlight w:val="none"/>
        </w:rPr>
        <w:t>本项目新建铁路专用线</w:t>
      </w:r>
      <w:r>
        <w:rPr>
          <w:rFonts w:hint="eastAsia" w:ascii="Times New Roman" w:hAnsi="Times New Roman" w:eastAsia="宋体" w:cs="Times New Roman"/>
          <w:color w:val="auto"/>
          <w:spacing w:val="-3"/>
          <w:sz w:val="24"/>
          <w:szCs w:val="24"/>
          <w:highlight w:val="none"/>
          <w:lang w:val="en-US" w:eastAsia="zh-CN"/>
        </w:rPr>
        <w:t>2条铁路和改变性质的项目区内现有到发4条货运线</w:t>
      </w:r>
      <w:r>
        <w:rPr>
          <w:rFonts w:hint="default" w:ascii="Times New Roman" w:hAnsi="Times New Roman" w:cs="Times New Roman"/>
          <w:color w:val="auto"/>
          <w:spacing w:val="-3"/>
          <w:sz w:val="24"/>
          <w:szCs w:val="24"/>
          <w:highlight w:val="none"/>
        </w:rPr>
        <w:t>沿线</w:t>
      </w:r>
      <w:r>
        <w:rPr>
          <w:rFonts w:hint="eastAsia" w:ascii="Times New Roman" w:hAnsi="Times New Roman" w:eastAsia="宋体" w:cs="Times New Roman"/>
          <w:color w:val="auto"/>
          <w:spacing w:val="-3"/>
          <w:sz w:val="24"/>
          <w:szCs w:val="24"/>
          <w:highlight w:val="none"/>
          <w:lang w:val="en-US" w:eastAsia="zh-CN"/>
        </w:rPr>
        <w:t>无</w:t>
      </w:r>
      <w:r>
        <w:rPr>
          <w:rFonts w:hint="default" w:ascii="Times New Roman" w:hAnsi="Times New Roman" w:cs="Times New Roman"/>
          <w:color w:val="auto"/>
          <w:spacing w:val="-3"/>
          <w:sz w:val="24"/>
          <w:szCs w:val="24"/>
          <w:highlight w:val="none"/>
        </w:rPr>
        <w:t>声环境保护目标。</w:t>
      </w:r>
    </w:p>
    <w:p w14:paraId="2E3C151A">
      <w:pPr>
        <w:pStyle w:val="9"/>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default" w:ascii="Times New Roman" w:hAnsi="Times New Roman" w:cs="Times New Roman"/>
          <w:color w:val="auto"/>
          <w:spacing w:val="-3"/>
          <w:sz w:val="24"/>
          <w:szCs w:val="24"/>
          <w:highlight w:val="none"/>
        </w:rPr>
      </w:pPr>
      <w:r>
        <w:rPr>
          <w:rFonts w:hint="default" w:ascii="Times New Roman" w:hAnsi="Times New Roman" w:cs="Times New Roman"/>
          <w:color w:val="auto"/>
          <w:spacing w:val="-3"/>
          <w:sz w:val="24"/>
          <w:szCs w:val="24"/>
          <w:highlight w:val="none"/>
        </w:rPr>
        <w:t>项目为货运列车，牵引采用内燃机，机车为</w:t>
      </w:r>
      <w:r>
        <w:rPr>
          <w:rFonts w:hint="eastAsia" w:ascii="Times New Roman" w:hAnsi="Times New Roman" w:eastAsia="宋体" w:cs="Times New Roman"/>
          <w:color w:val="auto"/>
          <w:spacing w:val="-3"/>
          <w:sz w:val="24"/>
          <w:szCs w:val="24"/>
          <w:highlight w:val="none"/>
          <w:lang w:val="en-US" w:eastAsia="zh-CN"/>
        </w:rPr>
        <w:t>DF</w:t>
      </w:r>
      <w:r>
        <w:rPr>
          <w:rFonts w:hint="eastAsia" w:ascii="Times New Roman" w:hAnsi="Times New Roman" w:eastAsia="宋体" w:cs="Times New Roman"/>
          <w:color w:val="auto"/>
          <w:spacing w:val="-3"/>
          <w:sz w:val="24"/>
          <w:szCs w:val="24"/>
          <w:highlight w:val="none"/>
          <w:vertAlign w:val="subscript"/>
          <w:lang w:val="en-US" w:eastAsia="zh-CN"/>
        </w:rPr>
        <w:t>5D</w:t>
      </w:r>
      <w:r>
        <w:rPr>
          <w:rFonts w:hint="eastAsia" w:ascii="Times New Roman" w:hAnsi="Times New Roman" w:eastAsia="宋体" w:cs="Times New Roman"/>
          <w:color w:val="auto"/>
          <w:spacing w:val="-3"/>
          <w:sz w:val="24"/>
          <w:szCs w:val="24"/>
          <w:highlight w:val="none"/>
          <w:lang w:val="en-US" w:eastAsia="zh-CN"/>
        </w:rPr>
        <w:t>、DF</w:t>
      </w:r>
      <w:r>
        <w:rPr>
          <w:rFonts w:hint="eastAsia" w:ascii="Times New Roman" w:hAnsi="Times New Roman" w:eastAsia="宋体" w:cs="Times New Roman"/>
          <w:color w:val="auto"/>
          <w:spacing w:val="-3"/>
          <w:sz w:val="24"/>
          <w:szCs w:val="24"/>
          <w:highlight w:val="none"/>
          <w:vertAlign w:val="subscript"/>
          <w:lang w:val="en-US" w:eastAsia="zh-CN"/>
        </w:rPr>
        <w:t>10D</w:t>
      </w:r>
      <w:r>
        <w:rPr>
          <w:rFonts w:hint="default" w:ascii="Times New Roman" w:hAnsi="Times New Roman" w:cs="Times New Roman"/>
          <w:color w:val="auto"/>
          <w:spacing w:val="-3"/>
          <w:sz w:val="24"/>
          <w:szCs w:val="24"/>
          <w:highlight w:val="none"/>
        </w:rPr>
        <w:t>系列机车，最高设计时速为</w:t>
      </w:r>
      <w:r>
        <w:rPr>
          <w:rFonts w:hint="eastAsia" w:ascii="Times New Roman" w:hAnsi="Times New Roman" w:eastAsia="宋体" w:cs="Times New Roman"/>
          <w:color w:val="auto"/>
          <w:spacing w:val="-3"/>
          <w:sz w:val="24"/>
          <w:szCs w:val="24"/>
          <w:highlight w:val="none"/>
          <w:lang w:val="en-US" w:eastAsia="zh-CN"/>
        </w:rPr>
        <w:t>8</w:t>
      </w:r>
      <w:r>
        <w:rPr>
          <w:rFonts w:hint="default" w:ascii="Times New Roman" w:hAnsi="Times New Roman" w:cs="Times New Roman"/>
          <w:color w:val="auto"/>
          <w:spacing w:val="-3"/>
          <w:sz w:val="24"/>
          <w:szCs w:val="24"/>
          <w:highlight w:val="none"/>
        </w:rPr>
        <w:t>0km/h</w:t>
      </w:r>
      <w:r>
        <w:rPr>
          <w:rFonts w:hint="eastAsia" w:ascii="Times New Roman" w:hAnsi="Times New Roman" w:eastAsia="宋体" w:cs="Times New Roman"/>
          <w:color w:val="auto"/>
          <w:spacing w:val="-3"/>
          <w:sz w:val="24"/>
          <w:szCs w:val="24"/>
          <w:highlight w:val="none"/>
          <w:lang w:eastAsia="zh-CN"/>
        </w:rPr>
        <w:t>、</w:t>
      </w:r>
      <w:r>
        <w:rPr>
          <w:rFonts w:hint="eastAsia" w:ascii="Times New Roman" w:hAnsi="Times New Roman" w:eastAsia="宋体" w:cs="Times New Roman"/>
          <w:color w:val="auto"/>
          <w:spacing w:val="-3"/>
          <w:sz w:val="24"/>
          <w:szCs w:val="24"/>
          <w:highlight w:val="none"/>
          <w:lang w:val="en-US" w:eastAsia="zh-CN"/>
        </w:rPr>
        <w:t>100</w:t>
      </w:r>
      <w:r>
        <w:rPr>
          <w:rFonts w:hint="default" w:ascii="Times New Roman" w:hAnsi="Times New Roman" w:cs="Times New Roman"/>
          <w:color w:val="auto"/>
          <w:spacing w:val="-3"/>
          <w:sz w:val="24"/>
          <w:szCs w:val="24"/>
          <w:highlight w:val="none"/>
        </w:rPr>
        <w:t>km/h，机车</w:t>
      </w:r>
      <w:r>
        <w:rPr>
          <w:rFonts w:hint="eastAsia" w:ascii="Times New Roman" w:hAnsi="Times New Roman" w:eastAsia="宋体" w:cs="Times New Roman"/>
          <w:color w:val="auto"/>
          <w:spacing w:val="-3"/>
          <w:sz w:val="24"/>
          <w:szCs w:val="24"/>
          <w:highlight w:val="none"/>
          <w:lang w:val="en-US" w:eastAsia="zh-CN"/>
        </w:rPr>
        <w:t>在本项目区域内</w:t>
      </w:r>
      <w:r>
        <w:rPr>
          <w:rFonts w:hint="default" w:ascii="Times New Roman" w:hAnsi="Times New Roman" w:cs="Times New Roman"/>
          <w:color w:val="auto"/>
          <w:spacing w:val="-3"/>
          <w:sz w:val="24"/>
          <w:szCs w:val="24"/>
          <w:highlight w:val="none"/>
        </w:rPr>
        <w:t>牵引</w:t>
      </w:r>
      <w:r>
        <w:rPr>
          <w:rFonts w:hint="eastAsia" w:ascii="Times New Roman" w:hAnsi="Times New Roman" w:eastAsia="宋体" w:cs="Times New Roman"/>
          <w:color w:val="auto"/>
          <w:spacing w:val="-3"/>
          <w:sz w:val="24"/>
          <w:szCs w:val="24"/>
          <w:highlight w:val="none"/>
          <w:lang w:val="en-US" w:eastAsia="zh-CN"/>
        </w:rPr>
        <w:t>速度为25</w:t>
      </w:r>
      <w:r>
        <w:rPr>
          <w:rFonts w:hint="default" w:ascii="Times New Roman" w:hAnsi="Times New Roman" w:cs="Times New Roman"/>
          <w:color w:val="auto"/>
          <w:spacing w:val="-3"/>
          <w:sz w:val="24"/>
          <w:szCs w:val="24"/>
          <w:highlight w:val="none"/>
        </w:rPr>
        <w:t>km/h</w:t>
      </w:r>
      <w:r>
        <w:rPr>
          <w:rFonts w:hint="eastAsia" w:ascii="Times New Roman" w:hAnsi="Times New Roman" w:eastAsia="宋体" w:cs="Times New Roman"/>
          <w:color w:val="auto"/>
          <w:spacing w:val="-3"/>
          <w:sz w:val="24"/>
          <w:szCs w:val="24"/>
          <w:highlight w:val="none"/>
          <w:lang w:val="en-US" w:eastAsia="zh-CN"/>
        </w:rPr>
        <w:t>。</w:t>
      </w:r>
      <w:r>
        <w:rPr>
          <w:rFonts w:hint="default" w:ascii="Times New Roman" w:hAnsi="Times New Roman" w:cs="Times New Roman"/>
          <w:color w:val="auto"/>
          <w:spacing w:val="-3"/>
          <w:sz w:val="24"/>
          <w:szCs w:val="24"/>
          <w:highlight w:val="none"/>
        </w:rPr>
        <w:t>项目牵引</w:t>
      </w:r>
      <w:r>
        <w:rPr>
          <w:rFonts w:hint="eastAsia" w:ascii="Times New Roman" w:hAnsi="Times New Roman" w:eastAsia="宋体" w:cs="Times New Roman"/>
          <w:color w:val="auto"/>
          <w:spacing w:val="-3"/>
          <w:sz w:val="24"/>
          <w:szCs w:val="24"/>
          <w:highlight w:val="none"/>
          <w:lang w:val="en-US" w:eastAsia="zh-CN"/>
        </w:rPr>
        <w:t>总</w:t>
      </w:r>
      <w:r>
        <w:rPr>
          <w:rFonts w:hint="default" w:ascii="Times New Roman" w:hAnsi="Times New Roman" w:cs="Times New Roman"/>
          <w:color w:val="auto"/>
          <w:spacing w:val="-3"/>
          <w:sz w:val="24"/>
          <w:szCs w:val="24"/>
          <w:highlight w:val="none"/>
        </w:rPr>
        <w:t>质量为</w:t>
      </w:r>
      <w:r>
        <w:rPr>
          <w:rFonts w:hint="eastAsia" w:ascii="Times New Roman" w:hAnsi="Times New Roman" w:eastAsia="宋体" w:cs="Times New Roman"/>
          <w:color w:val="auto"/>
          <w:spacing w:val="-3"/>
          <w:sz w:val="24"/>
          <w:szCs w:val="24"/>
          <w:highlight w:val="none"/>
          <w:lang w:val="en-US" w:eastAsia="zh-CN"/>
        </w:rPr>
        <w:t>8</w:t>
      </w:r>
      <w:r>
        <w:rPr>
          <w:rFonts w:hint="default" w:ascii="Times New Roman" w:hAnsi="Times New Roman" w:cs="Times New Roman"/>
          <w:color w:val="auto"/>
          <w:spacing w:val="-3"/>
          <w:sz w:val="24"/>
          <w:szCs w:val="24"/>
          <w:highlight w:val="none"/>
        </w:rPr>
        <w:t>000t，轴重2</w:t>
      </w:r>
      <w:r>
        <w:rPr>
          <w:rFonts w:hint="eastAsia" w:ascii="Times New Roman" w:hAnsi="Times New Roman" w:eastAsia="宋体" w:cs="Times New Roman"/>
          <w:color w:val="auto"/>
          <w:spacing w:val="-3"/>
          <w:sz w:val="24"/>
          <w:szCs w:val="24"/>
          <w:highlight w:val="none"/>
          <w:lang w:val="en-US" w:eastAsia="zh-CN"/>
        </w:rPr>
        <w:t>1</w:t>
      </w:r>
      <w:r>
        <w:rPr>
          <w:rFonts w:hint="default" w:ascii="Times New Roman" w:hAnsi="Times New Roman" w:cs="Times New Roman"/>
          <w:color w:val="auto"/>
          <w:spacing w:val="-3"/>
          <w:sz w:val="24"/>
          <w:szCs w:val="24"/>
          <w:highlight w:val="none"/>
        </w:rPr>
        <w:t>t，属于普通货物列车。根据原铁道部《铁路建设项目环境影响评价噪声振动源强取值和治理原则指导意见（2010年修订稿）》（铁计函〔2010〕44号文），</w:t>
      </w:r>
      <w:r>
        <w:rPr>
          <w:color w:val="auto"/>
          <w:spacing w:val="-2"/>
          <w:sz w:val="24"/>
          <w:szCs w:val="24"/>
        </w:rPr>
        <w:t>根据</w:t>
      </w:r>
      <w:r>
        <w:rPr>
          <w:rFonts w:hint="eastAsia" w:eastAsia="宋体"/>
          <w:color w:val="auto"/>
          <w:spacing w:val="-2"/>
          <w:sz w:val="24"/>
          <w:szCs w:val="24"/>
          <w:lang w:val="en-US" w:eastAsia="zh-CN"/>
        </w:rPr>
        <w:t>下表给出的最小速度对应源强数据</w:t>
      </w:r>
      <w:r>
        <w:rPr>
          <w:color w:val="auto"/>
          <w:spacing w:val="-2"/>
          <w:sz w:val="24"/>
          <w:szCs w:val="24"/>
        </w:rPr>
        <w:t>，</w:t>
      </w:r>
      <w:r>
        <w:rPr>
          <w:rFonts w:hint="eastAsia" w:ascii="Times New Roman" w:hAnsi="Times New Roman" w:eastAsia="宋体" w:cs="Times New Roman"/>
          <w:color w:val="auto"/>
          <w:spacing w:val="0"/>
          <w:sz w:val="24"/>
          <w:szCs w:val="24"/>
          <w:highlight w:val="none"/>
          <w:lang w:val="en-US" w:eastAsia="zh-CN"/>
        </w:rPr>
        <w:t>本铁路专用线振动源强参考取值75.0dB（A），若预测30km/h作设计速度达标，则项目实际的25kmh也可达标。</w:t>
      </w:r>
      <w:r>
        <w:rPr>
          <w:rFonts w:hint="default" w:ascii="Times New Roman" w:hAnsi="Times New Roman" w:cs="Times New Roman"/>
          <w:color w:val="auto"/>
          <w:spacing w:val="-3"/>
          <w:sz w:val="24"/>
          <w:szCs w:val="24"/>
          <w:highlight w:val="none"/>
        </w:rPr>
        <w:t>项目噪声源强见表4.4-1、4.4-2</w:t>
      </w:r>
      <w:r>
        <w:rPr>
          <w:rFonts w:hint="eastAsia" w:ascii="Times New Roman" w:hAnsi="Times New Roman" w:eastAsia="宋体" w:cs="Times New Roman"/>
          <w:color w:val="auto"/>
          <w:spacing w:val="-3"/>
          <w:sz w:val="24"/>
          <w:szCs w:val="24"/>
          <w:highlight w:val="none"/>
          <w:lang w:eastAsia="zh-CN"/>
        </w:rPr>
        <w:t>，</w:t>
      </w:r>
      <w:r>
        <w:rPr>
          <w:rFonts w:hint="eastAsia" w:ascii="Times New Roman" w:hAnsi="Times New Roman" w:eastAsia="宋体" w:cs="Times New Roman"/>
          <w:color w:val="auto"/>
          <w:spacing w:val="-3"/>
          <w:sz w:val="24"/>
          <w:szCs w:val="24"/>
          <w:highlight w:val="none"/>
          <w:lang w:val="en-US" w:eastAsia="zh-CN"/>
        </w:rPr>
        <w:t>4.4-3</w:t>
      </w:r>
      <w:r>
        <w:rPr>
          <w:rFonts w:hint="default" w:ascii="Times New Roman" w:hAnsi="Times New Roman" w:cs="Times New Roman"/>
          <w:color w:val="auto"/>
          <w:spacing w:val="-3"/>
          <w:sz w:val="24"/>
          <w:szCs w:val="24"/>
          <w:highlight w:val="none"/>
        </w:rPr>
        <w:t>。</w:t>
      </w:r>
    </w:p>
    <w:p w14:paraId="0FB774D1">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 xml:space="preserve">  </w:t>
      </w:r>
      <w:r>
        <w:rPr>
          <w:b/>
          <w:bCs/>
          <w:color w:val="auto"/>
          <w:spacing w:val="-2"/>
        </w:rPr>
        <w:t>普通货物列车噪声源强表</w:t>
      </w:r>
    </w:p>
    <w:tbl>
      <w:tblPr>
        <w:tblStyle w:val="26"/>
        <w:tblW w:w="8237"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1"/>
        <w:gridCol w:w="904"/>
        <w:gridCol w:w="1215"/>
        <w:gridCol w:w="1215"/>
        <w:gridCol w:w="1216"/>
        <w:gridCol w:w="1216"/>
        <w:gridCol w:w="1050"/>
      </w:tblGrid>
      <w:tr w14:paraId="7A4CB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421" w:type="dxa"/>
            <w:vAlign w:val="center"/>
          </w:tcPr>
          <w:p w14:paraId="308D6405">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color w:val="auto"/>
                <w:spacing w:val="0"/>
                <w:sz w:val="21"/>
                <w:szCs w:val="21"/>
              </w:rPr>
              <w:t>速度，</w:t>
            </w:r>
            <w:r>
              <w:rPr>
                <w:rFonts w:ascii="Times New Roman" w:hAnsi="Times New Roman" w:eastAsia="Times New Roman" w:cs="Times New Roman"/>
                <w:color w:val="auto"/>
                <w:spacing w:val="0"/>
                <w:sz w:val="21"/>
                <w:szCs w:val="21"/>
              </w:rPr>
              <w:t>km/h</w:t>
            </w:r>
          </w:p>
        </w:tc>
        <w:tc>
          <w:tcPr>
            <w:tcW w:w="904" w:type="dxa"/>
            <w:vAlign w:val="center"/>
          </w:tcPr>
          <w:p w14:paraId="401133E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30</w:t>
            </w:r>
          </w:p>
        </w:tc>
        <w:tc>
          <w:tcPr>
            <w:tcW w:w="1215" w:type="dxa"/>
            <w:vAlign w:val="center"/>
          </w:tcPr>
          <w:p w14:paraId="1A202DE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40</w:t>
            </w:r>
          </w:p>
        </w:tc>
        <w:tc>
          <w:tcPr>
            <w:tcW w:w="1215" w:type="dxa"/>
            <w:vAlign w:val="center"/>
          </w:tcPr>
          <w:p w14:paraId="7D071B7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50</w:t>
            </w:r>
          </w:p>
        </w:tc>
        <w:tc>
          <w:tcPr>
            <w:tcW w:w="1216" w:type="dxa"/>
            <w:vAlign w:val="center"/>
          </w:tcPr>
          <w:p w14:paraId="6F9FF5B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60</w:t>
            </w:r>
          </w:p>
        </w:tc>
        <w:tc>
          <w:tcPr>
            <w:tcW w:w="1216" w:type="dxa"/>
            <w:vAlign w:val="center"/>
          </w:tcPr>
          <w:p w14:paraId="6FA9369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70</w:t>
            </w:r>
          </w:p>
        </w:tc>
        <w:tc>
          <w:tcPr>
            <w:tcW w:w="1050" w:type="dxa"/>
            <w:vAlign w:val="center"/>
          </w:tcPr>
          <w:p w14:paraId="225E7C3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80</w:t>
            </w:r>
          </w:p>
        </w:tc>
      </w:tr>
      <w:tr w14:paraId="4FF12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421" w:type="dxa"/>
            <w:vAlign w:val="center"/>
          </w:tcPr>
          <w:p w14:paraId="7BB2BAB5">
            <w:pPr>
              <w:pStyle w:val="27"/>
              <w:keepNext w:val="0"/>
              <w:keepLines w:val="0"/>
              <w:pageBreakBefore w:val="0"/>
              <w:widowControl/>
              <w:kinsoku/>
              <w:wordWrap/>
              <w:overflowPunct/>
              <w:topLinePunct w:val="0"/>
              <w:autoSpaceDE w:val="0"/>
              <w:autoSpaceDN w:val="0"/>
              <w:bidi w:val="0"/>
              <w:adjustRightInd/>
              <w:snapToGrid/>
              <w:spacing w:line="240" w:lineRule="auto"/>
              <w:ind w:left="0" w:right="14"/>
              <w:jc w:val="center"/>
              <w:textAlignment w:val="baseline"/>
              <w:rPr>
                <w:color w:val="auto"/>
                <w:spacing w:val="0"/>
                <w:sz w:val="21"/>
                <w:szCs w:val="21"/>
              </w:rPr>
            </w:pPr>
            <w:r>
              <w:rPr>
                <w:color w:val="auto"/>
                <w:spacing w:val="0"/>
                <w:sz w:val="21"/>
                <w:szCs w:val="21"/>
              </w:rPr>
              <w:t>源强，</w:t>
            </w:r>
            <w:r>
              <w:rPr>
                <w:rFonts w:ascii="Times New Roman" w:hAnsi="Times New Roman" w:eastAsia="Times New Roman" w:cs="Times New Roman"/>
                <w:color w:val="auto"/>
                <w:spacing w:val="0"/>
                <w:sz w:val="21"/>
                <w:szCs w:val="21"/>
              </w:rPr>
              <w:t>dB</w:t>
            </w:r>
            <w:r>
              <w:rPr>
                <w:color w:val="auto"/>
                <w:spacing w:val="0"/>
                <w:sz w:val="21"/>
                <w:szCs w:val="21"/>
              </w:rPr>
              <w:t>（</w:t>
            </w:r>
            <w:r>
              <w:rPr>
                <w:rFonts w:ascii="Times New Roman" w:hAnsi="Times New Roman" w:eastAsia="Times New Roman" w:cs="Times New Roman"/>
                <w:color w:val="auto"/>
                <w:spacing w:val="0"/>
                <w:sz w:val="21"/>
                <w:szCs w:val="21"/>
              </w:rPr>
              <w:t>A</w:t>
            </w:r>
            <w:r>
              <w:rPr>
                <w:color w:val="auto"/>
                <w:spacing w:val="0"/>
                <w:sz w:val="21"/>
                <w:szCs w:val="21"/>
              </w:rPr>
              <w:t>）</w:t>
            </w:r>
          </w:p>
        </w:tc>
        <w:tc>
          <w:tcPr>
            <w:tcW w:w="904" w:type="dxa"/>
            <w:vAlign w:val="center"/>
          </w:tcPr>
          <w:p w14:paraId="5B7034D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75.0</w:t>
            </w:r>
          </w:p>
        </w:tc>
        <w:tc>
          <w:tcPr>
            <w:tcW w:w="1215" w:type="dxa"/>
            <w:vAlign w:val="center"/>
          </w:tcPr>
          <w:p w14:paraId="5CFABF7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76.7</w:t>
            </w:r>
          </w:p>
        </w:tc>
        <w:tc>
          <w:tcPr>
            <w:tcW w:w="1215" w:type="dxa"/>
            <w:vAlign w:val="center"/>
          </w:tcPr>
          <w:p w14:paraId="66FAF91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78.2</w:t>
            </w:r>
          </w:p>
        </w:tc>
        <w:tc>
          <w:tcPr>
            <w:tcW w:w="1216" w:type="dxa"/>
            <w:vAlign w:val="center"/>
          </w:tcPr>
          <w:p w14:paraId="5AEC8288">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79.5</w:t>
            </w:r>
          </w:p>
        </w:tc>
        <w:tc>
          <w:tcPr>
            <w:tcW w:w="1216" w:type="dxa"/>
            <w:vAlign w:val="center"/>
          </w:tcPr>
          <w:p w14:paraId="1358282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80.8</w:t>
            </w:r>
          </w:p>
        </w:tc>
        <w:tc>
          <w:tcPr>
            <w:tcW w:w="1050" w:type="dxa"/>
            <w:vAlign w:val="center"/>
          </w:tcPr>
          <w:p w14:paraId="64468FD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81.9</w:t>
            </w:r>
          </w:p>
        </w:tc>
      </w:tr>
    </w:tbl>
    <w:p w14:paraId="605A830D">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运营期交通噪声源强度表</w:t>
      </w:r>
    </w:p>
    <w:tbl>
      <w:tblPr>
        <w:tblStyle w:val="26"/>
        <w:tblW w:w="8249" w:type="dxa"/>
        <w:tblInd w:w="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0"/>
        <w:gridCol w:w="1167"/>
        <w:gridCol w:w="719"/>
        <w:gridCol w:w="1144"/>
        <w:gridCol w:w="2858"/>
        <w:gridCol w:w="1181"/>
      </w:tblGrid>
      <w:tr w14:paraId="113E2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180" w:type="dxa"/>
            <w:vAlign w:val="center"/>
          </w:tcPr>
          <w:p w14:paraId="7821E24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噪声源</w:t>
            </w:r>
          </w:p>
        </w:tc>
        <w:tc>
          <w:tcPr>
            <w:tcW w:w="1167" w:type="dxa"/>
            <w:vAlign w:val="center"/>
          </w:tcPr>
          <w:p w14:paraId="107141E1">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类型</w:t>
            </w:r>
          </w:p>
        </w:tc>
        <w:tc>
          <w:tcPr>
            <w:tcW w:w="719" w:type="dxa"/>
            <w:vAlign w:val="center"/>
          </w:tcPr>
          <w:p w14:paraId="6BF0427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数量</w:t>
            </w:r>
          </w:p>
        </w:tc>
        <w:tc>
          <w:tcPr>
            <w:tcW w:w="1144" w:type="dxa"/>
            <w:vAlign w:val="center"/>
          </w:tcPr>
          <w:p w14:paraId="52BCFE4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产生源强dB（A）</w:t>
            </w:r>
          </w:p>
        </w:tc>
        <w:tc>
          <w:tcPr>
            <w:tcW w:w="2858" w:type="dxa"/>
            <w:vAlign w:val="center"/>
          </w:tcPr>
          <w:p w14:paraId="4C64EB87">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降噪措施</w:t>
            </w:r>
          </w:p>
        </w:tc>
        <w:tc>
          <w:tcPr>
            <w:tcW w:w="1181" w:type="dxa"/>
            <w:vAlign w:val="center"/>
          </w:tcPr>
          <w:p w14:paraId="08EA4B3A">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排放源强dB（A）</w:t>
            </w:r>
          </w:p>
        </w:tc>
      </w:tr>
      <w:tr w14:paraId="41B01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180" w:type="dxa"/>
            <w:vAlign w:val="center"/>
          </w:tcPr>
          <w:p w14:paraId="7F952B8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运输车辆</w:t>
            </w:r>
          </w:p>
        </w:tc>
        <w:tc>
          <w:tcPr>
            <w:tcW w:w="1167" w:type="dxa"/>
            <w:vAlign w:val="center"/>
          </w:tcPr>
          <w:p w14:paraId="16BBC749">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交通噪声</w:t>
            </w:r>
          </w:p>
        </w:tc>
        <w:tc>
          <w:tcPr>
            <w:tcW w:w="719" w:type="dxa"/>
            <w:vAlign w:val="center"/>
          </w:tcPr>
          <w:p w14:paraId="044C1A1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w:t>
            </w:r>
          </w:p>
        </w:tc>
        <w:tc>
          <w:tcPr>
            <w:tcW w:w="1144" w:type="dxa"/>
            <w:vAlign w:val="center"/>
          </w:tcPr>
          <w:p w14:paraId="7EF5C9B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75</w:t>
            </w:r>
          </w:p>
        </w:tc>
        <w:tc>
          <w:tcPr>
            <w:tcW w:w="2858" w:type="dxa"/>
            <w:vAlign w:val="center"/>
          </w:tcPr>
          <w:p w14:paraId="47BE907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减速慢行、禁止鸣笛；绿化吸收；降噪量按 10dB（A）计</w:t>
            </w:r>
          </w:p>
        </w:tc>
        <w:tc>
          <w:tcPr>
            <w:tcW w:w="1181" w:type="dxa"/>
            <w:vAlign w:val="center"/>
          </w:tcPr>
          <w:p w14:paraId="158CC876">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65</w:t>
            </w:r>
          </w:p>
        </w:tc>
      </w:tr>
    </w:tbl>
    <w:p w14:paraId="02C5CA2E">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color w:val="auto"/>
          <w:sz w:val="28"/>
          <w:szCs w:val="28"/>
        </w:rPr>
      </w:pPr>
      <w:r>
        <w:rPr>
          <w:rFonts w:ascii="Times New Roman" w:hAnsi="Times New Roman" w:eastAsia="Times New Roman" w:cs="Times New Roman"/>
          <w:b/>
          <w:bCs/>
          <w:color w:val="auto"/>
          <w:spacing w:val="-2"/>
          <w:sz w:val="28"/>
          <w:szCs w:val="28"/>
        </w:rPr>
        <w:t>4.4.4.</w:t>
      </w:r>
      <w:r>
        <w:rPr>
          <w:rFonts w:hint="eastAsia" w:ascii="Times New Roman" w:hAnsi="Times New Roman" w:eastAsia="宋体" w:cs="Times New Roman"/>
          <w:b/>
          <w:bCs/>
          <w:color w:val="auto"/>
          <w:spacing w:val="-2"/>
          <w:sz w:val="28"/>
          <w:szCs w:val="28"/>
          <w:lang w:val="en-US" w:eastAsia="zh-CN"/>
        </w:rPr>
        <w:t>声环境</w:t>
      </w:r>
      <w:r>
        <w:rPr>
          <w:b/>
          <w:bCs/>
          <w:color w:val="auto"/>
          <w:spacing w:val="-2"/>
          <w:sz w:val="28"/>
          <w:szCs w:val="28"/>
        </w:rPr>
        <w:t>预测与评价</w:t>
      </w:r>
    </w:p>
    <w:p w14:paraId="565FCECA">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4"/>
        <w:rPr>
          <w:color w:val="auto"/>
          <w:sz w:val="24"/>
          <w:szCs w:val="24"/>
        </w:rPr>
      </w:pPr>
      <w:r>
        <w:rPr>
          <w:rFonts w:ascii="Times New Roman" w:hAnsi="Times New Roman" w:eastAsia="Times New Roman" w:cs="Times New Roman"/>
          <w:b/>
          <w:bCs/>
          <w:color w:val="auto"/>
          <w:spacing w:val="-2"/>
          <w:sz w:val="24"/>
          <w:szCs w:val="24"/>
        </w:rPr>
        <w:t>4.4.4.1</w:t>
      </w:r>
      <w:r>
        <w:rPr>
          <w:b/>
          <w:bCs/>
          <w:color w:val="auto"/>
          <w:spacing w:val="-2"/>
          <w:sz w:val="24"/>
          <w:szCs w:val="24"/>
        </w:rPr>
        <w:t>预测因子</w:t>
      </w:r>
    </w:p>
    <w:p w14:paraId="77606B74">
      <w:pPr>
        <w:keepNext w:val="0"/>
        <w:keepLines w:val="0"/>
        <w:pageBreakBefore w:val="0"/>
        <w:widowControl/>
        <w:kinsoku w:val="0"/>
        <w:wordWrap/>
        <w:overflowPunct/>
        <w:topLinePunct w:val="0"/>
        <w:autoSpaceDE w:val="0"/>
        <w:autoSpaceDN w:val="0"/>
        <w:bidi w:val="0"/>
        <w:adjustRightInd/>
        <w:snapToGrid/>
        <w:spacing w:line="360" w:lineRule="auto"/>
        <w:ind w:left="0" w:firstLine="482" w:firstLineChars="200"/>
        <w:jc w:val="both"/>
        <w:textAlignment w:val="baseline"/>
        <w:rPr>
          <w:rFonts w:hint="default" w:ascii="Times New Roman" w:hAnsi="Times New Roman" w:eastAsia="宋体" w:cs="Times New Roman"/>
          <w:b/>
          <w:bCs/>
          <w:color w:val="auto"/>
          <w:kern w:val="1"/>
          <w:sz w:val="24"/>
          <w:szCs w:val="24"/>
        </w:rPr>
      </w:pPr>
      <w:r>
        <w:rPr>
          <w:rFonts w:hint="default" w:ascii="Times New Roman" w:hAnsi="Times New Roman" w:eastAsia="宋体" w:cs="Times New Roman"/>
          <w:b/>
          <w:bCs/>
          <w:color w:val="auto"/>
          <w:kern w:val="1"/>
          <w:sz w:val="24"/>
          <w:szCs w:val="24"/>
          <w:lang w:val="en-US" w:eastAsia="zh-CN"/>
        </w:rPr>
        <w:t>1</w:t>
      </w:r>
      <w:r>
        <w:rPr>
          <w:rFonts w:hint="default" w:ascii="Times New Roman" w:hAnsi="Times New Roman" w:eastAsia="宋体" w:cs="Times New Roman"/>
          <w:b/>
          <w:bCs/>
          <w:color w:val="auto"/>
          <w:kern w:val="1"/>
          <w:sz w:val="24"/>
          <w:szCs w:val="24"/>
          <w:lang w:eastAsia="zh-CN"/>
        </w:rPr>
        <w:t>）</w:t>
      </w:r>
      <w:r>
        <w:rPr>
          <w:rFonts w:hint="default" w:ascii="Times New Roman" w:hAnsi="Times New Roman" w:eastAsia="宋体" w:cs="Times New Roman"/>
          <w:b/>
          <w:bCs/>
          <w:color w:val="auto"/>
          <w:kern w:val="1"/>
          <w:sz w:val="24"/>
          <w:szCs w:val="24"/>
        </w:rPr>
        <w:t>噪声源强</w:t>
      </w:r>
    </w:p>
    <w:p w14:paraId="1E55B4B8">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jc w:val="both"/>
        <w:textAlignment w:val="baseline"/>
        <w:rPr>
          <w:rFonts w:hint="default" w:ascii="Times New Roman" w:hAnsi="Times New Roman" w:eastAsia="宋体" w:cs="Times New Roman"/>
          <w:bCs/>
          <w:color w:val="auto"/>
          <w:kern w:val="1"/>
          <w:sz w:val="24"/>
          <w:lang w:val="en-US" w:eastAsia="zh-CN"/>
        </w:rPr>
      </w:pPr>
      <w:r>
        <w:rPr>
          <w:rFonts w:hint="default" w:ascii="Times New Roman" w:hAnsi="Times New Roman" w:eastAsia="宋体" w:cs="Times New Roman"/>
          <w:color w:val="auto"/>
          <w:sz w:val="24"/>
        </w:rPr>
        <w:t>本项目运营期间产生的噪声主要来源于</w:t>
      </w:r>
      <w:r>
        <w:rPr>
          <w:rFonts w:hint="default" w:ascii="Times New Roman" w:hAnsi="Times New Roman" w:eastAsia="宋体" w:cs="Times New Roman"/>
          <w:color w:val="auto"/>
          <w:sz w:val="24"/>
          <w:lang w:val="en-US" w:eastAsia="zh-CN"/>
        </w:rPr>
        <w:t>装卸及轨道运输产生</w:t>
      </w:r>
      <w:r>
        <w:rPr>
          <w:rFonts w:hint="default" w:ascii="Times New Roman" w:hAnsi="Times New Roman" w:eastAsia="宋体" w:cs="Times New Roman"/>
          <w:color w:val="auto"/>
          <w:sz w:val="24"/>
          <w:szCs w:val="24"/>
        </w:rPr>
        <w:t>噪声，其</w:t>
      </w:r>
      <w:r>
        <w:rPr>
          <w:rFonts w:hint="default" w:ascii="Times New Roman" w:hAnsi="Times New Roman" w:eastAsia="宋体" w:cs="Times New Roman"/>
          <w:color w:val="auto"/>
          <w:sz w:val="24"/>
          <w:szCs w:val="24"/>
          <w:lang w:val="en-US" w:eastAsia="zh-CN"/>
        </w:rPr>
        <w:t>中装卸</w:t>
      </w:r>
      <w:r>
        <w:rPr>
          <w:rFonts w:hint="default" w:ascii="Times New Roman" w:hAnsi="Times New Roman" w:eastAsia="宋体" w:cs="Times New Roman"/>
          <w:color w:val="auto"/>
          <w:sz w:val="24"/>
          <w:szCs w:val="24"/>
        </w:rPr>
        <w:t>噪声源类型为固定噪声源</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lang w:val="en-US" w:eastAsia="zh-CN"/>
        </w:rPr>
        <w:t>轨道运输噪声</w:t>
      </w:r>
      <w:r>
        <w:rPr>
          <w:rFonts w:hint="default" w:ascii="Times New Roman" w:hAnsi="Times New Roman" w:eastAsia="宋体" w:cs="Times New Roman"/>
          <w:color w:val="auto"/>
          <w:sz w:val="24"/>
          <w:szCs w:val="24"/>
        </w:rPr>
        <w:t>为</w:t>
      </w:r>
      <w:r>
        <w:rPr>
          <w:rFonts w:hint="default" w:ascii="Times New Roman" w:hAnsi="Times New Roman" w:eastAsia="宋体" w:cs="Times New Roman"/>
          <w:color w:val="auto"/>
          <w:sz w:val="24"/>
          <w:szCs w:val="24"/>
          <w:lang w:val="en-US" w:eastAsia="zh-CN"/>
        </w:rPr>
        <w:t>移动</w:t>
      </w:r>
      <w:r>
        <w:rPr>
          <w:rFonts w:hint="default" w:ascii="Times New Roman" w:hAnsi="Times New Roman" w:eastAsia="宋体" w:cs="Times New Roman"/>
          <w:color w:val="auto"/>
          <w:sz w:val="24"/>
          <w:szCs w:val="24"/>
        </w:rPr>
        <w:t>噪声源</w:t>
      </w:r>
      <w:r>
        <w:rPr>
          <w:rFonts w:hint="default" w:ascii="Times New Roman" w:hAnsi="Times New Roman" w:eastAsia="宋体" w:cs="Times New Roman"/>
          <w:color w:val="auto"/>
          <w:sz w:val="24"/>
        </w:rPr>
        <w:t>，</w:t>
      </w:r>
      <w:r>
        <w:rPr>
          <w:rFonts w:hint="default" w:ascii="Times New Roman" w:hAnsi="Times New Roman" w:eastAsia="宋体" w:cs="Times New Roman"/>
          <w:bCs/>
          <w:color w:val="auto"/>
          <w:sz w:val="24"/>
          <w:szCs w:val="24"/>
          <w:highlight w:val="none"/>
        </w:rPr>
        <w:t>项目主要设备噪声强度见表</w:t>
      </w:r>
      <w:r>
        <w:rPr>
          <w:rFonts w:hint="default" w:ascii="Times New Roman" w:hAnsi="Times New Roman" w:eastAsia="宋体" w:cs="Times New Roman"/>
          <w:bCs/>
          <w:color w:val="auto"/>
          <w:kern w:val="1"/>
          <w:sz w:val="24"/>
          <w:lang w:val="en-US" w:eastAsia="zh-CN"/>
        </w:rPr>
        <w:t>4.4</w:t>
      </w:r>
      <w:r>
        <w:rPr>
          <w:rFonts w:hint="default" w:ascii="Times New Roman" w:hAnsi="Times New Roman" w:eastAsia="宋体" w:cs="Times New Roman"/>
          <w:bCs/>
          <w:color w:val="auto"/>
          <w:kern w:val="1"/>
          <w:sz w:val="24"/>
        </w:rPr>
        <w:t>-</w:t>
      </w:r>
      <w:r>
        <w:rPr>
          <w:rFonts w:hint="default" w:ascii="Times New Roman" w:hAnsi="Times New Roman" w:cs="Times New Roman"/>
          <w:bCs/>
          <w:color w:val="auto"/>
          <w:kern w:val="1"/>
          <w:sz w:val="24"/>
          <w:lang w:val="en-US" w:eastAsia="zh-CN"/>
        </w:rPr>
        <w:t>1</w:t>
      </w:r>
      <w:r>
        <w:rPr>
          <w:rFonts w:hint="default" w:ascii="Times New Roman" w:hAnsi="Times New Roman" w:eastAsia="宋体" w:cs="Times New Roman"/>
          <w:bCs/>
          <w:color w:val="auto"/>
          <w:kern w:val="1"/>
          <w:sz w:val="24"/>
          <w:lang w:val="en-US" w:eastAsia="zh-CN"/>
        </w:rPr>
        <w:t>、4.4-</w:t>
      </w:r>
      <w:r>
        <w:rPr>
          <w:rFonts w:hint="default" w:ascii="Times New Roman" w:hAnsi="Times New Roman" w:cs="Times New Roman"/>
          <w:bCs/>
          <w:color w:val="auto"/>
          <w:kern w:val="1"/>
          <w:sz w:val="24"/>
          <w:lang w:val="en-US" w:eastAsia="zh-CN"/>
        </w:rPr>
        <w:t>2</w:t>
      </w:r>
      <w:r>
        <w:rPr>
          <w:rFonts w:hint="default" w:ascii="Times New Roman" w:hAnsi="Times New Roman" w:eastAsia="宋体" w:cs="Times New Roman"/>
          <w:bCs/>
          <w:color w:val="auto"/>
          <w:kern w:val="1"/>
          <w:sz w:val="24"/>
          <w:lang w:val="en-US" w:eastAsia="zh-CN"/>
        </w:rPr>
        <w:t>，</w:t>
      </w:r>
      <w:r>
        <w:rPr>
          <w:rFonts w:hint="eastAsia" w:ascii="Times New Roman" w:hAnsi="Times New Roman" w:cs="Times New Roman"/>
          <w:bCs/>
          <w:color w:val="auto"/>
          <w:kern w:val="1"/>
          <w:sz w:val="24"/>
          <w:lang w:val="en-US" w:eastAsia="zh-CN"/>
        </w:rPr>
        <w:t>列车</w:t>
      </w:r>
      <w:r>
        <w:rPr>
          <w:rFonts w:hint="default" w:ascii="Times New Roman" w:hAnsi="Times New Roman" w:cs="Times New Roman"/>
          <w:bCs/>
          <w:color w:val="auto"/>
          <w:kern w:val="1"/>
          <w:sz w:val="24"/>
          <w:lang w:val="en-US" w:eastAsia="zh-CN"/>
        </w:rPr>
        <w:t>进轨道进行装卸集装箱速度较慢</w:t>
      </w:r>
      <w:r>
        <w:rPr>
          <w:rFonts w:hint="eastAsia" w:ascii="Times New Roman" w:hAnsi="Times New Roman" w:cs="Times New Roman"/>
          <w:bCs/>
          <w:color w:val="auto"/>
          <w:kern w:val="1"/>
          <w:sz w:val="24"/>
          <w:lang w:val="en-US" w:eastAsia="zh-CN"/>
        </w:rPr>
        <w:t>，不超过25</w:t>
      </w:r>
      <w:r>
        <w:rPr>
          <w:rFonts w:hint="default" w:ascii="Times New Roman" w:hAnsi="Times New Roman" w:eastAsia="宋体" w:cs="Times New Roman"/>
          <w:bCs/>
          <w:color w:val="auto"/>
          <w:kern w:val="1"/>
          <w:sz w:val="24"/>
          <w:lang w:val="en-US" w:eastAsia="zh-CN"/>
        </w:rPr>
        <w:t>km/h</w:t>
      </w:r>
      <w:r>
        <w:rPr>
          <w:rFonts w:hint="default" w:ascii="Times New Roman" w:hAnsi="Times New Roman" w:cs="Times New Roman"/>
          <w:bCs/>
          <w:color w:val="auto"/>
          <w:kern w:val="1"/>
          <w:sz w:val="24"/>
          <w:lang w:val="en-US" w:eastAsia="zh-CN"/>
        </w:rPr>
        <w:t>，</w:t>
      </w:r>
      <w:r>
        <w:rPr>
          <w:rFonts w:hint="eastAsia" w:ascii="Times New Roman" w:hAnsi="Times New Roman" w:eastAsia="宋体" w:cs="Times New Roman"/>
          <w:bCs/>
          <w:color w:val="auto"/>
          <w:kern w:val="1"/>
          <w:sz w:val="24"/>
          <w:lang w:val="en-US" w:eastAsia="zh-CN"/>
        </w:rPr>
        <w:t>25</w:t>
      </w:r>
      <w:r>
        <w:rPr>
          <w:rFonts w:hint="default" w:ascii="Times New Roman" w:hAnsi="Times New Roman" w:eastAsia="宋体" w:cs="Times New Roman"/>
          <w:bCs/>
          <w:color w:val="auto"/>
          <w:kern w:val="1"/>
          <w:sz w:val="24"/>
          <w:lang w:val="en-US" w:eastAsia="zh-CN"/>
        </w:rPr>
        <w:t>km/h速度下</w:t>
      </w:r>
      <w:r>
        <w:rPr>
          <w:rFonts w:hint="eastAsia" w:ascii="Times New Roman" w:hAnsi="Times New Roman" w:eastAsia="宋体" w:cs="Times New Roman"/>
          <w:bCs/>
          <w:color w:val="auto"/>
          <w:kern w:val="1"/>
          <w:sz w:val="24"/>
          <w:lang w:val="en-US" w:eastAsia="zh-CN"/>
        </w:rPr>
        <w:t>列车</w:t>
      </w:r>
      <w:r>
        <w:rPr>
          <w:rFonts w:hint="default" w:ascii="Times New Roman" w:hAnsi="Times New Roman" w:eastAsia="宋体" w:cs="Times New Roman"/>
          <w:bCs/>
          <w:color w:val="auto"/>
          <w:kern w:val="1"/>
          <w:sz w:val="24"/>
          <w:lang w:val="en-US" w:eastAsia="zh-CN"/>
        </w:rPr>
        <w:t>噪声值</w:t>
      </w:r>
      <w:r>
        <w:rPr>
          <w:rFonts w:hint="eastAsia" w:ascii="Times New Roman" w:hAnsi="Times New Roman" w:eastAsia="宋体" w:cs="Times New Roman"/>
          <w:bCs/>
          <w:color w:val="auto"/>
          <w:kern w:val="1"/>
          <w:sz w:val="24"/>
          <w:lang w:val="en-US" w:eastAsia="zh-CN"/>
        </w:rPr>
        <w:t>取值75.0</w:t>
      </w:r>
      <w:r>
        <w:rPr>
          <w:rFonts w:hint="default" w:ascii="Times New Roman" w:hAnsi="Times New Roman" w:eastAsia="宋体" w:cs="Times New Roman"/>
          <w:bCs/>
          <w:color w:val="auto"/>
          <w:kern w:val="1"/>
          <w:sz w:val="24"/>
          <w:lang w:val="en-US" w:eastAsia="zh-CN"/>
        </w:rPr>
        <w:t>分贝。</w:t>
      </w:r>
    </w:p>
    <w:p w14:paraId="592426D8">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工业企业噪声源强调查清单一览表（室外声源）</w:t>
      </w:r>
    </w:p>
    <w:tbl>
      <w:tblPr>
        <w:tblStyle w:val="22"/>
        <w:tblW w:w="82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440"/>
        <w:gridCol w:w="928"/>
        <w:gridCol w:w="696"/>
        <w:gridCol w:w="822"/>
        <w:gridCol w:w="723"/>
        <w:gridCol w:w="935"/>
        <w:gridCol w:w="1846"/>
        <w:gridCol w:w="993"/>
        <w:gridCol w:w="855"/>
      </w:tblGrid>
      <w:tr w14:paraId="31A0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9" w:hRule="atLeast"/>
          <w:jc w:val="center"/>
        </w:trPr>
        <w:tc>
          <w:tcPr>
            <w:tcW w:w="440" w:type="dxa"/>
            <w:vMerge w:val="restart"/>
            <w:noWrap w:val="0"/>
            <w:vAlign w:val="center"/>
          </w:tcPr>
          <w:p w14:paraId="7A63B531">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序号</w:t>
            </w:r>
          </w:p>
        </w:tc>
        <w:tc>
          <w:tcPr>
            <w:tcW w:w="928" w:type="dxa"/>
            <w:vMerge w:val="restart"/>
            <w:noWrap w:val="0"/>
            <w:vAlign w:val="center"/>
          </w:tcPr>
          <w:p w14:paraId="02E63E2F">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声源</w:t>
            </w:r>
          </w:p>
          <w:p w14:paraId="61F1BB2D">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名称</w:t>
            </w:r>
          </w:p>
        </w:tc>
        <w:tc>
          <w:tcPr>
            <w:tcW w:w="696" w:type="dxa"/>
            <w:vMerge w:val="restart"/>
            <w:noWrap w:val="0"/>
            <w:vAlign w:val="center"/>
          </w:tcPr>
          <w:p w14:paraId="732D314B">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型号</w:t>
            </w:r>
          </w:p>
        </w:tc>
        <w:tc>
          <w:tcPr>
            <w:tcW w:w="2480" w:type="dxa"/>
            <w:gridSpan w:val="3"/>
            <w:noWrap w:val="0"/>
            <w:vAlign w:val="center"/>
          </w:tcPr>
          <w:p w14:paraId="1F2EE683">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空间相对位置/m</w:t>
            </w:r>
          </w:p>
        </w:tc>
        <w:tc>
          <w:tcPr>
            <w:tcW w:w="1846" w:type="dxa"/>
            <w:noWrap w:val="0"/>
            <w:vAlign w:val="center"/>
          </w:tcPr>
          <w:p w14:paraId="36346351">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声源源强</w:t>
            </w:r>
          </w:p>
        </w:tc>
        <w:tc>
          <w:tcPr>
            <w:tcW w:w="993" w:type="dxa"/>
            <w:vMerge w:val="restart"/>
            <w:noWrap w:val="0"/>
            <w:vAlign w:val="center"/>
          </w:tcPr>
          <w:p w14:paraId="55C8DA8B">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声源控制措施</w:t>
            </w:r>
          </w:p>
        </w:tc>
        <w:tc>
          <w:tcPr>
            <w:tcW w:w="855" w:type="dxa"/>
            <w:vMerge w:val="restart"/>
            <w:noWrap w:val="0"/>
            <w:vAlign w:val="center"/>
          </w:tcPr>
          <w:p w14:paraId="1B371514">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运行时段</w:t>
            </w:r>
          </w:p>
        </w:tc>
      </w:tr>
      <w:tr w14:paraId="5F7A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9" w:hRule="atLeast"/>
          <w:jc w:val="center"/>
        </w:trPr>
        <w:tc>
          <w:tcPr>
            <w:tcW w:w="440" w:type="dxa"/>
            <w:vMerge w:val="continue"/>
            <w:noWrap w:val="0"/>
            <w:vAlign w:val="center"/>
          </w:tcPr>
          <w:p w14:paraId="320C2A9E">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928" w:type="dxa"/>
            <w:vMerge w:val="continue"/>
            <w:noWrap w:val="0"/>
            <w:vAlign w:val="center"/>
          </w:tcPr>
          <w:p w14:paraId="6084CACC">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696" w:type="dxa"/>
            <w:vMerge w:val="continue"/>
            <w:noWrap w:val="0"/>
            <w:vAlign w:val="center"/>
          </w:tcPr>
          <w:p w14:paraId="5B47173A">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822" w:type="dxa"/>
            <w:noWrap w:val="0"/>
            <w:vAlign w:val="center"/>
          </w:tcPr>
          <w:p w14:paraId="0983E27F">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X</w:t>
            </w:r>
          </w:p>
        </w:tc>
        <w:tc>
          <w:tcPr>
            <w:tcW w:w="723" w:type="dxa"/>
            <w:noWrap w:val="0"/>
            <w:vAlign w:val="center"/>
          </w:tcPr>
          <w:p w14:paraId="21475C28">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Y</w:t>
            </w:r>
          </w:p>
        </w:tc>
        <w:tc>
          <w:tcPr>
            <w:tcW w:w="935" w:type="dxa"/>
            <w:noWrap w:val="0"/>
            <w:vAlign w:val="center"/>
          </w:tcPr>
          <w:p w14:paraId="5451C209">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Z</w:t>
            </w:r>
          </w:p>
        </w:tc>
        <w:tc>
          <w:tcPr>
            <w:tcW w:w="1846" w:type="dxa"/>
            <w:noWrap w:val="0"/>
            <w:vAlign w:val="center"/>
          </w:tcPr>
          <w:p w14:paraId="280BBD62">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声功率级/dB（A）</w:t>
            </w:r>
          </w:p>
        </w:tc>
        <w:tc>
          <w:tcPr>
            <w:tcW w:w="993" w:type="dxa"/>
            <w:vMerge w:val="continue"/>
            <w:noWrap w:val="0"/>
            <w:vAlign w:val="center"/>
          </w:tcPr>
          <w:p w14:paraId="5EA55086">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c>
          <w:tcPr>
            <w:tcW w:w="855" w:type="dxa"/>
            <w:vMerge w:val="continue"/>
            <w:noWrap w:val="0"/>
            <w:vAlign w:val="center"/>
          </w:tcPr>
          <w:p w14:paraId="4B448FF1">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p>
        </w:tc>
      </w:tr>
      <w:tr w14:paraId="0A0C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405" w:hRule="atLeast"/>
          <w:jc w:val="center"/>
        </w:trPr>
        <w:tc>
          <w:tcPr>
            <w:tcW w:w="440" w:type="dxa"/>
            <w:noWrap w:val="0"/>
            <w:vAlign w:val="center"/>
          </w:tcPr>
          <w:p w14:paraId="4CF05B52">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1</w:t>
            </w:r>
          </w:p>
        </w:tc>
        <w:tc>
          <w:tcPr>
            <w:tcW w:w="928" w:type="dxa"/>
            <w:noWrap w:val="0"/>
            <w:vAlign w:val="center"/>
          </w:tcPr>
          <w:p w14:paraId="639307AC">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电动正面吊1</w:t>
            </w:r>
          </w:p>
        </w:tc>
        <w:tc>
          <w:tcPr>
            <w:tcW w:w="696" w:type="dxa"/>
            <w:noWrap w:val="0"/>
            <w:vAlign w:val="center"/>
          </w:tcPr>
          <w:p w14:paraId="1463976D">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w:t>
            </w:r>
          </w:p>
        </w:tc>
        <w:tc>
          <w:tcPr>
            <w:tcW w:w="822" w:type="dxa"/>
            <w:noWrap w:val="0"/>
            <w:vAlign w:val="center"/>
          </w:tcPr>
          <w:p w14:paraId="4F37F47A">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111.88</w:t>
            </w:r>
          </w:p>
        </w:tc>
        <w:tc>
          <w:tcPr>
            <w:tcW w:w="723" w:type="dxa"/>
            <w:noWrap w:val="0"/>
            <w:vAlign w:val="center"/>
          </w:tcPr>
          <w:p w14:paraId="215E557F">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142.29</w:t>
            </w:r>
          </w:p>
        </w:tc>
        <w:tc>
          <w:tcPr>
            <w:tcW w:w="935" w:type="dxa"/>
            <w:noWrap w:val="0"/>
            <w:vAlign w:val="center"/>
          </w:tcPr>
          <w:p w14:paraId="6ED7C478">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4.6</w:t>
            </w:r>
          </w:p>
        </w:tc>
        <w:tc>
          <w:tcPr>
            <w:tcW w:w="1846" w:type="dxa"/>
            <w:noWrap w:val="0"/>
            <w:vAlign w:val="center"/>
          </w:tcPr>
          <w:p w14:paraId="08D0A0AD">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75</w:t>
            </w:r>
          </w:p>
        </w:tc>
        <w:tc>
          <w:tcPr>
            <w:tcW w:w="993" w:type="dxa"/>
            <w:vMerge w:val="restart"/>
            <w:noWrap w:val="0"/>
            <w:vAlign w:val="center"/>
          </w:tcPr>
          <w:p w14:paraId="4610E8DA">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绿化带、建筑物隔声</w:t>
            </w:r>
          </w:p>
        </w:tc>
        <w:tc>
          <w:tcPr>
            <w:tcW w:w="855" w:type="dxa"/>
            <w:vMerge w:val="restart"/>
            <w:noWrap w:val="0"/>
            <w:vAlign w:val="center"/>
          </w:tcPr>
          <w:p w14:paraId="5978C200">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白昼</w:t>
            </w:r>
          </w:p>
        </w:tc>
      </w:tr>
      <w:tr w14:paraId="0228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9" w:hRule="atLeast"/>
          <w:jc w:val="center"/>
        </w:trPr>
        <w:tc>
          <w:tcPr>
            <w:tcW w:w="440" w:type="dxa"/>
            <w:noWrap w:val="0"/>
            <w:vAlign w:val="center"/>
          </w:tcPr>
          <w:p w14:paraId="34F7A982">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2</w:t>
            </w:r>
          </w:p>
        </w:tc>
        <w:tc>
          <w:tcPr>
            <w:tcW w:w="928" w:type="dxa"/>
            <w:noWrap w:val="0"/>
            <w:vAlign w:val="center"/>
          </w:tcPr>
          <w:p w14:paraId="71C14FDA">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电动正面吊2</w:t>
            </w:r>
          </w:p>
        </w:tc>
        <w:tc>
          <w:tcPr>
            <w:tcW w:w="696" w:type="dxa"/>
            <w:noWrap w:val="0"/>
            <w:vAlign w:val="center"/>
          </w:tcPr>
          <w:p w14:paraId="29876814">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w:t>
            </w:r>
          </w:p>
        </w:tc>
        <w:tc>
          <w:tcPr>
            <w:tcW w:w="822" w:type="dxa"/>
            <w:noWrap w:val="0"/>
            <w:vAlign w:val="center"/>
          </w:tcPr>
          <w:p w14:paraId="636315DD">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81.68</w:t>
            </w:r>
          </w:p>
        </w:tc>
        <w:tc>
          <w:tcPr>
            <w:tcW w:w="723" w:type="dxa"/>
            <w:noWrap w:val="0"/>
            <w:vAlign w:val="center"/>
          </w:tcPr>
          <w:p w14:paraId="6EB261A1">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153.60</w:t>
            </w:r>
          </w:p>
        </w:tc>
        <w:tc>
          <w:tcPr>
            <w:tcW w:w="935" w:type="dxa"/>
            <w:noWrap w:val="0"/>
            <w:vAlign w:val="center"/>
          </w:tcPr>
          <w:p w14:paraId="34603E4C">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4.6</w:t>
            </w:r>
          </w:p>
        </w:tc>
        <w:tc>
          <w:tcPr>
            <w:tcW w:w="1846" w:type="dxa"/>
            <w:noWrap w:val="0"/>
            <w:vAlign w:val="center"/>
          </w:tcPr>
          <w:p w14:paraId="1B9E0E08">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75</w:t>
            </w:r>
          </w:p>
        </w:tc>
        <w:tc>
          <w:tcPr>
            <w:tcW w:w="993" w:type="dxa"/>
            <w:vMerge w:val="continue"/>
            <w:noWrap w:val="0"/>
            <w:vAlign w:val="center"/>
          </w:tcPr>
          <w:p w14:paraId="0D18F275">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c>
          <w:tcPr>
            <w:tcW w:w="855" w:type="dxa"/>
            <w:vMerge w:val="continue"/>
            <w:noWrap w:val="0"/>
            <w:vAlign w:val="center"/>
          </w:tcPr>
          <w:p w14:paraId="7E32EEA4">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r>
      <w:tr w14:paraId="43BE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49" w:hRule="atLeast"/>
          <w:jc w:val="center"/>
        </w:trPr>
        <w:tc>
          <w:tcPr>
            <w:tcW w:w="440" w:type="dxa"/>
            <w:noWrap w:val="0"/>
            <w:vAlign w:val="center"/>
          </w:tcPr>
          <w:p w14:paraId="4C3ED21F">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3</w:t>
            </w:r>
          </w:p>
        </w:tc>
        <w:tc>
          <w:tcPr>
            <w:tcW w:w="928" w:type="dxa"/>
            <w:noWrap w:val="0"/>
            <w:vAlign w:val="center"/>
          </w:tcPr>
          <w:p w14:paraId="04984F86">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 w:val="0"/>
                <w:bCs/>
                <w:color w:val="auto"/>
                <w:kern w:val="0"/>
                <w:sz w:val="21"/>
                <w:szCs w:val="21"/>
                <w:lang w:val="en-US" w:eastAsia="zh-CN" w:bidi="ar-SA"/>
              </w:rPr>
              <w:t>电动叉车</w:t>
            </w:r>
          </w:p>
        </w:tc>
        <w:tc>
          <w:tcPr>
            <w:tcW w:w="696" w:type="dxa"/>
            <w:noWrap w:val="0"/>
            <w:vAlign w:val="center"/>
          </w:tcPr>
          <w:p w14:paraId="5851008D">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w:t>
            </w:r>
          </w:p>
        </w:tc>
        <w:tc>
          <w:tcPr>
            <w:tcW w:w="822" w:type="dxa"/>
            <w:noWrap w:val="0"/>
            <w:vAlign w:val="center"/>
          </w:tcPr>
          <w:p w14:paraId="0268EBA7">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90.5</w:t>
            </w:r>
          </w:p>
        </w:tc>
        <w:tc>
          <w:tcPr>
            <w:tcW w:w="723" w:type="dxa"/>
            <w:noWrap w:val="0"/>
            <w:vAlign w:val="center"/>
          </w:tcPr>
          <w:p w14:paraId="7377BDFF">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154.07</w:t>
            </w:r>
          </w:p>
        </w:tc>
        <w:tc>
          <w:tcPr>
            <w:tcW w:w="935" w:type="dxa"/>
            <w:noWrap w:val="0"/>
            <w:vAlign w:val="center"/>
          </w:tcPr>
          <w:p w14:paraId="5FB56DF5">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2.0</w:t>
            </w:r>
          </w:p>
        </w:tc>
        <w:tc>
          <w:tcPr>
            <w:tcW w:w="1846" w:type="dxa"/>
            <w:noWrap w:val="0"/>
            <w:vAlign w:val="center"/>
          </w:tcPr>
          <w:p w14:paraId="60A59F50">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65</w:t>
            </w:r>
          </w:p>
        </w:tc>
        <w:tc>
          <w:tcPr>
            <w:tcW w:w="993" w:type="dxa"/>
            <w:vMerge w:val="continue"/>
            <w:noWrap w:val="0"/>
            <w:vAlign w:val="center"/>
          </w:tcPr>
          <w:p w14:paraId="11CA2F42">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c>
          <w:tcPr>
            <w:tcW w:w="855" w:type="dxa"/>
            <w:vMerge w:val="continue"/>
            <w:noWrap w:val="0"/>
            <w:vAlign w:val="center"/>
          </w:tcPr>
          <w:p w14:paraId="2AF319E0">
            <w:pPr>
              <w:widowControl/>
              <w:spacing w:line="240" w:lineRule="atLeast"/>
              <w:ind w:firstLine="0" w:firstLineChars="0"/>
              <w:jc w:val="center"/>
              <w:rPr>
                <w:rFonts w:hint="default" w:ascii="Times New Roman" w:hAnsi="Times New Roman" w:eastAsia="宋体" w:cs="Times New Roman"/>
                <w:bCs/>
                <w:color w:val="auto"/>
                <w:kern w:val="2"/>
                <w:sz w:val="21"/>
                <w:szCs w:val="21"/>
                <w:lang w:val="en-US" w:eastAsia="zh-CN" w:bidi="ar-SA"/>
              </w:rPr>
            </w:pPr>
          </w:p>
        </w:tc>
      </w:tr>
    </w:tbl>
    <w:p w14:paraId="1B5C635E">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铁路/城市轨道交通噪声源强调查清单</w:t>
      </w:r>
    </w:p>
    <w:tbl>
      <w:tblPr>
        <w:tblStyle w:val="22"/>
        <w:tblW w:w="8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
        <w:gridCol w:w="886"/>
        <w:gridCol w:w="1754"/>
        <w:gridCol w:w="1128"/>
        <w:gridCol w:w="1029"/>
        <w:gridCol w:w="1891"/>
        <w:gridCol w:w="1002"/>
      </w:tblGrid>
      <w:tr w14:paraId="0437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966" w:type="dxa"/>
            <w:noWrap w:val="0"/>
            <w:vAlign w:val="center"/>
          </w:tcPr>
          <w:p w14:paraId="43EB7708">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车型</w:t>
            </w:r>
          </w:p>
        </w:tc>
        <w:tc>
          <w:tcPr>
            <w:tcW w:w="886" w:type="dxa"/>
            <w:noWrap w:val="0"/>
            <w:vAlign w:val="center"/>
          </w:tcPr>
          <w:p w14:paraId="499954A1">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本段车速</w:t>
            </w:r>
          </w:p>
        </w:tc>
        <w:tc>
          <w:tcPr>
            <w:tcW w:w="1754" w:type="dxa"/>
            <w:noWrap w:val="0"/>
            <w:vAlign w:val="center"/>
          </w:tcPr>
          <w:p w14:paraId="6FBE40EF">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铁路形式</w:t>
            </w:r>
          </w:p>
          <w:p w14:paraId="1DA47396">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（桥梁/路堤/路堑）</w:t>
            </w:r>
          </w:p>
        </w:tc>
        <w:tc>
          <w:tcPr>
            <w:tcW w:w="1128" w:type="dxa"/>
            <w:noWrap w:val="0"/>
            <w:vAlign w:val="center"/>
          </w:tcPr>
          <w:p w14:paraId="749525C6">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无砟/有砟轨道</w:t>
            </w:r>
          </w:p>
        </w:tc>
        <w:tc>
          <w:tcPr>
            <w:tcW w:w="1029" w:type="dxa"/>
            <w:noWrap w:val="0"/>
            <w:vAlign w:val="center"/>
          </w:tcPr>
          <w:p w14:paraId="66C83FB6">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有縫/无縫</w:t>
            </w:r>
          </w:p>
        </w:tc>
        <w:tc>
          <w:tcPr>
            <w:tcW w:w="1891" w:type="dxa"/>
            <w:noWrap w:val="0"/>
            <w:vAlign w:val="center"/>
          </w:tcPr>
          <w:p w14:paraId="483E356C">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防撞墙/挡板结构高出轨面高度</w:t>
            </w:r>
          </w:p>
        </w:tc>
        <w:tc>
          <w:tcPr>
            <w:tcW w:w="1002" w:type="dxa"/>
            <w:noWrap w:val="0"/>
            <w:vAlign w:val="center"/>
          </w:tcPr>
          <w:p w14:paraId="55A9B405">
            <w:pPr>
              <w:widowControl/>
              <w:spacing w:line="240" w:lineRule="atLeast"/>
              <w:ind w:firstLine="0" w:firstLineChars="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kern w:val="2"/>
                <w:sz w:val="21"/>
                <w:szCs w:val="21"/>
                <w:lang w:val="en-US" w:eastAsia="zh-CN" w:bidi="ar-SA"/>
              </w:rPr>
              <w:t>噪声源强值</w:t>
            </w:r>
          </w:p>
        </w:tc>
      </w:tr>
      <w:tr w14:paraId="469B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966" w:type="dxa"/>
            <w:noWrap w:val="0"/>
            <w:vAlign w:val="center"/>
          </w:tcPr>
          <w:p w14:paraId="3497B8A8">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DF</w:t>
            </w:r>
            <w:r>
              <w:rPr>
                <w:rFonts w:hint="default" w:ascii="Times New Roman" w:hAnsi="Times New Roman" w:eastAsia="宋体" w:cs="Times New Roman"/>
                <w:bCs/>
                <w:color w:val="auto"/>
                <w:kern w:val="2"/>
                <w:sz w:val="21"/>
                <w:szCs w:val="21"/>
                <w:vertAlign w:val="subscript"/>
                <w:lang w:val="en-US" w:eastAsia="zh-CN" w:bidi="ar-SA"/>
              </w:rPr>
              <w:t>5D</w:t>
            </w:r>
          </w:p>
        </w:tc>
        <w:tc>
          <w:tcPr>
            <w:tcW w:w="886" w:type="dxa"/>
            <w:noWrap w:val="0"/>
            <w:vAlign w:val="center"/>
          </w:tcPr>
          <w:p w14:paraId="2AE64087">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25</w:t>
            </w:r>
            <w:r>
              <w:rPr>
                <w:rFonts w:hint="default" w:ascii="Times New Roman" w:hAnsi="Times New Roman" w:eastAsia="宋体" w:cs="Times New Roman"/>
                <w:b w:val="0"/>
                <w:bCs/>
                <w:color w:val="auto"/>
                <w:kern w:val="2"/>
                <w:sz w:val="21"/>
                <w:szCs w:val="21"/>
                <w:lang w:val="en-US" w:eastAsia="zh-CN" w:bidi="ar-SA"/>
              </w:rPr>
              <w:t>km/h</w:t>
            </w:r>
          </w:p>
        </w:tc>
        <w:tc>
          <w:tcPr>
            <w:tcW w:w="1754" w:type="dxa"/>
            <w:noWrap w:val="0"/>
            <w:vAlign w:val="center"/>
          </w:tcPr>
          <w:p w14:paraId="308EDC78">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lang w:val="en-US" w:eastAsia="zh-CN"/>
              </w:rPr>
              <w:t>路堤</w:t>
            </w:r>
          </w:p>
        </w:tc>
        <w:tc>
          <w:tcPr>
            <w:tcW w:w="1128" w:type="dxa"/>
            <w:noWrap w:val="0"/>
            <w:vAlign w:val="center"/>
          </w:tcPr>
          <w:p w14:paraId="6E8459E8">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kern w:val="2"/>
                <w:sz w:val="21"/>
                <w:szCs w:val="21"/>
                <w:lang w:val="en-US" w:eastAsia="zh-CN" w:bidi="ar-SA"/>
              </w:rPr>
              <w:t>无</w:t>
            </w:r>
          </w:p>
        </w:tc>
        <w:tc>
          <w:tcPr>
            <w:tcW w:w="1029" w:type="dxa"/>
            <w:noWrap w:val="0"/>
            <w:vAlign w:val="center"/>
          </w:tcPr>
          <w:p w14:paraId="4F3785BA">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有</w:t>
            </w:r>
          </w:p>
        </w:tc>
        <w:tc>
          <w:tcPr>
            <w:tcW w:w="1891" w:type="dxa"/>
            <w:noWrap w:val="0"/>
            <w:vAlign w:val="center"/>
          </w:tcPr>
          <w:p w14:paraId="28EDC588">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kern w:val="2"/>
                <w:sz w:val="21"/>
                <w:szCs w:val="21"/>
                <w:lang w:val="en-US" w:eastAsia="zh-CN" w:bidi="ar-SA"/>
              </w:rPr>
              <w:t>0.2m</w:t>
            </w:r>
          </w:p>
        </w:tc>
        <w:tc>
          <w:tcPr>
            <w:tcW w:w="1002" w:type="dxa"/>
            <w:noWrap w:val="0"/>
            <w:vAlign w:val="center"/>
          </w:tcPr>
          <w:p w14:paraId="1178B9D6">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75.0</w:t>
            </w:r>
          </w:p>
        </w:tc>
      </w:tr>
      <w:tr w14:paraId="003F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66" w:type="dxa"/>
            <w:noWrap w:val="0"/>
            <w:vAlign w:val="center"/>
          </w:tcPr>
          <w:p w14:paraId="092210BB">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DF</w:t>
            </w:r>
            <w:r>
              <w:rPr>
                <w:rFonts w:hint="default" w:ascii="Times New Roman" w:hAnsi="Times New Roman" w:eastAsia="宋体" w:cs="Times New Roman"/>
                <w:bCs/>
                <w:color w:val="auto"/>
                <w:kern w:val="2"/>
                <w:sz w:val="21"/>
                <w:szCs w:val="21"/>
                <w:vertAlign w:val="subscript"/>
                <w:lang w:val="en-US" w:eastAsia="zh-CN" w:bidi="ar-SA"/>
              </w:rPr>
              <w:t>10D</w:t>
            </w:r>
          </w:p>
        </w:tc>
        <w:tc>
          <w:tcPr>
            <w:tcW w:w="886" w:type="dxa"/>
            <w:noWrap w:val="0"/>
            <w:vAlign w:val="center"/>
          </w:tcPr>
          <w:p w14:paraId="7051AA0C">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25</w:t>
            </w:r>
            <w:r>
              <w:rPr>
                <w:rFonts w:hint="default" w:ascii="Times New Roman" w:hAnsi="Times New Roman" w:eastAsia="宋体" w:cs="Times New Roman"/>
                <w:b w:val="0"/>
                <w:bCs/>
                <w:color w:val="auto"/>
                <w:kern w:val="2"/>
                <w:sz w:val="21"/>
                <w:szCs w:val="21"/>
                <w:lang w:val="en-US" w:eastAsia="zh-CN" w:bidi="ar-SA"/>
              </w:rPr>
              <w:t>km/h</w:t>
            </w:r>
          </w:p>
        </w:tc>
        <w:tc>
          <w:tcPr>
            <w:tcW w:w="1754" w:type="dxa"/>
            <w:noWrap w:val="0"/>
            <w:vAlign w:val="center"/>
          </w:tcPr>
          <w:p w14:paraId="691DFEC8">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lang w:val="en-US" w:eastAsia="zh-CN"/>
              </w:rPr>
              <w:t>路堤</w:t>
            </w:r>
          </w:p>
        </w:tc>
        <w:tc>
          <w:tcPr>
            <w:tcW w:w="1128" w:type="dxa"/>
            <w:noWrap w:val="0"/>
            <w:vAlign w:val="center"/>
          </w:tcPr>
          <w:p w14:paraId="71FC9264">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kern w:val="2"/>
                <w:sz w:val="21"/>
                <w:szCs w:val="21"/>
                <w:lang w:val="en-US" w:eastAsia="zh-CN" w:bidi="ar-SA"/>
              </w:rPr>
              <w:t>无</w:t>
            </w:r>
          </w:p>
        </w:tc>
        <w:tc>
          <w:tcPr>
            <w:tcW w:w="1029" w:type="dxa"/>
            <w:noWrap w:val="0"/>
            <w:vAlign w:val="center"/>
          </w:tcPr>
          <w:p w14:paraId="3463859A">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有</w:t>
            </w:r>
          </w:p>
        </w:tc>
        <w:tc>
          <w:tcPr>
            <w:tcW w:w="1891" w:type="dxa"/>
            <w:noWrap w:val="0"/>
            <w:vAlign w:val="center"/>
          </w:tcPr>
          <w:p w14:paraId="38FA655C">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kern w:val="2"/>
                <w:sz w:val="21"/>
                <w:szCs w:val="21"/>
                <w:lang w:val="en-US" w:eastAsia="zh-CN" w:bidi="ar-SA"/>
              </w:rPr>
              <w:t>0.2m</w:t>
            </w:r>
          </w:p>
        </w:tc>
        <w:tc>
          <w:tcPr>
            <w:tcW w:w="1002" w:type="dxa"/>
            <w:noWrap w:val="0"/>
            <w:vAlign w:val="center"/>
          </w:tcPr>
          <w:p w14:paraId="3EBDD5CB">
            <w:pPr>
              <w:keepNext/>
              <w:keepLines w:val="0"/>
              <w:pageBreakBefore w:val="0"/>
              <w:widowControl w:val="0"/>
              <w:tabs>
                <w:tab w:val="left" w:pos="4465"/>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75.0</w:t>
            </w:r>
          </w:p>
        </w:tc>
      </w:tr>
    </w:tbl>
    <w:p w14:paraId="4B1FCC34">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运营期交通噪声源强度表</w:t>
      </w:r>
    </w:p>
    <w:tbl>
      <w:tblPr>
        <w:tblStyle w:val="26"/>
        <w:tblW w:w="82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1092"/>
        <w:gridCol w:w="674"/>
        <w:gridCol w:w="1479"/>
        <w:gridCol w:w="2758"/>
        <w:gridCol w:w="1180"/>
      </w:tblGrid>
      <w:tr w14:paraId="2BF6C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034" w:type="dxa"/>
            <w:vAlign w:val="center"/>
          </w:tcPr>
          <w:p w14:paraId="40AFF07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噪声源</w:t>
            </w:r>
          </w:p>
        </w:tc>
        <w:tc>
          <w:tcPr>
            <w:tcW w:w="1092" w:type="dxa"/>
            <w:vAlign w:val="center"/>
          </w:tcPr>
          <w:p w14:paraId="0E3806D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类型</w:t>
            </w:r>
          </w:p>
        </w:tc>
        <w:tc>
          <w:tcPr>
            <w:tcW w:w="674" w:type="dxa"/>
            <w:vAlign w:val="center"/>
          </w:tcPr>
          <w:p w14:paraId="2D75F96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数量</w:t>
            </w:r>
          </w:p>
        </w:tc>
        <w:tc>
          <w:tcPr>
            <w:tcW w:w="1479" w:type="dxa"/>
            <w:vAlign w:val="center"/>
          </w:tcPr>
          <w:p w14:paraId="0682627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产生源强dB（A）</w:t>
            </w:r>
          </w:p>
        </w:tc>
        <w:tc>
          <w:tcPr>
            <w:tcW w:w="2758" w:type="dxa"/>
            <w:vAlign w:val="center"/>
          </w:tcPr>
          <w:p w14:paraId="0815022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降噪措施</w:t>
            </w:r>
          </w:p>
        </w:tc>
        <w:tc>
          <w:tcPr>
            <w:tcW w:w="1180" w:type="dxa"/>
            <w:vAlign w:val="center"/>
          </w:tcPr>
          <w:p w14:paraId="31300CF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排放源强dB（A）</w:t>
            </w:r>
          </w:p>
        </w:tc>
      </w:tr>
      <w:tr w14:paraId="35801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034" w:type="dxa"/>
            <w:vAlign w:val="center"/>
          </w:tcPr>
          <w:p w14:paraId="31F0D7E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运输车辆</w:t>
            </w:r>
          </w:p>
        </w:tc>
        <w:tc>
          <w:tcPr>
            <w:tcW w:w="1092" w:type="dxa"/>
            <w:vAlign w:val="center"/>
          </w:tcPr>
          <w:p w14:paraId="1E2FD9C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交通噪声</w:t>
            </w:r>
          </w:p>
        </w:tc>
        <w:tc>
          <w:tcPr>
            <w:tcW w:w="674" w:type="dxa"/>
            <w:vAlign w:val="center"/>
          </w:tcPr>
          <w:p w14:paraId="186DF2D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w:t>
            </w:r>
          </w:p>
        </w:tc>
        <w:tc>
          <w:tcPr>
            <w:tcW w:w="1479" w:type="dxa"/>
            <w:vAlign w:val="center"/>
          </w:tcPr>
          <w:p w14:paraId="5BE6FD3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75</w:t>
            </w:r>
          </w:p>
        </w:tc>
        <w:tc>
          <w:tcPr>
            <w:tcW w:w="2758" w:type="dxa"/>
            <w:vAlign w:val="center"/>
          </w:tcPr>
          <w:p w14:paraId="70ACF30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减速慢行、禁止鸣笛；绿化吸收；降噪量按10dB（A）计</w:t>
            </w:r>
          </w:p>
        </w:tc>
        <w:tc>
          <w:tcPr>
            <w:tcW w:w="1180" w:type="dxa"/>
            <w:vAlign w:val="center"/>
          </w:tcPr>
          <w:p w14:paraId="3E8E5FC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65</w:t>
            </w:r>
          </w:p>
        </w:tc>
      </w:tr>
    </w:tbl>
    <w:p w14:paraId="18206496">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4"/>
        <w:rPr>
          <w:rFonts w:hint="default" w:ascii="Times New Roman" w:hAnsi="Times New Roman" w:eastAsia="Times New Roman" w:cs="Times New Roman"/>
          <w:b/>
          <w:bCs/>
          <w:color w:val="auto"/>
          <w:spacing w:val="-2"/>
          <w:sz w:val="24"/>
          <w:szCs w:val="24"/>
        </w:rPr>
      </w:pPr>
      <w:r>
        <w:rPr>
          <w:rFonts w:hint="eastAsia" w:ascii="Times New Roman" w:hAnsi="Times New Roman" w:eastAsia="Times New Roman" w:cs="Times New Roman"/>
          <w:b/>
          <w:bCs/>
          <w:color w:val="auto"/>
          <w:spacing w:val="-2"/>
          <w:sz w:val="24"/>
          <w:szCs w:val="24"/>
          <w:lang w:val="en-US" w:eastAsia="zh-CN"/>
        </w:rPr>
        <w:t>4.4.4.2</w:t>
      </w:r>
      <w:r>
        <w:rPr>
          <w:rFonts w:hint="default" w:ascii="Times New Roman" w:hAnsi="Times New Roman" w:eastAsia="Times New Roman" w:cs="Times New Roman"/>
          <w:b/>
          <w:bCs/>
          <w:color w:val="auto"/>
          <w:spacing w:val="-2"/>
          <w:sz w:val="24"/>
          <w:szCs w:val="24"/>
        </w:rPr>
        <w:t>预测模式</w:t>
      </w:r>
    </w:p>
    <w:p w14:paraId="42DA3C07">
      <w:pPr>
        <w:spacing w:line="360" w:lineRule="auto"/>
        <w:ind w:firstLine="482" w:firstLineChars="200"/>
        <w:jc w:val="both"/>
        <w:outlineLvl w:val="9"/>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szCs w:val="24"/>
          <w:highlight w:val="none"/>
          <w:lang w:val="en-US" w:eastAsia="zh-CN"/>
        </w:rPr>
        <w:t>（一）</w:t>
      </w:r>
      <w:r>
        <w:rPr>
          <w:rFonts w:hint="default" w:ascii="Times New Roman" w:hAnsi="Times New Roman" w:eastAsia="宋体" w:cs="Times New Roman"/>
          <w:b/>
          <w:bCs/>
          <w:color w:val="auto"/>
          <w:sz w:val="24"/>
          <w:szCs w:val="24"/>
          <w:lang w:val="en-US" w:eastAsia="zh-CN"/>
        </w:rPr>
        <w:t>装卸</w:t>
      </w:r>
      <w:r>
        <w:rPr>
          <w:rFonts w:hint="default" w:ascii="Times New Roman" w:hAnsi="Times New Roman" w:eastAsia="宋体" w:cs="Times New Roman"/>
          <w:b/>
          <w:bCs/>
          <w:color w:val="auto"/>
          <w:sz w:val="24"/>
          <w:szCs w:val="24"/>
        </w:rPr>
        <w:t>噪声源类型为固定噪声源</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室外</w:t>
      </w:r>
      <w:r>
        <w:rPr>
          <w:rFonts w:hint="default" w:ascii="Times New Roman" w:hAnsi="Times New Roman" w:eastAsia="宋体" w:cs="Times New Roman"/>
          <w:b/>
          <w:bCs/>
          <w:color w:val="auto"/>
          <w:sz w:val="24"/>
          <w:szCs w:val="24"/>
          <w:lang w:eastAsia="zh-CN"/>
        </w:rPr>
        <w:t>）</w:t>
      </w:r>
    </w:p>
    <w:p w14:paraId="65452441">
      <w:pPr>
        <w:spacing w:line="360" w:lineRule="auto"/>
        <w:ind w:firstLine="480" w:firstLineChars="200"/>
        <w:jc w:val="both"/>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①</w:t>
      </w:r>
      <w:r>
        <w:rPr>
          <w:rFonts w:hint="default" w:ascii="Times New Roman" w:hAnsi="Times New Roman" w:eastAsia="宋体" w:cs="Times New Roman"/>
          <w:color w:val="auto"/>
          <w:kern w:val="0"/>
          <w:sz w:val="24"/>
          <w:szCs w:val="20"/>
          <w:lang w:val="en-US" w:eastAsia="zh-CN" w:bidi="ar-SA"/>
        </w:rPr>
        <w:t>本项目只考虑几何发散衰减，</w:t>
      </w:r>
      <w:r>
        <w:rPr>
          <w:rFonts w:hint="default" w:ascii="Times New Roman" w:hAnsi="Times New Roman" w:eastAsia="宋体" w:cs="Times New Roman"/>
          <w:color w:val="auto"/>
          <w:sz w:val="24"/>
          <w:szCs w:val="24"/>
          <w:highlight w:val="none"/>
          <w:lang w:val="en-US" w:eastAsia="zh-CN"/>
        </w:rPr>
        <w:t>参照《环境影响评价技术导则 声环境》附录A户外声传播的衰减—A.3.1.1 点声源的几何发散衰减</w:t>
      </w:r>
      <w:r>
        <w:rPr>
          <w:rFonts w:hint="default" w:ascii="Times New Roman" w:hAnsi="Times New Roman" w:eastAsia="宋体" w:cs="Times New Roman"/>
          <w:color w:val="auto"/>
          <w:sz w:val="24"/>
          <w:szCs w:val="24"/>
          <w:highlight w:val="none"/>
        </w:rPr>
        <w:t>基本公式：</w:t>
      </w:r>
    </w:p>
    <w:p w14:paraId="7ED327A0">
      <w:pPr>
        <w:spacing w:line="360" w:lineRule="auto"/>
        <w:ind w:firstLine="480" w:firstLineChars="200"/>
        <w:jc w:val="center"/>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SA"/>
        </w:rPr>
        <w:t>L</w:t>
      </w:r>
      <w:r>
        <w:rPr>
          <w:rFonts w:hint="default" w:ascii="Times New Roman" w:hAnsi="Times New Roman" w:eastAsia="宋体" w:cs="Times New Roman"/>
          <w:color w:val="auto"/>
          <w:kern w:val="0"/>
          <w:sz w:val="24"/>
          <w:szCs w:val="20"/>
          <w:vertAlign w:val="subscript"/>
          <w:lang w:val="en-US" w:eastAsia="zh-CN" w:bidi="ar-SA"/>
        </w:rPr>
        <w:t>p</w:t>
      </w:r>
      <w:r>
        <w:rPr>
          <w:rFonts w:hint="default" w:ascii="Times New Roman" w:hAnsi="Times New Roman" w:eastAsia="宋体" w:cs="Times New Roman"/>
          <w:color w:val="auto"/>
          <w:kern w:val="0"/>
          <w:sz w:val="24"/>
          <w:szCs w:val="20"/>
          <w:lang w:val="en-US" w:eastAsia="zh-CN" w:bidi="ar-SA"/>
        </w:rPr>
        <w:t>(r)=L</w:t>
      </w:r>
      <w:r>
        <w:rPr>
          <w:rFonts w:hint="default" w:ascii="Times New Roman" w:hAnsi="Times New Roman" w:eastAsia="宋体" w:cs="Times New Roman"/>
          <w:color w:val="auto"/>
          <w:kern w:val="0"/>
          <w:sz w:val="24"/>
          <w:szCs w:val="20"/>
          <w:vertAlign w:val="subscript"/>
          <w:lang w:val="en-US" w:eastAsia="zh-CN" w:bidi="ar-SA"/>
        </w:rPr>
        <w:t>p</w:t>
      </w:r>
      <w:r>
        <w:rPr>
          <w:rFonts w:hint="eastAsia" w:cs="Times New Roman"/>
          <w:color w:val="auto"/>
          <w:kern w:val="0"/>
          <w:sz w:val="24"/>
          <w:szCs w:val="20"/>
          <w:vertAlign w:val="baseline"/>
          <w:lang w:val="en-US" w:eastAsia="zh-CN" w:bidi="ar-SA"/>
        </w:rPr>
        <w:t>(</w:t>
      </w:r>
      <w:r>
        <w:rPr>
          <w:rFonts w:hint="default" w:ascii="Times New Roman" w:hAnsi="Times New Roman" w:eastAsia="宋体" w:cs="Times New Roman"/>
          <w:color w:val="auto"/>
          <w:kern w:val="0"/>
          <w:sz w:val="24"/>
          <w:szCs w:val="20"/>
          <w:lang w:val="en-US" w:eastAsia="zh-CN" w:bidi="ar-SA"/>
        </w:rPr>
        <w:t>r</w:t>
      </w:r>
      <w:r>
        <w:rPr>
          <w:rFonts w:hint="default" w:ascii="Times New Roman" w:hAnsi="Times New Roman" w:eastAsia="宋体" w:cs="Times New Roman"/>
          <w:color w:val="auto"/>
          <w:kern w:val="0"/>
          <w:sz w:val="24"/>
          <w:szCs w:val="20"/>
          <w:vertAlign w:val="subscript"/>
          <w:lang w:val="en-US" w:eastAsia="zh-CN" w:bidi="ar-SA"/>
        </w:rPr>
        <w:t>0</w:t>
      </w:r>
      <w:r>
        <w:rPr>
          <w:rFonts w:hint="eastAsia" w:cs="Times New Roman"/>
          <w:color w:val="auto"/>
          <w:kern w:val="0"/>
          <w:sz w:val="24"/>
          <w:szCs w:val="20"/>
          <w:vertAlign w:val="baseline"/>
          <w:lang w:val="en-US" w:eastAsia="zh-CN" w:bidi="ar-SA"/>
        </w:rPr>
        <w:t>)-</w:t>
      </w:r>
      <w:r>
        <w:rPr>
          <w:rFonts w:hint="default" w:ascii="Times New Roman" w:hAnsi="Times New Roman" w:eastAsia="宋体" w:cs="Times New Roman"/>
          <w:color w:val="auto"/>
          <w:kern w:val="0"/>
          <w:sz w:val="24"/>
          <w:szCs w:val="20"/>
          <w:lang w:val="en-US" w:eastAsia="zh-CN" w:bidi="ar-SA"/>
        </w:rPr>
        <w:t>20Lg</w:t>
      </w:r>
      <w:r>
        <w:rPr>
          <w:rFonts w:hint="eastAsia" w:cs="Times New Roman"/>
          <w:color w:val="auto"/>
          <w:kern w:val="0"/>
          <w:sz w:val="24"/>
          <w:szCs w:val="20"/>
          <w:lang w:val="en-US" w:eastAsia="zh-CN" w:bidi="ar-SA"/>
        </w:rPr>
        <w:t>(</w:t>
      </w:r>
      <w:r>
        <w:rPr>
          <w:rFonts w:hint="default" w:ascii="Times New Roman" w:hAnsi="Times New Roman" w:eastAsia="宋体" w:cs="Times New Roman"/>
          <w:color w:val="auto"/>
          <w:kern w:val="0"/>
          <w:sz w:val="24"/>
          <w:szCs w:val="20"/>
          <w:lang w:val="en-US" w:eastAsia="zh-CN" w:bidi="ar-SA"/>
        </w:rPr>
        <w:t>r/r</w:t>
      </w:r>
      <w:r>
        <w:rPr>
          <w:rFonts w:hint="default" w:ascii="Times New Roman" w:hAnsi="Times New Roman" w:eastAsia="宋体" w:cs="Times New Roman"/>
          <w:color w:val="auto"/>
          <w:kern w:val="0"/>
          <w:sz w:val="24"/>
          <w:szCs w:val="20"/>
          <w:vertAlign w:val="subscript"/>
          <w:lang w:val="en-US" w:eastAsia="zh-CN" w:bidi="ar-SA"/>
        </w:rPr>
        <w:t>0</w:t>
      </w:r>
      <w:r>
        <w:rPr>
          <w:rFonts w:hint="eastAsia" w:cs="Times New Roman"/>
          <w:color w:val="auto"/>
          <w:kern w:val="0"/>
          <w:sz w:val="24"/>
          <w:szCs w:val="20"/>
          <w:vertAlign w:val="baseline"/>
          <w:lang w:val="en-US" w:eastAsia="zh-CN" w:bidi="ar-SA"/>
        </w:rPr>
        <w:t>)</w:t>
      </w:r>
    </w:p>
    <w:p w14:paraId="6D2F8EFE">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480" w:firstLineChars="200"/>
        <w:jc w:val="both"/>
        <w:textAlignment w:val="baseline"/>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式中：L</w:t>
      </w:r>
      <w:r>
        <w:rPr>
          <w:rFonts w:hint="default" w:ascii="Times New Roman" w:hAnsi="Times New Roman" w:eastAsia="宋体" w:cs="Times New Roman"/>
          <w:color w:val="auto"/>
          <w:kern w:val="2"/>
          <w:sz w:val="24"/>
          <w:szCs w:val="24"/>
          <w:vertAlign w:val="subscript"/>
          <w:lang w:val="en-US" w:eastAsia="zh-CN" w:bidi="ar-SA"/>
        </w:rPr>
        <w:t>p</w:t>
      </w:r>
      <w:r>
        <w:rPr>
          <w:rFonts w:hint="default" w:ascii="Times New Roman" w:hAnsi="Times New Roman" w:eastAsia="宋体" w:cs="Times New Roman"/>
          <w:color w:val="auto"/>
          <w:kern w:val="2"/>
          <w:sz w:val="24"/>
          <w:szCs w:val="24"/>
          <w:lang w:val="en-US" w:eastAsia="zh-CN" w:bidi="ar-SA"/>
        </w:rPr>
        <w:t>(r) ——预测点处声压级，dB；</w:t>
      </w:r>
    </w:p>
    <w:p w14:paraId="24E45136">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1200" w:firstLineChars="500"/>
        <w:jc w:val="both"/>
        <w:textAlignment w:val="baseline"/>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L</w:t>
      </w:r>
      <w:r>
        <w:rPr>
          <w:rFonts w:hint="default" w:ascii="Times New Roman" w:hAnsi="Times New Roman" w:eastAsia="宋体" w:cs="Times New Roman"/>
          <w:color w:val="auto"/>
          <w:kern w:val="2"/>
          <w:sz w:val="24"/>
          <w:szCs w:val="24"/>
          <w:vertAlign w:val="subscript"/>
          <w:lang w:val="en-US" w:eastAsia="zh-CN" w:bidi="ar-SA"/>
        </w:rPr>
        <w:t>p</w:t>
      </w:r>
      <w:r>
        <w:rPr>
          <w:rFonts w:hint="default" w:ascii="Times New Roman" w:hAnsi="Times New Roman" w:eastAsia="宋体" w:cs="Times New Roman"/>
          <w:color w:val="auto"/>
          <w:kern w:val="2"/>
          <w:sz w:val="24"/>
          <w:szCs w:val="24"/>
          <w:lang w:val="en-US" w:eastAsia="zh-CN" w:bidi="ar-SA"/>
        </w:rPr>
        <w:t>(r</w:t>
      </w:r>
      <w:r>
        <w:rPr>
          <w:rFonts w:hint="default" w:ascii="Times New Roman" w:hAnsi="Times New Roman" w:eastAsia="宋体" w:cs="Times New Roman"/>
          <w:color w:val="auto"/>
          <w:kern w:val="2"/>
          <w:sz w:val="24"/>
          <w:szCs w:val="24"/>
          <w:vertAlign w:val="subscript"/>
          <w:lang w:val="en-US" w:eastAsia="zh-CN" w:bidi="ar-SA"/>
        </w:rPr>
        <w:t>0</w:t>
      </w:r>
      <w:r>
        <w:rPr>
          <w:rFonts w:hint="default" w:ascii="Times New Roman" w:hAnsi="Times New Roman" w:eastAsia="宋体" w:cs="Times New Roman"/>
          <w:color w:val="auto"/>
          <w:kern w:val="2"/>
          <w:sz w:val="24"/>
          <w:szCs w:val="24"/>
          <w:lang w:val="en-US" w:eastAsia="zh-CN" w:bidi="ar-SA"/>
        </w:rPr>
        <w:t>) ——参考位置r</w:t>
      </w:r>
      <w:r>
        <w:rPr>
          <w:rFonts w:hint="default" w:ascii="Times New Roman" w:hAnsi="Times New Roman" w:eastAsia="宋体" w:cs="Times New Roman"/>
          <w:color w:val="auto"/>
          <w:kern w:val="2"/>
          <w:sz w:val="24"/>
          <w:szCs w:val="24"/>
          <w:vertAlign w:val="subscript"/>
          <w:lang w:val="en-US" w:eastAsia="zh-CN" w:bidi="ar-SA"/>
        </w:rPr>
        <w:t>0</w:t>
      </w:r>
      <w:r>
        <w:rPr>
          <w:rFonts w:hint="default" w:ascii="Times New Roman" w:hAnsi="Times New Roman" w:eastAsia="宋体" w:cs="Times New Roman"/>
          <w:color w:val="auto"/>
          <w:kern w:val="2"/>
          <w:sz w:val="24"/>
          <w:szCs w:val="24"/>
          <w:lang w:val="en-US" w:eastAsia="zh-CN" w:bidi="ar-SA"/>
        </w:rPr>
        <w:t>处的声压级，dB；</w:t>
      </w:r>
    </w:p>
    <w:p w14:paraId="31228CC9">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1200" w:firstLineChars="500"/>
        <w:jc w:val="both"/>
        <w:textAlignment w:val="baseline"/>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r ——预测点距声源的距离；</w:t>
      </w:r>
    </w:p>
    <w:p w14:paraId="36558175">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1200" w:firstLineChars="500"/>
        <w:jc w:val="both"/>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2"/>
          <w:sz w:val="24"/>
          <w:szCs w:val="24"/>
          <w:lang w:val="en-US" w:eastAsia="zh-CN" w:bidi="ar-SA"/>
        </w:rPr>
        <w:t>r</w:t>
      </w:r>
      <w:r>
        <w:rPr>
          <w:rFonts w:hint="default" w:ascii="Times New Roman" w:hAnsi="Times New Roman" w:eastAsia="宋体" w:cs="Times New Roman"/>
          <w:color w:val="auto"/>
          <w:kern w:val="2"/>
          <w:sz w:val="24"/>
          <w:szCs w:val="24"/>
          <w:vertAlign w:val="subscript"/>
          <w:lang w:val="en-US" w:eastAsia="zh-CN" w:bidi="ar-SA"/>
        </w:rPr>
        <w:t>0</w:t>
      </w:r>
      <w:r>
        <w:rPr>
          <w:rFonts w:hint="default" w:ascii="Times New Roman" w:hAnsi="Times New Roman" w:eastAsia="宋体" w:cs="Times New Roman"/>
          <w:color w:val="auto"/>
          <w:kern w:val="2"/>
          <w:sz w:val="24"/>
          <w:szCs w:val="24"/>
          <w:lang w:val="en-US" w:eastAsia="zh-CN" w:bidi="ar-SA"/>
        </w:rPr>
        <w:t>——参考位置距声源的距离。</w:t>
      </w:r>
    </w:p>
    <w:p w14:paraId="39430740">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480" w:firstLineChars="200"/>
        <w:jc w:val="both"/>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
        </w:rPr>
        <w:t>②点</w:t>
      </w:r>
      <w:r>
        <w:rPr>
          <w:rFonts w:hint="default" w:ascii="Times New Roman" w:hAnsi="Times New Roman" w:eastAsia="宋体" w:cs="Times New Roman"/>
          <w:color w:val="auto"/>
          <w:kern w:val="0"/>
          <w:sz w:val="24"/>
          <w:szCs w:val="20"/>
          <w:lang w:val="en-US" w:eastAsia="zh-CN" w:bidi="ar-SA"/>
        </w:rPr>
        <w:t>声源的几何发散衰减公式：</w:t>
      </w:r>
    </w:p>
    <w:p w14:paraId="0D8C1C80">
      <w:pPr>
        <w:keepNext w:val="0"/>
        <w:keepLines w:val="0"/>
        <w:pageBreakBefore w:val="0"/>
        <w:widowControl w:val="0"/>
        <w:kinsoku/>
        <w:wordWrap/>
        <w:overflowPunct/>
        <w:topLinePunct w:val="0"/>
        <w:bidi w:val="0"/>
        <w:spacing w:after="0" w:line="360" w:lineRule="auto"/>
        <w:ind w:left="0" w:leftChars="0" w:right="0" w:rightChars="0" w:firstLine="480" w:firstLineChars="20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A</w:t>
      </w:r>
      <w:r>
        <w:rPr>
          <w:rFonts w:hint="default" w:ascii="Times New Roman" w:hAnsi="Times New Roman" w:eastAsia="宋体" w:cs="Times New Roman"/>
          <w:color w:val="auto"/>
          <w:kern w:val="2"/>
          <w:sz w:val="24"/>
          <w:szCs w:val="24"/>
          <w:vertAlign w:val="subscript"/>
          <w:lang w:val="en-US" w:eastAsia="zh-CN" w:bidi="ar-SA"/>
        </w:rPr>
        <w:t>div</w:t>
      </w:r>
      <w:r>
        <w:rPr>
          <w:rFonts w:hint="default" w:ascii="Times New Roman" w:hAnsi="Times New Roman" w:eastAsia="宋体" w:cs="Times New Roman"/>
          <w:color w:val="auto"/>
          <w:kern w:val="2"/>
          <w:sz w:val="24"/>
          <w:szCs w:val="24"/>
          <w:lang w:val="en-US" w:eastAsia="zh-CN" w:bidi="ar-SA"/>
        </w:rPr>
        <w:t>=20lg</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r/r</w:t>
      </w:r>
      <w:r>
        <w:rPr>
          <w:rFonts w:hint="default" w:ascii="Times New Roman" w:hAnsi="Times New Roman" w:eastAsia="宋体" w:cs="Times New Roman"/>
          <w:color w:val="auto"/>
          <w:kern w:val="2"/>
          <w:sz w:val="24"/>
          <w:szCs w:val="24"/>
          <w:vertAlign w:val="subscript"/>
          <w:lang w:val="en-US" w:eastAsia="zh-CN" w:bidi="ar-SA"/>
        </w:rPr>
        <w:t>0</w:t>
      </w:r>
      <w:r>
        <w:rPr>
          <w:rFonts w:hint="eastAsia" w:cs="Times New Roman"/>
          <w:color w:val="auto"/>
          <w:kern w:val="2"/>
          <w:sz w:val="24"/>
          <w:szCs w:val="24"/>
          <w:vertAlign w:val="subscript"/>
          <w:lang w:val="en-US" w:eastAsia="zh-CN" w:bidi="ar-SA"/>
        </w:rPr>
        <w:t>)</w:t>
      </w:r>
    </w:p>
    <w:p w14:paraId="2A0402D6">
      <w:pPr>
        <w:keepNext w:val="0"/>
        <w:keepLines w:val="0"/>
        <w:pageBreakBefore w:val="0"/>
        <w:widowControl w:val="0"/>
        <w:kinsoku/>
        <w:wordWrap/>
        <w:overflowPunct/>
        <w:topLinePunct w:val="0"/>
        <w:bidi w:val="0"/>
        <w:adjustRightInd w:val="0"/>
        <w:snapToGrid w:val="0"/>
        <w:spacing w:after="0" w:line="360" w:lineRule="auto"/>
        <w:ind w:left="0" w:leftChars="0" w:right="0" w:righ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式中：A</w:t>
      </w:r>
      <w:r>
        <w:rPr>
          <w:rFonts w:hint="default" w:ascii="Times New Roman" w:hAnsi="Times New Roman" w:eastAsia="宋体" w:cs="Times New Roman"/>
          <w:color w:val="auto"/>
          <w:kern w:val="2"/>
          <w:sz w:val="24"/>
          <w:szCs w:val="24"/>
          <w:vertAlign w:val="subscript"/>
          <w:lang w:val="en-US" w:eastAsia="zh-CN" w:bidi="ar-SA"/>
        </w:rPr>
        <w:t>div</w:t>
      </w:r>
      <w:r>
        <w:rPr>
          <w:rFonts w:hint="default" w:ascii="Times New Roman" w:hAnsi="Times New Roman" w:eastAsia="宋体" w:cs="Times New Roman"/>
          <w:color w:val="auto"/>
          <w:kern w:val="2"/>
          <w:sz w:val="24"/>
          <w:szCs w:val="24"/>
          <w:lang w:val="en-US" w:eastAsia="zh-CN" w:bidi="ar-SA"/>
        </w:rPr>
        <w:t>—几何发散引起的衰减，dB；</w:t>
      </w:r>
    </w:p>
    <w:p w14:paraId="734AA79A">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1200" w:firstLineChars="500"/>
        <w:jc w:val="both"/>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SA"/>
        </w:rPr>
        <w:t>r—预测点距声源的距离；</w:t>
      </w:r>
    </w:p>
    <w:p w14:paraId="3526A298">
      <w:pPr>
        <w:keepNext w:val="0"/>
        <w:keepLines w:val="0"/>
        <w:pageBreakBefore w:val="0"/>
        <w:widowControl w:val="0"/>
        <w:kinsoku/>
        <w:wordWrap/>
        <w:overflowPunct/>
        <w:topLinePunct w:val="0"/>
        <w:bidi w:val="0"/>
        <w:adjustRightInd w:val="0"/>
        <w:snapToGrid w:val="0"/>
        <w:spacing w:after="0" w:line="360" w:lineRule="auto"/>
        <w:ind w:left="0" w:leftChars="0" w:right="0" w:rightChars="0" w:firstLine="1200" w:firstLineChars="50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r</w:t>
      </w:r>
      <w:r>
        <w:rPr>
          <w:rFonts w:hint="default" w:ascii="Times New Roman" w:hAnsi="Times New Roman" w:eastAsia="宋体" w:cs="Times New Roman"/>
          <w:color w:val="auto"/>
          <w:kern w:val="2"/>
          <w:sz w:val="24"/>
          <w:szCs w:val="24"/>
          <w:vertAlign w:val="subscript"/>
          <w:lang w:val="en-US" w:eastAsia="zh-CN" w:bidi="ar-SA"/>
        </w:rPr>
        <w:t>0</w:t>
      </w:r>
      <w:r>
        <w:rPr>
          <w:rFonts w:hint="default" w:ascii="Times New Roman" w:hAnsi="Times New Roman" w:eastAsia="宋体" w:cs="Times New Roman"/>
          <w:color w:val="auto"/>
          <w:kern w:val="2"/>
          <w:sz w:val="24"/>
          <w:szCs w:val="24"/>
          <w:lang w:val="en-US" w:eastAsia="zh-CN" w:bidi="ar-SA"/>
        </w:rPr>
        <w:t>—参考位置距声源的距离。</w:t>
      </w:r>
    </w:p>
    <w:p w14:paraId="6ED21BC2">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480" w:firstLineChars="200"/>
        <w:jc w:val="both"/>
        <w:textAlignment w:val="baseline"/>
        <w:rPr>
          <w:rFonts w:hint="default" w:ascii="Times New Roman" w:hAnsi="Times New Roman" w:eastAsia="宋体" w:cs="Times New Roman"/>
          <w:color w:val="auto"/>
          <w:kern w:val="0"/>
          <w:sz w:val="24"/>
          <w:szCs w:val="20"/>
          <w:lang w:val="en-US" w:eastAsia="zh-CN" w:bidi="ar"/>
        </w:rPr>
      </w:pPr>
      <w:r>
        <w:rPr>
          <w:rFonts w:hint="default" w:ascii="Times New Roman" w:hAnsi="Times New Roman" w:eastAsia="宋体" w:cs="Times New Roman"/>
          <w:color w:val="auto"/>
          <w:sz w:val="24"/>
          <w:szCs w:val="24"/>
          <w:lang w:val="en-US" w:eastAsia="zh-CN"/>
        </w:rPr>
        <w:t>参照</w:t>
      </w:r>
      <w:r>
        <w:rPr>
          <w:rFonts w:hint="default" w:ascii="Times New Roman" w:hAnsi="Times New Roman" w:eastAsia="宋体" w:cs="Times New Roman"/>
          <w:color w:val="auto"/>
          <w:sz w:val="24"/>
          <w:szCs w:val="24"/>
          <w:lang w:eastAsia="zh-CN"/>
        </w:rPr>
        <w:t>《环境影响评价技术 声环境》（HJ2.4-2021）</w:t>
      </w:r>
      <w:r>
        <w:rPr>
          <w:rFonts w:hint="default" w:ascii="Times New Roman" w:hAnsi="Times New Roman" w:eastAsia="宋体" w:cs="Times New Roman"/>
          <w:color w:val="auto"/>
          <w:kern w:val="0"/>
          <w:sz w:val="24"/>
          <w:szCs w:val="20"/>
          <w:lang w:val="en-US" w:eastAsia="zh-CN" w:bidi="ar"/>
        </w:rPr>
        <w:t>附录B（规范性附录）典型行业噪声预测模型，本项目</w:t>
      </w:r>
      <w:r>
        <w:rPr>
          <w:rFonts w:hint="default" w:ascii="Times New Roman" w:hAnsi="Times New Roman" w:eastAsia="宋体" w:cs="Times New Roman"/>
          <w:color w:val="auto"/>
          <w:sz w:val="24"/>
          <w:szCs w:val="24"/>
          <w:lang w:val="en-US" w:eastAsia="zh-CN"/>
        </w:rPr>
        <w:t>噪声预测计算公式如下：</w:t>
      </w:r>
    </w:p>
    <w:p w14:paraId="441FEB62">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480" w:firstLineChars="200"/>
        <w:jc w:val="both"/>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
        </w:rPr>
        <w:t>③</w:t>
      </w:r>
      <w:r>
        <w:rPr>
          <w:rFonts w:hint="default" w:ascii="Times New Roman" w:hAnsi="Times New Roman" w:eastAsia="宋体" w:cs="Times New Roman"/>
          <w:color w:val="auto"/>
          <w:kern w:val="0"/>
          <w:sz w:val="24"/>
          <w:szCs w:val="20"/>
          <w:lang w:val="en-US" w:eastAsia="zh-CN" w:bidi="ar-SA"/>
        </w:rPr>
        <w:t>工业企业噪声计算公式：</w:t>
      </w:r>
    </w:p>
    <w:p w14:paraId="70FD6919">
      <w:pPr>
        <w:keepNext w:val="0"/>
        <w:keepLines w:val="0"/>
        <w:pageBreakBefore w:val="0"/>
        <w:widowControl w:val="0"/>
        <w:kinsoku/>
        <w:wordWrap/>
        <w:overflowPunct/>
        <w:topLinePunct w:val="0"/>
        <w:bidi w:val="0"/>
        <w:adjustRightInd w:val="0"/>
        <w:snapToGrid w:val="0"/>
        <w:spacing w:after="0" w:line="360" w:lineRule="auto"/>
        <w:ind w:left="0" w:leftChars="0" w:right="0" w:rightChars="0" w:firstLine="480" w:firstLineChars="20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position w:val="-34"/>
          <w:sz w:val="24"/>
          <w:szCs w:val="24"/>
          <w:lang w:val="en-US" w:eastAsia="zh-CN" w:bidi="ar-SA"/>
        </w:rPr>
        <w:object>
          <v:shape id="_x0000_i1041" o:spt="75" type="#_x0000_t75" style="height:55.7pt;width:271.5pt;" o:ole="t" filled="f" o:preferrelative="t" stroked="f" coordsize="21600,21600">
            <v:path/>
            <v:fill on="f" focussize="0,0"/>
            <v:stroke on="f"/>
            <v:imagedata r:id="rId76" o:title=""/>
            <o:lock v:ext="edit" aspectratio="t"/>
            <w10:wrap type="none"/>
            <w10:anchorlock/>
          </v:shape>
          <o:OLEObject Type="Embed" ProgID="Equation.KSEE3" ShapeID="_x0000_i1041" DrawAspect="Content" ObjectID="_1468075741" r:id="rId75">
            <o:LockedField>false</o:LockedField>
          </o:OLEObject>
        </w:object>
      </w:r>
    </w:p>
    <w:p w14:paraId="6DD37079">
      <w:pPr>
        <w:keepNext w:val="0"/>
        <w:keepLines w:val="0"/>
        <w:pageBreakBefore w:val="0"/>
        <w:widowControl w:val="0"/>
        <w:kinsoku/>
        <w:wordWrap/>
        <w:overflowPunct/>
        <w:topLinePunct w:val="0"/>
        <w:bidi w:val="0"/>
        <w:adjustRightInd w:val="0"/>
        <w:snapToGrid w:val="0"/>
        <w:spacing w:after="0" w:line="360" w:lineRule="auto"/>
        <w:ind w:left="0" w:leftChars="0" w:right="0" w:righ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式中：L</w:t>
      </w:r>
      <w:r>
        <w:rPr>
          <w:rFonts w:hint="default" w:ascii="Times New Roman" w:hAnsi="Times New Roman" w:eastAsia="宋体" w:cs="Times New Roman"/>
          <w:color w:val="auto"/>
          <w:kern w:val="2"/>
          <w:sz w:val="24"/>
          <w:szCs w:val="24"/>
          <w:vertAlign w:val="subscript"/>
          <w:lang w:val="en-US" w:eastAsia="zh-CN" w:bidi="ar-SA"/>
        </w:rPr>
        <w:t>eqg</w:t>
      </w:r>
      <w:r>
        <w:rPr>
          <w:rFonts w:hint="default" w:ascii="Times New Roman" w:hAnsi="Times New Roman" w:eastAsia="宋体" w:cs="Times New Roman"/>
          <w:color w:val="auto"/>
          <w:kern w:val="2"/>
          <w:sz w:val="24"/>
          <w:szCs w:val="24"/>
          <w:lang w:val="en-US" w:eastAsia="zh-CN" w:bidi="ar-SA"/>
        </w:rPr>
        <w:t>—建设项目声源在预测点产生的噪声贡献值，dB；</w:t>
      </w:r>
    </w:p>
    <w:p w14:paraId="186FCD4F">
      <w:pPr>
        <w:keepNext w:val="0"/>
        <w:keepLines w:val="0"/>
        <w:pageBreakBefore w:val="0"/>
        <w:widowControl w:val="0"/>
        <w:kinsoku/>
        <w:wordWrap/>
        <w:overflowPunct/>
        <w:topLinePunct w:val="0"/>
        <w:bidi w:val="0"/>
        <w:adjustRightInd w:val="0"/>
        <w:snapToGrid w:val="0"/>
        <w:spacing w:after="0" w:line="360" w:lineRule="auto"/>
        <w:ind w:left="0" w:leftChars="0" w:right="0" w:rightChars="0" w:firstLine="1200" w:firstLineChars="50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T—用于计算等效声级的时间，s；</w:t>
      </w:r>
    </w:p>
    <w:p w14:paraId="4E714D0D">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1200" w:firstLineChars="500"/>
        <w:jc w:val="both"/>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SA"/>
        </w:rPr>
        <w:t>N—室外声源个数；</w:t>
      </w:r>
    </w:p>
    <w:p w14:paraId="61F3878E">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1200" w:firstLineChars="500"/>
        <w:jc w:val="both"/>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SA"/>
        </w:rPr>
        <w:t>t</w:t>
      </w:r>
      <w:r>
        <w:rPr>
          <w:rFonts w:hint="default" w:ascii="Times New Roman" w:hAnsi="Times New Roman" w:eastAsia="宋体" w:cs="Times New Roman"/>
          <w:color w:val="auto"/>
          <w:kern w:val="0"/>
          <w:sz w:val="24"/>
          <w:szCs w:val="20"/>
          <w:vertAlign w:val="subscript"/>
          <w:lang w:val="en-US" w:eastAsia="zh-CN" w:bidi="ar-SA"/>
        </w:rPr>
        <w:t>i</w:t>
      </w:r>
      <w:r>
        <w:rPr>
          <w:rFonts w:hint="default" w:ascii="Times New Roman" w:hAnsi="Times New Roman" w:eastAsia="宋体" w:cs="Times New Roman"/>
          <w:color w:val="auto"/>
          <w:kern w:val="0"/>
          <w:sz w:val="24"/>
          <w:szCs w:val="20"/>
          <w:lang w:val="en-US" w:eastAsia="zh-CN" w:bidi="ar-SA"/>
        </w:rPr>
        <w:t>—在T时间内i声源工作时间，s；</w:t>
      </w:r>
    </w:p>
    <w:p w14:paraId="2AB316EA">
      <w:pPr>
        <w:keepNext w:val="0"/>
        <w:keepLines w:val="0"/>
        <w:pageBreakBefore w:val="0"/>
        <w:widowControl/>
        <w:tabs>
          <w:tab w:val="bar" w:pos="9540"/>
        </w:tabs>
        <w:kinsoku/>
        <w:wordWrap/>
        <w:overflowPunct/>
        <w:topLinePunct w:val="0"/>
        <w:autoSpaceDE w:val="0"/>
        <w:autoSpaceDN w:val="0"/>
        <w:bidi w:val="0"/>
        <w:adjustRightInd w:val="0"/>
        <w:snapToGrid w:val="0"/>
        <w:spacing w:before="60" w:after="0" w:line="360" w:lineRule="auto"/>
        <w:ind w:right="0" w:rightChars="0" w:firstLine="1200" w:firstLineChars="500"/>
        <w:jc w:val="both"/>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SA"/>
        </w:rPr>
        <w:t>M—等效室外声源个数；</w:t>
      </w:r>
    </w:p>
    <w:p w14:paraId="5331833A">
      <w:pPr>
        <w:keepNext w:val="0"/>
        <w:keepLines w:val="0"/>
        <w:pageBreakBefore w:val="0"/>
        <w:kinsoku/>
        <w:wordWrap/>
        <w:overflowPunct/>
        <w:topLinePunct w:val="0"/>
        <w:autoSpaceDE/>
        <w:autoSpaceDN/>
        <w:bidi w:val="0"/>
        <w:adjustRightInd/>
        <w:snapToGrid/>
        <w:spacing w:line="360" w:lineRule="auto"/>
        <w:ind w:firstLine="1200" w:firstLineChars="500"/>
        <w:jc w:val="both"/>
        <w:rPr>
          <w:rFonts w:hint="default" w:ascii="Times New Roman" w:hAnsi="Times New Roman" w:eastAsia="宋体" w:cs="Times New Roman"/>
          <w:b/>
          <w:bCs/>
          <w:color w:val="auto"/>
          <w:sz w:val="24"/>
          <w:lang w:eastAsia="zh-CN"/>
        </w:rPr>
      </w:pPr>
      <w:r>
        <w:rPr>
          <w:rFonts w:hint="default" w:ascii="Times New Roman" w:hAnsi="Times New Roman" w:eastAsia="宋体" w:cs="Times New Roman"/>
          <w:color w:val="auto"/>
          <w:sz w:val="24"/>
          <w:szCs w:val="24"/>
          <w:vertAlign w:val="baseline"/>
        </w:rPr>
        <w:t>t</w:t>
      </w:r>
      <w:r>
        <w:rPr>
          <w:rFonts w:hint="default" w:ascii="Times New Roman" w:hAnsi="Times New Roman" w:eastAsia="宋体" w:cs="Times New Roman"/>
          <w:color w:val="auto"/>
          <w:sz w:val="24"/>
          <w:szCs w:val="24"/>
          <w:vertAlign w:val="subscript"/>
        </w:rPr>
        <w:t>j</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szCs w:val="20"/>
          <w:lang w:val="en-US" w:eastAsia="zh-CN" w:bidi="ar-SA"/>
        </w:rPr>
        <w:t>在T时间内j声源工作时间，s。</w:t>
      </w:r>
    </w:p>
    <w:p w14:paraId="64E95FC6">
      <w:pPr>
        <w:spacing w:line="360" w:lineRule="auto"/>
        <w:ind w:firstLine="482" w:firstLineChars="200"/>
        <w:jc w:val="both"/>
        <w:rPr>
          <w:rFonts w:hint="default" w:ascii="Times New Roman" w:hAnsi="Times New Roman" w:eastAsia="宋体" w:cs="Times New Roman"/>
          <w:b/>
          <w:bCs/>
          <w:color w:val="auto"/>
          <w:kern w:val="1"/>
          <w:sz w:val="24"/>
          <w:lang w:val="en-US" w:eastAsia="zh-CN"/>
        </w:rPr>
      </w:pPr>
      <w:r>
        <w:rPr>
          <w:rFonts w:hint="default" w:ascii="Times New Roman" w:hAnsi="Times New Roman" w:eastAsia="宋体" w:cs="Times New Roman"/>
          <w:b/>
          <w:bCs/>
          <w:color w:val="auto"/>
          <w:kern w:val="1"/>
          <w:sz w:val="24"/>
          <w:lang w:val="en-US" w:eastAsia="zh-CN"/>
        </w:rPr>
        <w:t>（二）铁路线交通噪声预测与评价</w:t>
      </w:r>
    </w:p>
    <w:p w14:paraId="43B68C9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firstLineChars="200"/>
        <w:textAlignment w:val="baseline"/>
        <w:outlineLvl w:val="9"/>
        <w:rPr>
          <w:color w:val="auto"/>
          <w:spacing w:val="0"/>
          <w:w w:val="100"/>
          <w:position w:val="0"/>
          <w:sz w:val="24"/>
          <w:szCs w:val="24"/>
        </w:rPr>
      </w:pPr>
      <w:r>
        <w:rPr>
          <w:rFonts w:hint="eastAsia" w:ascii="Times New Roman" w:hAnsi="Times New Roman" w:eastAsia="宋体" w:cs="Times New Roman"/>
          <w:b/>
          <w:bCs/>
          <w:color w:val="auto"/>
          <w:spacing w:val="0"/>
          <w:w w:val="100"/>
          <w:position w:val="0"/>
          <w:sz w:val="24"/>
          <w:szCs w:val="24"/>
          <w:lang w:val="en-US" w:eastAsia="zh-CN"/>
        </w:rPr>
        <w:t>1、</w:t>
      </w:r>
      <w:r>
        <w:rPr>
          <w:b/>
          <w:bCs/>
          <w:color w:val="auto"/>
          <w:spacing w:val="0"/>
          <w:w w:val="100"/>
          <w:position w:val="0"/>
          <w:sz w:val="24"/>
          <w:szCs w:val="24"/>
        </w:rPr>
        <w:t>预测因子</w:t>
      </w:r>
    </w:p>
    <w:p w14:paraId="453F741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预测因子为昼</w:t>
      </w:r>
      <w:r>
        <w:rPr>
          <w:rFonts w:hint="eastAsia"/>
          <w:color w:val="auto"/>
          <w:spacing w:val="0"/>
          <w:w w:val="100"/>
          <w:position w:val="0"/>
          <w:sz w:val="24"/>
          <w:szCs w:val="24"/>
          <w:lang w:val="en-US" w:eastAsia="zh-CN"/>
        </w:rPr>
        <w:t>间</w:t>
      </w:r>
      <w:r>
        <w:rPr>
          <w:color w:val="auto"/>
          <w:spacing w:val="0"/>
          <w:w w:val="100"/>
          <w:position w:val="0"/>
          <w:sz w:val="24"/>
          <w:szCs w:val="24"/>
        </w:rPr>
        <w:t>等效连续</w:t>
      </w:r>
      <w:r>
        <w:rPr>
          <w:rFonts w:ascii="Times New Roman" w:hAnsi="Times New Roman" w:eastAsia="Times New Roman" w:cs="Times New Roman"/>
          <w:color w:val="auto"/>
          <w:spacing w:val="0"/>
          <w:w w:val="100"/>
          <w:position w:val="0"/>
          <w:sz w:val="24"/>
          <w:szCs w:val="24"/>
        </w:rPr>
        <w:t>A</w:t>
      </w:r>
      <w:r>
        <w:rPr>
          <w:color w:val="auto"/>
          <w:spacing w:val="0"/>
          <w:w w:val="100"/>
          <w:position w:val="0"/>
          <w:sz w:val="24"/>
          <w:szCs w:val="24"/>
        </w:rPr>
        <w:t>声级。</w:t>
      </w:r>
    </w:p>
    <w:p w14:paraId="138854F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firstLineChars="200"/>
        <w:textAlignment w:val="baseline"/>
        <w:outlineLvl w:val="9"/>
        <w:rPr>
          <w:rFonts w:hint="eastAsia" w:ascii="Times New Roman" w:hAnsi="Times New Roman" w:eastAsia="宋体" w:cs="Times New Roman"/>
          <w:b/>
          <w:bCs/>
          <w:color w:val="auto"/>
          <w:spacing w:val="0"/>
          <w:w w:val="100"/>
          <w:position w:val="0"/>
          <w:sz w:val="24"/>
          <w:szCs w:val="24"/>
          <w:lang w:val="en-US" w:eastAsia="zh-CN"/>
        </w:rPr>
      </w:pPr>
      <w:r>
        <w:rPr>
          <w:rFonts w:hint="eastAsia" w:ascii="Times New Roman" w:hAnsi="Times New Roman" w:eastAsia="宋体" w:cs="Times New Roman"/>
          <w:b/>
          <w:bCs/>
          <w:color w:val="auto"/>
          <w:spacing w:val="0"/>
          <w:w w:val="100"/>
          <w:position w:val="0"/>
          <w:sz w:val="24"/>
          <w:szCs w:val="24"/>
          <w:lang w:val="en-US" w:eastAsia="zh-CN"/>
        </w:rPr>
        <w:t>2、预测方法</w:t>
      </w:r>
    </w:p>
    <w:p w14:paraId="1DE633B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color w:val="auto"/>
          <w:spacing w:val="0"/>
          <w:w w:val="100"/>
          <w:position w:val="0"/>
          <w:sz w:val="24"/>
          <w:szCs w:val="24"/>
        </w:rPr>
      </w:pPr>
      <w:r>
        <w:rPr>
          <w:color w:val="auto"/>
          <w:spacing w:val="0"/>
          <w:w w:val="100"/>
          <w:position w:val="0"/>
          <w:sz w:val="24"/>
          <w:szCs w:val="24"/>
        </w:rPr>
        <w:t>结合项目性质为</w:t>
      </w:r>
      <w:r>
        <w:rPr>
          <w:rFonts w:hint="eastAsia"/>
          <w:color w:val="auto"/>
          <w:spacing w:val="0"/>
          <w:w w:val="100"/>
          <w:position w:val="0"/>
          <w:sz w:val="24"/>
          <w:szCs w:val="24"/>
          <w:lang w:val="en-US" w:eastAsia="zh-CN"/>
        </w:rPr>
        <w:t>改</w:t>
      </w:r>
      <w:r>
        <w:rPr>
          <w:color w:val="auto"/>
          <w:spacing w:val="0"/>
          <w:w w:val="100"/>
          <w:position w:val="0"/>
          <w:sz w:val="24"/>
          <w:szCs w:val="24"/>
        </w:rPr>
        <w:t>建、列车运行速度、列车长度、列车对数等，项目运营期列车运行噪声采用《环境影响评价技术导则</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声环境》（</w:t>
      </w:r>
      <w:r>
        <w:rPr>
          <w:rFonts w:ascii="Times New Roman" w:hAnsi="Times New Roman" w:eastAsia="Times New Roman" w:cs="Times New Roman"/>
          <w:color w:val="auto"/>
          <w:spacing w:val="0"/>
          <w:w w:val="100"/>
          <w:position w:val="0"/>
          <w:sz w:val="24"/>
          <w:szCs w:val="24"/>
        </w:rPr>
        <w:t>HJ2.4-2021</w:t>
      </w:r>
      <w:r>
        <w:rPr>
          <w:color w:val="auto"/>
          <w:spacing w:val="0"/>
          <w:w w:val="100"/>
          <w:position w:val="0"/>
          <w:sz w:val="24"/>
          <w:szCs w:val="24"/>
        </w:rPr>
        <w:t>）附录</w:t>
      </w:r>
      <w:r>
        <w:rPr>
          <w:rFonts w:ascii="Times New Roman" w:hAnsi="Times New Roman" w:eastAsia="Times New Roman" w:cs="Times New Roman"/>
          <w:color w:val="auto"/>
          <w:spacing w:val="0"/>
          <w:w w:val="100"/>
          <w:position w:val="0"/>
          <w:sz w:val="24"/>
          <w:szCs w:val="24"/>
        </w:rPr>
        <w:t>B</w:t>
      </w:r>
      <w:r>
        <w:rPr>
          <w:color w:val="auto"/>
          <w:spacing w:val="0"/>
          <w:w w:val="100"/>
          <w:position w:val="0"/>
          <w:sz w:val="24"/>
          <w:szCs w:val="24"/>
        </w:rPr>
        <w:t>（典型行业噪声预测模型）中“</w:t>
      </w:r>
      <w:r>
        <w:rPr>
          <w:rFonts w:ascii="Times New Roman" w:hAnsi="Times New Roman" w:eastAsia="Times New Roman" w:cs="Times New Roman"/>
          <w:color w:val="auto"/>
          <w:spacing w:val="0"/>
          <w:w w:val="100"/>
          <w:position w:val="0"/>
          <w:sz w:val="24"/>
          <w:szCs w:val="24"/>
        </w:rPr>
        <w:t>B.3</w:t>
      </w:r>
      <w:r>
        <w:rPr>
          <w:color w:val="auto"/>
          <w:spacing w:val="0"/>
          <w:w w:val="100"/>
          <w:position w:val="0"/>
          <w:sz w:val="24"/>
          <w:szCs w:val="24"/>
        </w:rPr>
        <w:t xml:space="preserve">铁路、城市轨道交通噪声预测模型 </w:t>
      </w:r>
      <w:r>
        <w:rPr>
          <w:rFonts w:hint="eastAsia"/>
          <w:color w:val="auto"/>
          <w:spacing w:val="0"/>
          <w:w w:val="100"/>
          <w:position w:val="0"/>
          <w:sz w:val="24"/>
          <w:szCs w:val="24"/>
          <w:lang w:eastAsia="zh-CN"/>
        </w:rPr>
        <w:t>”</w:t>
      </w:r>
      <w:r>
        <w:rPr>
          <w:color w:val="auto"/>
          <w:spacing w:val="0"/>
          <w:w w:val="100"/>
          <w:position w:val="0"/>
          <w:sz w:val="24"/>
          <w:szCs w:val="24"/>
        </w:rPr>
        <w:t>中的模型预测法，模型预测法主要依据声学理论计算方法和经验公式预测噪声。</w:t>
      </w:r>
    </w:p>
    <w:p w14:paraId="3A917C5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firstLineChars="200"/>
        <w:textAlignment w:val="baseline"/>
        <w:rPr>
          <w:color w:val="auto"/>
          <w:spacing w:val="0"/>
          <w:w w:val="100"/>
          <w:position w:val="0"/>
          <w:sz w:val="24"/>
          <w:szCs w:val="24"/>
        </w:rPr>
      </w:pPr>
      <w:r>
        <w:rPr>
          <w:rFonts w:hint="eastAsia" w:ascii="Times New Roman" w:hAnsi="Times New Roman" w:eastAsia="宋体" w:cs="Times New Roman"/>
          <w:b/>
          <w:bCs/>
          <w:color w:val="auto"/>
          <w:spacing w:val="0"/>
          <w:w w:val="100"/>
          <w:position w:val="0"/>
          <w:sz w:val="24"/>
          <w:szCs w:val="24"/>
          <w:lang w:val="en-US" w:eastAsia="zh-CN"/>
        </w:rPr>
        <w:t>①</w:t>
      </w:r>
      <w:r>
        <w:rPr>
          <w:b/>
          <w:bCs/>
          <w:color w:val="auto"/>
          <w:spacing w:val="0"/>
          <w:w w:val="100"/>
          <w:position w:val="0"/>
          <w:sz w:val="24"/>
          <w:szCs w:val="24"/>
        </w:rPr>
        <w:t>预测模式</w:t>
      </w:r>
    </w:p>
    <w:p w14:paraId="41FCF78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采用导则中时速低于</w:t>
      </w:r>
      <w:r>
        <w:rPr>
          <w:rFonts w:ascii="Times New Roman" w:hAnsi="Times New Roman" w:eastAsia="Times New Roman" w:cs="Times New Roman"/>
          <w:color w:val="auto"/>
          <w:spacing w:val="0"/>
          <w:w w:val="100"/>
          <w:position w:val="0"/>
          <w:sz w:val="24"/>
          <w:szCs w:val="24"/>
        </w:rPr>
        <w:t>200km/h</w:t>
      </w:r>
      <w:r>
        <w:rPr>
          <w:color w:val="auto"/>
          <w:spacing w:val="0"/>
          <w:w w:val="100"/>
          <w:position w:val="0"/>
          <w:sz w:val="24"/>
          <w:szCs w:val="24"/>
        </w:rPr>
        <w:t>的铁路噪声预测模型，基本计算式为：</w:t>
      </w:r>
    </w:p>
    <w:p w14:paraId="7124E55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rPr>
      </w:pPr>
      <w:r>
        <w:rPr>
          <w:rFonts w:hint="default" w:ascii="Times New Roman" w:hAnsi="Times New Roman" w:eastAsia="宋体" w:cs="Times New Roman"/>
          <w:color w:val="auto"/>
          <w:spacing w:val="0"/>
          <w:w w:val="100"/>
          <w:kern w:val="2"/>
          <w:position w:val="0"/>
          <w:sz w:val="24"/>
          <w:szCs w:val="24"/>
          <w:lang w:val="en-US" w:eastAsia="zh-CN" w:bidi="ar-SA"/>
        </w:rPr>
        <w:object>
          <v:shape id="_x0000_i1042" o:spt="75" type="#_x0000_t75" style="height:49.75pt;width:332.25pt;" o:ole="t" filled="f" o:preferrelative="t" stroked="f" coordsize="21600,21600">
            <v:path/>
            <v:fill on="f" focussize="0,0"/>
            <v:stroke on="f"/>
            <v:imagedata r:id="rId78" o:title=""/>
            <o:lock v:ext="edit" aspectratio="t"/>
            <w10:wrap type="none"/>
            <w10:anchorlock/>
          </v:shape>
          <o:OLEObject Type="Embed" ProgID="Equation.KSEE3" ShapeID="_x0000_i1042" DrawAspect="Content" ObjectID="_1468075742" r:id="rId77">
            <o:LockedField>false</o:LockedField>
          </o:OLEObject>
        </w:object>
      </w:r>
      <w:r>
        <w:rPr>
          <w:color w:val="auto"/>
          <w:spacing w:val="0"/>
          <w:w w:val="100"/>
          <w:position w:val="0"/>
        </w:rPr>
        <w:t>（</w:t>
      </w:r>
      <w:r>
        <w:rPr>
          <w:rFonts w:ascii="Times New Roman" w:hAnsi="Times New Roman" w:eastAsia="Times New Roman" w:cs="Times New Roman"/>
          <w:color w:val="auto"/>
          <w:spacing w:val="0"/>
          <w:w w:val="100"/>
          <w:position w:val="0"/>
        </w:rPr>
        <w:t>4-</w:t>
      </w:r>
      <w:r>
        <w:rPr>
          <w:rFonts w:hint="eastAsia" w:ascii="Times New Roman" w:hAnsi="Times New Roman" w:eastAsia="宋体" w:cs="Times New Roman"/>
          <w:color w:val="auto"/>
          <w:spacing w:val="0"/>
          <w:w w:val="100"/>
          <w:position w:val="0"/>
          <w:lang w:val="en-US" w:eastAsia="zh-CN"/>
        </w:rPr>
        <w:t>1</w:t>
      </w:r>
      <w:r>
        <w:rPr>
          <w:color w:val="auto"/>
          <w:spacing w:val="0"/>
          <w:w w:val="100"/>
          <w:position w:val="0"/>
        </w:rPr>
        <w:t>）</w:t>
      </w:r>
    </w:p>
    <w:p w14:paraId="79C22F9A">
      <w:pPr>
        <w:keepNext w:val="0"/>
        <w:keepLines w:val="0"/>
        <w:pageBreakBefore w:val="0"/>
        <w:widowControl/>
        <w:kinsoku/>
        <w:wordWrap/>
        <w:overflowPunct/>
        <w:topLinePunct w:val="0"/>
        <w:autoSpaceDE w:val="0"/>
        <w:autoSpaceDN w:val="0"/>
        <w:bidi w:val="0"/>
        <w:adjustRightInd/>
        <w:snapToGrid/>
        <w:spacing w:line="360" w:lineRule="auto"/>
        <w:ind w:right="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式中：LAeqp ——列车运行噪声等效A声级，dB；</w:t>
      </w:r>
    </w:p>
    <w:p w14:paraId="213A964F">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T——规定的评价时间，s；</w:t>
      </w:r>
    </w:p>
    <w:p w14:paraId="7C42F77B">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tn</w:t>
      </w:r>
      <w:r>
        <w:rPr>
          <w:rFonts w:hint="default" w:ascii="Times New Roman" w:hAnsi="Times New Roman" w:eastAsia="宋体" w:cs="Times New Roman"/>
          <w:color w:val="auto"/>
          <w:spacing w:val="0"/>
          <w:w w:val="100"/>
          <w:position w:val="0"/>
          <w:sz w:val="24"/>
          <w:highlight w:val="none"/>
          <w:vertAlign w:val="subscript"/>
          <w:lang w:val="en-US" w:eastAsia="zh-CN"/>
        </w:rPr>
        <w:t>i</w:t>
      </w:r>
      <w:r>
        <w:rPr>
          <w:rFonts w:hint="default" w:ascii="Times New Roman" w:hAnsi="Times New Roman" w:eastAsia="宋体" w:cs="Times New Roman"/>
          <w:color w:val="auto"/>
          <w:spacing w:val="0"/>
          <w:w w:val="100"/>
          <w:position w:val="0"/>
          <w:sz w:val="24"/>
          <w:highlight w:val="none"/>
          <w:lang w:val="en-US" w:eastAsia="zh-CN"/>
        </w:rPr>
        <w:t xml:space="preserve"> ——T时间内通过的第i类列车列数；</w:t>
      </w:r>
    </w:p>
    <w:p w14:paraId="016CBE06">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t</w:t>
      </w:r>
      <w:r>
        <w:rPr>
          <w:rFonts w:hint="default" w:ascii="Times New Roman" w:hAnsi="Times New Roman" w:eastAsia="宋体" w:cs="Times New Roman"/>
          <w:color w:val="auto"/>
          <w:spacing w:val="0"/>
          <w:w w:val="100"/>
          <w:position w:val="0"/>
          <w:sz w:val="24"/>
          <w:highlight w:val="none"/>
          <w:vertAlign w:val="subscript"/>
          <w:lang w:val="en-US" w:eastAsia="zh-CN"/>
        </w:rPr>
        <w:t>eqi</w:t>
      </w:r>
      <w:r>
        <w:rPr>
          <w:rFonts w:hint="default" w:ascii="Times New Roman" w:hAnsi="Times New Roman" w:eastAsia="宋体" w:cs="Times New Roman"/>
          <w:color w:val="auto"/>
          <w:spacing w:val="0"/>
          <w:w w:val="100"/>
          <w:position w:val="0"/>
          <w:sz w:val="24"/>
          <w:highlight w:val="none"/>
          <w:lang w:val="en-US" w:eastAsia="zh-CN"/>
        </w:rPr>
        <w:t xml:space="preserve"> ——第i类列车通过的等效时间，s；</w:t>
      </w:r>
    </w:p>
    <w:p w14:paraId="124DC89F">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L</w:t>
      </w:r>
      <w:r>
        <w:rPr>
          <w:rFonts w:hint="default" w:ascii="Times New Roman" w:hAnsi="Times New Roman" w:eastAsia="宋体" w:cs="Times New Roman"/>
          <w:color w:val="auto"/>
          <w:spacing w:val="0"/>
          <w:w w:val="100"/>
          <w:position w:val="0"/>
          <w:sz w:val="24"/>
          <w:highlight w:val="none"/>
          <w:vertAlign w:val="subscript"/>
          <w:lang w:val="en-US" w:eastAsia="zh-CN"/>
        </w:rPr>
        <w:t>p0ti</w:t>
      </w:r>
      <w:r>
        <w:rPr>
          <w:rFonts w:hint="default" w:ascii="Times New Roman" w:hAnsi="Times New Roman" w:eastAsia="宋体" w:cs="Times New Roman"/>
          <w:color w:val="auto"/>
          <w:spacing w:val="0"/>
          <w:w w:val="100"/>
          <w:position w:val="0"/>
          <w:sz w:val="24"/>
          <w:highlight w:val="none"/>
          <w:lang w:val="en-US" w:eastAsia="zh-CN"/>
        </w:rPr>
        <w:t>——规定的第i类列车参考点位置噪声辐射源强，可为A计权声压级或频带声压级，dB；</w:t>
      </w:r>
    </w:p>
    <w:p w14:paraId="3C17CA78">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C</w:t>
      </w:r>
      <w:r>
        <w:rPr>
          <w:rFonts w:hint="default" w:ascii="Times New Roman" w:hAnsi="Times New Roman" w:eastAsia="宋体" w:cs="Times New Roman"/>
          <w:color w:val="auto"/>
          <w:spacing w:val="0"/>
          <w:w w:val="100"/>
          <w:position w:val="0"/>
          <w:sz w:val="24"/>
          <w:highlight w:val="none"/>
          <w:vertAlign w:val="subscript"/>
          <w:lang w:val="en-US" w:eastAsia="zh-CN"/>
        </w:rPr>
        <w:t>ti</w:t>
      </w:r>
      <w:r>
        <w:rPr>
          <w:rFonts w:hint="default" w:ascii="Times New Roman" w:hAnsi="Times New Roman" w:eastAsia="宋体" w:cs="Times New Roman"/>
          <w:color w:val="auto"/>
          <w:spacing w:val="0"/>
          <w:w w:val="100"/>
          <w:position w:val="0"/>
          <w:sz w:val="24"/>
          <w:highlight w:val="none"/>
          <w:lang w:val="en-US" w:eastAsia="zh-CN"/>
        </w:rPr>
        <w:t>——第i类列车的噪声修正项，可为A计权声压级或频带声压级修正项，dB；</w:t>
      </w:r>
    </w:p>
    <w:p w14:paraId="2226B606">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t</w:t>
      </w:r>
      <w:r>
        <w:rPr>
          <w:rFonts w:hint="default" w:ascii="Times New Roman" w:hAnsi="Times New Roman" w:eastAsia="宋体" w:cs="Times New Roman"/>
          <w:color w:val="auto"/>
          <w:spacing w:val="0"/>
          <w:w w:val="100"/>
          <w:position w:val="0"/>
          <w:sz w:val="24"/>
          <w:highlight w:val="none"/>
          <w:vertAlign w:val="subscript"/>
          <w:lang w:val="en-US" w:eastAsia="zh-CN"/>
        </w:rPr>
        <w:t>fi</w:t>
      </w:r>
      <w:r>
        <w:rPr>
          <w:rFonts w:hint="default" w:ascii="Times New Roman" w:hAnsi="Times New Roman" w:eastAsia="宋体" w:cs="Times New Roman"/>
          <w:color w:val="auto"/>
          <w:spacing w:val="0"/>
          <w:w w:val="100"/>
          <w:position w:val="0"/>
          <w:sz w:val="24"/>
          <w:highlight w:val="none"/>
          <w:lang w:val="en-US" w:eastAsia="zh-CN"/>
        </w:rPr>
        <w:t>——固定声源的作用时间，s；</w:t>
      </w:r>
    </w:p>
    <w:p w14:paraId="05918EFA">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L</w:t>
      </w:r>
      <w:r>
        <w:rPr>
          <w:rFonts w:hint="default" w:ascii="Times New Roman" w:hAnsi="Times New Roman" w:eastAsia="宋体" w:cs="Times New Roman"/>
          <w:color w:val="auto"/>
          <w:spacing w:val="0"/>
          <w:w w:val="100"/>
          <w:position w:val="0"/>
          <w:sz w:val="24"/>
          <w:highlight w:val="none"/>
          <w:vertAlign w:val="subscript"/>
          <w:lang w:val="en-US" w:eastAsia="zh-CN"/>
        </w:rPr>
        <w:t>p0fi</w:t>
      </w:r>
      <w:r>
        <w:rPr>
          <w:rFonts w:hint="default" w:ascii="Times New Roman" w:hAnsi="Times New Roman" w:eastAsia="宋体" w:cs="Times New Roman"/>
          <w:color w:val="auto"/>
          <w:spacing w:val="0"/>
          <w:w w:val="100"/>
          <w:position w:val="0"/>
          <w:sz w:val="24"/>
          <w:highlight w:val="none"/>
          <w:lang w:val="en-US" w:eastAsia="zh-CN"/>
        </w:rPr>
        <w:t>——固定声源的噪声辐射源强，可为A计权声压级或频带声压级，dB；</w:t>
      </w:r>
    </w:p>
    <w:p w14:paraId="06BCDC3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C</w:t>
      </w:r>
      <w:r>
        <w:rPr>
          <w:rFonts w:hint="default" w:ascii="Times New Roman" w:hAnsi="Times New Roman" w:eastAsia="宋体" w:cs="Times New Roman"/>
          <w:color w:val="auto"/>
          <w:spacing w:val="0"/>
          <w:w w:val="100"/>
          <w:position w:val="0"/>
          <w:sz w:val="24"/>
          <w:highlight w:val="none"/>
          <w:vertAlign w:val="subscript"/>
          <w:lang w:val="en-US" w:eastAsia="zh-CN"/>
        </w:rPr>
        <w:t>fi</w:t>
      </w:r>
      <w:r>
        <w:rPr>
          <w:rFonts w:hint="default" w:ascii="Times New Roman" w:hAnsi="Times New Roman" w:eastAsia="宋体" w:cs="Times New Roman"/>
          <w:color w:val="auto"/>
          <w:spacing w:val="0"/>
          <w:w w:val="100"/>
          <w:position w:val="0"/>
          <w:sz w:val="24"/>
          <w:highlight w:val="none"/>
          <w:lang w:val="en-US" w:eastAsia="zh-CN"/>
        </w:rPr>
        <w:t xml:space="preserve"> ——固定声源的噪声修正项，可为A计权声压级或频带声压级修正项，dB。</w:t>
      </w:r>
    </w:p>
    <w:p w14:paraId="0D06E55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firstLineChars="200"/>
        <w:textAlignment w:val="baseline"/>
        <w:rPr>
          <w:rFonts w:hint="eastAsia" w:ascii="Times New Roman" w:hAnsi="Times New Roman" w:eastAsia="宋体" w:cs="Times New Roman"/>
          <w:b/>
          <w:bCs/>
          <w:color w:val="auto"/>
          <w:spacing w:val="0"/>
          <w:w w:val="100"/>
          <w:position w:val="0"/>
          <w:sz w:val="24"/>
          <w:szCs w:val="24"/>
          <w:lang w:val="en-US" w:eastAsia="zh-CN"/>
        </w:rPr>
      </w:pPr>
      <w:r>
        <w:rPr>
          <w:rFonts w:hint="eastAsia" w:ascii="Times New Roman" w:hAnsi="Times New Roman" w:eastAsia="宋体" w:cs="Times New Roman"/>
          <w:b/>
          <w:bCs/>
          <w:color w:val="auto"/>
          <w:spacing w:val="0"/>
          <w:w w:val="100"/>
          <w:position w:val="0"/>
          <w:sz w:val="24"/>
          <w:szCs w:val="24"/>
          <w:lang w:val="en-US" w:eastAsia="zh-CN"/>
        </w:rPr>
        <w:t>②模型参数的确定</w:t>
      </w:r>
    </w:p>
    <w:p w14:paraId="53A0125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b/>
          <w:bCs/>
          <w:color w:val="auto"/>
          <w:spacing w:val="0"/>
          <w:w w:val="100"/>
          <w:position w:val="0"/>
          <w:sz w:val="24"/>
          <w:szCs w:val="24"/>
        </w:rPr>
        <w:t>（</w:t>
      </w:r>
      <w:r>
        <w:rPr>
          <w:rFonts w:ascii="Times New Roman" w:hAnsi="Times New Roman" w:eastAsia="Times New Roman" w:cs="Times New Roman"/>
          <w:b/>
          <w:bCs/>
          <w:color w:val="auto"/>
          <w:spacing w:val="0"/>
          <w:w w:val="100"/>
          <w:position w:val="0"/>
          <w:sz w:val="24"/>
          <w:szCs w:val="24"/>
        </w:rPr>
        <w:t>1</w:t>
      </w:r>
      <w:r>
        <w:rPr>
          <w:b/>
          <w:bCs/>
          <w:color w:val="auto"/>
          <w:spacing w:val="0"/>
          <w:w w:val="100"/>
          <w:position w:val="0"/>
          <w:sz w:val="24"/>
          <w:szCs w:val="24"/>
        </w:rPr>
        <w:t>）列车噪声源强的测定</w:t>
      </w:r>
    </w:p>
    <w:p w14:paraId="21DA1B1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项目列车噪声源强详见上表</w:t>
      </w:r>
      <w:r>
        <w:rPr>
          <w:rFonts w:hint="eastAsia" w:ascii="Times New Roman" w:hAnsi="Times New Roman" w:eastAsia="宋体" w:cs="Times New Roman"/>
          <w:color w:val="auto"/>
          <w:spacing w:val="0"/>
          <w:w w:val="100"/>
          <w:position w:val="0"/>
          <w:sz w:val="24"/>
          <w:szCs w:val="24"/>
          <w:lang w:val="en-US" w:eastAsia="zh-CN"/>
        </w:rPr>
        <w:t>4.4-4</w:t>
      </w:r>
      <w:r>
        <w:rPr>
          <w:color w:val="auto"/>
          <w:spacing w:val="0"/>
          <w:w w:val="100"/>
          <w:position w:val="0"/>
          <w:sz w:val="24"/>
          <w:szCs w:val="24"/>
        </w:rPr>
        <w:t>，源强取值</w:t>
      </w:r>
      <w:r>
        <w:rPr>
          <w:rFonts w:hint="eastAsia" w:ascii="Times New Roman" w:hAnsi="Times New Roman" w:eastAsia="宋体" w:cs="Times New Roman"/>
          <w:color w:val="auto"/>
          <w:spacing w:val="0"/>
          <w:w w:val="100"/>
          <w:position w:val="0"/>
          <w:sz w:val="24"/>
          <w:szCs w:val="24"/>
          <w:lang w:val="en-US" w:eastAsia="zh-CN"/>
        </w:rPr>
        <w:t>75.0</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A</w:t>
      </w:r>
      <w:r>
        <w:rPr>
          <w:color w:val="auto"/>
          <w:spacing w:val="0"/>
          <w:w w:val="100"/>
          <w:position w:val="0"/>
          <w:sz w:val="24"/>
          <w:szCs w:val="24"/>
        </w:rPr>
        <w:t>）。</w:t>
      </w:r>
    </w:p>
    <w:p w14:paraId="507B680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b/>
          <w:bCs/>
          <w:color w:val="auto"/>
          <w:spacing w:val="0"/>
          <w:w w:val="100"/>
          <w:position w:val="0"/>
          <w:sz w:val="24"/>
          <w:szCs w:val="24"/>
        </w:rPr>
        <w:t>（</w:t>
      </w:r>
      <w:r>
        <w:rPr>
          <w:rFonts w:ascii="Times New Roman" w:hAnsi="Times New Roman" w:eastAsia="Times New Roman" w:cs="Times New Roman"/>
          <w:b/>
          <w:bCs/>
          <w:color w:val="auto"/>
          <w:spacing w:val="0"/>
          <w:w w:val="100"/>
          <w:position w:val="0"/>
          <w:sz w:val="24"/>
          <w:szCs w:val="24"/>
        </w:rPr>
        <w:t>2</w:t>
      </w:r>
      <w:r>
        <w:rPr>
          <w:b/>
          <w:bCs/>
          <w:color w:val="auto"/>
          <w:spacing w:val="0"/>
          <w:w w:val="100"/>
          <w:position w:val="0"/>
          <w:sz w:val="24"/>
          <w:szCs w:val="24"/>
        </w:rPr>
        <w:t>）等效时间</w:t>
      </w:r>
      <w:r>
        <w:rPr>
          <w:rFonts w:ascii="Times New Roman" w:hAnsi="Times New Roman" w:eastAsia="Times New Roman" w:cs="Times New Roman"/>
          <w:b/>
          <w:bCs/>
          <w:i/>
          <w:iCs/>
          <w:color w:val="auto"/>
          <w:spacing w:val="0"/>
          <w:w w:val="100"/>
          <w:position w:val="0"/>
          <w:sz w:val="24"/>
          <w:szCs w:val="24"/>
        </w:rPr>
        <w:t>t</w:t>
      </w:r>
      <w:r>
        <w:rPr>
          <w:rFonts w:ascii="Times New Roman" w:hAnsi="Times New Roman" w:eastAsia="Times New Roman" w:cs="Times New Roman"/>
          <w:b/>
          <w:bCs/>
          <w:color w:val="auto"/>
          <w:spacing w:val="0"/>
          <w:w w:val="100"/>
          <w:position w:val="0"/>
          <w:sz w:val="24"/>
          <w:szCs w:val="24"/>
        </w:rPr>
        <w:t xml:space="preserve">eq,i </w:t>
      </w:r>
      <w:r>
        <w:rPr>
          <w:b/>
          <w:bCs/>
          <w:color w:val="auto"/>
          <w:spacing w:val="0"/>
          <w:w w:val="100"/>
          <w:position w:val="0"/>
          <w:sz w:val="24"/>
          <w:szCs w:val="24"/>
        </w:rPr>
        <w:t>的计算</w:t>
      </w:r>
    </w:p>
    <w:p w14:paraId="5BE3585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列车运行噪声的作用时间采用列车通过的等效时间</w:t>
      </w:r>
      <w:r>
        <w:rPr>
          <w:rFonts w:ascii="Times New Roman" w:hAnsi="Times New Roman" w:eastAsia="Times New Roman" w:cs="Times New Roman"/>
          <w:i/>
          <w:iCs/>
          <w:color w:val="auto"/>
          <w:spacing w:val="0"/>
          <w:w w:val="100"/>
          <w:position w:val="0"/>
          <w:sz w:val="24"/>
          <w:szCs w:val="24"/>
        </w:rPr>
        <w:t>t</w:t>
      </w:r>
      <w:r>
        <w:rPr>
          <w:rFonts w:ascii="Times New Roman" w:hAnsi="Times New Roman" w:eastAsia="Times New Roman" w:cs="Times New Roman"/>
          <w:color w:val="auto"/>
          <w:spacing w:val="0"/>
          <w:w w:val="100"/>
          <w:position w:val="0"/>
          <w:sz w:val="24"/>
          <w:szCs w:val="24"/>
        </w:rPr>
        <w:t>eq,i</w:t>
      </w:r>
      <w:r>
        <w:rPr>
          <w:color w:val="auto"/>
          <w:spacing w:val="0"/>
          <w:w w:val="100"/>
          <w:position w:val="0"/>
          <w:sz w:val="24"/>
          <w:szCs w:val="24"/>
        </w:rPr>
        <w:t>，其近似值按式（</w:t>
      </w:r>
      <w:r>
        <w:rPr>
          <w:rFonts w:ascii="Times New Roman" w:hAnsi="Times New Roman" w:eastAsia="Times New Roman" w:cs="Times New Roman"/>
          <w:color w:val="auto"/>
          <w:spacing w:val="0"/>
          <w:w w:val="100"/>
          <w:position w:val="0"/>
          <w:sz w:val="24"/>
          <w:szCs w:val="24"/>
        </w:rPr>
        <w:t>4-2</w:t>
      </w:r>
      <w:r>
        <w:rPr>
          <w:color w:val="auto"/>
          <w:spacing w:val="0"/>
          <w:w w:val="100"/>
          <w:position w:val="0"/>
          <w:sz w:val="24"/>
          <w:szCs w:val="24"/>
        </w:rPr>
        <w:t>）计算。</w:t>
      </w:r>
    </w:p>
    <w:p w14:paraId="20B19C3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rPr>
      </w:pPr>
      <w:r>
        <w:rPr>
          <w:rFonts w:hint="default" w:ascii="Times New Roman" w:hAnsi="Times New Roman" w:eastAsia="宋体" w:cs="Times New Roman"/>
          <w:color w:val="auto"/>
          <w:spacing w:val="0"/>
          <w:w w:val="100"/>
          <w:kern w:val="2"/>
          <w:position w:val="0"/>
          <w:sz w:val="24"/>
          <w:szCs w:val="24"/>
          <w:lang w:val="en-US" w:eastAsia="zh-CN" w:bidi="ar-SA"/>
        </w:rPr>
        <w:object>
          <v:shape id="_x0000_i1043" o:spt="75" type="#_x0000_t75" style="height:47.35pt;width:121.75pt;" o:ole="t" filled="f" o:preferrelative="t" stroked="f" coordsize="21600,21600">
            <v:path/>
            <v:fill on="f" focussize="0,0"/>
            <v:stroke on="f"/>
            <v:imagedata r:id="rId80" o:title=""/>
            <o:lock v:ext="edit" aspectratio="t"/>
            <w10:wrap type="none"/>
            <w10:anchorlock/>
          </v:shape>
          <o:OLEObject Type="Embed" ProgID="Equation.KSEE3" ShapeID="_x0000_i1043" DrawAspect="Content" ObjectID="_1468075743" r:id="rId79">
            <o:LockedField>false</o:LockedField>
          </o:OLEObject>
        </w:object>
      </w:r>
      <w:r>
        <w:rPr>
          <w:rFonts w:ascii="Cambria Math" w:hAnsi="Cambria Math" w:eastAsia="Cambria Math" w:cs="Cambria Math"/>
          <w:color w:val="auto"/>
          <w:spacing w:val="0"/>
          <w:w w:val="100"/>
          <w:position w:val="0"/>
        </w:rPr>
        <w:t xml:space="preserve">    </w:t>
      </w:r>
      <w:r>
        <w:rPr>
          <w:color w:val="auto"/>
          <w:spacing w:val="0"/>
          <w:w w:val="100"/>
          <w:position w:val="0"/>
        </w:rPr>
        <w:t>（</w:t>
      </w:r>
      <w:r>
        <w:rPr>
          <w:rFonts w:ascii="Times New Roman" w:hAnsi="Times New Roman" w:eastAsia="Times New Roman" w:cs="Times New Roman"/>
          <w:color w:val="auto"/>
          <w:spacing w:val="0"/>
          <w:w w:val="100"/>
          <w:position w:val="0"/>
        </w:rPr>
        <w:t>4-2</w:t>
      </w:r>
      <w:r>
        <w:rPr>
          <w:color w:val="auto"/>
          <w:spacing w:val="0"/>
          <w:w w:val="100"/>
          <w:position w:val="0"/>
        </w:rPr>
        <w:t>）</w:t>
      </w:r>
    </w:p>
    <w:p w14:paraId="446201D4">
      <w:pPr>
        <w:keepNext w:val="0"/>
        <w:keepLines w:val="0"/>
        <w:pageBreakBefore w:val="0"/>
        <w:widowControl/>
        <w:kinsoku/>
        <w:wordWrap/>
        <w:overflowPunct/>
        <w:topLinePunct w:val="0"/>
        <w:autoSpaceDE w:val="0"/>
        <w:autoSpaceDN w:val="0"/>
        <w:bidi w:val="0"/>
        <w:adjustRightInd/>
        <w:snapToGrid/>
        <w:spacing w:line="360" w:lineRule="auto"/>
        <w:ind w:right="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式中：</w:t>
      </w:r>
    </w:p>
    <w:p w14:paraId="4A1BF42D">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t</w:t>
      </w:r>
      <w:r>
        <w:rPr>
          <w:rFonts w:hint="default" w:ascii="Times New Roman" w:hAnsi="Times New Roman" w:eastAsia="宋体" w:cs="Times New Roman"/>
          <w:color w:val="auto"/>
          <w:spacing w:val="0"/>
          <w:w w:val="100"/>
          <w:position w:val="0"/>
          <w:sz w:val="24"/>
          <w:szCs w:val="24"/>
          <w:highlight w:val="none"/>
          <w:vertAlign w:val="subscript"/>
          <w:lang w:val="en-US" w:eastAsia="zh-CN"/>
        </w:rPr>
        <w:t>eqi</w:t>
      </w:r>
      <w:r>
        <w:rPr>
          <w:rFonts w:hint="default" w:ascii="Times New Roman" w:hAnsi="Times New Roman" w:eastAsia="宋体" w:cs="Times New Roman"/>
          <w:color w:val="auto"/>
          <w:spacing w:val="0"/>
          <w:w w:val="100"/>
          <w:position w:val="0"/>
          <w:sz w:val="24"/>
          <w:szCs w:val="24"/>
          <w:highlight w:val="none"/>
          <w:lang w:val="en-US" w:eastAsia="zh-CN"/>
        </w:rPr>
        <w:t>——第i类列车通过的等效时间，s；</w:t>
      </w:r>
    </w:p>
    <w:p w14:paraId="6DE67CAC">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l——列车长度，m；</w:t>
      </w:r>
    </w:p>
    <w:p w14:paraId="123362A7">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v——列车运行速度，m/s；</w:t>
      </w:r>
    </w:p>
    <w:p w14:paraId="2745948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highlight w:val="none"/>
          <w:lang w:val="en-US" w:eastAsia="zh-CN"/>
        </w:rPr>
        <w:t>d——预测点到线路中心线的水平距离，m。</w:t>
      </w:r>
    </w:p>
    <w:p w14:paraId="3A1369B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b/>
          <w:bCs/>
          <w:color w:val="auto"/>
          <w:spacing w:val="0"/>
          <w:w w:val="100"/>
          <w:position w:val="0"/>
          <w:sz w:val="24"/>
          <w:szCs w:val="24"/>
          <w:lang w:val="en-US" w:eastAsia="zh-CN"/>
        </w:rPr>
        <w:t>③</w:t>
      </w:r>
      <w:r>
        <w:rPr>
          <w:b/>
          <w:bCs/>
          <w:color w:val="auto"/>
          <w:spacing w:val="0"/>
          <w:w w:val="100"/>
          <w:position w:val="0"/>
          <w:sz w:val="24"/>
          <w:szCs w:val="24"/>
        </w:rPr>
        <w:t>列车运行噪声的修正项</w:t>
      </w:r>
      <w:r>
        <w:rPr>
          <w:color w:val="auto"/>
          <w:spacing w:val="0"/>
          <w:w w:val="100"/>
          <w:position w:val="0"/>
          <w:sz w:val="24"/>
          <w:szCs w:val="24"/>
        </w:rPr>
        <w:t xml:space="preserve"> </w:t>
      </w:r>
      <w:r>
        <w:rPr>
          <w:rFonts w:ascii="Times New Roman" w:hAnsi="Times New Roman" w:eastAsia="Times New Roman" w:cs="Times New Roman"/>
          <w:b/>
          <w:bCs/>
          <w:i/>
          <w:iCs/>
          <w:color w:val="auto"/>
          <w:spacing w:val="0"/>
          <w:w w:val="100"/>
          <w:position w:val="0"/>
          <w:sz w:val="24"/>
          <w:szCs w:val="24"/>
        </w:rPr>
        <w:t xml:space="preserve">Ct,i </w:t>
      </w:r>
      <w:r>
        <w:rPr>
          <w:b/>
          <w:bCs/>
          <w:color w:val="auto"/>
          <w:spacing w:val="0"/>
          <w:w w:val="100"/>
          <w:position w:val="0"/>
          <w:sz w:val="24"/>
          <w:szCs w:val="24"/>
        </w:rPr>
        <w:t>计算</w:t>
      </w:r>
    </w:p>
    <w:p w14:paraId="5522699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t,i=</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t,v,i+</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 xml:space="preserve">t, </w:t>
      </w:r>
      <w:r>
        <w:rPr>
          <w:color w:val="auto"/>
          <w:spacing w:val="0"/>
          <w:w w:val="100"/>
          <w:position w:val="0"/>
          <w:sz w:val="24"/>
          <w:szCs w:val="24"/>
        </w:rPr>
        <w:t>θ+</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t,t</w:t>
      </w:r>
      <w:r>
        <w:rPr>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t,div</w:t>
      </w:r>
      <w:r>
        <w:rPr>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atm</w:t>
      </w:r>
      <w:r>
        <w:rPr>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gr</w:t>
      </w:r>
      <w:r>
        <w:rPr>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bar</w:t>
      </w:r>
      <w:r>
        <w:rPr>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hous+</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hous+</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 xml:space="preserve">w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4-3</w:t>
      </w:r>
      <w:r>
        <w:rPr>
          <w:color w:val="auto"/>
          <w:spacing w:val="0"/>
          <w:w w:val="100"/>
          <w:position w:val="0"/>
          <w:sz w:val="24"/>
          <w:szCs w:val="24"/>
        </w:rPr>
        <w:t>）</w:t>
      </w:r>
    </w:p>
    <w:p w14:paraId="7C769991">
      <w:pPr>
        <w:pStyle w:val="9"/>
        <w:keepNext w:val="0"/>
        <w:keepLines w:val="0"/>
        <w:pageBreakBefore w:val="0"/>
        <w:widowControl/>
        <w:kinsoku/>
        <w:wordWrap/>
        <w:overflowPunct/>
        <w:topLinePunct w:val="0"/>
        <w:autoSpaceDE w:val="0"/>
        <w:autoSpaceDN w:val="0"/>
        <w:bidi w:val="0"/>
        <w:adjustRightInd/>
        <w:snapToGrid/>
        <w:spacing w:line="360" w:lineRule="auto"/>
        <w:ind w:right="0"/>
        <w:textAlignment w:val="baseline"/>
        <w:rPr>
          <w:color w:val="auto"/>
          <w:spacing w:val="0"/>
          <w:w w:val="100"/>
          <w:position w:val="0"/>
          <w:sz w:val="24"/>
          <w:szCs w:val="24"/>
        </w:rPr>
      </w:pPr>
      <w:r>
        <w:rPr>
          <w:color w:val="auto"/>
          <w:spacing w:val="0"/>
          <w:w w:val="100"/>
          <w:position w:val="0"/>
          <w:sz w:val="24"/>
          <w:szCs w:val="24"/>
        </w:rPr>
        <w:t>式中：</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t,i——</w:t>
      </w:r>
      <w:r>
        <w:rPr>
          <w:color w:val="auto"/>
          <w:spacing w:val="0"/>
          <w:w w:val="100"/>
          <w:position w:val="0"/>
          <w:sz w:val="24"/>
          <w:szCs w:val="24"/>
        </w:rPr>
        <w:t>列车运行噪声的修正项，</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70C4F03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t,v,i——</w:t>
      </w:r>
      <w:r>
        <w:rPr>
          <w:color w:val="auto"/>
          <w:spacing w:val="0"/>
          <w:w w:val="100"/>
          <w:position w:val="0"/>
          <w:sz w:val="24"/>
          <w:szCs w:val="24"/>
        </w:rPr>
        <w:t>列车运行噪声速度修正，</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；计算方法可参照（</w:t>
      </w:r>
      <w:r>
        <w:rPr>
          <w:rFonts w:ascii="Times New Roman" w:hAnsi="Times New Roman" w:eastAsia="Times New Roman" w:cs="Times New Roman"/>
          <w:color w:val="auto"/>
          <w:spacing w:val="0"/>
          <w:w w:val="100"/>
          <w:position w:val="0"/>
          <w:sz w:val="24"/>
          <w:szCs w:val="24"/>
        </w:rPr>
        <w:t>4-4</w:t>
      </w:r>
      <w:r>
        <w:rPr>
          <w:color w:val="auto"/>
          <w:spacing w:val="0"/>
          <w:w w:val="100"/>
          <w:position w:val="0"/>
          <w:sz w:val="24"/>
          <w:szCs w:val="24"/>
        </w:rPr>
        <w:t xml:space="preserve">）计算； </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 xml:space="preserve">t, </w:t>
      </w:r>
      <w:r>
        <w:rPr>
          <w:color w:val="auto"/>
          <w:spacing w:val="0"/>
          <w:w w:val="100"/>
          <w:position w:val="0"/>
          <w:sz w:val="24"/>
          <w:szCs w:val="24"/>
        </w:rPr>
        <w:t>θ</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列车运行噪声垂向指向性修正，</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0DCCD2F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t,t——</w:t>
      </w:r>
      <w:r>
        <w:rPr>
          <w:color w:val="auto"/>
          <w:spacing w:val="0"/>
          <w:w w:val="100"/>
          <w:position w:val="0"/>
          <w:sz w:val="24"/>
          <w:szCs w:val="24"/>
        </w:rPr>
        <w:t xml:space="preserve">线路和轨道结构对噪声影响的修正，可按类比试验数据、标准方法或相关资料确定，部分条件下修正方法参照表 </w:t>
      </w:r>
      <w:r>
        <w:rPr>
          <w:rFonts w:ascii="Times New Roman" w:hAnsi="Times New Roman" w:eastAsia="Times New Roman" w:cs="Times New Roman"/>
          <w:color w:val="auto"/>
          <w:spacing w:val="0"/>
          <w:w w:val="100"/>
          <w:position w:val="0"/>
          <w:sz w:val="24"/>
          <w:szCs w:val="24"/>
        </w:rPr>
        <w:t xml:space="preserve">4.4.4.2- 1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7001FFD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t,div——</w:t>
      </w:r>
      <w:r>
        <w:rPr>
          <w:color w:val="auto"/>
          <w:spacing w:val="0"/>
          <w:w w:val="100"/>
          <w:position w:val="0"/>
          <w:sz w:val="24"/>
          <w:szCs w:val="24"/>
        </w:rPr>
        <w:t>列车运行噪声几何发散损失，</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419F79E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atm——</w:t>
      </w:r>
      <w:r>
        <w:rPr>
          <w:color w:val="auto"/>
          <w:spacing w:val="0"/>
          <w:w w:val="100"/>
          <w:position w:val="0"/>
          <w:sz w:val="24"/>
          <w:szCs w:val="24"/>
        </w:rPr>
        <w:t>列车运行噪声的大气吸收，</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0984F73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gr——</w:t>
      </w:r>
      <w:r>
        <w:rPr>
          <w:color w:val="auto"/>
          <w:spacing w:val="0"/>
          <w:w w:val="100"/>
          <w:position w:val="0"/>
          <w:sz w:val="24"/>
          <w:szCs w:val="24"/>
        </w:rPr>
        <w:t>地面效应引起的列车运行噪声衰减，</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677CD86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bar——</w:t>
      </w:r>
      <w:r>
        <w:rPr>
          <w:color w:val="auto"/>
          <w:spacing w:val="0"/>
          <w:w w:val="100"/>
          <w:position w:val="0"/>
          <w:sz w:val="24"/>
          <w:szCs w:val="24"/>
        </w:rPr>
        <w:t>声屏障对列车运行噪声的插入损失，</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279741A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hous——</w:t>
      </w:r>
      <w:r>
        <w:rPr>
          <w:color w:val="auto"/>
          <w:spacing w:val="0"/>
          <w:w w:val="100"/>
          <w:position w:val="0"/>
          <w:sz w:val="24"/>
          <w:szCs w:val="24"/>
        </w:rPr>
        <w:t>建筑群引起的列车运行噪声衰减，</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5FD7B23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hous——</w:t>
      </w:r>
      <w:r>
        <w:rPr>
          <w:color w:val="auto"/>
          <w:spacing w:val="0"/>
          <w:w w:val="100"/>
          <w:position w:val="0"/>
          <w:sz w:val="24"/>
          <w:szCs w:val="24"/>
        </w:rPr>
        <w:t>两侧建筑物引起的反射修正，</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017598C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w——</w:t>
      </w:r>
      <w:r>
        <w:rPr>
          <w:color w:val="auto"/>
          <w:spacing w:val="0"/>
          <w:w w:val="100"/>
          <w:position w:val="0"/>
          <w:sz w:val="24"/>
          <w:szCs w:val="24"/>
        </w:rPr>
        <w:t>频率计权修正，</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1596530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b/>
          <w:bCs/>
          <w:color w:val="auto"/>
          <w:spacing w:val="0"/>
          <w:w w:val="100"/>
          <w:position w:val="0"/>
          <w:sz w:val="24"/>
          <w:szCs w:val="24"/>
          <w:lang w:val="en-US" w:eastAsia="zh-CN"/>
        </w:rPr>
        <w:t>④</w:t>
      </w:r>
      <w:r>
        <w:rPr>
          <w:b/>
          <w:bCs/>
          <w:color w:val="auto"/>
          <w:spacing w:val="0"/>
          <w:w w:val="100"/>
          <w:position w:val="0"/>
          <w:sz w:val="24"/>
          <w:szCs w:val="24"/>
        </w:rPr>
        <w:t>速度修正（</w:t>
      </w:r>
      <w:r>
        <w:rPr>
          <w:rFonts w:ascii="Times New Roman" w:hAnsi="Times New Roman" w:eastAsia="Times New Roman" w:cs="Times New Roman"/>
          <w:b/>
          <w:bCs/>
          <w:i/>
          <w:iCs/>
          <w:color w:val="auto"/>
          <w:spacing w:val="0"/>
          <w:w w:val="100"/>
          <w:position w:val="0"/>
          <w:sz w:val="24"/>
          <w:szCs w:val="24"/>
        </w:rPr>
        <w:t>C</w:t>
      </w:r>
      <w:r>
        <w:rPr>
          <w:rFonts w:ascii="Times New Roman" w:hAnsi="Times New Roman" w:eastAsia="Times New Roman" w:cs="Times New Roman"/>
          <w:b/>
          <w:bCs/>
          <w:color w:val="auto"/>
          <w:spacing w:val="0"/>
          <w:w w:val="100"/>
          <w:position w:val="0"/>
          <w:sz w:val="24"/>
          <w:szCs w:val="24"/>
        </w:rPr>
        <w:t>t,v</w:t>
      </w:r>
      <w:r>
        <w:rPr>
          <w:b/>
          <w:bCs/>
          <w:color w:val="auto"/>
          <w:spacing w:val="0"/>
          <w:w w:val="100"/>
          <w:position w:val="0"/>
          <w:sz w:val="24"/>
          <w:szCs w:val="24"/>
        </w:rPr>
        <w:t>）</w:t>
      </w:r>
    </w:p>
    <w:p w14:paraId="137B080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right"/>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rPr>
        <w:t>铁路（时速</w:t>
      </w:r>
      <w:r>
        <w:rPr>
          <w:rFonts w:hint="default" w:ascii="Times New Roman" w:hAnsi="Times New Roman" w:cs="Times New Roman"/>
          <w:color w:val="auto"/>
          <w:spacing w:val="0"/>
          <w:w w:val="100"/>
          <w:position w:val="0"/>
          <w:sz w:val="24"/>
          <w:szCs w:val="24"/>
          <w:lang w:val="en-US" w:eastAsia="zh-CN"/>
        </w:rPr>
        <w:t>&lt;</w:t>
      </w:r>
      <w:r>
        <w:rPr>
          <w:rFonts w:hint="default" w:ascii="Times New Roman" w:hAnsi="Times New Roman" w:eastAsia="Times New Roman" w:cs="Times New Roman"/>
          <w:color w:val="auto"/>
          <w:spacing w:val="0"/>
          <w:w w:val="100"/>
          <w:position w:val="0"/>
          <w:sz w:val="24"/>
          <w:szCs w:val="24"/>
        </w:rPr>
        <w:t>35km/h</w:t>
      </w:r>
      <w:r>
        <w:rPr>
          <w:rFonts w:hint="default" w:ascii="Times New Roman" w:hAnsi="Times New Roman" w:cs="Times New Roman"/>
          <w:color w:val="auto"/>
          <w:spacing w:val="0"/>
          <w:w w:val="100"/>
          <w:position w:val="0"/>
          <w:sz w:val="24"/>
          <w:szCs w:val="24"/>
        </w:rPr>
        <w:t>），线路类型为地面线时，按下式（</w:t>
      </w:r>
      <w:r>
        <w:rPr>
          <w:rFonts w:hint="default" w:ascii="Times New Roman" w:hAnsi="Times New Roman" w:eastAsia="Times New Roman" w:cs="Times New Roman"/>
          <w:color w:val="auto"/>
          <w:spacing w:val="0"/>
          <w:w w:val="100"/>
          <w:position w:val="0"/>
          <w:sz w:val="24"/>
          <w:szCs w:val="24"/>
        </w:rPr>
        <w:t>4-4</w:t>
      </w:r>
      <w:r>
        <w:rPr>
          <w:rFonts w:hint="default" w:ascii="Times New Roman" w:hAnsi="Times New Roman" w:cs="Times New Roman"/>
          <w:color w:val="auto"/>
          <w:spacing w:val="0"/>
          <w:w w:val="100"/>
          <w:position w:val="0"/>
          <w:sz w:val="24"/>
          <w:szCs w:val="24"/>
        </w:rPr>
        <w:t>）计算。</w:t>
      </w:r>
    </w:p>
    <w:p w14:paraId="08015EE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eastAsia="Cambria Math" w:cs="Times New Roman"/>
          <w:color w:val="auto"/>
          <w:spacing w:val="0"/>
          <w:w w:val="100"/>
          <w:position w:val="0"/>
          <w:sz w:val="24"/>
          <w:szCs w:val="24"/>
        </w:rPr>
        <w:t>ct</w:t>
      </w:r>
      <w:r>
        <w:rPr>
          <w:rFonts w:hint="default" w:ascii="Times New Roman" w:hAnsi="Times New Roman" w:cs="Times New Roman"/>
          <w:color w:val="auto"/>
          <w:spacing w:val="0"/>
          <w:w w:val="100"/>
          <w:position w:val="0"/>
          <w:sz w:val="24"/>
          <w:szCs w:val="24"/>
        </w:rPr>
        <w:drawing>
          <wp:inline distT="0" distB="0" distL="0" distR="0">
            <wp:extent cx="99695" cy="65405"/>
            <wp:effectExtent l="0" t="0" r="14605" b="10795"/>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81"/>
                    <a:stretch>
                      <a:fillRect/>
                    </a:stretch>
                  </pic:blipFill>
                  <pic:spPr>
                    <a:xfrm>
                      <a:off x="0" y="0"/>
                      <a:ext cx="100082" cy="65633"/>
                    </a:xfrm>
                    <a:prstGeom prst="rect">
                      <a:avLst/>
                    </a:prstGeom>
                  </pic:spPr>
                </pic:pic>
              </a:graphicData>
            </a:graphic>
          </wp:inline>
        </w:drawing>
      </w:r>
      <w:r>
        <w:rPr>
          <w:rFonts w:hint="default" w:ascii="Times New Roman" w:hAnsi="Times New Roman" w:eastAsia="Cambria Math" w:cs="Times New Roman"/>
          <w:color w:val="auto"/>
          <w:spacing w:val="0"/>
          <w:w w:val="100"/>
          <w:position w:val="0"/>
          <w:sz w:val="24"/>
          <w:szCs w:val="24"/>
        </w:rPr>
        <w:t>i  =</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Cambria Math" w:cs="Times New Roman"/>
          <w:color w:val="auto"/>
          <w:spacing w:val="0"/>
          <w:w w:val="100"/>
          <w:position w:val="0"/>
          <w:sz w:val="24"/>
          <w:szCs w:val="24"/>
        </w:rPr>
        <w:t>0 lg</w:t>
      </w:r>
      <w:r>
        <w:rPr>
          <w:rFonts w:hint="default" w:ascii="Times New Roman" w:hAnsi="Times New Roman" w:cs="Times New Roman"/>
          <w:color w:val="auto"/>
          <w:spacing w:val="0"/>
          <w:w w:val="100"/>
          <w:position w:val="0"/>
          <w:sz w:val="24"/>
          <w:szCs w:val="24"/>
        </w:rPr>
        <w:drawing>
          <wp:inline distT="0" distB="0" distL="0" distR="0">
            <wp:extent cx="128270" cy="240030"/>
            <wp:effectExtent l="0" t="0" r="5080" b="762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82"/>
                    <a:stretch>
                      <a:fillRect/>
                    </a:stretch>
                  </pic:blipFill>
                  <pic:spPr>
                    <a:xfrm>
                      <a:off x="0" y="0"/>
                      <a:ext cx="128484" cy="240114"/>
                    </a:xfrm>
                    <a:prstGeom prst="rect">
                      <a:avLst/>
                    </a:prstGeom>
                  </pic:spPr>
                </pic:pic>
              </a:graphicData>
            </a:graphic>
          </wp:inline>
        </w:drawing>
      </w:r>
      <w:r>
        <w:rPr>
          <w:rFonts w:hint="default" w:ascii="Times New Roman" w:hAnsi="Times New Roman" w:eastAsia="Cambria Math" w:cs="Times New Roman"/>
          <w:color w:val="auto"/>
          <w:spacing w:val="0"/>
          <w:w w:val="100"/>
          <w:position w:val="0"/>
          <w:sz w:val="24"/>
          <w:szCs w:val="24"/>
        </w:rPr>
        <w:t xml:space="preserve">            </w:t>
      </w:r>
      <w:r>
        <w:rPr>
          <w:rFonts w:hint="default" w:ascii="Times New Roman" w:hAnsi="Times New Roman" w:cs="Times New Roman"/>
          <w:color w:val="auto"/>
          <w:spacing w:val="0"/>
          <w:w w:val="100"/>
          <w:position w:val="0"/>
          <w:sz w:val="24"/>
          <w:szCs w:val="24"/>
        </w:rPr>
        <w:t>（</w:t>
      </w:r>
      <w:r>
        <w:rPr>
          <w:rFonts w:hint="default" w:ascii="Times New Roman" w:hAnsi="Times New Roman" w:eastAsia="Times New Roman" w:cs="Times New Roman"/>
          <w:color w:val="auto"/>
          <w:spacing w:val="0"/>
          <w:w w:val="100"/>
          <w:position w:val="0"/>
          <w:sz w:val="24"/>
          <w:szCs w:val="24"/>
        </w:rPr>
        <w:t>4-4</w:t>
      </w:r>
      <w:r>
        <w:rPr>
          <w:rFonts w:hint="default" w:ascii="Times New Roman" w:hAnsi="Times New Roman" w:cs="Times New Roman"/>
          <w:color w:val="auto"/>
          <w:spacing w:val="0"/>
          <w:w w:val="100"/>
          <w:position w:val="0"/>
          <w:sz w:val="24"/>
          <w:szCs w:val="24"/>
        </w:rPr>
        <w:t>）</w:t>
      </w:r>
    </w:p>
    <w:p w14:paraId="36682027">
      <w:pPr>
        <w:pStyle w:val="9"/>
        <w:keepNext w:val="0"/>
        <w:keepLines w:val="0"/>
        <w:pageBreakBefore w:val="0"/>
        <w:widowControl/>
        <w:kinsoku/>
        <w:wordWrap/>
        <w:overflowPunct/>
        <w:topLinePunct w:val="0"/>
        <w:autoSpaceDE w:val="0"/>
        <w:autoSpaceDN w:val="0"/>
        <w:bidi w:val="0"/>
        <w:adjustRightInd/>
        <w:snapToGrid/>
        <w:spacing w:line="360" w:lineRule="auto"/>
        <w:ind w:right="0"/>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rPr>
        <w:t>式中：</w:t>
      </w:r>
      <w:r>
        <w:rPr>
          <w:rFonts w:hint="default" w:ascii="Times New Roman" w:hAnsi="Times New Roman" w:eastAsia="Times New Roman" w:cs="Times New Roman"/>
          <w:i/>
          <w:iCs/>
          <w:color w:val="auto"/>
          <w:spacing w:val="0"/>
          <w:w w:val="100"/>
          <w:position w:val="0"/>
          <w:sz w:val="24"/>
          <w:szCs w:val="24"/>
        </w:rPr>
        <w:t>C</w:t>
      </w:r>
      <w:r>
        <w:rPr>
          <w:rFonts w:hint="default" w:ascii="Times New Roman" w:hAnsi="Times New Roman" w:eastAsia="Times New Roman" w:cs="Times New Roman"/>
          <w:color w:val="auto"/>
          <w:spacing w:val="0"/>
          <w:w w:val="100"/>
          <w:position w:val="0"/>
          <w:sz w:val="24"/>
          <w:szCs w:val="24"/>
        </w:rPr>
        <w:t>t,v——</w:t>
      </w:r>
      <w:r>
        <w:rPr>
          <w:rFonts w:hint="default" w:ascii="Times New Roman" w:hAnsi="Times New Roman" w:cs="Times New Roman"/>
          <w:color w:val="auto"/>
          <w:spacing w:val="0"/>
          <w:w w:val="100"/>
          <w:position w:val="0"/>
          <w:sz w:val="24"/>
          <w:szCs w:val="24"/>
        </w:rPr>
        <w:t>速度修正，</w:t>
      </w:r>
      <w:r>
        <w:rPr>
          <w:rFonts w:hint="default" w:ascii="Times New Roman" w:hAnsi="Times New Roman" w:eastAsia="Times New Roman" w:cs="Times New Roman"/>
          <w:color w:val="auto"/>
          <w:spacing w:val="0"/>
          <w:w w:val="100"/>
          <w:position w:val="0"/>
          <w:sz w:val="24"/>
          <w:szCs w:val="24"/>
        </w:rPr>
        <w:t>dB</w:t>
      </w:r>
      <w:r>
        <w:rPr>
          <w:rFonts w:hint="default" w:ascii="Times New Roman" w:hAnsi="Times New Roman" w:cs="Times New Roman"/>
          <w:color w:val="auto"/>
          <w:spacing w:val="0"/>
          <w:w w:val="100"/>
          <w:position w:val="0"/>
          <w:sz w:val="24"/>
          <w:szCs w:val="24"/>
        </w:rPr>
        <w:t>；</w:t>
      </w:r>
    </w:p>
    <w:p w14:paraId="5B64B73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eastAsia="Times New Roman" w:cs="Times New Roman"/>
          <w:i/>
          <w:iCs/>
          <w:color w:val="auto"/>
          <w:spacing w:val="0"/>
          <w:w w:val="100"/>
          <w:position w:val="0"/>
          <w:sz w:val="24"/>
          <w:szCs w:val="24"/>
        </w:rPr>
        <w:t>v</w:t>
      </w:r>
      <w:r>
        <w:rPr>
          <w:rFonts w:hint="default" w:ascii="Times New Roman" w:hAnsi="Times New Roman" w:eastAsia="Times New Roman"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rPr>
        <w:t>列车通过预测点的运行速度，</w:t>
      </w:r>
      <w:r>
        <w:rPr>
          <w:rFonts w:hint="default" w:ascii="Times New Roman" w:hAnsi="Times New Roman" w:eastAsia="Times New Roman" w:cs="Times New Roman"/>
          <w:color w:val="auto"/>
          <w:spacing w:val="0"/>
          <w:w w:val="100"/>
          <w:position w:val="0"/>
          <w:sz w:val="24"/>
          <w:szCs w:val="24"/>
        </w:rPr>
        <w:t>km/h</w:t>
      </w:r>
      <w:r>
        <w:rPr>
          <w:rFonts w:hint="default" w:ascii="Times New Roman" w:hAnsi="Times New Roman" w:cs="Times New Roman"/>
          <w:color w:val="auto"/>
          <w:spacing w:val="0"/>
          <w:w w:val="100"/>
          <w:position w:val="0"/>
          <w:sz w:val="24"/>
          <w:szCs w:val="24"/>
        </w:rPr>
        <w:t>；本项目预测计算速度按设计最高速度</w:t>
      </w:r>
      <w:r>
        <w:rPr>
          <w:rFonts w:hint="eastAsia" w:ascii="Times New Roman" w:hAnsi="Times New Roman" w:cs="Times New Roman"/>
          <w:color w:val="auto"/>
          <w:spacing w:val="0"/>
          <w:w w:val="100"/>
          <w:position w:val="0"/>
          <w:sz w:val="24"/>
          <w:szCs w:val="24"/>
          <w:lang w:val="en-US" w:eastAsia="zh-CN"/>
        </w:rPr>
        <w:t>90%计算</w:t>
      </w:r>
      <w:r>
        <w:rPr>
          <w:rFonts w:hint="default" w:ascii="Times New Roman" w:hAnsi="Times New Roman" w:cs="Times New Roman"/>
          <w:color w:val="auto"/>
          <w:spacing w:val="0"/>
          <w:w w:val="100"/>
          <w:position w:val="0"/>
          <w:sz w:val="24"/>
          <w:szCs w:val="24"/>
        </w:rPr>
        <w:t>，即</w:t>
      </w:r>
      <w:r>
        <w:rPr>
          <w:rFonts w:hint="eastAsia" w:ascii="Times New Roman" w:hAnsi="Times New Roman" w:cs="Times New Roman"/>
          <w:color w:val="auto"/>
          <w:spacing w:val="0"/>
          <w:w w:val="100"/>
          <w:position w:val="0"/>
          <w:sz w:val="24"/>
          <w:szCs w:val="24"/>
          <w:lang w:val="en-US" w:eastAsia="zh-CN"/>
        </w:rPr>
        <w:t>22.5</w:t>
      </w:r>
      <w:r>
        <w:rPr>
          <w:rFonts w:hint="default" w:ascii="Times New Roman" w:hAnsi="Times New Roman" w:eastAsia="Times New Roman" w:cs="Times New Roman"/>
          <w:color w:val="auto"/>
          <w:spacing w:val="0"/>
          <w:w w:val="100"/>
          <w:position w:val="0"/>
          <w:sz w:val="24"/>
          <w:szCs w:val="24"/>
        </w:rPr>
        <w:t>km/h</w:t>
      </w:r>
      <w:r>
        <w:rPr>
          <w:rFonts w:hint="default" w:ascii="Times New Roman" w:hAnsi="Times New Roman" w:cs="Times New Roman"/>
          <w:color w:val="auto"/>
          <w:spacing w:val="0"/>
          <w:w w:val="100"/>
          <w:position w:val="0"/>
          <w:sz w:val="24"/>
          <w:szCs w:val="24"/>
        </w:rPr>
        <w:t>。</w:t>
      </w:r>
    </w:p>
    <w:p w14:paraId="27B74D1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eastAsia="Times New Roman" w:cs="Times New Roman"/>
          <w:i/>
          <w:iCs/>
          <w:color w:val="auto"/>
          <w:spacing w:val="0"/>
          <w:w w:val="100"/>
          <w:position w:val="0"/>
          <w:sz w:val="24"/>
          <w:szCs w:val="24"/>
        </w:rPr>
        <w:t>v0</w:t>
      </w:r>
      <w:r>
        <w:rPr>
          <w:rFonts w:hint="default" w:ascii="Times New Roman" w:hAnsi="Times New Roman" w:eastAsia="Times New Roman"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rPr>
        <w:t>噪声源强的参考速度，</w:t>
      </w:r>
      <w:r>
        <w:rPr>
          <w:rFonts w:hint="eastAsia" w:ascii="Times New Roman" w:hAnsi="Times New Roman" w:eastAsia="宋体" w:cs="Times New Roman"/>
          <w:color w:val="auto"/>
          <w:spacing w:val="0"/>
          <w:w w:val="100"/>
          <w:position w:val="0"/>
          <w:sz w:val="24"/>
          <w:szCs w:val="24"/>
          <w:lang w:val="en-US" w:eastAsia="zh-CN"/>
        </w:rPr>
        <w:t>25</w:t>
      </w:r>
      <w:r>
        <w:rPr>
          <w:rFonts w:hint="default" w:ascii="Times New Roman" w:hAnsi="Times New Roman" w:eastAsia="Times New Roman" w:cs="Times New Roman"/>
          <w:color w:val="auto"/>
          <w:spacing w:val="0"/>
          <w:w w:val="100"/>
          <w:position w:val="0"/>
          <w:sz w:val="24"/>
          <w:szCs w:val="24"/>
        </w:rPr>
        <w:t>km/h</w:t>
      </w:r>
      <w:r>
        <w:rPr>
          <w:rFonts w:hint="default" w:ascii="Times New Roman" w:hAnsi="Times New Roman" w:cs="Times New Roman"/>
          <w:color w:val="auto"/>
          <w:spacing w:val="0"/>
          <w:w w:val="100"/>
          <w:position w:val="0"/>
          <w:sz w:val="24"/>
          <w:szCs w:val="24"/>
        </w:rPr>
        <w:t>。</w:t>
      </w:r>
    </w:p>
    <w:p w14:paraId="77DE843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b/>
          <w:bCs/>
          <w:color w:val="auto"/>
          <w:spacing w:val="0"/>
          <w:w w:val="100"/>
          <w:position w:val="0"/>
          <w:sz w:val="24"/>
          <w:szCs w:val="24"/>
          <w:lang w:val="en-US" w:eastAsia="zh-CN"/>
        </w:rPr>
        <w:t>⑤</w:t>
      </w:r>
      <w:r>
        <w:rPr>
          <w:b/>
          <w:bCs/>
          <w:color w:val="auto"/>
          <w:spacing w:val="0"/>
          <w:w w:val="100"/>
          <w:position w:val="0"/>
          <w:sz w:val="24"/>
          <w:szCs w:val="24"/>
        </w:rPr>
        <w:t>列车运行噪声垂向指向性修正（</w:t>
      </w:r>
      <w:r>
        <w:rPr>
          <w:rFonts w:ascii="Times New Roman" w:hAnsi="Times New Roman" w:eastAsia="Times New Roman" w:cs="Times New Roman"/>
          <w:b/>
          <w:bCs/>
          <w:i/>
          <w:iCs/>
          <w:color w:val="auto"/>
          <w:spacing w:val="0"/>
          <w:w w:val="100"/>
          <w:position w:val="0"/>
          <w:sz w:val="24"/>
          <w:szCs w:val="24"/>
        </w:rPr>
        <w:t>C</w:t>
      </w:r>
      <w:r>
        <w:rPr>
          <w:rFonts w:ascii="Times New Roman" w:hAnsi="Times New Roman" w:eastAsia="Times New Roman" w:cs="Times New Roman"/>
          <w:b/>
          <w:bCs/>
          <w:color w:val="auto"/>
          <w:spacing w:val="0"/>
          <w:w w:val="100"/>
          <w:position w:val="0"/>
          <w:sz w:val="24"/>
          <w:szCs w:val="24"/>
        </w:rPr>
        <w:t>t,θ</w:t>
      </w:r>
      <w:r>
        <w:rPr>
          <w:b/>
          <w:bCs/>
          <w:color w:val="auto"/>
          <w:spacing w:val="0"/>
          <w:w w:val="100"/>
          <w:position w:val="0"/>
          <w:sz w:val="24"/>
          <w:szCs w:val="24"/>
        </w:rPr>
        <w:t>)</w:t>
      </w:r>
    </w:p>
    <w:p w14:paraId="52EE27C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地面线无挡板结构时(</w:t>
      </w:r>
      <w:r>
        <w:rPr>
          <w:rFonts w:ascii="Times New Roman" w:hAnsi="Times New Roman" w:eastAsia="Times New Roman" w:cs="Times New Roman"/>
          <w:color w:val="auto"/>
          <w:spacing w:val="0"/>
          <w:w w:val="100"/>
          <w:position w:val="0"/>
          <w:sz w:val="24"/>
          <w:szCs w:val="24"/>
        </w:rPr>
        <w:t>θ</w:t>
      </w:r>
      <w:r>
        <w:rPr>
          <w:color w:val="auto"/>
          <w:spacing w:val="0"/>
          <w:w w:val="100"/>
          <w:position w:val="0"/>
          <w:sz w:val="24"/>
          <w:szCs w:val="24"/>
        </w:rPr>
        <w:t xml:space="preserve">是以高于轨面以上 </w:t>
      </w:r>
      <w:r>
        <w:rPr>
          <w:rFonts w:ascii="Times New Roman" w:hAnsi="Times New Roman" w:eastAsia="Times New Roman" w:cs="Times New Roman"/>
          <w:color w:val="auto"/>
          <w:spacing w:val="0"/>
          <w:w w:val="100"/>
          <w:position w:val="0"/>
          <w:sz w:val="24"/>
          <w:szCs w:val="24"/>
        </w:rPr>
        <w:t>0.5m</w:t>
      </w:r>
      <w:r>
        <w:rPr>
          <w:color w:val="auto"/>
          <w:spacing w:val="0"/>
          <w:w w:val="100"/>
          <w:position w:val="0"/>
          <w:sz w:val="24"/>
          <w:szCs w:val="24"/>
        </w:rPr>
        <w:t>，即声源位置，为水平基准），按下式计算：</w:t>
      </w:r>
    </w:p>
    <w:p w14:paraId="4E362E4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当</w:t>
      </w:r>
      <w:r>
        <w:rPr>
          <w:rFonts w:ascii="Times New Roman" w:hAnsi="Times New Roman" w:eastAsia="Times New Roman" w:cs="Times New Roman"/>
          <w:color w:val="auto"/>
          <w:spacing w:val="0"/>
          <w:w w:val="100"/>
          <w:position w:val="0"/>
          <w:sz w:val="24"/>
          <w:szCs w:val="24"/>
        </w:rPr>
        <w:t>θ</w:t>
      </w:r>
      <w:r>
        <w:rPr>
          <w:color w:val="auto"/>
          <w:spacing w:val="0"/>
          <w:w w:val="100"/>
          <w:position w:val="0"/>
          <w:sz w:val="24"/>
          <w:szCs w:val="24"/>
        </w:rPr>
        <w:t>&gt;</w:t>
      </w:r>
      <w:r>
        <w:rPr>
          <w:rFonts w:ascii="Times New Roman" w:hAnsi="Times New Roman" w:eastAsia="Times New Roman" w:cs="Times New Roman"/>
          <w:color w:val="auto"/>
          <w:spacing w:val="0"/>
          <w:w w:val="100"/>
          <w:position w:val="0"/>
          <w:sz w:val="24"/>
          <w:szCs w:val="24"/>
        </w:rPr>
        <w:t xml:space="preserve">50° </w:t>
      </w:r>
      <w:r>
        <w:rPr>
          <w:color w:val="auto"/>
          <w:spacing w:val="0"/>
          <w:w w:val="100"/>
          <w:position w:val="0"/>
          <w:sz w:val="24"/>
          <w:szCs w:val="24"/>
        </w:rPr>
        <w:t>时，</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 xml:space="preserve">t,θ=-2.5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4-5</w:t>
      </w:r>
      <w:r>
        <w:rPr>
          <w:color w:val="auto"/>
          <w:spacing w:val="0"/>
          <w:w w:val="100"/>
          <w:position w:val="0"/>
          <w:sz w:val="24"/>
          <w:szCs w:val="24"/>
        </w:rPr>
        <w:t>）</w:t>
      </w:r>
    </w:p>
    <w:p w14:paraId="0566E5E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 xml:space="preserve">当 </w:t>
      </w:r>
      <w:r>
        <w:rPr>
          <w:rFonts w:ascii="Times New Roman" w:hAnsi="Times New Roman" w:eastAsia="Times New Roman" w:cs="Times New Roman"/>
          <w:color w:val="auto"/>
          <w:spacing w:val="0"/>
          <w:w w:val="100"/>
          <w:position w:val="0"/>
          <w:sz w:val="24"/>
          <w:szCs w:val="24"/>
        </w:rPr>
        <w:t xml:space="preserve">21.5º≤θ≤50º </w:t>
      </w:r>
      <w:r>
        <w:rPr>
          <w:color w:val="auto"/>
          <w:spacing w:val="0"/>
          <w:w w:val="100"/>
          <w:position w:val="0"/>
          <w:sz w:val="24"/>
          <w:szCs w:val="24"/>
        </w:rPr>
        <w:t>时，</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 xml:space="preserve">t,θ=-0.0165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θ-21.5°</w:t>
      </w:r>
      <w:r>
        <w:rPr>
          <w:color w:val="auto"/>
          <w:spacing w:val="0"/>
          <w:w w:val="100"/>
          <w:position w:val="0"/>
          <w:sz w:val="24"/>
          <w:szCs w:val="24"/>
        </w:rPr>
        <w:t xml:space="preserve">) </w:t>
      </w:r>
      <w:r>
        <w:rPr>
          <w:rFonts w:ascii="Times New Roman" w:hAnsi="Times New Roman" w:eastAsia="Times New Roman" w:cs="Times New Roman"/>
          <w:color w:val="auto"/>
          <w:spacing w:val="0"/>
          <w:w w:val="100"/>
          <w:position w:val="0"/>
          <w:sz w:val="24"/>
          <w:szCs w:val="24"/>
        </w:rPr>
        <w:t xml:space="preserve">1.5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4-6</w:t>
      </w:r>
      <w:r>
        <w:rPr>
          <w:color w:val="auto"/>
          <w:spacing w:val="0"/>
          <w:w w:val="100"/>
          <w:position w:val="0"/>
          <w:sz w:val="24"/>
          <w:szCs w:val="24"/>
        </w:rPr>
        <w:t>）</w:t>
      </w:r>
    </w:p>
    <w:p w14:paraId="54F1D50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当</w:t>
      </w:r>
      <w:r>
        <w:rPr>
          <w:rFonts w:ascii="Times New Roman" w:hAnsi="Times New Roman" w:eastAsia="Times New Roman" w:cs="Times New Roman"/>
          <w:color w:val="auto"/>
          <w:spacing w:val="0"/>
          <w:w w:val="100"/>
          <w:position w:val="0"/>
          <w:sz w:val="24"/>
          <w:szCs w:val="24"/>
        </w:rPr>
        <w:t xml:space="preserve">-10º≤θ≤21.5º </w:t>
      </w:r>
      <w:r>
        <w:rPr>
          <w:color w:val="auto"/>
          <w:spacing w:val="0"/>
          <w:w w:val="100"/>
          <w:position w:val="0"/>
          <w:sz w:val="24"/>
          <w:szCs w:val="24"/>
        </w:rPr>
        <w:t>时，</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t,θ=-0.02</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21.5°-θ</w:t>
      </w:r>
      <w:r>
        <w:rPr>
          <w:color w:val="auto"/>
          <w:spacing w:val="0"/>
          <w:w w:val="100"/>
          <w:position w:val="0"/>
          <w:sz w:val="24"/>
          <w:szCs w:val="24"/>
        </w:rPr>
        <w:t xml:space="preserve">) </w:t>
      </w:r>
      <w:r>
        <w:rPr>
          <w:rFonts w:ascii="Times New Roman" w:hAnsi="Times New Roman" w:eastAsia="Times New Roman" w:cs="Times New Roman"/>
          <w:color w:val="auto"/>
          <w:spacing w:val="0"/>
          <w:w w:val="100"/>
          <w:position w:val="0"/>
          <w:sz w:val="24"/>
          <w:szCs w:val="24"/>
        </w:rPr>
        <w:t xml:space="preserve">1.5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4-7</w:t>
      </w:r>
      <w:r>
        <w:rPr>
          <w:color w:val="auto"/>
          <w:spacing w:val="0"/>
          <w:w w:val="100"/>
          <w:position w:val="0"/>
          <w:sz w:val="24"/>
          <w:szCs w:val="24"/>
        </w:rPr>
        <w:t>）</w:t>
      </w:r>
    </w:p>
    <w:p w14:paraId="653AE2E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当</w:t>
      </w:r>
      <w:r>
        <w:rPr>
          <w:rFonts w:ascii="Times New Roman" w:hAnsi="Times New Roman" w:eastAsia="Times New Roman" w:cs="Times New Roman"/>
          <w:color w:val="auto"/>
          <w:spacing w:val="0"/>
          <w:w w:val="100"/>
          <w:position w:val="0"/>
          <w:sz w:val="24"/>
          <w:szCs w:val="24"/>
        </w:rPr>
        <w:t>θ</w:t>
      </w:r>
      <w:r>
        <w:rPr>
          <w:color w:val="auto"/>
          <w:spacing w:val="0"/>
          <w:w w:val="100"/>
          <w:position w:val="0"/>
          <w:sz w:val="24"/>
          <w:szCs w:val="24"/>
        </w:rPr>
        <w:t>&lt;</w:t>
      </w:r>
      <w:r>
        <w:rPr>
          <w:rFonts w:ascii="Times New Roman" w:hAnsi="Times New Roman" w:eastAsia="Times New Roman" w:cs="Times New Roman"/>
          <w:color w:val="auto"/>
          <w:spacing w:val="0"/>
          <w:w w:val="100"/>
          <w:position w:val="0"/>
          <w:sz w:val="24"/>
          <w:szCs w:val="24"/>
        </w:rPr>
        <w:t xml:space="preserve">-10º </w:t>
      </w:r>
      <w:r>
        <w:rPr>
          <w:color w:val="auto"/>
          <w:spacing w:val="0"/>
          <w:w w:val="100"/>
          <w:position w:val="0"/>
          <w:sz w:val="24"/>
          <w:szCs w:val="24"/>
        </w:rPr>
        <w:t>时，</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 xml:space="preserve">t,θ=-3.5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4-8</w:t>
      </w:r>
      <w:r>
        <w:rPr>
          <w:color w:val="auto"/>
          <w:spacing w:val="0"/>
          <w:w w:val="100"/>
          <w:position w:val="0"/>
          <w:sz w:val="24"/>
          <w:szCs w:val="24"/>
        </w:rPr>
        <w:t>）</w:t>
      </w:r>
    </w:p>
    <w:p w14:paraId="7CA0463C">
      <w:pPr>
        <w:pStyle w:val="9"/>
        <w:keepNext w:val="0"/>
        <w:keepLines w:val="0"/>
        <w:pageBreakBefore w:val="0"/>
        <w:widowControl/>
        <w:kinsoku/>
        <w:wordWrap/>
        <w:overflowPunct/>
        <w:topLinePunct w:val="0"/>
        <w:autoSpaceDE w:val="0"/>
        <w:autoSpaceDN w:val="0"/>
        <w:bidi w:val="0"/>
        <w:adjustRightInd/>
        <w:snapToGrid/>
        <w:spacing w:line="360" w:lineRule="auto"/>
        <w:ind w:right="0"/>
        <w:textAlignment w:val="baseline"/>
        <w:rPr>
          <w:color w:val="auto"/>
          <w:spacing w:val="0"/>
          <w:w w:val="100"/>
          <w:position w:val="0"/>
          <w:sz w:val="24"/>
          <w:szCs w:val="24"/>
        </w:rPr>
      </w:pPr>
      <w:r>
        <w:rPr>
          <w:color w:val="auto"/>
          <w:spacing w:val="0"/>
          <w:w w:val="100"/>
          <w:position w:val="0"/>
          <w:sz w:val="24"/>
          <w:szCs w:val="24"/>
        </w:rPr>
        <w:t>式中：</w:t>
      </w:r>
      <w:r>
        <w:rPr>
          <w:rFonts w:ascii="Times New Roman" w:hAnsi="Times New Roman" w:eastAsia="Times New Roman" w:cs="Times New Roman"/>
          <w:i/>
          <w:iCs/>
          <w:color w:val="auto"/>
          <w:spacing w:val="0"/>
          <w:w w:val="100"/>
          <w:position w:val="0"/>
          <w:sz w:val="24"/>
          <w:szCs w:val="24"/>
        </w:rPr>
        <w:t>C</w:t>
      </w:r>
      <w:r>
        <w:rPr>
          <w:rFonts w:ascii="Times New Roman" w:hAnsi="Times New Roman" w:eastAsia="Times New Roman" w:cs="Times New Roman"/>
          <w:color w:val="auto"/>
          <w:spacing w:val="0"/>
          <w:w w:val="100"/>
          <w:position w:val="0"/>
          <w:sz w:val="24"/>
          <w:szCs w:val="24"/>
        </w:rPr>
        <w:t>t,θ—</w:t>
      </w:r>
      <w:r>
        <w:rPr>
          <w:color w:val="auto"/>
          <w:spacing w:val="0"/>
          <w:w w:val="100"/>
          <w:position w:val="0"/>
          <w:sz w:val="24"/>
          <w:szCs w:val="24"/>
        </w:rPr>
        <w:t>列车运行噪声垂向指向性修正，</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6FCE61E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θ</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预测点与声源水平方向的夹角，单位是度。</w:t>
      </w:r>
    </w:p>
    <w:p w14:paraId="60A28E0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b/>
          <w:bCs/>
          <w:color w:val="auto"/>
          <w:spacing w:val="0"/>
          <w:w w:val="100"/>
          <w:position w:val="0"/>
          <w:sz w:val="24"/>
          <w:szCs w:val="24"/>
          <w:lang w:val="en-US" w:eastAsia="zh-CN"/>
        </w:rPr>
        <w:t>⑥</w:t>
      </w:r>
      <w:r>
        <w:rPr>
          <w:b/>
          <w:bCs/>
          <w:color w:val="auto"/>
          <w:spacing w:val="0"/>
          <w:w w:val="100"/>
          <w:position w:val="0"/>
          <w:sz w:val="24"/>
          <w:szCs w:val="24"/>
        </w:rPr>
        <w:t>线路和轨道结构修正（</w:t>
      </w:r>
      <w:r>
        <w:rPr>
          <w:rFonts w:ascii="Times New Roman" w:hAnsi="Times New Roman" w:eastAsia="Times New Roman" w:cs="Times New Roman"/>
          <w:b/>
          <w:bCs/>
          <w:i/>
          <w:iCs/>
          <w:color w:val="auto"/>
          <w:spacing w:val="0"/>
          <w:w w:val="100"/>
          <w:position w:val="0"/>
          <w:sz w:val="24"/>
          <w:szCs w:val="24"/>
        </w:rPr>
        <w:t>C</w:t>
      </w:r>
      <w:r>
        <w:rPr>
          <w:rFonts w:ascii="Times New Roman" w:hAnsi="Times New Roman" w:eastAsia="Times New Roman" w:cs="Times New Roman"/>
          <w:b/>
          <w:bCs/>
          <w:color w:val="auto"/>
          <w:spacing w:val="0"/>
          <w:w w:val="100"/>
          <w:position w:val="0"/>
          <w:sz w:val="24"/>
          <w:szCs w:val="24"/>
        </w:rPr>
        <w:t>t,t</w:t>
      </w:r>
      <w:r>
        <w:rPr>
          <w:b/>
          <w:bCs/>
          <w:color w:val="auto"/>
          <w:spacing w:val="0"/>
          <w:w w:val="100"/>
          <w:position w:val="0"/>
          <w:sz w:val="24"/>
          <w:szCs w:val="24"/>
        </w:rPr>
        <w:t>）</w:t>
      </w:r>
    </w:p>
    <w:p w14:paraId="4B2B0D6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rPr>
        <w:t>铁路（时速低于</w:t>
      </w:r>
      <w:r>
        <w:rPr>
          <w:rFonts w:hint="default" w:ascii="Times New Roman" w:hAnsi="Times New Roman" w:eastAsia="Times New Roman" w:cs="Times New Roman"/>
          <w:color w:val="auto"/>
          <w:spacing w:val="0"/>
          <w:w w:val="100"/>
          <w:position w:val="0"/>
          <w:sz w:val="24"/>
          <w:szCs w:val="24"/>
        </w:rPr>
        <w:t>200km/h</w:t>
      </w:r>
      <w:r>
        <w:rPr>
          <w:rFonts w:hint="default" w:ascii="Times New Roman" w:hAnsi="Times New Roman" w:cs="Times New Roman"/>
          <w:color w:val="auto"/>
          <w:spacing w:val="0"/>
          <w:w w:val="100"/>
          <w:position w:val="0"/>
          <w:sz w:val="24"/>
          <w:szCs w:val="24"/>
        </w:rPr>
        <w:t>）噪声修正应按照类比试验数据、标准方法或相关资料计算，部分条件下修正可参照下表</w:t>
      </w:r>
      <w:r>
        <w:rPr>
          <w:rFonts w:hint="default" w:ascii="Times New Roman" w:hAnsi="Times New Roman" w:eastAsia="宋体" w:cs="Times New Roman"/>
          <w:color w:val="auto"/>
          <w:spacing w:val="0"/>
          <w:w w:val="100"/>
          <w:position w:val="0"/>
          <w:sz w:val="24"/>
          <w:szCs w:val="24"/>
          <w:lang w:val="en-US" w:eastAsia="zh-CN"/>
        </w:rPr>
        <w:t>4.4-5</w:t>
      </w:r>
      <w:r>
        <w:rPr>
          <w:rFonts w:hint="default" w:ascii="Times New Roman" w:hAnsi="Times New Roman" w:cs="Times New Roman"/>
          <w:color w:val="auto"/>
          <w:spacing w:val="0"/>
          <w:w w:val="100"/>
          <w:position w:val="0"/>
          <w:sz w:val="24"/>
          <w:szCs w:val="24"/>
        </w:rPr>
        <w:t>：</w:t>
      </w:r>
    </w:p>
    <w:p w14:paraId="4E3C539A">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不同铁路和轨道条件噪声修正值</w:t>
      </w:r>
    </w:p>
    <w:tbl>
      <w:tblPr>
        <w:tblStyle w:val="26"/>
        <w:tblW w:w="7459" w:type="dxa"/>
        <w:tblInd w:w="5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6"/>
        <w:gridCol w:w="2836"/>
        <w:gridCol w:w="2467"/>
      </w:tblGrid>
      <w:tr w14:paraId="3615D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992" w:type="dxa"/>
            <w:gridSpan w:val="2"/>
            <w:vAlign w:val="center"/>
          </w:tcPr>
          <w:p w14:paraId="57515BF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线路类型</w:t>
            </w:r>
          </w:p>
        </w:tc>
        <w:tc>
          <w:tcPr>
            <w:tcW w:w="2467" w:type="dxa"/>
            <w:vAlign w:val="center"/>
          </w:tcPr>
          <w:p w14:paraId="4817252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噪声修正值</w:t>
            </w:r>
            <w:r>
              <w:rPr>
                <w:rFonts w:ascii="Times New Roman" w:hAnsi="Times New Roman" w:eastAsia="Times New Roman" w:cs="Times New Roman"/>
                <w:color w:val="auto"/>
                <w:spacing w:val="0"/>
                <w:w w:val="100"/>
                <w:position w:val="0"/>
                <w:sz w:val="20"/>
                <w:szCs w:val="20"/>
              </w:rPr>
              <w:t>/dB</w:t>
            </w:r>
            <w:r>
              <w:rPr>
                <w:color w:val="auto"/>
                <w:spacing w:val="0"/>
                <w:w w:val="100"/>
                <w:position w:val="0"/>
                <w:sz w:val="20"/>
                <w:szCs w:val="20"/>
              </w:rPr>
              <w:t>（</w:t>
            </w:r>
            <w:r>
              <w:rPr>
                <w:rFonts w:ascii="Times New Roman" w:hAnsi="Times New Roman" w:eastAsia="Times New Roman" w:cs="Times New Roman"/>
                <w:color w:val="auto"/>
                <w:spacing w:val="0"/>
                <w:w w:val="100"/>
                <w:position w:val="0"/>
                <w:sz w:val="20"/>
                <w:szCs w:val="20"/>
              </w:rPr>
              <w:t>A</w:t>
            </w:r>
            <w:r>
              <w:rPr>
                <w:color w:val="auto"/>
                <w:spacing w:val="0"/>
                <w:w w:val="100"/>
                <w:position w:val="0"/>
                <w:sz w:val="20"/>
                <w:szCs w:val="20"/>
              </w:rPr>
              <w:t>）</w:t>
            </w:r>
          </w:p>
        </w:tc>
      </w:tr>
      <w:tr w14:paraId="7D572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6" w:type="dxa"/>
            <w:vMerge w:val="restart"/>
            <w:tcBorders>
              <w:bottom w:val="nil"/>
            </w:tcBorders>
            <w:vAlign w:val="center"/>
          </w:tcPr>
          <w:p w14:paraId="3225D5E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线路平面</w:t>
            </w:r>
          </w:p>
          <w:p w14:paraId="39EA9B4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圆曲线半径（</w:t>
            </w:r>
            <w:r>
              <w:rPr>
                <w:rFonts w:ascii="Times New Roman" w:hAnsi="Times New Roman" w:eastAsia="Times New Roman" w:cs="Times New Roman"/>
                <w:color w:val="auto"/>
                <w:spacing w:val="0"/>
                <w:w w:val="100"/>
                <w:position w:val="0"/>
                <w:sz w:val="20"/>
                <w:szCs w:val="20"/>
              </w:rPr>
              <w:t>R</w:t>
            </w:r>
            <w:r>
              <w:rPr>
                <w:color w:val="auto"/>
                <w:spacing w:val="0"/>
                <w:w w:val="100"/>
                <w:position w:val="0"/>
                <w:sz w:val="20"/>
                <w:szCs w:val="20"/>
              </w:rPr>
              <w:t>）</w:t>
            </w:r>
          </w:p>
        </w:tc>
        <w:tc>
          <w:tcPr>
            <w:tcW w:w="2836" w:type="dxa"/>
            <w:vAlign w:val="center"/>
          </w:tcPr>
          <w:p w14:paraId="05A55AF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i/>
                <w:iCs/>
                <w:color w:val="auto"/>
                <w:spacing w:val="0"/>
                <w:w w:val="100"/>
                <w:position w:val="0"/>
                <w:sz w:val="20"/>
                <w:szCs w:val="20"/>
              </w:rPr>
              <w:t>R</w:t>
            </w:r>
            <w:r>
              <w:rPr>
                <w:color w:val="auto"/>
                <w:spacing w:val="0"/>
                <w:w w:val="100"/>
                <w:position w:val="0"/>
                <w:sz w:val="20"/>
                <w:szCs w:val="20"/>
              </w:rPr>
              <w:t>＜</w:t>
            </w:r>
            <w:r>
              <w:rPr>
                <w:rFonts w:ascii="Times New Roman" w:hAnsi="Times New Roman" w:eastAsia="Times New Roman" w:cs="Times New Roman"/>
                <w:color w:val="auto"/>
                <w:spacing w:val="0"/>
                <w:w w:val="100"/>
                <w:position w:val="0"/>
                <w:sz w:val="20"/>
                <w:szCs w:val="20"/>
              </w:rPr>
              <w:t>300m</w:t>
            </w:r>
          </w:p>
        </w:tc>
        <w:tc>
          <w:tcPr>
            <w:tcW w:w="2467" w:type="dxa"/>
            <w:vAlign w:val="center"/>
          </w:tcPr>
          <w:p w14:paraId="52D7BFCF">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+8</w:t>
            </w:r>
          </w:p>
        </w:tc>
      </w:tr>
      <w:tr w14:paraId="2CA5E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6" w:type="dxa"/>
            <w:vMerge w:val="continue"/>
            <w:tcBorders>
              <w:top w:val="nil"/>
              <w:bottom w:val="nil"/>
            </w:tcBorders>
            <w:vAlign w:val="center"/>
          </w:tcPr>
          <w:p w14:paraId="074BAD46">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2836" w:type="dxa"/>
            <w:vAlign w:val="center"/>
          </w:tcPr>
          <w:p w14:paraId="74A9C3CA">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300m≤</w:t>
            </w:r>
            <w:r>
              <w:rPr>
                <w:rFonts w:ascii="Times New Roman" w:hAnsi="Times New Roman" w:eastAsia="Times New Roman" w:cs="Times New Roman"/>
                <w:i/>
                <w:iCs/>
                <w:color w:val="auto"/>
                <w:spacing w:val="0"/>
                <w:w w:val="100"/>
                <w:position w:val="0"/>
                <w:sz w:val="20"/>
                <w:szCs w:val="20"/>
              </w:rPr>
              <w:t>R</w:t>
            </w:r>
            <w:r>
              <w:rPr>
                <w:rFonts w:ascii="Times New Roman" w:hAnsi="Times New Roman" w:eastAsia="Times New Roman" w:cs="Times New Roman"/>
                <w:color w:val="auto"/>
                <w:spacing w:val="0"/>
                <w:w w:val="100"/>
                <w:position w:val="0"/>
                <w:sz w:val="20"/>
                <w:szCs w:val="20"/>
              </w:rPr>
              <w:t>≤500m</w:t>
            </w:r>
          </w:p>
        </w:tc>
        <w:tc>
          <w:tcPr>
            <w:tcW w:w="2467" w:type="dxa"/>
            <w:vAlign w:val="center"/>
          </w:tcPr>
          <w:p w14:paraId="5BCFC508">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+3</w:t>
            </w:r>
          </w:p>
        </w:tc>
      </w:tr>
      <w:tr w14:paraId="09B58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6" w:type="dxa"/>
            <w:vMerge w:val="continue"/>
            <w:tcBorders>
              <w:top w:val="nil"/>
            </w:tcBorders>
            <w:vAlign w:val="center"/>
          </w:tcPr>
          <w:p w14:paraId="6E27730D">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2836" w:type="dxa"/>
            <w:vAlign w:val="center"/>
          </w:tcPr>
          <w:p w14:paraId="50CECA8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i/>
                <w:iCs/>
                <w:color w:val="auto"/>
                <w:spacing w:val="0"/>
                <w:w w:val="100"/>
                <w:position w:val="0"/>
                <w:sz w:val="20"/>
                <w:szCs w:val="20"/>
              </w:rPr>
              <w:t>R</w:t>
            </w:r>
            <w:r>
              <w:rPr>
                <w:color w:val="auto"/>
                <w:spacing w:val="0"/>
                <w:w w:val="100"/>
                <w:position w:val="0"/>
                <w:sz w:val="20"/>
                <w:szCs w:val="20"/>
              </w:rPr>
              <w:t>＞</w:t>
            </w:r>
            <w:r>
              <w:rPr>
                <w:rFonts w:ascii="Times New Roman" w:hAnsi="Times New Roman" w:eastAsia="Times New Roman" w:cs="Times New Roman"/>
                <w:color w:val="auto"/>
                <w:spacing w:val="0"/>
                <w:w w:val="100"/>
                <w:position w:val="0"/>
                <w:sz w:val="20"/>
                <w:szCs w:val="20"/>
              </w:rPr>
              <w:t>500m</w:t>
            </w:r>
          </w:p>
        </w:tc>
        <w:tc>
          <w:tcPr>
            <w:tcW w:w="2467" w:type="dxa"/>
            <w:vAlign w:val="center"/>
          </w:tcPr>
          <w:p w14:paraId="30B60644">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+0</w:t>
            </w:r>
          </w:p>
        </w:tc>
      </w:tr>
      <w:tr w14:paraId="52348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992" w:type="dxa"/>
            <w:gridSpan w:val="2"/>
            <w:vAlign w:val="center"/>
          </w:tcPr>
          <w:p w14:paraId="5102D8C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有缝线路</w:t>
            </w:r>
          </w:p>
        </w:tc>
        <w:tc>
          <w:tcPr>
            <w:tcW w:w="2467" w:type="dxa"/>
            <w:vAlign w:val="center"/>
          </w:tcPr>
          <w:p w14:paraId="0D54312B">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+3</w:t>
            </w:r>
          </w:p>
        </w:tc>
      </w:tr>
      <w:tr w14:paraId="41088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992" w:type="dxa"/>
            <w:gridSpan w:val="2"/>
            <w:vAlign w:val="center"/>
          </w:tcPr>
          <w:p w14:paraId="5E5DC1F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道岔和交叉线路</w:t>
            </w:r>
          </w:p>
        </w:tc>
        <w:tc>
          <w:tcPr>
            <w:tcW w:w="2467" w:type="dxa"/>
            <w:vAlign w:val="center"/>
          </w:tcPr>
          <w:p w14:paraId="29E8B94D">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+4</w:t>
            </w:r>
          </w:p>
        </w:tc>
      </w:tr>
      <w:tr w14:paraId="4F1AF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992" w:type="dxa"/>
            <w:gridSpan w:val="2"/>
            <w:vAlign w:val="center"/>
          </w:tcPr>
          <w:p w14:paraId="20EC9D9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坡道（上坡，坡度＞</w:t>
            </w:r>
            <w:r>
              <w:rPr>
                <w:rFonts w:ascii="Times New Roman" w:hAnsi="Times New Roman" w:eastAsia="Times New Roman" w:cs="Times New Roman"/>
                <w:color w:val="auto"/>
                <w:spacing w:val="0"/>
                <w:w w:val="100"/>
                <w:position w:val="0"/>
                <w:sz w:val="20"/>
                <w:szCs w:val="20"/>
              </w:rPr>
              <w:t>6‰</w:t>
            </w:r>
            <w:r>
              <w:rPr>
                <w:color w:val="auto"/>
                <w:spacing w:val="0"/>
                <w:w w:val="100"/>
                <w:position w:val="0"/>
                <w:sz w:val="20"/>
                <w:szCs w:val="20"/>
              </w:rPr>
              <w:t>）</w:t>
            </w:r>
          </w:p>
        </w:tc>
        <w:tc>
          <w:tcPr>
            <w:tcW w:w="2467" w:type="dxa"/>
            <w:vAlign w:val="center"/>
          </w:tcPr>
          <w:p w14:paraId="637EFABF">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+2</w:t>
            </w:r>
          </w:p>
        </w:tc>
      </w:tr>
      <w:tr w14:paraId="08ADF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992" w:type="dxa"/>
            <w:gridSpan w:val="2"/>
            <w:vAlign w:val="center"/>
          </w:tcPr>
          <w:p w14:paraId="4C1B61E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有砟轨道</w:t>
            </w:r>
          </w:p>
        </w:tc>
        <w:tc>
          <w:tcPr>
            <w:tcW w:w="2467" w:type="dxa"/>
            <w:vAlign w:val="center"/>
          </w:tcPr>
          <w:p w14:paraId="6243312B">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-3</w:t>
            </w:r>
          </w:p>
        </w:tc>
      </w:tr>
    </w:tbl>
    <w:p w14:paraId="0FA3644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 xml:space="preserve">有缝线路与无缝线路条件下的轮轨噪声修正如下：有缝线路的轮轨噪声比无缝线路高 </w:t>
      </w:r>
      <w:r>
        <w:rPr>
          <w:rFonts w:ascii="Times New Roman" w:hAnsi="Times New Roman" w:eastAsia="Times New Roman" w:cs="Times New Roman"/>
          <w:color w:val="auto"/>
          <w:spacing w:val="0"/>
          <w:w w:val="100"/>
          <w:position w:val="0"/>
          <w:sz w:val="24"/>
          <w:szCs w:val="24"/>
        </w:rPr>
        <w:t xml:space="preserve">3dB </w:t>
      </w:r>
      <w:r>
        <w:rPr>
          <w:color w:val="auto"/>
          <w:spacing w:val="0"/>
          <w:w w:val="100"/>
          <w:position w:val="0"/>
          <w:sz w:val="24"/>
          <w:szCs w:val="24"/>
        </w:rPr>
        <w:t>。项目为有缝线路，因此噪声源强</w:t>
      </w:r>
      <w:r>
        <w:rPr>
          <w:rFonts w:ascii="Times New Roman" w:hAnsi="Times New Roman" w:eastAsia="Times New Roman" w:cs="Times New Roman"/>
          <w:color w:val="auto"/>
          <w:spacing w:val="0"/>
          <w:w w:val="100"/>
          <w:position w:val="0"/>
          <w:sz w:val="24"/>
          <w:szCs w:val="24"/>
        </w:rPr>
        <w:t>+3dB</w:t>
      </w:r>
      <w:r>
        <w:rPr>
          <w:color w:val="auto"/>
          <w:spacing w:val="0"/>
          <w:w w:val="100"/>
          <w:position w:val="0"/>
          <w:sz w:val="24"/>
          <w:szCs w:val="24"/>
        </w:rPr>
        <w:t>。</w:t>
      </w:r>
    </w:p>
    <w:p w14:paraId="7417E15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b/>
          <w:bCs/>
          <w:color w:val="auto"/>
          <w:spacing w:val="0"/>
          <w:w w:val="100"/>
          <w:position w:val="0"/>
          <w:sz w:val="24"/>
          <w:szCs w:val="24"/>
        </w:rPr>
        <w:t>（</w:t>
      </w:r>
      <w:r>
        <w:rPr>
          <w:rFonts w:ascii="Times New Roman" w:hAnsi="Times New Roman" w:eastAsia="Times New Roman" w:cs="Times New Roman"/>
          <w:b/>
          <w:bCs/>
          <w:color w:val="auto"/>
          <w:spacing w:val="0"/>
          <w:w w:val="100"/>
          <w:position w:val="0"/>
          <w:sz w:val="24"/>
          <w:szCs w:val="24"/>
        </w:rPr>
        <w:t>7</w:t>
      </w:r>
      <w:r>
        <w:rPr>
          <w:b/>
          <w:bCs/>
          <w:color w:val="auto"/>
          <w:spacing w:val="0"/>
          <w:w w:val="100"/>
          <w:position w:val="0"/>
          <w:sz w:val="24"/>
          <w:szCs w:val="24"/>
        </w:rPr>
        <w:t>）列车运行噪声几何发散衰减（</w:t>
      </w:r>
      <w:r>
        <w:rPr>
          <w:rFonts w:ascii="Times New Roman" w:hAnsi="Times New Roman" w:eastAsia="Times New Roman" w:cs="Times New Roman"/>
          <w:b/>
          <w:bCs/>
          <w:i/>
          <w:iCs/>
          <w:color w:val="auto"/>
          <w:spacing w:val="0"/>
          <w:w w:val="100"/>
          <w:position w:val="0"/>
          <w:sz w:val="24"/>
          <w:szCs w:val="24"/>
        </w:rPr>
        <w:t>A</w:t>
      </w:r>
      <w:r>
        <w:rPr>
          <w:rFonts w:ascii="Times New Roman" w:hAnsi="Times New Roman" w:eastAsia="Times New Roman" w:cs="Times New Roman"/>
          <w:b/>
          <w:bCs/>
          <w:color w:val="auto"/>
          <w:spacing w:val="0"/>
          <w:w w:val="100"/>
          <w:position w:val="0"/>
          <w:sz w:val="24"/>
          <w:szCs w:val="24"/>
        </w:rPr>
        <w:t>t,div</w:t>
      </w:r>
      <w:r>
        <w:rPr>
          <w:b/>
          <w:bCs/>
          <w:color w:val="auto"/>
          <w:spacing w:val="0"/>
          <w:w w:val="100"/>
          <w:position w:val="0"/>
          <w:sz w:val="24"/>
          <w:szCs w:val="24"/>
        </w:rPr>
        <w:t>）</w:t>
      </w:r>
    </w:p>
    <w:p w14:paraId="39311AD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铁路（时速低于</w:t>
      </w:r>
      <w:r>
        <w:rPr>
          <w:rFonts w:ascii="Times New Roman" w:hAnsi="Times New Roman" w:eastAsia="Times New Roman" w:cs="Times New Roman"/>
          <w:color w:val="auto"/>
          <w:spacing w:val="0"/>
          <w:w w:val="100"/>
          <w:position w:val="0"/>
          <w:sz w:val="24"/>
          <w:szCs w:val="24"/>
        </w:rPr>
        <w:t>200km/h</w:t>
      </w:r>
      <w:r>
        <w:rPr>
          <w:color w:val="auto"/>
          <w:spacing w:val="0"/>
          <w:w w:val="100"/>
          <w:position w:val="0"/>
          <w:sz w:val="24"/>
          <w:szCs w:val="24"/>
        </w:rPr>
        <w:t>）列车运行噪声几何发散衰减按照（</w:t>
      </w:r>
      <w:r>
        <w:rPr>
          <w:rFonts w:ascii="Times New Roman" w:hAnsi="Times New Roman" w:eastAsia="Times New Roman" w:cs="Times New Roman"/>
          <w:color w:val="auto"/>
          <w:spacing w:val="0"/>
          <w:w w:val="100"/>
          <w:position w:val="0"/>
          <w:sz w:val="24"/>
          <w:szCs w:val="24"/>
        </w:rPr>
        <w:t>4-9</w:t>
      </w:r>
      <w:r>
        <w:rPr>
          <w:color w:val="auto"/>
          <w:spacing w:val="0"/>
          <w:w w:val="100"/>
          <w:position w:val="0"/>
          <w:sz w:val="24"/>
          <w:szCs w:val="24"/>
        </w:rPr>
        <w:t>）公式进行计算：</w:t>
      </w:r>
    </w:p>
    <w:p w14:paraId="1A4E026A">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ascii="Arial"/>
          <w:color w:val="auto"/>
          <w:spacing w:val="0"/>
          <w:w w:val="100"/>
          <w:position w:val="0"/>
          <w:sz w:val="24"/>
          <w:szCs w:val="24"/>
        </w:rPr>
      </w:pPr>
      <w:r>
        <w:rPr>
          <w:color w:val="auto"/>
          <w:spacing w:val="0"/>
          <w:w w:val="100"/>
          <w:position w:val="0"/>
          <w:sz w:val="24"/>
          <w:szCs w:val="24"/>
        </w:rPr>
        <w:drawing>
          <wp:anchor distT="0" distB="0" distL="0" distR="0" simplePos="0" relativeHeight="251667456" behindDoc="0" locked="0" layoutInCell="1" allowOverlap="1">
            <wp:simplePos x="0" y="0"/>
            <wp:positionH relativeFrom="column">
              <wp:posOffset>1098550</wp:posOffset>
            </wp:positionH>
            <wp:positionV relativeFrom="paragraph">
              <wp:posOffset>13335</wp:posOffset>
            </wp:positionV>
            <wp:extent cx="2446020" cy="859790"/>
            <wp:effectExtent l="0" t="0" r="11430" b="1651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83"/>
                    <a:stretch>
                      <a:fillRect/>
                    </a:stretch>
                  </pic:blipFill>
                  <pic:spPr>
                    <a:xfrm>
                      <a:off x="0" y="0"/>
                      <a:ext cx="2446020" cy="859535"/>
                    </a:xfrm>
                    <a:prstGeom prst="rect">
                      <a:avLst/>
                    </a:prstGeom>
                  </pic:spPr>
                </pic:pic>
              </a:graphicData>
            </a:graphic>
          </wp:anchor>
        </w:drawing>
      </w:r>
    </w:p>
    <w:p w14:paraId="18B277B8">
      <w:pPr>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textAlignment w:val="baseline"/>
        <w:rPr>
          <w:rFonts w:ascii="Arial"/>
          <w:color w:val="auto"/>
          <w:spacing w:val="0"/>
          <w:w w:val="100"/>
          <w:position w:val="0"/>
          <w:sz w:val="21"/>
        </w:rPr>
      </w:pPr>
    </w:p>
    <w:p w14:paraId="3D34FF24">
      <w:pPr>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textAlignment w:val="baseline"/>
        <w:rPr>
          <w:rFonts w:ascii="Arial"/>
          <w:color w:val="auto"/>
          <w:spacing w:val="0"/>
          <w:w w:val="100"/>
          <w:position w:val="0"/>
          <w:sz w:val="21"/>
        </w:rPr>
      </w:pPr>
    </w:p>
    <w:p w14:paraId="0350902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textAlignment w:val="baseline"/>
        <w:rPr>
          <w:color w:val="auto"/>
          <w:spacing w:val="0"/>
          <w:w w:val="100"/>
          <w:position w:val="0"/>
        </w:rPr>
      </w:pPr>
      <w:r>
        <w:rPr>
          <w:rFonts w:hint="eastAsia" w:eastAsia="宋体"/>
          <w:color w:val="auto"/>
          <w:spacing w:val="0"/>
          <w:w w:val="100"/>
          <w:position w:val="0"/>
          <w:sz w:val="21"/>
          <w:lang w:val="en-US" w:eastAsia="zh-CN"/>
        </w:rPr>
        <w:t xml:space="preserve">                                                                                                  </w:t>
      </w:r>
      <w:r>
        <w:rPr>
          <w:color w:val="auto"/>
          <w:spacing w:val="0"/>
          <w:w w:val="100"/>
          <w:position w:val="0"/>
        </w:rPr>
        <w:t>（</w:t>
      </w:r>
      <w:r>
        <w:rPr>
          <w:rFonts w:ascii="Times New Roman" w:hAnsi="Times New Roman" w:eastAsia="Times New Roman" w:cs="Times New Roman"/>
          <w:color w:val="auto"/>
          <w:spacing w:val="0"/>
          <w:w w:val="100"/>
          <w:position w:val="0"/>
        </w:rPr>
        <w:t>4-9</w:t>
      </w:r>
      <w:r>
        <w:rPr>
          <w:color w:val="auto"/>
          <w:spacing w:val="0"/>
          <w:w w:val="100"/>
          <w:position w:val="0"/>
        </w:rPr>
        <w:t>）</w:t>
      </w:r>
    </w:p>
    <w:p w14:paraId="76ECB3D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式中：</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t,div—</w:t>
      </w:r>
      <w:r>
        <w:rPr>
          <w:color w:val="auto"/>
          <w:spacing w:val="0"/>
          <w:w w:val="100"/>
          <w:position w:val="0"/>
          <w:sz w:val="24"/>
          <w:szCs w:val="24"/>
        </w:rPr>
        <w:t>列车运行噪声几何发散衰减，</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3AF3AC9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d</w:t>
      </w:r>
      <w:r>
        <w:rPr>
          <w:rFonts w:ascii="Times New Roman" w:hAnsi="Times New Roman" w:eastAsia="Times New Roman" w:cs="Times New Roman"/>
          <w:color w:val="auto"/>
          <w:spacing w:val="0"/>
          <w:w w:val="100"/>
          <w:position w:val="0"/>
          <w:sz w:val="24"/>
          <w:szCs w:val="24"/>
        </w:rPr>
        <w:t>0—</w:t>
      </w:r>
      <w:r>
        <w:rPr>
          <w:color w:val="auto"/>
          <w:spacing w:val="0"/>
          <w:w w:val="100"/>
          <w:position w:val="0"/>
          <w:sz w:val="24"/>
          <w:szCs w:val="24"/>
        </w:rPr>
        <w:t>源强点至声源的直线距离（</w:t>
      </w:r>
      <w:r>
        <w:rPr>
          <w:rFonts w:ascii="Times New Roman" w:hAnsi="Times New Roman" w:eastAsia="Times New Roman" w:cs="Times New Roman"/>
          <w:color w:val="auto"/>
          <w:spacing w:val="0"/>
          <w:w w:val="100"/>
          <w:position w:val="0"/>
          <w:sz w:val="24"/>
          <w:szCs w:val="24"/>
        </w:rPr>
        <w:t>m</w:t>
      </w:r>
      <w:r>
        <w:rPr>
          <w:color w:val="auto"/>
          <w:spacing w:val="0"/>
          <w:w w:val="100"/>
          <w:position w:val="0"/>
          <w:sz w:val="24"/>
          <w:szCs w:val="24"/>
        </w:rPr>
        <w:t>）；</w:t>
      </w:r>
    </w:p>
    <w:p w14:paraId="118F7CE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d</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预测点到声源的直线距离（</w:t>
      </w:r>
      <w:r>
        <w:rPr>
          <w:rFonts w:ascii="Times New Roman" w:hAnsi="Times New Roman" w:eastAsia="Times New Roman" w:cs="Times New Roman"/>
          <w:color w:val="auto"/>
          <w:spacing w:val="0"/>
          <w:w w:val="100"/>
          <w:position w:val="0"/>
          <w:sz w:val="24"/>
          <w:szCs w:val="24"/>
        </w:rPr>
        <w:t>m</w:t>
      </w:r>
      <w:r>
        <w:rPr>
          <w:color w:val="auto"/>
          <w:spacing w:val="0"/>
          <w:w w:val="100"/>
          <w:position w:val="0"/>
          <w:sz w:val="24"/>
          <w:szCs w:val="24"/>
        </w:rPr>
        <w:t>）；</w:t>
      </w:r>
    </w:p>
    <w:p w14:paraId="0D612A9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l</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列车长度（</w:t>
      </w:r>
      <w:r>
        <w:rPr>
          <w:rFonts w:ascii="Times New Roman" w:hAnsi="Times New Roman" w:eastAsia="Times New Roman" w:cs="Times New Roman"/>
          <w:color w:val="auto"/>
          <w:spacing w:val="0"/>
          <w:w w:val="100"/>
          <w:position w:val="0"/>
          <w:sz w:val="24"/>
          <w:szCs w:val="24"/>
        </w:rPr>
        <w:t>m</w:t>
      </w:r>
      <w:r>
        <w:rPr>
          <w:color w:val="auto"/>
          <w:spacing w:val="0"/>
          <w:w w:val="100"/>
          <w:position w:val="0"/>
          <w:sz w:val="24"/>
          <w:szCs w:val="24"/>
        </w:rPr>
        <w:t>）。</w:t>
      </w:r>
    </w:p>
    <w:p w14:paraId="54BCF6D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b/>
          <w:bCs/>
          <w:color w:val="auto"/>
          <w:spacing w:val="0"/>
          <w:w w:val="100"/>
          <w:position w:val="0"/>
          <w:sz w:val="24"/>
          <w:szCs w:val="24"/>
          <w:lang w:val="en-US" w:eastAsia="zh-CN"/>
        </w:rPr>
        <w:t>⑧</w:t>
      </w:r>
      <w:r>
        <w:rPr>
          <w:b/>
          <w:bCs/>
          <w:color w:val="auto"/>
          <w:spacing w:val="0"/>
          <w:w w:val="100"/>
          <w:position w:val="0"/>
          <w:sz w:val="24"/>
          <w:szCs w:val="24"/>
        </w:rPr>
        <w:t>声屏障插入损失（</w:t>
      </w:r>
      <w:r>
        <w:rPr>
          <w:rFonts w:ascii="Times New Roman" w:hAnsi="Times New Roman" w:eastAsia="Times New Roman" w:cs="Times New Roman"/>
          <w:b/>
          <w:bCs/>
          <w:i/>
          <w:iCs/>
          <w:color w:val="auto"/>
          <w:spacing w:val="0"/>
          <w:w w:val="100"/>
          <w:position w:val="0"/>
          <w:sz w:val="24"/>
          <w:szCs w:val="24"/>
        </w:rPr>
        <w:t>A</w:t>
      </w:r>
      <w:r>
        <w:rPr>
          <w:rFonts w:ascii="Times New Roman" w:hAnsi="Times New Roman" w:eastAsia="Times New Roman" w:cs="Times New Roman"/>
          <w:b/>
          <w:bCs/>
          <w:color w:val="auto"/>
          <w:spacing w:val="0"/>
          <w:w w:val="100"/>
          <w:position w:val="0"/>
          <w:sz w:val="24"/>
          <w:szCs w:val="24"/>
        </w:rPr>
        <w:t>bar</w:t>
      </w:r>
      <w:r>
        <w:rPr>
          <w:b/>
          <w:bCs/>
          <w:color w:val="auto"/>
          <w:spacing w:val="0"/>
          <w:w w:val="100"/>
          <w:position w:val="0"/>
          <w:sz w:val="24"/>
          <w:szCs w:val="24"/>
        </w:rPr>
        <w:t>）</w:t>
      </w:r>
    </w:p>
    <w:p w14:paraId="5217C1C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项目不设置声屏障，本评价不考虑声屏障插入损失。</w:t>
      </w:r>
    </w:p>
    <w:p w14:paraId="78309E5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b/>
          <w:bCs/>
          <w:color w:val="auto"/>
          <w:spacing w:val="0"/>
          <w:w w:val="100"/>
          <w:position w:val="0"/>
          <w:sz w:val="24"/>
          <w:szCs w:val="24"/>
          <w:lang w:val="en-US" w:eastAsia="zh-CN"/>
        </w:rPr>
        <w:t>⑨</w:t>
      </w:r>
      <w:r>
        <w:rPr>
          <w:b/>
          <w:bCs/>
          <w:color w:val="auto"/>
          <w:spacing w:val="0"/>
          <w:w w:val="100"/>
          <w:position w:val="0"/>
          <w:sz w:val="24"/>
          <w:szCs w:val="24"/>
        </w:rPr>
        <w:t>大气吸收引起的衰减（</w:t>
      </w:r>
      <w:r>
        <w:rPr>
          <w:rFonts w:ascii="Times New Roman" w:hAnsi="Times New Roman" w:eastAsia="Times New Roman" w:cs="Times New Roman"/>
          <w:b/>
          <w:bCs/>
          <w:i/>
          <w:iCs/>
          <w:color w:val="auto"/>
          <w:spacing w:val="0"/>
          <w:w w:val="100"/>
          <w:position w:val="0"/>
          <w:sz w:val="24"/>
          <w:szCs w:val="24"/>
        </w:rPr>
        <w:t>A</w:t>
      </w:r>
      <w:r>
        <w:rPr>
          <w:rFonts w:ascii="Times New Roman" w:hAnsi="Times New Roman" w:eastAsia="Times New Roman" w:cs="Times New Roman"/>
          <w:b/>
          <w:bCs/>
          <w:color w:val="auto"/>
          <w:spacing w:val="0"/>
          <w:w w:val="100"/>
          <w:position w:val="0"/>
          <w:sz w:val="24"/>
          <w:szCs w:val="24"/>
        </w:rPr>
        <w:t>atm</w:t>
      </w:r>
      <w:r>
        <w:rPr>
          <w:b/>
          <w:bCs/>
          <w:color w:val="auto"/>
          <w:spacing w:val="0"/>
          <w:w w:val="100"/>
          <w:position w:val="0"/>
          <w:sz w:val="24"/>
          <w:szCs w:val="24"/>
        </w:rPr>
        <w:t>）</w:t>
      </w:r>
    </w:p>
    <w:p w14:paraId="4DB87F3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大气吸收引起的衰减</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 xml:space="preserve">atm </w:t>
      </w:r>
      <w:r>
        <w:rPr>
          <w:color w:val="auto"/>
          <w:spacing w:val="0"/>
          <w:w w:val="100"/>
          <w:position w:val="0"/>
          <w:sz w:val="24"/>
          <w:szCs w:val="24"/>
        </w:rPr>
        <w:t>参考《环境影响评价技术导则 声环境》（</w:t>
      </w:r>
      <w:r>
        <w:rPr>
          <w:rFonts w:ascii="Times New Roman" w:hAnsi="Times New Roman" w:eastAsia="Times New Roman" w:cs="Times New Roman"/>
          <w:color w:val="auto"/>
          <w:spacing w:val="0"/>
          <w:w w:val="100"/>
          <w:position w:val="0"/>
          <w:sz w:val="24"/>
          <w:szCs w:val="24"/>
        </w:rPr>
        <w:t>HJ2.4-2021</w:t>
      </w:r>
      <w:r>
        <w:rPr>
          <w:color w:val="auto"/>
          <w:spacing w:val="0"/>
          <w:w w:val="100"/>
          <w:position w:val="0"/>
          <w:sz w:val="24"/>
          <w:szCs w:val="24"/>
        </w:rPr>
        <w:t xml:space="preserve">）附录 </w:t>
      </w:r>
      <w:r>
        <w:rPr>
          <w:rFonts w:ascii="Times New Roman" w:hAnsi="Times New Roman" w:eastAsia="Times New Roman" w:cs="Times New Roman"/>
          <w:color w:val="auto"/>
          <w:spacing w:val="0"/>
          <w:w w:val="100"/>
          <w:position w:val="0"/>
          <w:sz w:val="24"/>
          <w:szCs w:val="24"/>
        </w:rPr>
        <w:t xml:space="preserve">A </w:t>
      </w:r>
      <w:r>
        <w:rPr>
          <w:color w:val="auto"/>
          <w:spacing w:val="0"/>
          <w:w w:val="100"/>
          <w:position w:val="0"/>
          <w:sz w:val="24"/>
          <w:szCs w:val="24"/>
        </w:rPr>
        <w:t xml:space="preserve">中 </w:t>
      </w:r>
      <w:r>
        <w:rPr>
          <w:rFonts w:ascii="Times New Roman" w:hAnsi="Times New Roman" w:eastAsia="Times New Roman" w:cs="Times New Roman"/>
          <w:color w:val="auto"/>
          <w:spacing w:val="0"/>
          <w:w w:val="100"/>
          <w:position w:val="0"/>
          <w:sz w:val="24"/>
          <w:szCs w:val="24"/>
        </w:rPr>
        <w:t xml:space="preserve">A.3.2 </w:t>
      </w:r>
      <w:r>
        <w:rPr>
          <w:color w:val="auto"/>
          <w:spacing w:val="0"/>
          <w:w w:val="100"/>
          <w:position w:val="0"/>
          <w:sz w:val="24"/>
          <w:szCs w:val="24"/>
        </w:rPr>
        <w:t>公式计算。</w:t>
      </w:r>
    </w:p>
    <w:p w14:paraId="14F36C6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atm=α</w:t>
      </w:r>
      <w:r>
        <w:rPr>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r</w:t>
      </w:r>
      <w:r>
        <w:rPr>
          <w:rFonts w:ascii="Times New Roman" w:hAnsi="Times New Roman" w:eastAsia="Times New Roman" w:cs="Times New Roman"/>
          <w:b/>
          <w:bCs/>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r0</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 xml:space="preserve">/1000                        </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4- 10</w:t>
      </w:r>
      <w:r>
        <w:rPr>
          <w:color w:val="auto"/>
          <w:spacing w:val="0"/>
          <w:w w:val="100"/>
          <w:position w:val="0"/>
          <w:sz w:val="24"/>
          <w:szCs w:val="24"/>
        </w:rPr>
        <w:t>）</w:t>
      </w:r>
    </w:p>
    <w:p w14:paraId="304D94C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式中：</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color w:val="auto"/>
          <w:spacing w:val="0"/>
          <w:w w:val="100"/>
          <w:position w:val="0"/>
          <w:sz w:val="24"/>
          <w:szCs w:val="24"/>
        </w:rPr>
        <w:t xml:space="preserve">atm </w:t>
      </w:r>
      <w:r>
        <w:rPr>
          <w:rFonts w:hint="eastAsia" w:ascii="Times New Roman" w:hAnsi="Times New Roman" w:eastAsia="宋体" w:cs="Times New Roman"/>
          <w:color w:val="auto"/>
          <w:spacing w:val="0"/>
          <w:w w:val="100"/>
          <w:position w:val="0"/>
          <w:sz w:val="24"/>
          <w:szCs w:val="24"/>
          <w:u w:val="single" w:color="auto"/>
          <w:lang w:eastAsia="zh-CN"/>
        </w:rPr>
        <w:t>—</w:t>
      </w:r>
      <w:r>
        <w:rPr>
          <w:color w:val="auto"/>
          <w:spacing w:val="0"/>
          <w:w w:val="100"/>
          <w:position w:val="0"/>
          <w:sz w:val="24"/>
          <w:szCs w:val="24"/>
        </w:rPr>
        <w:t>大气吸收引起的衰减，</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7CBFB96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eastAsia="Arial" w:cs="Times New Roman"/>
          <w:color w:val="auto"/>
          <w:spacing w:val="0"/>
          <w:w w:val="100"/>
          <w:position w:val="0"/>
          <w:sz w:val="24"/>
          <w:szCs w:val="24"/>
        </w:rPr>
        <w:t>“</w:t>
      </w:r>
      <w:r>
        <w:rPr>
          <w:rFonts w:hint="default" w:ascii="Times New Roman" w:hAnsi="Times New Roman" w:eastAsia="Times New Roman"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rPr>
        <w:t>与温度、湿度和声波频率有关的大气吸收衰减系数，预测计算中一般根据建设项目所处区域常年平均气温和湿度选择相应的大气吸收衰减系数；</w:t>
      </w:r>
      <w:r>
        <w:rPr>
          <w:rFonts w:hint="default" w:ascii="Times New Roman" w:hAnsi="Times New Roman" w:cs="Times New Roman"/>
          <w:color w:val="auto"/>
          <w:spacing w:val="0"/>
          <w:w w:val="100"/>
          <w:position w:val="0"/>
          <w:sz w:val="24"/>
          <w:szCs w:val="24"/>
          <w:lang w:val="en-US" w:eastAsia="zh-CN"/>
        </w:rPr>
        <w:t>沾益区</w:t>
      </w:r>
      <w:r>
        <w:rPr>
          <w:rFonts w:hint="default" w:ascii="Times New Roman" w:hAnsi="Times New Roman" w:cs="Times New Roman"/>
          <w:color w:val="auto"/>
          <w:spacing w:val="0"/>
          <w:w w:val="100"/>
          <w:position w:val="0"/>
          <w:sz w:val="24"/>
          <w:szCs w:val="24"/>
        </w:rPr>
        <w:t>年平均气温</w:t>
      </w:r>
      <w:r>
        <w:rPr>
          <w:rFonts w:hint="default" w:ascii="Times New Roman" w:hAnsi="Times New Roman" w:eastAsia="Times New Roman" w:cs="Times New Roman"/>
          <w:color w:val="auto"/>
          <w:spacing w:val="0"/>
          <w:w w:val="100"/>
          <w:position w:val="0"/>
          <w:sz w:val="24"/>
          <w:szCs w:val="24"/>
        </w:rPr>
        <w:t>15</w:t>
      </w:r>
      <w:r>
        <w:rPr>
          <w:rFonts w:hint="default" w:ascii="Times New Roman" w:hAnsi="Times New Roman" w:eastAsia="宋体" w:cs="Times New Roman"/>
          <w:color w:val="auto"/>
          <w:spacing w:val="0"/>
          <w:w w:val="100"/>
          <w:position w:val="0"/>
          <w:sz w:val="24"/>
          <w:szCs w:val="24"/>
          <w:lang w:val="en-US" w:eastAsia="zh-CN"/>
        </w:rPr>
        <w:t>.7</w:t>
      </w:r>
      <w:r>
        <w:rPr>
          <w:rFonts w:hint="default" w:ascii="Times New Roman" w:hAnsi="Times New Roman" w:eastAsia="Times New Roman"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cs="Times New Roman"/>
          <w:color w:val="auto"/>
          <w:spacing w:val="0"/>
          <w:w w:val="100"/>
          <w:position w:val="0"/>
          <w:sz w:val="24"/>
          <w:szCs w:val="24"/>
        </w:rPr>
        <w:t>年平均湿度</w:t>
      </w:r>
      <w:r>
        <w:rPr>
          <w:rFonts w:hint="default" w:ascii="Times New Roman" w:hAnsi="Times New Roman" w:cs="Times New Roman"/>
          <w:color w:val="auto"/>
          <w:spacing w:val="0"/>
          <w:w w:val="100"/>
          <w:position w:val="0"/>
          <w:sz w:val="24"/>
          <w:szCs w:val="24"/>
          <w:lang w:val="en-US" w:eastAsia="zh-CN"/>
        </w:rPr>
        <w:t>71</w:t>
      </w:r>
      <w:r>
        <w:rPr>
          <w:rFonts w:hint="default" w:ascii="Times New Roman" w:hAnsi="Times New Roman" w:eastAsia="Times New Roman"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rPr>
        <w:t>，</w:t>
      </w:r>
      <w:r>
        <w:rPr>
          <w:rFonts w:hint="default" w:ascii="Times New Roman" w:hAnsi="Times New Roman" w:eastAsia="Arial"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rPr>
        <w:t>取值如下：</w:t>
      </w:r>
    </w:p>
    <w:p w14:paraId="784CE4C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r</w:t>
      </w:r>
      <w:r>
        <w:rPr>
          <w:rFonts w:ascii="Times New Roman" w:hAnsi="Times New Roman" w:eastAsia="Times New Roman" w:cs="Times New Roman"/>
          <w:color w:val="auto"/>
          <w:spacing w:val="0"/>
          <w:w w:val="100"/>
          <w:position w:val="0"/>
          <w:sz w:val="24"/>
          <w:szCs w:val="24"/>
        </w:rPr>
        <w:t>0——</w:t>
      </w:r>
      <w:r>
        <w:rPr>
          <w:color w:val="auto"/>
          <w:spacing w:val="0"/>
          <w:w w:val="100"/>
          <w:position w:val="0"/>
          <w:sz w:val="24"/>
          <w:szCs w:val="24"/>
        </w:rPr>
        <w:t>参考位置距声源的距离，</w:t>
      </w:r>
      <w:r>
        <w:rPr>
          <w:rFonts w:ascii="Times New Roman" w:hAnsi="Times New Roman" w:eastAsia="Times New Roman" w:cs="Times New Roman"/>
          <w:color w:val="auto"/>
          <w:spacing w:val="0"/>
          <w:w w:val="100"/>
          <w:position w:val="0"/>
          <w:sz w:val="24"/>
          <w:szCs w:val="24"/>
        </w:rPr>
        <w:t>m</w:t>
      </w:r>
      <w:r>
        <w:rPr>
          <w:color w:val="auto"/>
          <w:spacing w:val="0"/>
          <w:w w:val="100"/>
          <w:position w:val="0"/>
          <w:sz w:val="24"/>
          <w:szCs w:val="24"/>
        </w:rPr>
        <w:t>；</w:t>
      </w:r>
    </w:p>
    <w:p w14:paraId="63062B6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rPr>
      </w:pPr>
      <w:r>
        <w:rPr>
          <w:rFonts w:ascii="Times New Roman" w:hAnsi="Times New Roman" w:eastAsia="Times New Roman" w:cs="Times New Roman"/>
          <w:i/>
          <w:iCs/>
          <w:color w:val="auto"/>
          <w:spacing w:val="0"/>
          <w:w w:val="100"/>
          <w:position w:val="0"/>
          <w:sz w:val="24"/>
          <w:szCs w:val="24"/>
        </w:rPr>
        <w:t>r</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预测点距声源的距离，</w:t>
      </w:r>
      <w:r>
        <w:rPr>
          <w:rFonts w:ascii="Times New Roman" w:hAnsi="Times New Roman" w:eastAsia="Times New Roman" w:cs="Times New Roman"/>
          <w:color w:val="auto"/>
          <w:spacing w:val="0"/>
          <w:w w:val="100"/>
          <w:position w:val="0"/>
          <w:sz w:val="24"/>
          <w:szCs w:val="24"/>
        </w:rPr>
        <w:t>m</w:t>
      </w:r>
      <w:r>
        <w:rPr>
          <w:color w:val="auto"/>
          <w:spacing w:val="0"/>
          <w:w w:val="100"/>
          <w:position w:val="0"/>
        </w:rPr>
        <w:t>。</w:t>
      </w:r>
    </w:p>
    <w:p w14:paraId="08DBAABA">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倍频带噪声的大气吸收衰减系数</w:t>
      </w:r>
    </w:p>
    <w:tbl>
      <w:tblPr>
        <w:tblStyle w:val="26"/>
        <w:tblW w:w="8314"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929"/>
        <w:gridCol w:w="825"/>
        <w:gridCol w:w="840"/>
        <w:gridCol w:w="713"/>
        <w:gridCol w:w="852"/>
        <w:gridCol w:w="852"/>
        <w:gridCol w:w="853"/>
        <w:gridCol w:w="852"/>
        <w:gridCol w:w="739"/>
      </w:tblGrid>
      <w:tr w14:paraId="288BB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859" w:type="dxa"/>
            <w:vMerge w:val="restart"/>
            <w:tcBorders>
              <w:bottom w:val="nil"/>
            </w:tcBorders>
            <w:vAlign w:val="center"/>
          </w:tcPr>
          <w:p w14:paraId="745355A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color w:val="auto"/>
                <w:spacing w:val="0"/>
                <w:w w:val="100"/>
                <w:position w:val="0"/>
                <w:sz w:val="20"/>
                <w:szCs w:val="20"/>
              </w:rPr>
              <w:t>温度</w:t>
            </w:r>
            <w:r>
              <w:rPr>
                <w:rFonts w:ascii="Times New Roman" w:hAnsi="Times New Roman" w:eastAsia="Times New Roman" w:cs="Times New Roman"/>
                <w:color w:val="auto"/>
                <w:spacing w:val="0"/>
                <w:w w:val="100"/>
                <w:position w:val="0"/>
                <w:sz w:val="20"/>
                <w:szCs w:val="20"/>
              </w:rPr>
              <w:t>/℃</w:t>
            </w:r>
          </w:p>
        </w:tc>
        <w:tc>
          <w:tcPr>
            <w:tcW w:w="929" w:type="dxa"/>
            <w:vMerge w:val="restart"/>
            <w:tcBorders>
              <w:bottom w:val="nil"/>
            </w:tcBorders>
            <w:vAlign w:val="center"/>
          </w:tcPr>
          <w:p w14:paraId="0F90887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color w:val="auto"/>
                <w:spacing w:val="0"/>
                <w:w w:val="100"/>
                <w:position w:val="0"/>
                <w:sz w:val="20"/>
                <w:szCs w:val="20"/>
              </w:rPr>
              <w:t>相对湿度</w:t>
            </w:r>
            <w:r>
              <w:rPr>
                <w:rFonts w:ascii="Times New Roman" w:hAnsi="Times New Roman" w:eastAsia="Times New Roman" w:cs="Times New Roman"/>
                <w:color w:val="auto"/>
                <w:spacing w:val="0"/>
                <w:w w:val="100"/>
                <w:position w:val="0"/>
                <w:sz w:val="20"/>
                <w:szCs w:val="20"/>
              </w:rPr>
              <w:t>/%</w:t>
            </w:r>
          </w:p>
        </w:tc>
        <w:tc>
          <w:tcPr>
            <w:tcW w:w="6526" w:type="dxa"/>
            <w:gridSpan w:val="8"/>
            <w:vAlign w:val="center"/>
          </w:tcPr>
          <w:p w14:paraId="21CE137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20"/>
                <w:szCs w:val="20"/>
              </w:rPr>
            </w:pPr>
            <w:r>
              <w:rPr>
                <w:color w:val="auto"/>
                <w:spacing w:val="0"/>
                <w:w w:val="100"/>
                <w:position w:val="0"/>
                <w:sz w:val="20"/>
                <w:szCs w:val="20"/>
              </w:rPr>
              <w:t>大气吸收衰减系数</w:t>
            </w:r>
            <w:r>
              <w:rPr>
                <w:rFonts w:ascii="Arial" w:hAnsi="Arial" w:eastAsia="Arial" w:cs="Arial"/>
                <w:color w:val="auto"/>
                <w:spacing w:val="0"/>
                <w:w w:val="100"/>
                <w:position w:val="0"/>
                <w:sz w:val="20"/>
                <w:szCs w:val="20"/>
              </w:rPr>
              <w:t>“/</w:t>
            </w:r>
            <w:r>
              <w:rPr>
                <w:color w:val="auto"/>
                <w:spacing w:val="0"/>
                <w:w w:val="100"/>
                <w:position w:val="0"/>
                <w:sz w:val="20"/>
                <w:szCs w:val="20"/>
              </w:rPr>
              <w:t>（</w:t>
            </w:r>
            <w:r>
              <w:rPr>
                <w:rFonts w:ascii="Times New Roman" w:hAnsi="Times New Roman" w:eastAsia="Times New Roman" w:cs="Times New Roman"/>
                <w:color w:val="auto"/>
                <w:spacing w:val="0"/>
                <w:w w:val="100"/>
                <w:position w:val="0"/>
                <w:sz w:val="20"/>
                <w:szCs w:val="20"/>
              </w:rPr>
              <w:t>dB/km</w:t>
            </w:r>
            <w:r>
              <w:rPr>
                <w:color w:val="auto"/>
                <w:spacing w:val="0"/>
                <w:w w:val="100"/>
                <w:position w:val="0"/>
                <w:sz w:val="20"/>
                <w:szCs w:val="20"/>
              </w:rPr>
              <w:t>）</w:t>
            </w:r>
          </w:p>
        </w:tc>
      </w:tr>
      <w:tr w14:paraId="17F2A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859" w:type="dxa"/>
            <w:vMerge w:val="continue"/>
            <w:tcBorders>
              <w:top w:val="nil"/>
              <w:bottom w:val="nil"/>
            </w:tcBorders>
            <w:vAlign w:val="center"/>
          </w:tcPr>
          <w:p w14:paraId="25FA4312">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929" w:type="dxa"/>
            <w:vMerge w:val="continue"/>
            <w:tcBorders>
              <w:top w:val="nil"/>
              <w:bottom w:val="nil"/>
            </w:tcBorders>
            <w:vAlign w:val="center"/>
          </w:tcPr>
          <w:p w14:paraId="49F1BBF8">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6526" w:type="dxa"/>
            <w:gridSpan w:val="8"/>
            <w:vAlign w:val="center"/>
          </w:tcPr>
          <w:p w14:paraId="73A567A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color w:val="auto"/>
                <w:spacing w:val="0"/>
                <w:w w:val="100"/>
                <w:position w:val="0"/>
                <w:sz w:val="20"/>
                <w:szCs w:val="20"/>
              </w:rPr>
              <w:t>倍频带中心频率</w:t>
            </w:r>
            <w:r>
              <w:rPr>
                <w:rFonts w:ascii="Times New Roman" w:hAnsi="Times New Roman" w:eastAsia="Times New Roman" w:cs="Times New Roman"/>
                <w:color w:val="auto"/>
                <w:spacing w:val="0"/>
                <w:w w:val="100"/>
                <w:position w:val="0"/>
                <w:sz w:val="20"/>
                <w:szCs w:val="20"/>
              </w:rPr>
              <w:t>/Hz</w:t>
            </w:r>
          </w:p>
        </w:tc>
      </w:tr>
      <w:tr w14:paraId="22E87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859" w:type="dxa"/>
            <w:vMerge w:val="continue"/>
            <w:tcBorders>
              <w:top w:val="nil"/>
            </w:tcBorders>
            <w:vAlign w:val="center"/>
          </w:tcPr>
          <w:p w14:paraId="5E9249B6">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929" w:type="dxa"/>
            <w:vMerge w:val="continue"/>
            <w:tcBorders>
              <w:top w:val="nil"/>
            </w:tcBorders>
            <w:vAlign w:val="center"/>
          </w:tcPr>
          <w:p w14:paraId="2648A9F3">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825" w:type="dxa"/>
            <w:vAlign w:val="center"/>
          </w:tcPr>
          <w:p w14:paraId="2EEBF541">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63</w:t>
            </w:r>
          </w:p>
        </w:tc>
        <w:tc>
          <w:tcPr>
            <w:tcW w:w="840" w:type="dxa"/>
            <w:vAlign w:val="center"/>
          </w:tcPr>
          <w:p w14:paraId="4F3E3514">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125</w:t>
            </w:r>
          </w:p>
        </w:tc>
        <w:tc>
          <w:tcPr>
            <w:tcW w:w="713" w:type="dxa"/>
            <w:vAlign w:val="center"/>
          </w:tcPr>
          <w:p w14:paraId="16F58B32">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250</w:t>
            </w:r>
          </w:p>
        </w:tc>
        <w:tc>
          <w:tcPr>
            <w:tcW w:w="852" w:type="dxa"/>
            <w:vAlign w:val="center"/>
          </w:tcPr>
          <w:p w14:paraId="200DB4D4">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500</w:t>
            </w:r>
          </w:p>
        </w:tc>
        <w:tc>
          <w:tcPr>
            <w:tcW w:w="852" w:type="dxa"/>
            <w:vAlign w:val="center"/>
          </w:tcPr>
          <w:p w14:paraId="371D88A7">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1000</w:t>
            </w:r>
          </w:p>
        </w:tc>
        <w:tc>
          <w:tcPr>
            <w:tcW w:w="853" w:type="dxa"/>
            <w:vAlign w:val="center"/>
          </w:tcPr>
          <w:p w14:paraId="5A0D6405">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2000</w:t>
            </w:r>
          </w:p>
        </w:tc>
        <w:tc>
          <w:tcPr>
            <w:tcW w:w="852" w:type="dxa"/>
            <w:vAlign w:val="center"/>
          </w:tcPr>
          <w:p w14:paraId="2A36ECB3">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4000</w:t>
            </w:r>
          </w:p>
        </w:tc>
        <w:tc>
          <w:tcPr>
            <w:tcW w:w="739" w:type="dxa"/>
            <w:vAlign w:val="center"/>
          </w:tcPr>
          <w:p w14:paraId="0650595F">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8000</w:t>
            </w:r>
          </w:p>
        </w:tc>
      </w:tr>
      <w:tr w14:paraId="01292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859" w:type="dxa"/>
            <w:vAlign w:val="center"/>
          </w:tcPr>
          <w:p w14:paraId="65C24897">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w w:val="100"/>
                <w:position w:val="0"/>
                <w:sz w:val="20"/>
                <w:szCs w:val="20"/>
                <w:lang w:val="en-US" w:eastAsia="zh-CN"/>
              </w:rPr>
            </w:pPr>
            <w:r>
              <w:rPr>
                <w:rFonts w:ascii="Times New Roman" w:hAnsi="Times New Roman" w:eastAsia="Times New Roman" w:cs="Times New Roman"/>
                <w:color w:val="auto"/>
                <w:spacing w:val="0"/>
                <w:w w:val="100"/>
                <w:position w:val="0"/>
                <w:sz w:val="20"/>
                <w:szCs w:val="20"/>
              </w:rPr>
              <w:t>15</w:t>
            </w:r>
            <w:r>
              <w:rPr>
                <w:rFonts w:hint="eastAsia" w:ascii="Times New Roman" w:hAnsi="Times New Roman" w:eastAsia="宋体" w:cs="Times New Roman"/>
                <w:color w:val="auto"/>
                <w:spacing w:val="0"/>
                <w:w w:val="100"/>
                <w:position w:val="0"/>
                <w:sz w:val="20"/>
                <w:szCs w:val="20"/>
                <w:lang w:val="en-US" w:eastAsia="zh-CN"/>
              </w:rPr>
              <w:t>.7</w:t>
            </w:r>
          </w:p>
        </w:tc>
        <w:tc>
          <w:tcPr>
            <w:tcW w:w="929" w:type="dxa"/>
            <w:vAlign w:val="center"/>
          </w:tcPr>
          <w:p w14:paraId="43EAA29C">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80</w:t>
            </w:r>
          </w:p>
        </w:tc>
        <w:tc>
          <w:tcPr>
            <w:tcW w:w="825" w:type="dxa"/>
            <w:vAlign w:val="center"/>
          </w:tcPr>
          <w:p w14:paraId="36146642">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0.1</w:t>
            </w:r>
          </w:p>
        </w:tc>
        <w:tc>
          <w:tcPr>
            <w:tcW w:w="840" w:type="dxa"/>
            <w:vAlign w:val="center"/>
          </w:tcPr>
          <w:p w14:paraId="4FA6F813">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0.3</w:t>
            </w:r>
          </w:p>
        </w:tc>
        <w:tc>
          <w:tcPr>
            <w:tcW w:w="713" w:type="dxa"/>
            <w:vAlign w:val="center"/>
          </w:tcPr>
          <w:p w14:paraId="44CF9136">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1.1</w:t>
            </w:r>
          </w:p>
        </w:tc>
        <w:tc>
          <w:tcPr>
            <w:tcW w:w="852" w:type="dxa"/>
            <w:vAlign w:val="center"/>
          </w:tcPr>
          <w:p w14:paraId="4AC925D0">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2.4</w:t>
            </w:r>
          </w:p>
        </w:tc>
        <w:tc>
          <w:tcPr>
            <w:tcW w:w="852" w:type="dxa"/>
            <w:vAlign w:val="center"/>
          </w:tcPr>
          <w:p w14:paraId="32E1491E">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4. 1</w:t>
            </w:r>
          </w:p>
        </w:tc>
        <w:tc>
          <w:tcPr>
            <w:tcW w:w="853" w:type="dxa"/>
            <w:vAlign w:val="center"/>
          </w:tcPr>
          <w:p w14:paraId="15E8282B">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8.3</w:t>
            </w:r>
          </w:p>
        </w:tc>
        <w:tc>
          <w:tcPr>
            <w:tcW w:w="852" w:type="dxa"/>
            <w:vAlign w:val="center"/>
          </w:tcPr>
          <w:p w14:paraId="1CD2F71A">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23.7</w:t>
            </w:r>
          </w:p>
        </w:tc>
        <w:tc>
          <w:tcPr>
            <w:tcW w:w="739" w:type="dxa"/>
            <w:vAlign w:val="center"/>
          </w:tcPr>
          <w:p w14:paraId="4BF32BE5">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20"/>
                <w:szCs w:val="20"/>
              </w:rPr>
            </w:pPr>
            <w:r>
              <w:rPr>
                <w:rFonts w:ascii="Times New Roman" w:hAnsi="Times New Roman" w:eastAsia="Times New Roman" w:cs="Times New Roman"/>
                <w:color w:val="auto"/>
                <w:spacing w:val="0"/>
                <w:w w:val="100"/>
                <w:position w:val="0"/>
                <w:sz w:val="20"/>
                <w:szCs w:val="20"/>
              </w:rPr>
              <w:t>82.8</w:t>
            </w:r>
          </w:p>
        </w:tc>
      </w:tr>
    </w:tbl>
    <w:p w14:paraId="6DF5BCD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textAlignment w:val="baseline"/>
        <w:rPr>
          <w:color w:val="auto"/>
          <w:spacing w:val="0"/>
          <w:w w:val="100"/>
          <w:position w:val="0"/>
        </w:rPr>
      </w:pPr>
      <w:r>
        <w:rPr>
          <w:rFonts w:hint="eastAsia"/>
          <w:b/>
          <w:bCs/>
          <w:color w:val="auto"/>
          <w:spacing w:val="0"/>
          <w:w w:val="100"/>
          <w:position w:val="0"/>
          <w:lang w:val="en-US" w:eastAsia="zh-CN"/>
        </w:rPr>
        <w:t>⑩</w:t>
      </w:r>
      <w:r>
        <w:rPr>
          <w:b/>
          <w:bCs/>
          <w:color w:val="auto"/>
          <w:spacing w:val="0"/>
          <w:w w:val="100"/>
          <w:position w:val="0"/>
        </w:rPr>
        <w:t>地面效应引起的衰减（</w:t>
      </w:r>
      <w:r>
        <w:rPr>
          <w:rFonts w:ascii="Times New Roman" w:hAnsi="Times New Roman" w:eastAsia="Times New Roman" w:cs="Times New Roman"/>
          <w:b/>
          <w:bCs/>
          <w:i/>
          <w:iCs/>
          <w:color w:val="auto"/>
          <w:spacing w:val="0"/>
          <w:w w:val="100"/>
          <w:position w:val="0"/>
        </w:rPr>
        <w:t>A</w:t>
      </w:r>
      <w:r>
        <w:rPr>
          <w:rFonts w:ascii="Times New Roman" w:hAnsi="Times New Roman" w:eastAsia="Times New Roman" w:cs="Times New Roman"/>
          <w:b/>
          <w:bCs/>
          <w:color w:val="auto"/>
          <w:spacing w:val="0"/>
          <w:w w:val="100"/>
          <w:position w:val="0"/>
          <w:sz w:val="15"/>
          <w:szCs w:val="15"/>
        </w:rPr>
        <w:t>gr</w:t>
      </w:r>
      <w:r>
        <w:rPr>
          <w:b/>
          <w:bCs/>
          <w:color w:val="auto"/>
          <w:spacing w:val="0"/>
          <w:w w:val="100"/>
          <w:position w:val="0"/>
        </w:rPr>
        <w:t>）</w:t>
      </w:r>
    </w:p>
    <w:p w14:paraId="737061B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color w:val="auto"/>
          <w:spacing w:val="0"/>
          <w:w w:val="100"/>
          <w:position w:val="0"/>
          <w:sz w:val="24"/>
          <w:szCs w:val="24"/>
        </w:rPr>
      </w:pPr>
      <w:r>
        <w:rPr>
          <w:color w:val="auto"/>
          <w:spacing w:val="0"/>
          <w:w w:val="100"/>
          <w:position w:val="0"/>
          <w:sz w:val="24"/>
          <w:szCs w:val="24"/>
        </w:rPr>
        <w:t>参考《环境影响评价技术导则 声环境》（</w:t>
      </w:r>
      <w:r>
        <w:rPr>
          <w:rFonts w:ascii="Times New Roman" w:hAnsi="Times New Roman" w:eastAsia="Times New Roman" w:cs="Times New Roman"/>
          <w:color w:val="auto"/>
          <w:spacing w:val="0"/>
          <w:w w:val="100"/>
          <w:position w:val="0"/>
          <w:sz w:val="24"/>
          <w:szCs w:val="24"/>
        </w:rPr>
        <w:t>HJ2.4-2021</w:t>
      </w:r>
      <w:r>
        <w:rPr>
          <w:color w:val="auto"/>
          <w:spacing w:val="0"/>
          <w:w w:val="100"/>
          <w:position w:val="0"/>
          <w:sz w:val="24"/>
          <w:szCs w:val="24"/>
        </w:rPr>
        <w:t xml:space="preserve">）附录 </w:t>
      </w:r>
      <w:r>
        <w:rPr>
          <w:rFonts w:ascii="Times New Roman" w:hAnsi="Times New Roman" w:eastAsia="Times New Roman" w:cs="Times New Roman"/>
          <w:color w:val="auto"/>
          <w:spacing w:val="0"/>
          <w:w w:val="100"/>
          <w:position w:val="0"/>
          <w:sz w:val="24"/>
          <w:szCs w:val="24"/>
        </w:rPr>
        <w:t xml:space="preserve">A </w:t>
      </w:r>
      <w:r>
        <w:rPr>
          <w:color w:val="auto"/>
          <w:spacing w:val="0"/>
          <w:w w:val="100"/>
          <w:position w:val="0"/>
          <w:sz w:val="24"/>
          <w:szCs w:val="24"/>
        </w:rPr>
        <w:t xml:space="preserve">中 </w:t>
      </w:r>
      <w:r>
        <w:rPr>
          <w:rFonts w:ascii="Times New Roman" w:hAnsi="Times New Roman" w:eastAsia="Times New Roman" w:cs="Times New Roman"/>
          <w:color w:val="auto"/>
          <w:spacing w:val="0"/>
          <w:w w:val="100"/>
          <w:position w:val="0"/>
          <w:sz w:val="24"/>
          <w:szCs w:val="24"/>
        </w:rPr>
        <w:t xml:space="preserve">A.3.3 </w:t>
      </w:r>
      <w:r>
        <w:rPr>
          <w:color w:val="auto"/>
          <w:spacing w:val="0"/>
          <w:w w:val="100"/>
          <w:position w:val="0"/>
          <w:sz w:val="24"/>
          <w:szCs w:val="24"/>
        </w:rPr>
        <w:t xml:space="preserve">，当声波越过疏松地面或大部分为疏松地面的混合地面时，在预测点仅计算 </w:t>
      </w:r>
      <w:r>
        <w:rPr>
          <w:rFonts w:ascii="Times New Roman" w:hAnsi="Times New Roman" w:eastAsia="Times New Roman" w:cs="Times New Roman"/>
          <w:color w:val="auto"/>
          <w:spacing w:val="0"/>
          <w:w w:val="100"/>
          <w:position w:val="0"/>
          <w:sz w:val="24"/>
          <w:szCs w:val="24"/>
        </w:rPr>
        <w:t xml:space="preserve">A </w:t>
      </w:r>
      <w:r>
        <w:rPr>
          <w:color w:val="auto"/>
          <w:spacing w:val="0"/>
          <w:w w:val="100"/>
          <w:position w:val="0"/>
          <w:sz w:val="24"/>
          <w:szCs w:val="24"/>
        </w:rPr>
        <w:t>声级前提下，地面效应引起的倍频带衰减可用下式计算。列车运行噪声和铁路固定声源的地面效应声衰减计算方法相同。</w:t>
      </w:r>
    </w:p>
    <w:p w14:paraId="103E170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b/>
          <w:bCs/>
          <w:color w:val="auto"/>
          <w:spacing w:val="0"/>
          <w:w w:val="100"/>
          <w:position w:val="0"/>
          <w:sz w:val="24"/>
          <w:szCs w:val="24"/>
        </w:rPr>
        <w:t>gr</w:t>
      </w:r>
      <w:r>
        <w:rPr>
          <w:rFonts w:ascii="Times New Roman" w:hAnsi="Times New Roman" w:eastAsia="Times New Roman" w:cs="Times New Roman"/>
          <w:color w:val="auto"/>
          <w:spacing w:val="0"/>
          <w:w w:val="100"/>
          <w:position w:val="0"/>
          <w:sz w:val="24"/>
          <w:szCs w:val="24"/>
        </w:rPr>
        <w:t>=4.8-</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2</w:t>
      </w:r>
      <w:r>
        <w:rPr>
          <w:rFonts w:ascii="Times New Roman" w:hAnsi="Times New Roman" w:eastAsia="Times New Roman" w:cs="Times New Roman"/>
          <w:i/>
          <w:iCs/>
          <w:color w:val="auto"/>
          <w:spacing w:val="0"/>
          <w:w w:val="100"/>
          <w:position w:val="0"/>
          <w:sz w:val="24"/>
          <w:szCs w:val="24"/>
        </w:rPr>
        <w:t>h</w:t>
      </w:r>
      <w:r>
        <w:rPr>
          <w:rFonts w:ascii="Times New Roman" w:hAnsi="Times New Roman" w:eastAsia="Times New Roman" w:cs="Times New Roman"/>
          <w:color w:val="auto"/>
          <w:spacing w:val="0"/>
          <w:w w:val="100"/>
          <w:position w:val="0"/>
          <w:sz w:val="24"/>
          <w:szCs w:val="24"/>
        </w:rPr>
        <w:t>m/</w:t>
      </w:r>
      <w:r>
        <w:rPr>
          <w:rFonts w:ascii="Times New Roman" w:hAnsi="Times New Roman" w:eastAsia="Times New Roman" w:cs="Times New Roman"/>
          <w:i/>
          <w:iCs/>
          <w:color w:val="auto"/>
          <w:spacing w:val="0"/>
          <w:w w:val="100"/>
          <w:position w:val="0"/>
          <w:sz w:val="24"/>
          <w:szCs w:val="24"/>
        </w:rPr>
        <w:t>r</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w:t>
      </w:r>
      <w:r>
        <w:rPr>
          <w:rFonts w:ascii="Times New Roman" w:hAnsi="Times New Roman" w:eastAsia="Times New Roman" w:cs="Times New Roman"/>
          <w:color w:val="auto"/>
          <w:spacing w:val="0"/>
          <w:w w:val="100"/>
          <w:position w:val="0"/>
          <w:sz w:val="24"/>
          <w:szCs w:val="24"/>
        </w:rPr>
        <w:t>17+300/</w:t>
      </w:r>
      <w:r>
        <w:rPr>
          <w:rFonts w:ascii="Times New Roman" w:hAnsi="Times New Roman" w:eastAsia="Times New Roman" w:cs="Times New Roman"/>
          <w:i/>
          <w:iCs/>
          <w:color w:val="auto"/>
          <w:spacing w:val="0"/>
          <w:w w:val="100"/>
          <w:position w:val="0"/>
          <w:sz w:val="24"/>
          <w:szCs w:val="24"/>
        </w:rPr>
        <w:t>r</w:t>
      </w:r>
      <w:r>
        <w:rPr>
          <w:color w:val="auto"/>
          <w:spacing w:val="0"/>
          <w:w w:val="100"/>
          <w:position w:val="0"/>
          <w:sz w:val="24"/>
          <w:szCs w:val="24"/>
        </w:rPr>
        <w:t>）          （</w:t>
      </w:r>
      <w:r>
        <w:rPr>
          <w:rFonts w:ascii="Times New Roman" w:hAnsi="Times New Roman" w:eastAsia="Times New Roman" w:cs="Times New Roman"/>
          <w:color w:val="auto"/>
          <w:spacing w:val="0"/>
          <w:w w:val="100"/>
          <w:position w:val="0"/>
          <w:sz w:val="24"/>
          <w:szCs w:val="24"/>
        </w:rPr>
        <w:t>4- 11</w:t>
      </w:r>
      <w:r>
        <w:rPr>
          <w:color w:val="auto"/>
          <w:spacing w:val="0"/>
          <w:w w:val="100"/>
          <w:position w:val="0"/>
          <w:sz w:val="24"/>
          <w:szCs w:val="24"/>
        </w:rPr>
        <w:t>）</w:t>
      </w:r>
    </w:p>
    <w:p w14:paraId="6ED58A4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式中：</w:t>
      </w:r>
      <w:r>
        <w:rPr>
          <w:rFonts w:ascii="Times New Roman" w:hAnsi="Times New Roman" w:eastAsia="Times New Roman" w:cs="Times New Roman"/>
          <w:i/>
          <w:iCs/>
          <w:color w:val="auto"/>
          <w:spacing w:val="0"/>
          <w:w w:val="100"/>
          <w:position w:val="0"/>
          <w:sz w:val="24"/>
          <w:szCs w:val="24"/>
        </w:rPr>
        <w:t>A</w:t>
      </w:r>
      <w:r>
        <w:rPr>
          <w:rFonts w:ascii="Times New Roman" w:hAnsi="Times New Roman" w:eastAsia="Times New Roman" w:cs="Times New Roman"/>
          <w:b/>
          <w:bCs/>
          <w:color w:val="auto"/>
          <w:spacing w:val="0"/>
          <w:w w:val="100"/>
          <w:position w:val="0"/>
          <w:sz w:val="24"/>
          <w:szCs w:val="24"/>
        </w:rPr>
        <w:t>gr</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地面效应引起的衰减，</w:t>
      </w:r>
      <w:r>
        <w:rPr>
          <w:rFonts w:ascii="Times New Roman" w:hAnsi="Times New Roman" w:eastAsia="Times New Roman" w:cs="Times New Roman"/>
          <w:color w:val="auto"/>
          <w:spacing w:val="0"/>
          <w:w w:val="100"/>
          <w:position w:val="0"/>
          <w:sz w:val="24"/>
          <w:szCs w:val="24"/>
        </w:rPr>
        <w:t>dB</w:t>
      </w:r>
      <w:r>
        <w:rPr>
          <w:color w:val="auto"/>
          <w:spacing w:val="0"/>
          <w:w w:val="100"/>
          <w:position w:val="0"/>
          <w:sz w:val="24"/>
          <w:szCs w:val="24"/>
        </w:rPr>
        <w:t>；</w:t>
      </w:r>
    </w:p>
    <w:p w14:paraId="38C9730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h</w:t>
      </w:r>
      <w:r>
        <w:rPr>
          <w:rFonts w:ascii="Times New Roman" w:hAnsi="Times New Roman" w:eastAsia="Times New Roman" w:cs="Times New Roman"/>
          <w:color w:val="auto"/>
          <w:spacing w:val="0"/>
          <w:w w:val="100"/>
          <w:position w:val="0"/>
          <w:sz w:val="24"/>
          <w:szCs w:val="24"/>
        </w:rPr>
        <w:t>m——</w:t>
      </w:r>
      <w:r>
        <w:rPr>
          <w:color w:val="auto"/>
          <w:spacing w:val="0"/>
          <w:w w:val="100"/>
          <w:position w:val="0"/>
          <w:sz w:val="24"/>
          <w:szCs w:val="24"/>
        </w:rPr>
        <w:t>传播路径的平均离地高度，</w:t>
      </w:r>
      <w:r>
        <w:rPr>
          <w:rFonts w:ascii="Times New Roman" w:hAnsi="Times New Roman" w:eastAsia="Times New Roman" w:cs="Times New Roman"/>
          <w:color w:val="auto"/>
          <w:spacing w:val="0"/>
          <w:w w:val="100"/>
          <w:position w:val="0"/>
          <w:sz w:val="24"/>
          <w:szCs w:val="24"/>
        </w:rPr>
        <w:t>m</w:t>
      </w:r>
      <w:r>
        <w:rPr>
          <w:color w:val="auto"/>
          <w:spacing w:val="0"/>
          <w:w w:val="100"/>
          <w:position w:val="0"/>
          <w:sz w:val="24"/>
          <w:szCs w:val="24"/>
        </w:rPr>
        <w:t>；</w:t>
      </w:r>
    </w:p>
    <w:p w14:paraId="01CC89B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ascii="Times New Roman" w:hAnsi="Times New Roman" w:eastAsia="Times New Roman" w:cs="Times New Roman"/>
          <w:i/>
          <w:iCs/>
          <w:color w:val="auto"/>
          <w:spacing w:val="0"/>
          <w:w w:val="100"/>
          <w:position w:val="0"/>
          <w:sz w:val="24"/>
          <w:szCs w:val="24"/>
        </w:rPr>
        <w:t>r</w:t>
      </w:r>
      <w:r>
        <w:rPr>
          <w:rFonts w:ascii="Times New Roman" w:hAnsi="Times New Roman" w:eastAsia="Times New Roman" w:cs="Times New Roman"/>
          <w:color w:val="auto"/>
          <w:spacing w:val="0"/>
          <w:w w:val="100"/>
          <w:position w:val="0"/>
          <w:sz w:val="24"/>
          <w:szCs w:val="24"/>
        </w:rPr>
        <w:t>——</w:t>
      </w:r>
      <w:r>
        <w:rPr>
          <w:color w:val="auto"/>
          <w:spacing w:val="0"/>
          <w:w w:val="100"/>
          <w:position w:val="0"/>
          <w:sz w:val="24"/>
          <w:szCs w:val="24"/>
        </w:rPr>
        <w:t>预测点距声源的距离，</w:t>
      </w:r>
      <w:r>
        <w:rPr>
          <w:rFonts w:ascii="Times New Roman" w:hAnsi="Times New Roman" w:eastAsia="Times New Roman" w:cs="Times New Roman"/>
          <w:color w:val="auto"/>
          <w:spacing w:val="0"/>
          <w:w w:val="100"/>
          <w:position w:val="0"/>
          <w:sz w:val="24"/>
          <w:szCs w:val="24"/>
        </w:rPr>
        <w:t>m</w:t>
      </w:r>
      <w:r>
        <w:rPr>
          <w:color w:val="auto"/>
          <w:spacing w:val="0"/>
          <w:w w:val="100"/>
          <w:position w:val="0"/>
          <w:sz w:val="24"/>
          <w:szCs w:val="24"/>
        </w:rPr>
        <w:t>。</w:t>
      </w:r>
    </w:p>
    <w:p w14:paraId="46CFD14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pacing w:val="0"/>
          <w:w w:val="100"/>
          <w:position w:val="0"/>
          <w:sz w:val="24"/>
          <w:szCs w:val="24"/>
        </w:rPr>
        <w:t xml:space="preserve">平均离地高度 </w:t>
      </w:r>
      <w:r>
        <w:rPr>
          <w:rFonts w:ascii="Times New Roman" w:hAnsi="Times New Roman" w:eastAsia="Times New Roman" w:cs="Times New Roman"/>
          <w:i/>
          <w:iCs/>
          <w:color w:val="auto"/>
          <w:spacing w:val="0"/>
          <w:w w:val="100"/>
          <w:position w:val="0"/>
          <w:sz w:val="24"/>
          <w:szCs w:val="24"/>
        </w:rPr>
        <w:t>h</w:t>
      </w:r>
      <w:r>
        <w:rPr>
          <w:rFonts w:ascii="Times New Roman" w:hAnsi="Times New Roman" w:eastAsia="Times New Roman" w:cs="Times New Roman"/>
          <w:color w:val="auto"/>
          <w:spacing w:val="0"/>
          <w:w w:val="100"/>
          <w:position w:val="0"/>
          <w:sz w:val="24"/>
          <w:szCs w:val="24"/>
        </w:rPr>
        <w:t xml:space="preserve">m </w:t>
      </w:r>
      <w:r>
        <w:rPr>
          <w:color w:val="auto"/>
          <w:spacing w:val="0"/>
          <w:w w:val="100"/>
          <w:position w:val="0"/>
          <w:sz w:val="24"/>
          <w:szCs w:val="24"/>
        </w:rPr>
        <w:t xml:space="preserve">按图 </w:t>
      </w:r>
      <w:r>
        <w:rPr>
          <w:rFonts w:ascii="Times New Roman" w:hAnsi="Times New Roman" w:eastAsia="Times New Roman" w:cs="Times New Roman"/>
          <w:color w:val="auto"/>
          <w:spacing w:val="0"/>
          <w:w w:val="100"/>
          <w:position w:val="0"/>
          <w:sz w:val="24"/>
          <w:szCs w:val="24"/>
        </w:rPr>
        <w:t xml:space="preserve">4.4.4.2- 1 </w:t>
      </w:r>
      <w:r>
        <w:rPr>
          <w:color w:val="auto"/>
          <w:spacing w:val="0"/>
          <w:w w:val="100"/>
          <w:position w:val="0"/>
          <w:sz w:val="24"/>
          <w:szCs w:val="24"/>
        </w:rPr>
        <w:t>所示方法计算。</w:t>
      </w:r>
      <w:r>
        <w:rPr>
          <w:rFonts w:ascii="Times New Roman" w:hAnsi="Times New Roman" w:eastAsia="Times New Roman" w:cs="Times New Roman"/>
          <w:i/>
          <w:iCs/>
          <w:color w:val="auto"/>
          <w:spacing w:val="0"/>
          <w:w w:val="100"/>
          <w:position w:val="0"/>
          <w:sz w:val="24"/>
          <w:szCs w:val="24"/>
        </w:rPr>
        <w:t>hm</w:t>
      </w:r>
      <w:r>
        <w:rPr>
          <w:rFonts w:ascii="Times New Roman" w:hAnsi="Times New Roman" w:eastAsia="Times New Roman" w:cs="Times New Roman"/>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F</w:t>
      </w:r>
      <w:r>
        <w:rPr>
          <w:rFonts w:ascii="Times New Roman" w:hAnsi="Times New Roman" w:eastAsia="Times New Roman" w:cs="Times New Roman"/>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r</w:t>
      </w:r>
      <w:r>
        <w:rPr>
          <w:color w:val="auto"/>
          <w:spacing w:val="0"/>
          <w:w w:val="100"/>
          <w:position w:val="0"/>
          <w:sz w:val="24"/>
          <w:szCs w:val="24"/>
        </w:rPr>
        <w:t>，</w:t>
      </w:r>
      <w:r>
        <w:rPr>
          <w:rFonts w:ascii="Times New Roman" w:hAnsi="Times New Roman" w:eastAsia="Times New Roman" w:cs="Times New Roman"/>
          <w:i/>
          <w:iCs/>
          <w:color w:val="auto"/>
          <w:spacing w:val="0"/>
          <w:w w:val="100"/>
          <w:position w:val="0"/>
          <w:sz w:val="24"/>
          <w:szCs w:val="24"/>
        </w:rPr>
        <w:t>F</w:t>
      </w:r>
      <w:r>
        <w:rPr>
          <w:color w:val="auto"/>
          <w:spacing w:val="0"/>
          <w:w w:val="100"/>
          <w:position w:val="0"/>
          <w:sz w:val="24"/>
          <w:szCs w:val="24"/>
        </w:rPr>
        <w:t>：面积，</w:t>
      </w:r>
      <w:r>
        <w:rPr>
          <w:rFonts w:ascii="Times New Roman" w:hAnsi="Times New Roman" w:eastAsia="Times New Roman" w:cs="Times New Roman"/>
          <w:color w:val="auto"/>
          <w:spacing w:val="0"/>
          <w:w w:val="100"/>
          <w:position w:val="0"/>
          <w:sz w:val="24"/>
          <w:szCs w:val="24"/>
        </w:rPr>
        <w:t>m2</w:t>
      </w:r>
      <w:r>
        <w:rPr>
          <w:color w:val="auto"/>
          <w:spacing w:val="0"/>
          <w:w w:val="100"/>
          <w:position w:val="0"/>
          <w:sz w:val="24"/>
          <w:szCs w:val="24"/>
        </w:rPr>
        <w:t>，若计算出负值，则不考虑地面效应衰减。</w:t>
      </w:r>
    </w:p>
    <w:p w14:paraId="7BE2D1FE">
      <w:pPr>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jc w:val="center"/>
        <w:textAlignment w:val="baseline"/>
        <w:rPr>
          <w:color w:val="auto"/>
          <w:spacing w:val="0"/>
          <w:w w:val="100"/>
          <w:position w:val="0"/>
        </w:rPr>
      </w:pPr>
      <w:r>
        <w:rPr>
          <w:color w:val="auto"/>
          <w:spacing w:val="0"/>
          <w:w w:val="100"/>
          <w:position w:val="0"/>
        </w:rPr>
        <w:drawing>
          <wp:inline distT="0" distB="0" distL="0" distR="0">
            <wp:extent cx="4142105" cy="1791970"/>
            <wp:effectExtent l="0" t="0" r="10795" b="1778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84"/>
                    <a:stretch>
                      <a:fillRect/>
                    </a:stretch>
                  </pic:blipFill>
                  <pic:spPr>
                    <a:xfrm>
                      <a:off x="0" y="0"/>
                      <a:ext cx="4142232" cy="1792224"/>
                    </a:xfrm>
                    <a:prstGeom prst="rect">
                      <a:avLst/>
                    </a:prstGeom>
                  </pic:spPr>
                </pic:pic>
              </a:graphicData>
            </a:graphic>
          </wp:inline>
        </w:drawing>
      </w:r>
    </w:p>
    <w:p w14:paraId="38234E2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jc w:val="center"/>
        <w:textAlignment w:val="baseline"/>
        <w:rPr>
          <w:rFonts w:hint="default" w:ascii="Times New Roman" w:hAnsi="Times New Roman" w:cs="Times New Roman"/>
          <w:color w:val="auto"/>
          <w:spacing w:val="0"/>
          <w:w w:val="100"/>
          <w:position w:val="0"/>
        </w:rPr>
      </w:pPr>
      <w:r>
        <w:rPr>
          <w:rFonts w:hint="default" w:ascii="Times New Roman" w:hAnsi="Times New Roman" w:cs="Times New Roman"/>
          <w:b/>
          <w:bCs/>
          <w:color w:val="auto"/>
          <w:spacing w:val="0"/>
          <w:w w:val="100"/>
          <w:position w:val="0"/>
        </w:rPr>
        <w:t>图</w:t>
      </w:r>
      <w:r>
        <w:rPr>
          <w:rFonts w:hint="default" w:ascii="Times New Roman" w:hAnsi="Times New Roman" w:eastAsia="宋体" w:cs="Times New Roman"/>
          <w:color w:val="auto"/>
          <w:spacing w:val="0"/>
          <w:w w:val="100"/>
          <w:position w:val="0"/>
          <w:lang w:val="en-US" w:eastAsia="zh-CN"/>
        </w:rPr>
        <w:t>4.4-1</w:t>
      </w:r>
      <w:r>
        <w:rPr>
          <w:rFonts w:hint="default" w:ascii="Times New Roman" w:hAnsi="Times New Roman" w:eastAsia="Times New Roman" w:cs="Times New Roman"/>
          <w:b/>
          <w:bCs/>
          <w:color w:val="auto"/>
          <w:spacing w:val="0"/>
          <w:w w:val="100"/>
          <w:position w:val="0"/>
        </w:rPr>
        <w:t xml:space="preserve">  </w:t>
      </w:r>
      <w:r>
        <w:rPr>
          <w:rFonts w:hint="default" w:ascii="Times New Roman" w:hAnsi="Times New Roman" w:cs="Times New Roman"/>
          <w:b/>
          <w:bCs/>
          <w:color w:val="auto"/>
          <w:spacing w:val="0"/>
          <w:w w:val="100"/>
          <w:position w:val="0"/>
        </w:rPr>
        <w:t>估计平均高度</w:t>
      </w:r>
      <w:r>
        <w:rPr>
          <w:rFonts w:hint="default" w:ascii="Times New Roman" w:hAnsi="Times New Roman" w:cs="Times New Roman"/>
          <w:color w:val="auto"/>
          <w:spacing w:val="0"/>
          <w:w w:val="100"/>
          <w:position w:val="0"/>
        </w:rPr>
        <w:t xml:space="preserve"> </w:t>
      </w:r>
      <w:r>
        <w:rPr>
          <w:rFonts w:hint="default" w:ascii="Times New Roman" w:hAnsi="Times New Roman" w:eastAsia="Times New Roman" w:cs="Times New Roman"/>
          <w:b/>
          <w:bCs/>
          <w:i/>
          <w:iCs/>
          <w:color w:val="auto"/>
          <w:spacing w:val="0"/>
          <w:w w:val="100"/>
          <w:position w:val="0"/>
        </w:rPr>
        <w:t>h</w:t>
      </w:r>
      <w:r>
        <w:rPr>
          <w:rFonts w:hint="default" w:ascii="Times New Roman" w:hAnsi="Times New Roman" w:eastAsia="Times New Roman" w:cs="Times New Roman"/>
          <w:b/>
          <w:bCs/>
          <w:i/>
          <w:iCs/>
          <w:color w:val="auto"/>
          <w:spacing w:val="0"/>
          <w:w w:val="100"/>
          <w:position w:val="0"/>
          <w:sz w:val="15"/>
          <w:szCs w:val="15"/>
        </w:rPr>
        <w:t xml:space="preserve">m  </w:t>
      </w:r>
      <w:r>
        <w:rPr>
          <w:rFonts w:hint="default" w:ascii="Times New Roman" w:hAnsi="Times New Roman" w:cs="Times New Roman"/>
          <w:b/>
          <w:bCs/>
          <w:color w:val="auto"/>
          <w:spacing w:val="0"/>
          <w:w w:val="100"/>
          <w:position w:val="0"/>
        </w:rPr>
        <w:t>的方法</w:t>
      </w:r>
    </w:p>
    <w:p w14:paraId="6D06B98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firstLineChars="200"/>
        <w:textAlignment w:val="baseline"/>
        <w:outlineLvl w:val="9"/>
        <w:rPr>
          <w:rFonts w:hint="eastAsia" w:ascii="Times New Roman" w:hAnsi="Times New Roman" w:eastAsia="宋体" w:cs="Times New Roman"/>
          <w:b/>
          <w:bCs/>
          <w:color w:val="auto"/>
          <w:spacing w:val="0"/>
          <w:w w:val="100"/>
          <w:position w:val="0"/>
          <w:sz w:val="24"/>
          <w:szCs w:val="24"/>
          <w:lang w:val="en-US" w:eastAsia="zh-CN"/>
        </w:rPr>
      </w:pPr>
      <w:r>
        <w:rPr>
          <w:rFonts w:hint="eastAsia" w:ascii="Times New Roman" w:hAnsi="Times New Roman" w:eastAsia="宋体" w:cs="Times New Roman"/>
          <w:b/>
          <w:bCs/>
          <w:color w:val="auto"/>
          <w:spacing w:val="0"/>
          <w:w w:val="100"/>
          <w:position w:val="0"/>
          <w:sz w:val="24"/>
          <w:szCs w:val="24"/>
          <w:lang w:val="en-US" w:eastAsia="zh-CN"/>
        </w:rPr>
        <w:t>3、线声源预测参数</w:t>
      </w:r>
    </w:p>
    <w:p w14:paraId="6301918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color w:val="auto"/>
          <w:spacing w:val="0"/>
          <w:w w:val="100"/>
          <w:position w:val="0"/>
          <w:sz w:val="24"/>
          <w:szCs w:val="24"/>
          <w:lang w:val="en-US" w:eastAsia="zh-CN"/>
        </w:rPr>
        <w:t>①</w:t>
      </w:r>
      <w:r>
        <w:rPr>
          <w:color w:val="auto"/>
          <w:spacing w:val="0"/>
          <w:w w:val="100"/>
          <w:position w:val="0"/>
          <w:sz w:val="24"/>
          <w:szCs w:val="24"/>
        </w:rPr>
        <w:t>机车类型</w:t>
      </w:r>
    </w:p>
    <w:p w14:paraId="33E6F620">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pacing w:val="0"/>
          <w:w w:val="100"/>
          <w:position w:val="0"/>
          <w:sz w:val="24"/>
          <w:szCs w:val="24"/>
        </w:rPr>
      </w:pPr>
      <w:r>
        <w:rPr>
          <w:rFonts w:ascii="Times New Roman" w:hAnsi="Times New Roman" w:eastAsia="Times New Roman" w:cs="Times New Roman"/>
          <w:color w:val="auto"/>
          <w:spacing w:val="-3"/>
          <w:sz w:val="24"/>
          <w:szCs w:val="24"/>
        </w:rPr>
        <w:t xml:space="preserve">内燃机牵引，机车类型为 </w:t>
      </w:r>
      <w:r>
        <w:rPr>
          <w:rFonts w:hint="default" w:ascii="Times New Roman" w:hAnsi="Times New Roman" w:eastAsia="Times New Roman" w:cs="Times New Roman"/>
          <w:color w:val="auto"/>
          <w:spacing w:val="-3"/>
          <w:sz w:val="24"/>
          <w:szCs w:val="24"/>
          <w:lang w:val="en-US" w:eastAsia="zh-CN"/>
        </w:rPr>
        <w:t>DF</w:t>
      </w:r>
      <w:r>
        <w:rPr>
          <w:rFonts w:hint="default" w:ascii="Times New Roman" w:hAnsi="Times New Roman" w:eastAsia="Times New Roman" w:cs="Times New Roman"/>
          <w:color w:val="auto"/>
          <w:spacing w:val="-3"/>
          <w:sz w:val="24"/>
          <w:szCs w:val="24"/>
          <w:vertAlign w:val="subscript"/>
          <w:lang w:val="en-US" w:eastAsia="zh-CN"/>
        </w:rPr>
        <w:t>5D</w:t>
      </w:r>
      <w:r>
        <w:rPr>
          <w:rFonts w:hint="default" w:ascii="Times New Roman" w:hAnsi="Times New Roman" w:eastAsia="Times New Roman" w:cs="Times New Roman"/>
          <w:color w:val="auto"/>
          <w:spacing w:val="-3"/>
          <w:sz w:val="24"/>
          <w:szCs w:val="24"/>
          <w:lang w:val="en-US" w:eastAsia="zh-CN"/>
        </w:rPr>
        <w:t>、DF</w:t>
      </w:r>
      <w:r>
        <w:rPr>
          <w:rFonts w:hint="eastAsia" w:ascii="Times New Roman" w:hAnsi="Times New Roman" w:eastAsia="Times New Roman" w:cs="Times New Roman"/>
          <w:color w:val="auto"/>
          <w:spacing w:val="-3"/>
          <w:sz w:val="24"/>
          <w:szCs w:val="24"/>
          <w:vertAlign w:val="subscript"/>
          <w:lang w:val="en-US" w:eastAsia="zh-CN"/>
        </w:rPr>
        <w:t>1</w:t>
      </w:r>
      <w:r>
        <w:rPr>
          <w:rFonts w:hint="default" w:ascii="Times New Roman" w:hAnsi="Times New Roman" w:eastAsia="Times New Roman" w:cs="Times New Roman"/>
          <w:color w:val="auto"/>
          <w:spacing w:val="-3"/>
          <w:sz w:val="24"/>
          <w:szCs w:val="24"/>
          <w:vertAlign w:val="subscript"/>
          <w:lang w:val="en-US" w:eastAsia="zh-CN"/>
        </w:rPr>
        <w:t>0D</w:t>
      </w:r>
      <w:r>
        <w:rPr>
          <w:rFonts w:ascii="Times New Roman" w:hAnsi="Times New Roman" w:eastAsia="Times New Roman" w:cs="Times New Roman"/>
          <w:color w:val="auto"/>
          <w:spacing w:val="-3"/>
          <w:sz w:val="24"/>
          <w:szCs w:val="24"/>
        </w:rPr>
        <w:t>，牵引质量</w:t>
      </w:r>
      <w:r>
        <w:rPr>
          <w:rFonts w:hint="eastAsia" w:ascii="Times New Roman" w:hAnsi="Times New Roman" w:eastAsia="Times New Roman" w:cs="Times New Roman"/>
          <w:color w:val="auto"/>
          <w:spacing w:val="-3"/>
          <w:sz w:val="24"/>
          <w:szCs w:val="24"/>
          <w:lang w:val="en-US" w:eastAsia="zh-CN"/>
        </w:rPr>
        <w:t>合计</w:t>
      </w:r>
      <w:r>
        <w:rPr>
          <w:rFonts w:ascii="Times New Roman" w:hAnsi="Times New Roman" w:eastAsia="Times New Roman" w:cs="Times New Roman"/>
          <w:color w:val="auto"/>
          <w:spacing w:val="-3"/>
          <w:sz w:val="24"/>
          <w:szCs w:val="24"/>
        </w:rPr>
        <w:t>为</w:t>
      </w:r>
      <w:r>
        <w:rPr>
          <w:rFonts w:hint="eastAsia" w:ascii="Times New Roman" w:hAnsi="Times New Roman" w:eastAsia="Times New Roman" w:cs="Times New Roman"/>
          <w:color w:val="auto"/>
          <w:spacing w:val="-3"/>
          <w:sz w:val="24"/>
          <w:szCs w:val="24"/>
          <w:lang w:val="en-US" w:eastAsia="zh-CN"/>
        </w:rPr>
        <w:t>8</w:t>
      </w:r>
      <w:r>
        <w:rPr>
          <w:rFonts w:ascii="Times New Roman" w:hAnsi="Times New Roman" w:eastAsia="Times New Roman" w:cs="Times New Roman"/>
          <w:color w:val="auto"/>
          <w:spacing w:val="-3"/>
          <w:sz w:val="24"/>
          <w:szCs w:val="24"/>
        </w:rPr>
        <w:t>000t。</w:t>
      </w:r>
    </w:p>
    <w:p w14:paraId="7EAFCFC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color w:val="auto"/>
          <w:spacing w:val="0"/>
          <w:w w:val="100"/>
          <w:position w:val="0"/>
          <w:sz w:val="24"/>
          <w:szCs w:val="24"/>
          <w:lang w:val="en-US" w:eastAsia="zh-CN"/>
        </w:rPr>
        <w:t>②</w:t>
      </w:r>
      <w:r>
        <w:rPr>
          <w:color w:val="auto"/>
          <w:spacing w:val="0"/>
          <w:w w:val="100"/>
          <w:position w:val="0"/>
          <w:sz w:val="24"/>
          <w:szCs w:val="24"/>
        </w:rPr>
        <w:t>列车长度</w:t>
      </w:r>
    </w:p>
    <w:p w14:paraId="6BCCCA1F">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pacing w:val="0"/>
          <w:w w:val="100"/>
          <w:position w:val="0"/>
          <w:sz w:val="24"/>
          <w:szCs w:val="24"/>
        </w:rPr>
      </w:pPr>
      <w:r>
        <w:rPr>
          <w:rFonts w:hint="eastAsia" w:ascii="Times New Roman" w:hAnsi="Times New Roman" w:eastAsia="宋体" w:cs="Times New Roman"/>
          <w:color w:val="auto"/>
          <w:spacing w:val="-3"/>
          <w:sz w:val="24"/>
          <w:szCs w:val="24"/>
          <w:lang w:val="en-US" w:eastAsia="zh-CN"/>
        </w:rPr>
        <w:t>45节</w:t>
      </w:r>
      <w:r>
        <w:rPr>
          <w:rFonts w:hint="default" w:ascii="Times New Roman" w:hAnsi="Times New Roman" w:cs="Times New Roman"/>
          <w:color w:val="auto"/>
          <w:spacing w:val="-3"/>
          <w:sz w:val="24"/>
          <w:szCs w:val="24"/>
        </w:rPr>
        <w:t>编组，一节的长度为</w:t>
      </w:r>
      <w:r>
        <w:rPr>
          <w:rFonts w:hint="default" w:ascii="Times New Roman" w:hAnsi="Times New Roman" w:eastAsia="宋体" w:cs="Times New Roman"/>
          <w:color w:val="auto"/>
          <w:spacing w:val="-26"/>
          <w:sz w:val="24"/>
          <w:szCs w:val="24"/>
          <w:lang w:val="en-US" w:eastAsia="zh-CN"/>
        </w:rPr>
        <w:t>1</w:t>
      </w:r>
      <w:r>
        <w:rPr>
          <w:rFonts w:hint="default" w:ascii="Times New Roman" w:hAnsi="Times New Roman" w:eastAsia="Times New Roman" w:cs="Times New Roman"/>
          <w:color w:val="auto"/>
          <w:spacing w:val="-3"/>
          <w:sz w:val="24"/>
          <w:szCs w:val="24"/>
        </w:rPr>
        <w:t>4m</w:t>
      </w:r>
      <w:r>
        <w:rPr>
          <w:rFonts w:hint="default" w:ascii="Times New Roman" w:hAnsi="Times New Roman" w:cs="Times New Roman"/>
          <w:color w:val="auto"/>
          <w:spacing w:val="-3"/>
          <w:sz w:val="24"/>
          <w:szCs w:val="24"/>
        </w:rPr>
        <w:t>，所以</w:t>
      </w:r>
      <w:r>
        <w:rPr>
          <w:rFonts w:hint="eastAsia" w:ascii="Times New Roman" w:hAnsi="Times New Roman" w:eastAsia="宋体" w:cs="Times New Roman"/>
          <w:color w:val="auto"/>
          <w:spacing w:val="-3"/>
          <w:sz w:val="24"/>
          <w:szCs w:val="24"/>
          <w:lang w:val="en-US" w:eastAsia="zh-CN"/>
        </w:rPr>
        <w:t>45</w:t>
      </w:r>
      <w:r>
        <w:rPr>
          <w:rFonts w:hint="default" w:ascii="Times New Roman" w:hAnsi="Times New Roman" w:cs="Times New Roman"/>
          <w:color w:val="auto"/>
          <w:spacing w:val="-3"/>
          <w:sz w:val="24"/>
          <w:szCs w:val="24"/>
        </w:rPr>
        <w:t>辆编组为</w:t>
      </w:r>
      <w:r>
        <w:rPr>
          <w:rFonts w:hint="eastAsia" w:ascii="Times New Roman" w:hAnsi="Times New Roman" w:eastAsia="宋体" w:cs="Times New Roman"/>
          <w:color w:val="auto"/>
          <w:spacing w:val="-3"/>
          <w:sz w:val="24"/>
          <w:szCs w:val="24"/>
          <w:lang w:val="en-US" w:eastAsia="zh-CN"/>
        </w:rPr>
        <w:t>630</w:t>
      </w:r>
      <w:r>
        <w:rPr>
          <w:rFonts w:hint="default" w:ascii="Times New Roman" w:hAnsi="Times New Roman" w:eastAsia="Times New Roman" w:cs="Times New Roman"/>
          <w:color w:val="auto"/>
          <w:spacing w:val="-3"/>
          <w:sz w:val="24"/>
          <w:szCs w:val="24"/>
        </w:rPr>
        <w:t>m</w:t>
      </w:r>
      <w:r>
        <w:rPr>
          <w:rFonts w:hint="default" w:ascii="Times New Roman" w:hAnsi="Times New Roman" w:cs="Times New Roman"/>
          <w:color w:val="auto"/>
          <w:spacing w:val="-3"/>
          <w:sz w:val="24"/>
          <w:szCs w:val="24"/>
        </w:rPr>
        <w:t>，加上内燃调机单</w:t>
      </w:r>
      <w:r>
        <w:rPr>
          <w:rFonts w:hint="default" w:ascii="Times New Roman" w:hAnsi="Times New Roman" w:cs="Times New Roman"/>
          <w:color w:val="auto"/>
          <w:sz w:val="24"/>
          <w:szCs w:val="24"/>
        </w:rPr>
        <w:t>节最大</w:t>
      </w:r>
      <w:r>
        <w:rPr>
          <w:rFonts w:hint="default" w:ascii="Times New Roman" w:hAnsi="Times New Roman" w:eastAsia="Times New Roman" w:cs="Times New Roman"/>
          <w:color w:val="auto"/>
          <w:sz w:val="24"/>
          <w:szCs w:val="24"/>
        </w:rPr>
        <w:t>22m</w:t>
      </w:r>
      <w:r>
        <w:rPr>
          <w:rFonts w:hint="default" w:ascii="Times New Roman" w:hAnsi="Times New Roman" w:cs="Times New Roman"/>
          <w:color w:val="auto"/>
          <w:sz w:val="24"/>
          <w:szCs w:val="24"/>
        </w:rPr>
        <w:t>，本评价预测列车长度按</w:t>
      </w:r>
      <w:r>
        <w:rPr>
          <w:rFonts w:hint="eastAsia" w:ascii="Times New Roman" w:hAnsi="Times New Roman" w:eastAsia="宋体" w:cs="Times New Roman"/>
          <w:color w:val="auto"/>
          <w:sz w:val="24"/>
          <w:szCs w:val="24"/>
          <w:lang w:val="en-US" w:eastAsia="zh-CN"/>
        </w:rPr>
        <w:t>652</w:t>
      </w:r>
      <w:r>
        <w:rPr>
          <w:rFonts w:hint="default" w:ascii="Times New Roman" w:hAnsi="Times New Roman" w:eastAsia="Times New Roman" w:cs="Times New Roman"/>
          <w:color w:val="auto"/>
          <w:sz w:val="24"/>
          <w:szCs w:val="24"/>
        </w:rPr>
        <w:t>m</w:t>
      </w:r>
      <w:r>
        <w:rPr>
          <w:rFonts w:hint="default" w:ascii="Times New Roman" w:hAnsi="Times New Roman" w:cs="Times New Roman"/>
          <w:color w:val="auto"/>
          <w:sz w:val="24"/>
          <w:szCs w:val="24"/>
        </w:rPr>
        <w:t>计。</w:t>
      </w:r>
    </w:p>
    <w:p w14:paraId="6168FBE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color w:val="auto"/>
          <w:spacing w:val="0"/>
          <w:w w:val="100"/>
          <w:position w:val="0"/>
          <w:sz w:val="24"/>
          <w:szCs w:val="24"/>
          <w:lang w:val="en-US" w:eastAsia="zh-CN"/>
        </w:rPr>
        <w:t>③</w:t>
      </w:r>
      <w:r>
        <w:rPr>
          <w:color w:val="auto"/>
          <w:spacing w:val="0"/>
          <w:w w:val="100"/>
          <w:position w:val="0"/>
          <w:sz w:val="24"/>
          <w:szCs w:val="24"/>
        </w:rPr>
        <w:t>列车运行速度</w:t>
      </w:r>
    </w:p>
    <w:p w14:paraId="52D6F42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default" w:ascii="Times New Roman" w:hAnsi="Times New Roman" w:cs="Times New Roman"/>
          <w:color w:val="auto"/>
          <w:spacing w:val="0"/>
          <w:sz w:val="24"/>
          <w:szCs w:val="24"/>
        </w:rPr>
        <w:t>项目主要是运行普通货运列车，本次评价</w:t>
      </w:r>
      <w:r>
        <w:rPr>
          <w:rFonts w:hint="eastAsia" w:ascii="Times New Roman" w:hAnsi="Times New Roman" w:eastAsia="宋体" w:cs="Times New Roman"/>
          <w:color w:val="auto"/>
          <w:spacing w:val="0"/>
          <w:sz w:val="24"/>
          <w:szCs w:val="24"/>
          <w:lang w:eastAsia="zh-CN"/>
        </w:rPr>
        <w:t>列车</w:t>
      </w:r>
      <w:r>
        <w:rPr>
          <w:rFonts w:hint="default" w:ascii="Times New Roman" w:hAnsi="Times New Roman" w:cs="Times New Roman"/>
          <w:color w:val="auto"/>
          <w:spacing w:val="0"/>
          <w:sz w:val="24"/>
          <w:szCs w:val="24"/>
        </w:rPr>
        <w:t>运行速度以</w:t>
      </w:r>
      <w:r>
        <w:rPr>
          <w:rFonts w:hint="eastAsia" w:ascii="Times New Roman" w:hAnsi="Times New Roman" w:eastAsia="宋体" w:cs="Times New Roman"/>
          <w:color w:val="auto"/>
          <w:spacing w:val="0"/>
          <w:sz w:val="24"/>
          <w:szCs w:val="24"/>
          <w:lang w:val="en-US" w:eastAsia="zh-CN"/>
        </w:rPr>
        <w:t>25</w:t>
      </w:r>
      <w:r>
        <w:rPr>
          <w:rFonts w:hint="default" w:ascii="Times New Roman" w:hAnsi="Times New Roman" w:eastAsia="Times New Roman" w:cs="Times New Roman"/>
          <w:color w:val="auto"/>
          <w:spacing w:val="0"/>
          <w:sz w:val="24"/>
          <w:szCs w:val="24"/>
        </w:rPr>
        <w:t>km/h</w:t>
      </w:r>
      <w:r>
        <w:rPr>
          <w:rFonts w:hint="default" w:ascii="Times New Roman" w:hAnsi="Times New Roman" w:cs="Times New Roman"/>
          <w:color w:val="auto"/>
          <w:spacing w:val="0"/>
          <w:sz w:val="24"/>
          <w:szCs w:val="24"/>
        </w:rPr>
        <w:t>计算。</w:t>
      </w:r>
    </w:p>
    <w:p w14:paraId="6EB7300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eastAsia"/>
          <w:color w:val="auto"/>
          <w:spacing w:val="0"/>
          <w:w w:val="100"/>
          <w:position w:val="0"/>
          <w:sz w:val="24"/>
          <w:szCs w:val="24"/>
          <w:lang w:val="en-US" w:eastAsia="zh-CN"/>
        </w:rPr>
        <w:t>④</w:t>
      </w:r>
      <w:r>
        <w:rPr>
          <w:color w:val="auto"/>
          <w:spacing w:val="0"/>
          <w:w w:val="100"/>
          <w:position w:val="0"/>
          <w:sz w:val="24"/>
          <w:szCs w:val="24"/>
        </w:rPr>
        <w:t>轨道、道床条件</w:t>
      </w:r>
    </w:p>
    <w:p w14:paraId="1ACF9B9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color w:val="auto"/>
          <w:sz w:val="24"/>
          <w:szCs w:val="24"/>
        </w:rPr>
        <w:t>本工程采取有缝线路、</w:t>
      </w:r>
      <w:r>
        <w:rPr>
          <w:rFonts w:hint="eastAsia" w:eastAsia="宋体"/>
          <w:color w:val="auto"/>
          <w:sz w:val="24"/>
          <w:szCs w:val="24"/>
          <w:lang w:val="en-US" w:eastAsia="zh-CN"/>
        </w:rPr>
        <w:t>无</w:t>
      </w:r>
      <w:r>
        <w:rPr>
          <w:color w:val="auto"/>
          <w:sz w:val="24"/>
          <w:szCs w:val="24"/>
        </w:rPr>
        <w:t>砟轨道。有缝线路采用</w:t>
      </w:r>
      <w:r>
        <w:rPr>
          <w:rFonts w:ascii="Times New Roman" w:hAnsi="Times New Roman" w:eastAsia="Times New Roman" w:cs="Times New Roman"/>
          <w:color w:val="auto"/>
          <w:sz w:val="24"/>
          <w:szCs w:val="24"/>
        </w:rPr>
        <w:t>50kg/m</w:t>
      </w:r>
      <w:r>
        <w:rPr>
          <w:color w:val="auto"/>
          <w:sz w:val="24"/>
          <w:szCs w:val="24"/>
        </w:rPr>
        <w:t>，每根</w:t>
      </w:r>
      <w:r>
        <w:rPr>
          <w:rFonts w:ascii="Times New Roman" w:hAnsi="Times New Roman" w:eastAsia="Times New Roman" w:cs="Times New Roman"/>
          <w:color w:val="auto"/>
          <w:sz w:val="24"/>
          <w:szCs w:val="24"/>
        </w:rPr>
        <w:t>25m</w:t>
      </w:r>
      <w:r>
        <w:rPr>
          <w:color w:val="auto"/>
          <w:sz w:val="24"/>
          <w:szCs w:val="24"/>
        </w:rPr>
        <w:t>标准长</w:t>
      </w:r>
      <w:r>
        <w:rPr>
          <w:color w:val="auto"/>
          <w:spacing w:val="-1"/>
          <w:sz w:val="24"/>
          <w:szCs w:val="24"/>
        </w:rPr>
        <w:t>度钢轨。全线铺设</w:t>
      </w:r>
      <w:r>
        <w:rPr>
          <w:rFonts w:hint="eastAsia" w:eastAsia="宋体"/>
          <w:color w:val="auto"/>
          <w:sz w:val="24"/>
          <w:szCs w:val="24"/>
          <w:lang w:val="en-US" w:eastAsia="zh-CN"/>
        </w:rPr>
        <w:t>无</w:t>
      </w:r>
      <w:r>
        <w:rPr>
          <w:color w:val="auto"/>
          <w:spacing w:val="-1"/>
          <w:sz w:val="24"/>
          <w:szCs w:val="24"/>
        </w:rPr>
        <w:t>砟轨道。</w:t>
      </w:r>
    </w:p>
    <w:p w14:paraId="6745E1E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rFonts w:hint="eastAsia"/>
          <w:color w:val="auto"/>
          <w:spacing w:val="0"/>
          <w:w w:val="100"/>
          <w:position w:val="0"/>
          <w:sz w:val="24"/>
          <w:szCs w:val="24"/>
          <w:lang w:val="en-US" w:eastAsia="zh-CN"/>
        </w:rPr>
        <w:t>⑤</w:t>
      </w:r>
      <w:r>
        <w:rPr>
          <w:color w:val="auto"/>
          <w:spacing w:val="-2"/>
          <w:sz w:val="24"/>
          <w:szCs w:val="24"/>
        </w:rPr>
        <w:t>设计年限列车对数</w:t>
      </w:r>
    </w:p>
    <w:p w14:paraId="1E4D1D8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4" w:firstLineChars="200"/>
        <w:textAlignment w:val="baseline"/>
        <w:rPr>
          <w:color w:val="auto"/>
          <w:spacing w:val="0"/>
          <w:w w:val="100"/>
          <w:position w:val="0"/>
          <w:sz w:val="24"/>
          <w:szCs w:val="24"/>
        </w:rPr>
      </w:pPr>
      <w:r>
        <w:rPr>
          <w:rFonts w:hint="default" w:ascii="Times New Roman" w:hAnsi="Times New Roman" w:cs="Times New Roman"/>
          <w:color w:val="auto"/>
          <w:spacing w:val="-4"/>
          <w:sz w:val="24"/>
          <w:szCs w:val="24"/>
        </w:rPr>
        <w:t>本项目铁路专用线列车对数</w:t>
      </w:r>
      <w:r>
        <w:rPr>
          <w:rFonts w:hint="eastAsia" w:ascii="Times New Roman" w:hAnsi="Times New Roman" w:eastAsia="宋体" w:cs="Times New Roman"/>
          <w:color w:val="auto"/>
          <w:spacing w:val="-4"/>
          <w:sz w:val="24"/>
          <w:szCs w:val="24"/>
          <w:lang w:val="en-US" w:eastAsia="zh-CN"/>
        </w:rPr>
        <w:t>19</w:t>
      </w:r>
      <w:r>
        <w:rPr>
          <w:rFonts w:hint="default" w:ascii="Times New Roman" w:hAnsi="Times New Roman" w:cs="Times New Roman"/>
          <w:color w:val="auto"/>
          <w:spacing w:val="-4"/>
          <w:sz w:val="24"/>
          <w:szCs w:val="24"/>
        </w:rPr>
        <w:t>对</w:t>
      </w:r>
      <w:r>
        <w:rPr>
          <w:rFonts w:hint="default" w:ascii="Times New Roman" w:hAnsi="Times New Roman" w:eastAsia="Times New Roman" w:cs="Times New Roman"/>
          <w:color w:val="auto"/>
          <w:spacing w:val="-4"/>
          <w:sz w:val="24"/>
          <w:szCs w:val="24"/>
        </w:rPr>
        <w:t>/</w:t>
      </w:r>
      <w:r>
        <w:rPr>
          <w:rFonts w:hint="default" w:ascii="Times New Roman" w:hAnsi="Times New Roman" w:cs="Times New Roman"/>
          <w:color w:val="auto"/>
          <w:spacing w:val="-4"/>
          <w:sz w:val="24"/>
          <w:szCs w:val="24"/>
        </w:rPr>
        <w:t>日（共</w:t>
      </w:r>
      <w:r>
        <w:rPr>
          <w:rFonts w:hint="eastAsia" w:ascii="Times New Roman" w:hAnsi="Times New Roman" w:eastAsia="宋体" w:cs="Times New Roman"/>
          <w:color w:val="auto"/>
          <w:spacing w:val="-4"/>
          <w:sz w:val="24"/>
          <w:szCs w:val="24"/>
          <w:lang w:val="en-US" w:eastAsia="zh-CN"/>
        </w:rPr>
        <w:t>19</w:t>
      </w:r>
      <w:r>
        <w:rPr>
          <w:rFonts w:hint="default" w:ascii="Times New Roman" w:hAnsi="Times New Roman" w:cs="Times New Roman"/>
          <w:color w:val="auto"/>
          <w:spacing w:val="-4"/>
          <w:sz w:val="24"/>
          <w:szCs w:val="24"/>
        </w:rPr>
        <w:t>列</w:t>
      </w:r>
      <w:r>
        <w:rPr>
          <w:rFonts w:hint="default" w:ascii="Times New Roman" w:hAnsi="Times New Roman" w:cs="Times New Roman"/>
          <w:color w:val="auto"/>
          <w:spacing w:val="-2"/>
          <w:sz w:val="24"/>
          <w:szCs w:val="24"/>
        </w:rPr>
        <w:t>。预测模式输入为列车列数</w:t>
      </w:r>
      <w:r>
        <w:rPr>
          <w:rFonts w:hint="eastAsia" w:ascii="Times New Roman" w:hAnsi="Times New Roman" w:eastAsia="宋体" w:cs="Times New Roman"/>
          <w:color w:val="auto"/>
          <w:spacing w:val="-2"/>
          <w:sz w:val="24"/>
          <w:szCs w:val="24"/>
          <w:lang w:eastAsia="zh-CN"/>
        </w:rPr>
        <w:t>）</w:t>
      </w:r>
      <w:r>
        <w:rPr>
          <w:rFonts w:hint="default" w:ascii="Times New Roman" w:hAnsi="Times New Roman" w:cs="Times New Roman"/>
          <w:color w:val="auto"/>
          <w:spacing w:val="-2"/>
          <w:sz w:val="24"/>
          <w:szCs w:val="24"/>
        </w:rPr>
        <w:t>。</w:t>
      </w:r>
    </w:p>
    <w:p w14:paraId="05B12B6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firstLineChars="200"/>
        <w:textAlignment w:val="baseline"/>
        <w:outlineLvl w:val="9"/>
        <w:rPr>
          <w:rFonts w:hint="eastAsia" w:ascii="Times New Roman" w:hAnsi="Times New Roman" w:eastAsia="宋体" w:cs="Times New Roman"/>
          <w:b/>
          <w:bCs/>
          <w:color w:val="auto"/>
          <w:spacing w:val="0"/>
          <w:w w:val="100"/>
          <w:position w:val="0"/>
          <w:sz w:val="24"/>
          <w:szCs w:val="24"/>
          <w:lang w:val="en-US" w:eastAsia="zh-CN"/>
        </w:rPr>
      </w:pPr>
      <w:r>
        <w:rPr>
          <w:rFonts w:hint="eastAsia" w:ascii="Times New Roman" w:hAnsi="Times New Roman" w:eastAsia="宋体" w:cs="Times New Roman"/>
          <w:b/>
          <w:bCs/>
          <w:color w:val="auto"/>
          <w:spacing w:val="0"/>
          <w:w w:val="100"/>
          <w:position w:val="0"/>
          <w:sz w:val="24"/>
          <w:szCs w:val="24"/>
          <w:lang w:val="en-US" w:eastAsia="zh-CN"/>
        </w:rPr>
        <w:t>4、预测时段</w:t>
      </w:r>
    </w:p>
    <w:p w14:paraId="5B05550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position w:val="0"/>
          <w:sz w:val="24"/>
          <w:szCs w:val="24"/>
        </w:rPr>
      </w:pPr>
      <w:r>
        <w:rPr>
          <w:rFonts w:hint="default" w:ascii="Times New Roman" w:hAnsi="Times New Roman" w:cs="Times New Roman"/>
          <w:color w:val="auto"/>
          <w:spacing w:val="0"/>
          <w:w w:val="100"/>
          <w:position w:val="0"/>
          <w:sz w:val="24"/>
          <w:szCs w:val="24"/>
        </w:rPr>
        <w:t>预测时间昼间为</w:t>
      </w:r>
      <w:r>
        <w:rPr>
          <w:rFonts w:hint="default" w:ascii="Times New Roman" w:hAnsi="Times New Roman" w:cs="Times New Roman"/>
          <w:color w:val="auto"/>
          <w:spacing w:val="0"/>
          <w:w w:val="100"/>
          <w:position w:val="0"/>
          <w:sz w:val="24"/>
          <w:szCs w:val="24"/>
          <w:lang w:val="en-US" w:eastAsia="zh-CN"/>
        </w:rPr>
        <w:t>8</w:t>
      </w:r>
      <w:r>
        <w:rPr>
          <w:rFonts w:hint="default" w:ascii="Times New Roman" w:hAnsi="Times New Roman" w:cs="Times New Roman"/>
          <w:color w:val="auto"/>
          <w:spacing w:val="0"/>
          <w:w w:val="100"/>
          <w:position w:val="0"/>
          <w:sz w:val="24"/>
          <w:szCs w:val="24"/>
        </w:rPr>
        <w:t>小时</w:t>
      </w:r>
      <w:r>
        <w:rPr>
          <w:color w:val="auto"/>
          <w:spacing w:val="0"/>
          <w:w w:val="100"/>
          <w:position w:val="0"/>
          <w:sz w:val="24"/>
          <w:szCs w:val="24"/>
        </w:rPr>
        <w:t>。</w:t>
      </w:r>
    </w:p>
    <w:p w14:paraId="6BD16EC5">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4"/>
        <w:rPr>
          <w:rFonts w:hint="default" w:ascii="Times New Roman" w:hAnsi="Times New Roman" w:eastAsia="Times New Roman" w:cs="Times New Roman"/>
          <w:b/>
          <w:bCs/>
          <w:color w:val="auto"/>
          <w:spacing w:val="-2"/>
          <w:sz w:val="24"/>
          <w:szCs w:val="24"/>
          <w:lang w:val="en-US" w:eastAsia="zh-CN"/>
        </w:rPr>
      </w:pPr>
      <w:r>
        <w:rPr>
          <w:rFonts w:hint="eastAsia" w:ascii="Times New Roman" w:hAnsi="Times New Roman" w:eastAsia="Times New Roman" w:cs="Times New Roman"/>
          <w:b/>
          <w:bCs/>
          <w:color w:val="auto"/>
          <w:spacing w:val="-2"/>
          <w:sz w:val="24"/>
          <w:szCs w:val="24"/>
          <w:lang w:val="en-US" w:eastAsia="zh-CN"/>
        </w:rPr>
        <w:t>4.4.4.3</w:t>
      </w:r>
      <w:r>
        <w:rPr>
          <w:rFonts w:hint="default" w:ascii="Times New Roman" w:hAnsi="Times New Roman" w:eastAsia="Times New Roman" w:cs="Times New Roman"/>
          <w:b/>
          <w:bCs/>
          <w:color w:val="auto"/>
          <w:spacing w:val="-2"/>
          <w:sz w:val="24"/>
          <w:szCs w:val="24"/>
          <w:lang w:val="en-US" w:eastAsia="zh-CN"/>
        </w:rPr>
        <w:t>预测结果</w:t>
      </w:r>
    </w:p>
    <w:p w14:paraId="3950402A">
      <w:pPr>
        <w:spacing w:line="360" w:lineRule="auto"/>
        <w:ind w:firstLine="482" w:firstLineChars="200"/>
        <w:jc w:val="both"/>
        <w:rPr>
          <w:rFonts w:hint="default" w:ascii="Times New Roman" w:hAnsi="Times New Roman" w:eastAsia="宋体" w:cs="Times New Roman"/>
          <w:b/>
          <w:bCs/>
          <w:color w:val="auto"/>
          <w:kern w:val="0"/>
          <w:sz w:val="24"/>
          <w:lang w:val="en-US" w:eastAsia="zh-CN" w:bidi="ar"/>
        </w:rPr>
      </w:pPr>
      <w:r>
        <w:rPr>
          <w:rFonts w:hint="eastAsia" w:ascii="Times New Roman" w:hAnsi="Times New Roman" w:eastAsia="宋体" w:cs="Times New Roman"/>
          <w:b/>
          <w:bCs/>
          <w:color w:val="auto"/>
          <w:kern w:val="0"/>
          <w:sz w:val="24"/>
          <w:lang w:val="en-US" w:eastAsia="zh-CN" w:bidi="ar"/>
        </w:rPr>
        <w:t>1、</w:t>
      </w:r>
      <w:r>
        <w:rPr>
          <w:rFonts w:hint="default" w:ascii="Times New Roman" w:hAnsi="Times New Roman" w:eastAsia="宋体" w:cs="Times New Roman"/>
          <w:b/>
          <w:bCs/>
          <w:color w:val="auto"/>
          <w:kern w:val="0"/>
          <w:sz w:val="24"/>
          <w:lang w:val="en-US" w:eastAsia="zh-CN" w:bidi="ar"/>
        </w:rPr>
        <w:t>场内噪声源在场界噪声</w:t>
      </w:r>
      <w:r>
        <w:rPr>
          <w:rFonts w:hint="eastAsia" w:ascii="Times New Roman" w:hAnsi="Times New Roman" w:eastAsia="宋体" w:cs="Times New Roman"/>
          <w:b/>
          <w:bCs/>
          <w:color w:val="auto"/>
          <w:kern w:val="0"/>
          <w:sz w:val="24"/>
          <w:lang w:val="en-US" w:eastAsia="zh-CN" w:bidi="ar"/>
        </w:rPr>
        <w:t>现状监测</w:t>
      </w:r>
      <w:r>
        <w:rPr>
          <w:rFonts w:hint="default" w:ascii="Times New Roman" w:hAnsi="Times New Roman" w:eastAsia="宋体" w:cs="Times New Roman"/>
          <w:b/>
          <w:bCs/>
          <w:color w:val="auto"/>
          <w:kern w:val="0"/>
          <w:sz w:val="24"/>
          <w:lang w:val="en-US" w:eastAsia="zh-CN" w:bidi="ar"/>
        </w:rPr>
        <w:t>点位预测结果</w:t>
      </w:r>
    </w:p>
    <w:p w14:paraId="739BE402">
      <w:pPr>
        <w:spacing w:line="360" w:lineRule="auto"/>
        <w:ind w:firstLine="480" w:firstLineChars="200"/>
        <w:jc w:val="both"/>
        <w:rPr>
          <w:rFonts w:hint="default" w:ascii="Times New Roman" w:hAnsi="Times New Roman" w:eastAsia="宋体" w:cs="Times New Roman"/>
          <w:color w:val="auto"/>
          <w:kern w:val="0"/>
          <w:sz w:val="24"/>
          <w:lang w:val="en-US" w:eastAsia="zh-CN" w:bidi="ar"/>
        </w:rPr>
      </w:pPr>
      <w:r>
        <w:rPr>
          <w:rFonts w:hint="default" w:ascii="Times New Roman" w:hAnsi="Times New Roman" w:eastAsia="宋体" w:cs="Times New Roman"/>
          <w:color w:val="auto"/>
          <w:kern w:val="0"/>
          <w:sz w:val="24"/>
          <w:lang w:val="en-US" w:eastAsia="zh-CN" w:bidi="ar"/>
        </w:rPr>
        <w:t>采用《环安噪声环境影响评价系统》进行预测，场内噪声源在场界噪声</w:t>
      </w:r>
      <w:r>
        <w:rPr>
          <w:rFonts w:hint="eastAsia" w:ascii="Times New Roman" w:hAnsi="Times New Roman" w:eastAsia="宋体" w:cs="Times New Roman"/>
          <w:color w:val="auto"/>
          <w:kern w:val="0"/>
          <w:sz w:val="24"/>
          <w:lang w:val="en-US" w:eastAsia="zh-CN" w:bidi="ar"/>
        </w:rPr>
        <w:t>现状监测</w:t>
      </w:r>
      <w:r>
        <w:rPr>
          <w:rFonts w:hint="default" w:ascii="Times New Roman" w:hAnsi="Times New Roman" w:eastAsia="宋体" w:cs="Times New Roman"/>
          <w:color w:val="auto"/>
          <w:kern w:val="0"/>
          <w:sz w:val="24"/>
          <w:lang w:val="en-US" w:eastAsia="zh-CN" w:bidi="ar"/>
        </w:rPr>
        <w:t>点位预测结果如下：</w:t>
      </w:r>
    </w:p>
    <w:p w14:paraId="0E889615">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eastAsia" w:ascii="Times New Roman" w:hAnsi="Times New Roman" w:eastAsia="宋体" w:cs="Times New Roman"/>
          <w:b/>
          <w:bCs/>
          <w:caps w:val="0"/>
          <w:color w:val="auto"/>
          <w:spacing w:val="0"/>
          <w:sz w:val="21"/>
          <w:szCs w:val="21"/>
          <w:highlight w:val="none"/>
          <w:lang w:val="en-US" w:eastAsia="zh-CN"/>
        </w:rPr>
        <w:t>噪声预测结果达标分析表</w:t>
      </w:r>
    </w:p>
    <w:tbl>
      <w:tblPr>
        <w:tblStyle w:val="21"/>
        <w:tblW w:w="427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4"/>
        <w:gridCol w:w="1179"/>
        <w:gridCol w:w="1921"/>
        <w:gridCol w:w="1237"/>
        <w:gridCol w:w="1437"/>
      </w:tblGrid>
      <w:tr w14:paraId="748C8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8" w:hRule="atLeast"/>
          <w:jc w:val="center"/>
        </w:trPr>
        <w:tc>
          <w:tcPr>
            <w:tcW w:w="1139" w:type="pct"/>
            <w:vMerge w:val="restart"/>
            <w:noWrap w:val="0"/>
            <w:vAlign w:val="center"/>
          </w:tcPr>
          <w:p w14:paraId="67CC017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eastAsia" w:ascii="Times New Roman" w:hAnsi="Times New Roman" w:eastAsia="宋体" w:cs="Times New Roman"/>
                <w:b/>
                <w:bCs/>
                <w:color w:val="auto"/>
                <w:kern w:val="1"/>
                <w:sz w:val="21"/>
                <w:szCs w:val="21"/>
                <w:lang w:val="en-US" w:eastAsia="zh-CN"/>
              </w:rPr>
              <w:t>离散点（现状厂界监测背景点）</w:t>
            </w:r>
          </w:p>
        </w:tc>
        <w:tc>
          <w:tcPr>
            <w:tcW w:w="2072" w:type="pct"/>
            <w:gridSpan w:val="2"/>
            <w:tcBorders>
              <w:left w:val="single" w:color="auto" w:sz="4" w:space="0"/>
            </w:tcBorders>
            <w:noWrap w:val="0"/>
            <w:vAlign w:val="center"/>
          </w:tcPr>
          <w:p w14:paraId="1EAD32C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L（dB(A)）[分贝值Db（A）]</w:t>
            </w:r>
          </w:p>
        </w:tc>
        <w:tc>
          <w:tcPr>
            <w:tcW w:w="827" w:type="pct"/>
            <w:vMerge w:val="restart"/>
            <w:tcBorders>
              <w:right w:val="single" w:color="auto" w:sz="4" w:space="0"/>
            </w:tcBorders>
            <w:noWrap w:val="0"/>
            <w:vAlign w:val="center"/>
          </w:tcPr>
          <w:p w14:paraId="584F38E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标准限值</w:t>
            </w:r>
          </w:p>
          <w:p w14:paraId="6049655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分贝值dB（A）</w:t>
            </w:r>
          </w:p>
        </w:tc>
        <w:tc>
          <w:tcPr>
            <w:tcW w:w="960" w:type="pct"/>
            <w:vMerge w:val="restart"/>
            <w:noWrap w:val="0"/>
            <w:vAlign w:val="center"/>
          </w:tcPr>
          <w:p w14:paraId="279149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达标</w:t>
            </w:r>
          </w:p>
          <w:p w14:paraId="7551AF3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情况</w:t>
            </w:r>
          </w:p>
        </w:tc>
      </w:tr>
      <w:tr w14:paraId="6786A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1139" w:type="pct"/>
            <w:vMerge w:val="continue"/>
            <w:noWrap w:val="0"/>
            <w:vAlign w:val="center"/>
          </w:tcPr>
          <w:p w14:paraId="0C447D8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p>
        </w:tc>
        <w:tc>
          <w:tcPr>
            <w:tcW w:w="2072" w:type="pct"/>
            <w:gridSpan w:val="2"/>
            <w:tcBorders>
              <w:left w:val="single" w:color="auto" w:sz="4" w:space="0"/>
            </w:tcBorders>
            <w:noWrap w:val="0"/>
            <w:vAlign w:val="center"/>
          </w:tcPr>
          <w:p w14:paraId="001BA4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叠加结果</w:t>
            </w:r>
          </w:p>
        </w:tc>
        <w:tc>
          <w:tcPr>
            <w:tcW w:w="827" w:type="pct"/>
            <w:vMerge w:val="continue"/>
            <w:tcBorders>
              <w:bottom w:val="single" w:color="auto" w:sz="4" w:space="0"/>
              <w:right w:val="single" w:color="auto" w:sz="4" w:space="0"/>
            </w:tcBorders>
            <w:noWrap w:val="0"/>
            <w:vAlign w:val="center"/>
          </w:tcPr>
          <w:p w14:paraId="3637CC9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p>
        </w:tc>
        <w:tc>
          <w:tcPr>
            <w:tcW w:w="960" w:type="pct"/>
            <w:vMerge w:val="continue"/>
            <w:noWrap w:val="0"/>
            <w:vAlign w:val="center"/>
          </w:tcPr>
          <w:p w14:paraId="7DA9DFA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p>
        </w:tc>
      </w:tr>
      <w:tr w14:paraId="4AF3C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vMerge w:val="continue"/>
            <w:noWrap w:val="0"/>
            <w:vAlign w:val="center"/>
          </w:tcPr>
          <w:p w14:paraId="0C780EC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p>
        </w:tc>
        <w:tc>
          <w:tcPr>
            <w:tcW w:w="788" w:type="pct"/>
            <w:noWrap w:val="0"/>
            <w:vAlign w:val="center"/>
          </w:tcPr>
          <w:p w14:paraId="3EE94CC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昼间</w:t>
            </w:r>
          </w:p>
        </w:tc>
        <w:tc>
          <w:tcPr>
            <w:tcW w:w="1284" w:type="pct"/>
            <w:noWrap w:val="0"/>
            <w:vAlign w:val="center"/>
          </w:tcPr>
          <w:p w14:paraId="65DDD0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夜间（不运营）</w:t>
            </w:r>
          </w:p>
        </w:tc>
        <w:tc>
          <w:tcPr>
            <w:tcW w:w="827" w:type="pct"/>
            <w:tcBorders>
              <w:top w:val="single" w:color="auto" w:sz="4" w:space="0"/>
              <w:right w:val="single" w:color="auto" w:sz="4" w:space="0"/>
            </w:tcBorders>
            <w:noWrap w:val="0"/>
            <w:vAlign w:val="center"/>
          </w:tcPr>
          <w:p w14:paraId="50B2497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auto"/>
                <w:kern w:val="1"/>
                <w:sz w:val="21"/>
                <w:szCs w:val="21"/>
                <w:lang w:val="en-US" w:eastAsia="zh-CN"/>
              </w:rPr>
            </w:pPr>
            <w:r>
              <w:rPr>
                <w:rFonts w:hint="default" w:ascii="Times New Roman" w:hAnsi="Times New Roman" w:eastAsia="宋体" w:cs="Times New Roman"/>
                <w:b/>
                <w:bCs/>
                <w:color w:val="auto"/>
                <w:kern w:val="1"/>
                <w:sz w:val="21"/>
                <w:szCs w:val="21"/>
                <w:lang w:val="en-US" w:eastAsia="zh-CN"/>
              </w:rPr>
              <w:t>昼间</w:t>
            </w:r>
          </w:p>
        </w:tc>
        <w:tc>
          <w:tcPr>
            <w:tcW w:w="960" w:type="pct"/>
            <w:vMerge w:val="continue"/>
            <w:noWrap w:val="0"/>
            <w:vAlign w:val="center"/>
          </w:tcPr>
          <w:p w14:paraId="11AACB8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p>
        </w:tc>
      </w:tr>
      <w:tr w14:paraId="19998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noWrap w:val="0"/>
            <w:vAlign w:val="center"/>
          </w:tcPr>
          <w:p w14:paraId="2A32428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项目厂界东1#</w:t>
            </w:r>
          </w:p>
        </w:tc>
        <w:tc>
          <w:tcPr>
            <w:tcW w:w="788" w:type="pct"/>
            <w:noWrap w:val="0"/>
            <w:vAlign w:val="center"/>
          </w:tcPr>
          <w:p w14:paraId="26C8247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55.79</w:t>
            </w:r>
          </w:p>
        </w:tc>
        <w:tc>
          <w:tcPr>
            <w:tcW w:w="1284" w:type="pct"/>
            <w:noWrap w:val="0"/>
            <w:vAlign w:val="center"/>
          </w:tcPr>
          <w:p w14:paraId="08DABB9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w:t>
            </w:r>
          </w:p>
        </w:tc>
        <w:tc>
          <w:tcPr>
            <w:tcW w:w="827" w:type="pct"/>
            <w:tcBorders>
              <w:bottom w:val="single" w:color="auto" w:sz="4" w:space="0"/>
              <w:right w:val="single" w:color="auto" w:sz="4" w:space="0"/>
            </w:tcBorders>
            <w:noWrap w:val="0"/>
            <w:vAlign w:val="center"/>
          </w:tcPr>
          <w:p w14:paraId="7D4FA6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65</w:t>
            </w:r>
          </w:p>
        </w:tc>
        <w:tc>
          <w:tcPr>
            <w:tcW w:w="960" w:type="pct"/>
            <w:noWrap w:val="0"/>
            <w:vAlign w:val="center"/>
          </w:tcPr>
          <w:p w14:paraId="4360F3E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71B29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noWrap w:val="0"/>
            <w:vAlign w:val="center"/>
          </w:tcPr>
          <w:p w14:paraId="5DB2DED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项目厂界南2#</w:t>
            </w:r>
          </w:p>
        </w:tc>
        <w:tc>
          <w:tcPr>
            <w:tcW w:w="788" w:type="pct"/>
            <w:noWrap w:val="0"/>
            <w:vAlign w:val="center"/>
          </w:tcPr>
          <w:p w14:paraId="565B7AE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56.26</w:t>
            </w:r>
          </w:p>
        </w:tc>
        <w:tc>
          <w:tcPr>
            <w:tcW w:w="1284" w:type="pct"/>
            <w:noWrap w:val="0"/>
            <w:vAlign w:val="center"/>
          </w:tcPr>
          <w:p w14:paraId="53E72D4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w:t>
            </w:r>
          </w:p>
        </w:tc>
        <w:tc>
          <w:tcPr>
            <w:tcW w:w="827" w:type="pct"/>
            <w:tcBorders>
              <w:top w:val="single" w:color="auto" w:sz="4" w:space="0"/>
              <w:bottom w:val="single" w:color="auto" w:sz="4" w:space="0"/>
              <w:right w:val="single" w:color="auto" w:sz="4" w:space="0"/>
            </w:tcBorders>
            <w:noWrap w:val="0"/>
            <w:vAlign w:val="center"/>
          </w:tcPr>
          <w:p w14:paraId="7CB22BE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65</w:t>
            </w:r>
          </w:p>
        </w:tc>
        <w:tc>
          <w:tcPr>
            <w:tcW w:w="960" w:type="pct"/>
            <w:noWrap w:val="0"/>
            <w:vAlign w:val="center"/>
          </w:tcPr>
          <w:p w14:paraId="4EE520E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39529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139" w:type="pct"/>
            <w:noWrap w:val="0"/>
            <w:vAlign w:val="center"/>
          </w:tcPr>
          <w:p w14:paraId="189DAA6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项目厂界西3#</w:t>
            </w:r>
          </w:p>
        </w:tc>
        <w:tc>
          <w:tcPr>
            <w:tcW w:w="788" w:type="pct"/>
            <w:noWrap w:val="0"/>
            <w:vAlign w:val="center"/>
          </w:tcPr>
          <w:p w14:paraId="2A424FA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59.57</w:t>
            </w:r>
          </w:p>
        </w:tc>
        <w:tc>
          <w:tcPr>
            <w:tcW w:w="1284" w:type="pct"/>
            <w:noWrap w:val="0"/>
            <w:vAlign w:val="center"/>
          </w:tcPr>
          <w:p w14:paraId="72FC6E7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w:t>
            </w:r>
          </w:p>
        </w:tc>
        <w:tc>
          <w:tcPr>
            <w:tcW w:w="827" w:type="pct"/>
            <w:tcBorders>
              <w:top w:val="single" w:color="auto" w:sz="4" w:space="0"/>
              <w:bottom w:val="single" w:color="auto" w:sz="4" w:space="0"/>
              <w:right w:val="single" w:color="auto" w:sz="4" w:space="0"/>
            </w:tcBorders>
            <w:noWrap w:val="0"/>
            <w:vAlign w:val="center"/>
          </w:tcPr>
          <w:p w14:paraId="59E9486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65</w:t>
            </w:r>
          </w:p>
        </w:tc>
        <w:tc>
          <w:tcPr>
            <w:tcW w:w="960" w:type="pct"/>
            <w:noWrap w:val="0"/>
            <w:vAlign w:val="center"/>
          </w:tcPr>
          <w:p w14:paraId="0280A10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06AFE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jc w:val="center"/>
        </w:trPr>
        <w:tc>
          <w:tcPr>
            <w:tcW w:w="1139" w:type="pct"/>
            <w:noWrap w:val="0"/>
            <w:vAlign w:val="center"/>
          </w:tcPr>
          <w:p w14:paraId="7CF7569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项目厂界西北4#</w:t>
            </w:r>
          </w:p>
        </w:tc>
        <w:tc>
          <w:tcPr>
            <w:tcW w:w="788" w:type="pct"/>
            <w:noWrap w:val="0"/>
            <w:vAlign w:val="center"/>
          </w:tcPr>
          <w:p w14:paraId="5E44C7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54.81</w:t>
            </w:r>
          </w:p>
        </w:tc>
        <w:tc>
          <w:tcPr>
            <w:tcW w:w="1284" w:type="pct"/>
            <w:noWrap w:val="0"/>
            <w:vAlign w:val="center"/>
          </w:tcPr>
          <w:p w14:paraId="4EF1579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w:t>
            </w:r>
          </w:p>
        </w:tc>
        <w:tc>
          <w:tcPr>
            <w:tcW w:w="827" w:type="pct"/>
            <w:tcBorders>
              <w:top w:val="single" w:color="auto" w:sz="4" w:space="0"/>
              <w:bottom w:val="single" w:color="auto" w:sz="4" w:space="0"/>
              <w:right w:val="single" w:color="auto" w:sz="4" w:space="0"/>
            </w:tcBorders>
            <w:noWrap w:val="0"/>
            <w:vAlign w:val="center"/>
          </w:tcPr>
          <w:p w14:paraId="76E14E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65</w:t>
            </w:r>
          </w:p>
        </w:tc>
        <w:tc>
          <w:tcPr>
            <w:tcW w:w="960" w:type="pct"/>
            <w:noWrap w:val="0"/>
            <w:vAlign w:val="center"/>
          </w:tcPr>
          <w:p w14:paraId="151F8C4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r w14:paraId="756F7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jc w:val="center"/>
        </w:trPr>
        <w:tc>
          <w:tcPr>
            <w:tcW w:w="1139" w:type="pct"/>
            <w:noWrap w:val="0"/>
            <w:vAlign w:val="center"/>
          </w:tcPr>
          <w:p w14:paraId="063024F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项目厂界北5#</w:t>
            </w:r>
          </w:p>
        </w:tc>
        <w:tc>
          <w:tcPr>
            <w:tcW w:w="788" w:type="pct"/>
            <w:noWrap w:val="0"/>
            <w:vAlign w:val="center"/>
          </w:tcPr>
          <w:p w14:paraId="2229ABF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eastAsia" w:ascii="Times New Roman" w:hAnsi="Times New Roman" w:eastAsia="宋体" w:cs="Times New Roman"/>
                <w:b w:val="0"/>
                <w:bCs w:val="0"/>
                <w:color w:val="auto"/>
                <w:kern w:val="1"/>
                <w:sz w:val="21"/>
                <w:szCs w:val="21"/>
                <w:lang w:val="en-US" w:eastAsia="zh-CN"/>
              </w:rPr>
              <w:t>53.79</w:t>
            </w:r>
          </w:p>
        </w:tc>
        <w:tc>
          <w:tcPr>
            <w:tcW w:w="1284" w:type="pct"/>
            <w:noWrap w:val="0"/>
            <w:vAlign w:val="center"/>
          </w:tcPr>
          <w:p w14:paraId="26E332F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w:t>
            </w:r>
          </w:p>
        </w:tc>
        <w:tc>
          <w:tcPr>
            <w:tcW w:w="827" w:type="pct"/>
            <w:tcBorders>
              <w:top w:val="single" w:color="auto" w:sz="4" w:space="0"/>
              <w:bottom w:val="single" w:color="auto" w:sz="4" w:space="0"/>
              <w:right w:val="single" w:color="auto" w:sz="4" w:space="0"/>
            </w:tcBorders>
            <w:noWrap w:val="0"/>
            <w:vAlign w:val="center"/>
          </w:tcPr>
          <w:p w14:paraId="6F418FD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65</w:t>
            </w:r>
          </w:p>
        </w:tc>
        <w:tc>
          <w:tcPr>
            <w:tcW w:w="960" w:type="pct"/>
            <w:noWrap w:val="0"/>
            <w:vAlign w:val="center"/>
          </w:tcPr>
          <w:p w14:paraId="6FA767C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val="0"/>
                <w:bCs w:val="0"/>
                <w:color w:val="auto"/>
                <w:kern w:val="1"/>
                <w:sz w:val="21"/>
                <w:szCs w:val="21"/>
                <w:lang w:val="en-US" w:eastAsia="zh-CN"/>
              </w:rPr>
            </w:pPr>
            <w:r>
              <w:rPr>
                <w:rFonts w:hint="default" w:ascii="Times New Roman" w:hAnsi="Times New Roman" w:eastAsia="宋体" w:cs="Times New Roman"/>
                <w:b w:val="0"/>
                <w:bCs w:val="0"/>
                <w:color w:val="auto"/>
                <w:kern w:val="1"/>
                <w:sz w:val="21"/>
                <w:szCs w:val="21"/>
                <w:lang w:val="en-US" w:eastAsia="zh-CN"/>
              </w:rPr>
              <w:t>达标</w:t>
            </w:r>
          </w:p>
        </w:tc>
      </w:tr>
    </w:tbl>
    <w:p w14:paraId="581FE05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从</w:t>
      </w:r>
      <w:r>
        <w:rPr>
          <w:rFonts w:hint="eastAsia" w:cs="Times New Roman"/>
          <w:color w:val="auto"/>
          <w:sz w:val="24"/>
          <w:szCs w:val="24"/>
          <w:lang w:val="en-US" w:eastAsia="zh-CN"/>
        </w:rPr>
        <w:t>噪声预测结果达标分析表</w:t>
      </w:r>
      <w:r>
        <w:rPr>
          <w:rFonts w:hint="eastAsia" w:ascii="Times New Roman" w:hAnsi="Times New Roman" w:eastAsia="宋体" w:cs="Times New Roman"/>
          <w:color w:val="auto"/>
          <w:sz w:val="24"/>
          <w:szCs w:val="24"/>
          <w:lang w:val="en-US" w:eastAsia="zh-CN"/>
        </w:rPr>
        <w:t>看出：在项目声源叠加后，</w:t>
      </w:r>
      <w:r>
        <w:rPr>
          <w:rFonts w:hint="default" w:ascii="Times New Roman" w:hAnsi="Times New Roman" w:eastAsia="宋体" w:cs="Times New Roman"/>
          <w:color w:val="auto"/>
          <w:sz w:val="24"/>
          <w:szCs w:val="24"/>
        </w:rPr>
        <w:t>项目</w:t>
      </w:r>
      <w:r>
        <w:rPr>
          <w:rFonts w:hint="eastAsia" w:ascii="Times New Roman" w:hAnsi="Times New Roman" w:eastAsia="宋体" w:cs="Times New Roman"/>
          <w:color w:val="auto"/>
          <w:sz w:val="24"/>
          <w:szCs w:val="24"/>
          <w:lang w:val="en-US" w:eastAsia="zh-CN"/>
        </w:rPr>
        <w:t>厂区北、西、东边界</w:t>
      </w:r>
      <w:r>
        <w:rPr>
          <w:rFonts w:hint="default" w:ascii="Times New Roman" w:hAnsi="Times New Roman" w:eastAsia="宋体" w:cs="Times New Roman"/>
          <w:color w:val="auto"/>
          <w:sz w:val="24"/>
          <w:szCs w:val="24"/>
        </w:rPr>
        <w:t>噪声值均能达到《工业企业厂界环境噪声排放标准》（GB12348-2008）中的</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类</w:t>
      </w:r>
      <w:r>
        <w:rPr>
          <w:rFonts w:hint="default" w:ascii="Times New Roman" w:hAnsi="Times New Roman" w:eastAsia="宋体" w:cs="Times New Roman"/>
          <w:color w:val="auto"/>
          <w:kern w:val="1"/>
          <w:sz w:val="24"/>
        </w:rPr>
        <w:t>（昼间6</w:t>
      </w:r>
      <w:r>
        <w:rPr>
          <w:rFonts w:hint="default" w:ascii="Times New Roman" w:hAnsi="Times New Roman" w:eastAsia="宋体" w:cs="Times New Roman"/>
          <w:color w:val="auto"/>
          <w:kern w:val="1"/>
          <w:sz w:val="24"/>
          <w:lang w:val="en-US" w:eastAsia="zh-CN"/>
        </w:rPr>
        <w:t>5</w:t>
      </w:r>
      <w:r>
        <w:rPr>
          <w:rFonts w:hint="default" w:ascii="Times New Roman" w:hAnsi="Times New Roman" w:eastAsia="宋体" w:cs="Times New Roman"/>
          <w:color w:val="auto"/>
          <w:kern w:val="1"/>
          <w:sz w:val="24"/>
        </w:rPr>
        <w:t>dB</w:t>
      </w:r>
      <w:r>
        <w:rPr>
          <w:rFonts w:hint="eastAsia" w:cs="Times New Roman"/>
          <w:color w:val="auto"/>
          <w:kern w:val="1"/>
          <w:sz w:val="24"/>
          <w:lang w:eastAsia="zh-CN"/>
        </w:rPr>
        <w:t>（</w:t>
      </w:r>
      <w:r>
        <w:rPr>
          <w:rFonts w:hint="default" w:ascii="Times New Roman" w:hAnsi="Times New Roman" w:eastAsia="宋体" w:cs="Times New Roman"/>
          <w:color w:val="auto"/>
          <w:kern w:val="1"/>
          <w:sz w:val="24"/>
        </w:rPr>
        <w:t>A</w:t>
      </w:r>
      <w:r>
        <w:rPr>
          <w:rFonts w:hint="eastAsia" w:cs="Times New Roman"/>
          <w:color w:val="auto"/>
          <w:kern w:val="1"/>
          <w:sz w:val="24"/>
          <w:lang w:eastAsia="zh-CN"/>
        </w:rPr>
        <w:t>）</w:t>
      </w:r>
      <w:r>
        <w:rPr>
          <w:rFonts w:hint="default" w:ascii="Times New Roman" w:hAnsi="Times New Roman" w:eastAsia="宋体" w:cs="Times New Roman"/>
          <w:color w:val="auto"/>
          <w:kern w:val="1"/>
          <w:sz w:val="24"/>
        </w:rPr>
        <w:t>）</w:t>
      </w:r>
      <w:r>
        <w:rPr>
          <w:rFonts w:hint="default" w:ascii="Times New Roman" w:hAnsi="Times New Roman" w:eastAsia="宋体" w:cs="Times New Roman"/>
          <w:color w:val="auto"/>
          <w:sz w:val="24"/>
          <w:szCs w:val="24"/>
        </w:rPr>
        <w:t>标准</w:t>
      </w:r>
      <w:r>
        <w:rPr>
          <w:rFonts w:hint="default" w:ascii="Times New Roman" w:hAnsi="Times New Roman" w:eastAsia="宋体" w:cs="Times New Roman"/>
          <w:color w:val="auto"/>
          <w:sz w:val="24"/>
          <w:szCs w:val="24"/>
          <w:lang w:eastAsia="zh-CN"/>
        </w:rPr>
        <w:t>要求，</w:t>
      </w:r>
      <w:r>
        <w:rPr>
          <w:rFonts w:hint="default" w:ascii="Times New Roman" w:hAnsi="Times New Roman" w:eastAsia="宋体" w:cs="Times New Roman"/>
          <w:color w:val="auto"/>
          <w:sz w:val="24"/>
          <w:szCs w:val="24"/>
          <w:lang w:val="en-US" w:eastAsia="zh-CN"/>
        </w:rPr>
        <w:t>夜间不运行</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lang w:bidi="ar"/>
        </w:rPr>
        <w:t>厂界外</w:t>
      </w:r>
      <w:r>
        <w:rPr>
          <w:rFonts w:hint="eastAsia" w:ascii="Times New Roman" w:hAnsi="Times New Roman" w:eastAsia="宋体" w:cs="Times New Roman"/>
          <w:color w:val="auto"/>
          <w:kern w:val="0"/>
          <w:sz w:val="24"/>
          <w:lang w:val="en-US" w:eastAsia="zh-CN" w:bidi="ar"/>
        </w:rPr>
        <w:t>200</w:t>
      </w:r>
      <w:r>
        <w:rPr>
          <w:rFonts w:hint="default" w:ascii="Times New Roman" w:hAnsi="Times New Roman" w:eastAsia="宋体" w:cs="Times New Roman"/>
          <w:color w:val="auto"/>
          <w:kern w:val="0"/>
          <w:sz w:val="24"/>
          <w:lang w:bidi="ar"/>
        </w:rPr>
        <w:t>米范围内</w:t>
      </w:r>
      <w:r>
        <w:rPr>
          <w:rFonts w:hint="default" w:ascii="Times New Roman" w:hAnsi="Times New Roman" w:eastAsia="宋体" w:cs="Times New Roman"/>
          <w:color w:val="auto"/>
          <w:kern w:val="0"/>
          <w:sz w:val="24"/>
          <w:lang w:eastAsia="zh-CN" w:bidi="ar"/>
        </w:rPr>
        <w:t>无</w:t>
      </w:r>
      <w:r>
        <w:rPr>
          <w:rFonts w:hint="default" w:ascii="Times New Roman" w:hAnsi="Times New Roman" w:eastAsia="宋体" w:cs="Times New Roman"/>
          <w:color w:val="auto"/>
          <w:kern w:val="0"/>
          <w:sz w:val="24"/>
          <w:lang w:bidi="ar"/>
        </w:rPr>
        <w:t>声环境保护目标</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lang w:val="zh-CN"/>
        </w:rPr>
        <w:t>本</w:t>
      </w:r>
      <w:r>
        <w:rPr>
          <w:rFonts w:hint="default" w:ascii="Times New Roman" w:hAnsi="Times New Roman" w:eastAsia="宋体" w:cs="Times New Roman"/>
          <w:color w:val="auto"/>
          <w:sz w:val="24"/>
        </w:rPr>
        <w:t>项目</w:t>
      </w:r>
      <w:r>
        <w:rPr>
          <w:rFonts w:hint="default" w:ascii="Times New Roman" w:hAnsi="Times New Roman" w:eastAsia="宋体" w:cs="Times New Roman"/>
          <w:color w:val="auto"/>
          <w:kern w:val="1"/>
          <w:sz w:val="24"/>
          <w:lang w:eastAsia="zh-CN"/>
        </w:rPr>
        <w:t>噪声对</w:t>
      </w:r>
      <w:r>
        <w:rPr>
          <w:rFonts w:hint="default" w:ascii="Times New Roman" w:hAnsi="Times New Roman" w:eastAsia="宋体" w:cs="Times New Roman"/>
          <w:color w:val="auto"/>
          <w:kern w:val="0"/>
          <w:sz w:val="24"/>
          <w:szCs w:val="24"/>
          <w:lang w:val="en-US" w:eastAsia="zh-CN" w:bidi="ar"/>
        </w:rPr>
        <w:t>周围环境</w:t>
      </w:r>
      <w:r>
        <w:rPr>
          <w:rFonts w:hint="default" w:ascii="Times New Roman" w:hAnsi="Times New Roman" w:eastAsia="宋体" w:cs="Times New Roman"/>
          <w:color w:val="auto"/>
          <w:sz w:val="24"/>
          <w:szCs w:val="24"/>
        </w:rPr>
        <w:t>影响较小。</w:t>
      </w:r>
    </w:p>
    <w:p w14:paraId="3FBFEC26">
      <w:pPr>
        <w:keepNext w:val="0"/>
        <w:keepLines w:val="0"/>
        <w:pageBreakBefore w:val="0"/>
        <w:widowControl/>
        <w:numPr>
          <w:ilvl w:val="0"/>
          <w:numId w:val="17"/>
        </w:numPr>
        <w:wordWrap/>
        <w:overflowPunct/>
        <w:topLinePunct w:val="0"/>
        <w:autoSpaceDE w:val="0"/>
        <w:autoSpaceDN w:val="0"/>
        <w:bidi w:val="0"/>
        <w:adjustRightInd/>
        <w:snapToGrid/>
        <w:spacing w:line="360" w:lineRule="auto"/>
        <w:textAlignment w:val="baseline"/>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既有铁路噪声和H1道、H2道货物线铁路边界噪声预测结果</w:t>
      </w:r>
    </w:p>
    <w:p w14:paraId="3ADCD2D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22" w:firstLineChars="200"/>
        <w:textAlignment w:val="baseline"/>
        <w:outlineLvl w:val="9"/>
        <w:rPr>
          <w:color w:val="auto"/>
          <w:spacing w:val="0"/>
          <w:w w:val="100"/>
          <w:position w:val="0"/>
        </w:rPr>
      </w:pPr>
      <w:r>
        <w:rPr>
          <w:rFonts w:hint="eastAsia" w:ascii="Times New Roman" w:hAnsi="Times New Roman" w:eastAsia="宋体" w:cs="Times New Roman"/>
          <w:b/>
          <w:bCs/>
          <w:color w:val="auto"/>
          <w:spacing w:val="0"/>
          <w:w w:val="100"/>
          <w:position w:val="0"/>
          <w:lang w:val="en-US" w:eastAsia="zh-CN"/>
        </w:rPr>
        <w:t>①</w:t>
      </w:r>
      <w:r>
        <w:rPr>
          <w:rFonts w:hint="eastAsia" w:eastAsia="宋体"/>
          <w:b/>
          <w:bCs/>
          <w:color w:val="auto"/>
          <w:spacing w:val="0"/>
          <w:w w:val="100"/>
          <w:position w:val="0"/>
          <w:lang w:val="en-US" w:eastAsia="zh-CN"/>
        </w:rPr>
        <w:t>铁路边界接受点</w:t>
      </w:r>
      <w:r>
        <w:rPr>
          <w:b/>
          <w:bCs/>
          <w:color w:val="auto"/>
          <w:spacing w:val="0"/>
          <w:w w:val="100"/>
          <w:position w:val="0"/>
        </w:rPr>
        <w:t>预测结果分析</w:t>
      </w:r>
    </w:p>
    <w:p w14:paraId="54D20A5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rPr>
        <w:t>铁路边界接受点环境噪声预测结果详见下表</w:t>
      </w:r>
      <w:r>
        <w:rPr>
          <w:rFonts w:hint="default" w:ascii="Times New Roman" w:hAnsi="Times New Roman" w:eastAsia="宋体" w:cs="Times New Roman"/>
          <w:color w:val="auto"/>
          <w:spacing w:val="0"/>
          <w:w w:val="100"/>
          <w:position w:val="0"/>
          <w:sz w:val="24"/>
          <w:szCs w:val="24"/>
          <w:lang w:val="en-US" w:eastAsia="zh-CN"/>
        </w:rPr>
        <w:t>4.7-</w:t>
      </w:r>
      <w:r>
        <w:rPr>
          <w:rFonts w:hint="eastAsia" w:ascii="Times New Roman" w:hAnsi="Times New Roman" w:eastAsia="宋体" w:cs="Times New Roman"/>
          <w:color w:val="auto"/>
          <w:spacing w:val="0"/>
          <w:w w:val="100"/>
          <w:position w:val="0"/>
          <w:sz w:val="24"/>
          <w:szCs w:val="24"/>
          <w:lang w:val="en-US" w:eastAsia="zh-CN"/>
        </w:rPr>
        <w:t>8</w:t>
      </w:r>
      <w:r>
        <w:rPr>
          <w:rFonts w:hint="default" w:ascii="Times New Roman" w:hAnsi="Times New Roman" w:cs="Times New Roman"/>
          <w:color w:val="auto"/>
          <w:spacing w:val="0"/>
          <w:w w:val="100"/>
          <w:position w:val="0"/>
          <w:sz w:val="24"/>
          <w:szCs w:val="24"/>
        </w:rPr>
        <w:t>。昼间等值线图详见下图</w:t>
      </w:r>
      <w:r>
        <w:rPr>
          <w:rFonts w:hint="default" w:ascii="Times New Roman" w:hAnsi="Times New Roman" w:eastAsia="宋体" w:cs="Times New Roman"/>
          <w:color w:val="auto"/>
          <w:spacing w:val="0"/>
          <w:w w:val="100"/>
          <w:position w:val="0"/>
          <w:sz w:val="24"/>
          <w:szCs w:val="24"/>
          <w:lang w:val="en-US" w:eastAsia="zh-CN"/>
        </w:rPr>
        <w:t>4.4-2</w:t>
      </w:r>
      <w:r>
        <w:rPr>
          <w:rFonts w:hint="default" w:ascii="Times New Roman" w:hAnsi="Times New Roman" w:cs="Times New Roman"/>
          <w:color w:val="auto"/>
          <w:spacing w:val="0"/>
          <w:w w:val="100"/>
          <w:position w:val="0"/>
          <w:sz w:val="24"/>
          <w:szCs w:val="24"/>
        </w:rPr>
        <w:t>。</w:t>
      </w:r>
    </w:p>
    <w:p w14:paraId="3AADC985">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sectPr>
          <w:headerReference r:id="rId13" w:type="default"/>
          <w:pgSz w:w="11906" w:h="16839"/>
          <w:pgMar w:top="1169" w:right="1596" w:bottom="1243" w:left="1785" w:header="845" w:footer="1026" w:gutter="0"/>
          <w:pgNumType w:fmt="decimal"/>
          <w:cols w:space="720" w:num="1"/>
        </w:sectPr>
      </w:pPr>
    </w:p>
    <w:p w14:paraId="5908BF18">
      <w:pPr>
        <w:pStyle w:val="36"/>
        <w:keepNext w:val="0"/>
        <w:keepLines w:val="0"/>
        <w:pageBreakBefore w:val="0"/>
        <w:widowControl w:val="0"/>
        <w:numPr>
          <w:ilvl w:val="1"/>
          <w:numId w:val="16"/>
        </w:numPr>
        <w:kinsoku/>
        <w:wordWrap/>
        <w:overflowPunct/>
        <w:topLinePunct w:val="0"/>
        <w:autoSpaceDE/>
        <w:autoSpaceDN/>
        <w:bidi w:val="0"/>
        <w:adjustRightInd/>
        <w:snapToGrid/>
        <w:spacing w:line="360" w:lineRule="auto"/>
        <w:ind w:left="840" w:leftChars="0" w:hanging="420" w:firstLineChars="0"/>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eastAsia" w:ascii="Times New Roman" w:hAnsi="Times New Roman" w:eastAsia="宋体" w:cs="Times New Roman"/>
          <w:b/>
          <w:bCs/>
          <w:caps w:val="0"/>
          <w:color w:val="auto"/>
          <w:spacing w:val="0"/>
          <w:sz w:val="21"/>
          <w:szCs w:val="21"/>
          <w:highlight w:val="none"/>
          <w:lang w:val="en-US" w:eastAsia="zh-CN"/>
        </w:rPr>
        <w:t>铁路边界接受点</w:t>
      </w:r>
      <w:r>
        <w:rPr>
          <w:rFonts w:hint="default" w:ascii="Times New Roman" w:hAnsi="Times New Roman" w:eastAsia="宋体" w:cs="Times New Roman"/>
          <w:b/>
          <w:bCs/>
          <w:caps w:val="0"/>
          <w:color w:val="auto"/>
          <w:spacing w:val="0"/>
          <w:sz w:val="21"/>
          <w:szCs w:val="21"/>
          <w:highlight w:val="none"/>
          <w:lang w:val="en-US" w:eastAsia="zh-CN"/>
        </w:rPr>
        <w:t>预测与结果与达标分析</w:t>
      </w:r>
      <w:r>
        <w:rPr>
          <w:rFonts w:hint="eastAsia" w:ascii="Times New Roman" w:hAnsi="Times New Roman" w:eastAsia="宋体" w:cs="Times New Roman"/>
          <w:b/>
          <w:bCs/>
          <w:caps w:val="0"/>
          <w:color w:val="auto"/>
          <w:spacing w:val="0"/>
          <w:sz w:val="21"/>
          <w:szCs w:val="21"/>
          <w:highlight w:val="none"/>
          <w:lang w:val="en-US" w:eastAsia="zh-CN"/>
        </w:rPr>
        <w:t>（单位：</w:t>
      </w:r>
      <w:r>
        <w:rPr>
          <w:rFonts w:ascii="Times New Roman" w:hAnsi="Times New Roman" w:eastAsia="Times New Roman" w:cs="Times New Roman"/>
          <w:b/>
          <w:bCs/>
          <w:color w:val="auto"/>
          <w:spacing w:val="0"/>
          <w:w w:val="100"/>
          <w:position w:val="0"/>
          <w:sz w:val="22"/>
          <w:szCs w:val="22"/>
        </w:rPr>
        <w:t>dB</w:t>
      </w:r>
      <w:r>
        <w:rPr>
          <w:b/>
          <w:bCs/>
          <w:color w:val="auto"/>
          <w:spacing w:val="0"/>
          <w:w w:val="100"/>
          <w:position w:val="0"/>
          <w:sz w:val="22"/>
          <w:szCs w:val="22"/>
        </w:rPr>
        <w:t>（</w:t>
      </w:r>
      <w:r>
        <w:rPr>
          <w:rFonts w:ascii="Times New Roman" w:hAnsi="Times New Roman" w:eastAsia="Times New Roman" w:cs="Times New Roman"/>
          <w:b/>
          <w:bCs/>
          <w:color w:val="auto"/>
          <w:spacing w:val="0"/>
          <w:w w:val="100"/>
          <w:position w:val="0"/>
          <w:sz w:val="22"/>
          <w:szCs w:val="22"/>
        </w:rPr>
        <w:t>A</w:t>
      </w:r>
      <w:r>
        <w:rPr>
          <w:b/>
          <w:bCs/>
          <w:color w:val="auto"/>
          <w:spacing w:val="0"/>
          <w:w w:val="100"/>
          <w:position w:val="0"/>
          <w:sz w:val="22"/>
          <w:szCs w:val="22"/>
        </w:rPr>
        <w:t>）</w:t>
      </w:r>
      <w:r>
        <w:rPr>
          <w:rFonts w:hint="eastAsia" w:ascii="Times New Roman" w:hAnsi="Times New Roman" w:eastAsia="宋体" w:cs="Times New Roman"/>
          <w:b/>
          <w:bCs/>
          <w:caps w:val="0"/>
          <w:color w:val="auto"/>
          <w:spacing w:val="0"/>
          <w:sz w:val="21"/>
          <w:szCs w:val="21"/>
          <w:highlight w:val="none"/>
          <w:lang w:val="en-US" w:eastAsia="zh-CN"/>
        </w:rPr>
        <w:t>）</w:t>
      </w:r>
    </w:p>
    <w:tbl>
      <w:tblPr>
        <w:tblStyle w:val="26"/>
        <w:tblW w:w="14252"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1"/>
        <w:gridCol w:w="1550"/>
        <w:gridCol w:w="617"/>
        <w:gridCol w:w="913"/>
        <w:gridCol w:w="650"/>
        <w:gridCol w:w="900"/>
        <w:gridCol w:w="1080"/>
        <w:gridCol w:w="893"/>
        <w:gridCol w:w="1387"/>
        <w:gridCol w:w="913"/>
        <w:gridCol w:w="941"/>
        <w:gridCol w:w="988"/>
        <w:gridCol w:w="785"/>
        <w:gridCol w:w="799"/>
        <w:gridCol w:w="622"/>
        <w:gridCol w:w="653"/>
      </w:tblGrid>
      <w:tr w14:paraId="667E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4" w:hRule="atLeast"/>
        </w:trPr>
        <w:tc>
          <w:tcPr>
            <w:tcW w:w="561" w:type="dxa"/>
            <w:vMerge w:val="restart"/>
            <w:textDirection w:val="tbRlV"/>
            <w:vAlign w:val="center"/>
          </w:tcPr>
          <w:p w14:paraId="1F288E9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序号</w:t>
            </w:r>
          </w:p>
        </w:tc>
        <w:tc>
          <w:tcPr>
            <w:tcW w:w="1550" w:type="dxa"/>
            <w:vMerge w:val="restart"/>
            <w:vAlign w:val="center"/>
          </w:tcPr>
          <w:p w14:paraId="1C00ED9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测点位置</w:t>
            </w:r>
          </w:p>
        </w:tc>
        <w:tc>
          <w:tcPr>
            <w:tcW w:w="617" w:type="dxa"/>
            <w:vMerge w:val="restart"/>
            <w:vAlign w:val="center"/>
          </w:tcPr>
          <w:p w14:paraId="024E64F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线路类型</w:t>
            </w:r>
          </w:p>
        </w:tc>
        <w:tc>
          <w:tcPr>
            <w:tcW w:w="1563" w:type="dxa"/>
            <w:gridSpan w:val="2"/>
            <w:vAlign w:val="center"/>
          </w:tcPr>
          <w:p w14:paraId="0D2DC85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18"/>
                <w:szCs w:val="18"/>
              </w:rPr>
            </w:pPr>
            <w:r>
              <w:rPr>
                <w:b/>
                <w:bCs/>
                <w:color w:val="auto"/>
                <w:spacing w:val="0"/>
                <w:w w:val="100"/>
                <w:position w:val="0"/>
                <w:sz w:val="18"/>
                <w:szCs w:val="18"/>
              </w:rPr>
              <w:t>相对距离</w:t>
            </w:r>
            <w:r>
              <w:rPr>
                <w:rFonts w:ascii="Times New Roman" w:hAnsi="Times New Roman" w:eastAsia="Times New Roman" w:cs="Times New Roman"/>
                <w:b/>
                <w:bCs/>
                <w:color w:val="auto"/>
                <w:spacing w:val="0"/>
                <w:w w:val="100"/>
                <w:position w:val="0"/>
                <w:sz w:val="18"/>
                <w:szCs w:val="18"/>
              </w:rPr>
              <w:t>/m</w:t>
            </w:r>
          </w:p>
        </w:tc>
        <w:tc>
          <w:tcPr>
            <w:tcW w:w="900" w:type="dxa"/>
            <w:vMerge w:val="restart"/>
            <w:vAlign w:val="center"/>
          </w:tcPr>
          <w:p w14:paraId="0F44298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测点编号</w:t>
            </w:r>
          </w:p>
        </w:tc>
        <w:tc>
          <w:tcPr>
            <w:tcW w:w="1080" w:type="dxa"/>
            <w:vMerge w:val="restart"/>
            <w:vAlign w:val="center"/>
          </w:tcPr>
          <w:p w14:paraId="70852CE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源强</w:t>
            </w:r>
          </w:p>
        </w:tc>
        <w:tc>
          <w:tcPr>
            <w:tcW w:w="893" w:type="dxa"/>
            <w:vMerge w:val="restart"/>
            <w:vAlign w:val="center"/>
          </w:tcPr>
          <w:p w14:paraId="17AE267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列车速度</w:t>
            </w:r>
          </w:p>
          <w:p w14:paraId="37C4ACFA">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w w:val="100"/>
                <w:position w:val="0"/>
                <w:sz w:val="18"/>
                <w:szCs w:val="18"/>
              </w:rPr>
            </w:pPr>
            <w:r>
              <w:rPr>
                <w:rFonts w:ascii="Times New Roman" w:hAnsi="Times New Roman" w:eastAsia="Times New Roman" w:cs="Times New Roman"/>
                <w:b/>
                <w:bCs/>
                <w:color w:val="auto"/>
                <w:spacing w:val="0"/>
                <w:w w:val="100"/>
                <w:position w:val="0"/>
                <w:sz w:val="18"/>
                <w:szCs w:val="18"/>
              </w:rPr>
              <w:t>/km/h</w:t>
            </w:r>
          </w:p>
        </w:tc>
        <w:tc>
          <w:tcPr>
            <w:tcW w:w="1387" w:type="dxa"/>
            <w:vMerge w:val="restart"/>
            <w:vAlign w:val="center"/>
          </w:tcPr>
          <w:p w14:paraId="1ABCCEC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线路、轨道条件</w:t>
            </w:r>
          </w:p>
        </w:tc>
        <w:tc>
          <w:tcPr>
            <w:tcW w:w="913" w:type="dxa"/>
            <w:vMerge w:val="restart"/>
            <w:vAlign w:val="center"/>
          </w:tcPr>
          <w:p w14:paraId="2A57BF8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运营时期</w:t>
            </w:r>
          </w:p>
        </w:tc>
        <w:tc>
          <w:tcPr>
            <w:tcW w:w="941" w:type="dxa"/>
            <w:vAlign w:val="center"/>
          </w:tcPr>
          <w:p w14:paraId="15E6DEF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背景值</w:t>
            </w:r>
          </w:p>
        </w:tc>
        <w:tc>
          <w:tcPr>
            <w:tcW w:w="988" w:type="dxa"/>
            <w:vAlign w:val="center"/>
          </w:tcPr>
          <w:p w14:paraId="43436C4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贡献值</w:t>
            </w:r>
          </w:p>
        </w:tc>
        <w:tc>
          <w:tcPr>
            <w:tcW w:w="785" w:type="dxa"/>
            <w:vAlign w:val="center"/>
          </w:tcPr>
          <w:p w14:paraId="7113A3D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预测值</w:t>
            </w:r>
          </w:p>
        </w:tc>
        <w:tc>
          <w:tcPr>
            <w:tcW w:w="799" w:type="dxa"/>
            <w:vAlign w:val="center"/>
          </w:tcPr>
          <w:p w14:paraId="40F7BFE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标准值</w:t>
            </w:r>
          </w:p>
        </w:tc>
        <w:tc>
          <w:tcPr>
            <w:tcW w:w="622" w:type="dxa"/>
            <w:vAlign w:val="center"/>
          </w:tcPr>
          <w:p w14:paraId="7D0C3A8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超标量</w:t>
            </w:r>
          </w:p>
        </w:tc>
        <w:tc>
          <w:tcPr>
            <w:tcW w:w="653" w:type="dxa"/>
            <w:vAlign w:val="center"/>
          </w:tcPr>
          <w:p w14:paraId="3FF648E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增量</w:t>
            </w:r>
          </w:p>
        </w:tc>
      </w:tr>
      <w:tr w14:paraId="27BC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561" w:type="dxa"/>
            <w:vMerge w:val="continue"/>
            <w:textDirection w:val="tbRlV"/>
            <w:vAlign w:val="center"/>
          </w:tcPr>
          <w:p w14:paraId="3097C0FD">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1550" w:type="dxa"/>
            <w:vMerge w:val="continue"/>
            <w:vAlign w:val="center"/>
          </w:tcPr>
          <w:p w14:paraId="3C591023">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617" w:type="dxa"/>
            <w:vMerge w:val="continue"/>
            <w:vAlign w:val="center"/>
          </w:tcPr>
          <w:p w14:paraId="43A631A9">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913" w:type="dxa"/>
            <w:textDirection w:val="tbRlV"/>
            <w:vAlign w:val="center"/>
          </w:tcPr>
          <w:p w14:paraId="23F0949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水平</w:t>
            </w:r>
          </w:p>
        </w:tc>
        <w:tc>
          <w:tcPr>
            <w:tcW w:w="650" w:type="dxa"/>
            <w:textDirection w:val="tbRlV"/>
            <w:vAlign w:val="center"/>
          </w:tcPr>
          <w:p w14:paraId="20E65F7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垂直</w:t>
            </w:r>
          </w:p>
        </w:tc>
        <w:tc>
          <w:tcPr>
            <w:tcW w:w="900" w:type="dxa"/>
            <w:vMerge w:val="continue"/>
            <w:vAlign w:val="center"/>
          </w:tcPr>
          <w:p w14:paraId="5E8D9FC4">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1080" w:type="dxa"/>
            <w:vMerge w:val="continue"/>
            <w:vAlign w:val="center"/>
          </w:tcPr>
          <w:p w14:paraId="4FAF8947">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893" w:type="dxa"/>
            <w:vMerge w:val="continue"/>
            <w:vAlign w:val="center"/>
          </w:tcPr>
          <w:p w14:paraId="54A0B5E3">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1387" w:type="dxa"/>
            <w:vMerge w:val="continue"/>
            <w:vAlign w:val="center"/>
          </w:tcPr>
          <w:p w14:paraId="60AFF245">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913" w:type="dxa"/>
            <w:vMerge w:val="continue"/>
            <w:vAlign w:val="center"/>
          </w:tcPr>
          <w:p w14:paraId="09A83528">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Arial"/>
                <w:color w:val="auto"/>
                <w:spacing w:val="0"/>
                <w:w w:val="100"/>
                <w:position w:val="0"/>
                <w:sz w:val="21"/>
              </w:rPr>
            </w:pPr>
          </w:p>
        </w:tc>
        <w:tc>
          <w:tcPr>
            <w:tcW w:w="941" w:type="dxa"/>
            <w:vAlign w:val="center"/>
          </w:tcPr>
          <w:p w14:paraId="57D360C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昼间</w:t>
            </w:r>
          </w:p>
        </w:tc>
        <w:tc>
          <w:tcPr>
            <w:tcW w:w="988" w:type="dxa"/>
            <w:vAlign w:val="center"/>
          </w:tcPr>
          <w:p w14:paraId="2B32B1D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昼间</w:t>
            </w:r>
          </w:p>
        </w:tc>
        <w:tc>
          <w:tcPr>
            <w:tcW w:w="785" w:type="dxa"/>
            <w:vAlign w:val="center"/>
          </w:tcPr>
          <w:p w14:paraId="03C72AD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昼间</w:t>
            </w:r>
          </w:p>
        </w:tc>
        <w:tc>
          <w:tcPr>
            <w:tcW w:w="799" w:type="dxa"/>
            <w:textDirection w:val="tbRlV"/>
            <w:vAlign w:val="center"/>
          </w:tcPr>
          <w:p w14:paraId="681726F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昼间</w:t>
            </w:r>
          </w:p>
        </w:tc>
        <w:tc>
          <w:tcPr>
            <w:tcW w:w="622" w:type="dxa"/>
            <w:textDirection w:val="tbRlV"/>
            <w:vAlign w:val="center"/>
          </w:tcPr>
          <w:p w14:paraId="4853A99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昼间</w:t>
            </w:r>
          </w:p>
        </w:tc>
        <w:tc>
          <w:tcPr>
            <w:tcW w:w="653" w:type="dxa"/>
            <w:textDirection w:val="tbRlV"/>
            <w:vAlign w:val="center"/>
          </w:tcPr>
          <w:p w14:paraId="12D1BE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w w:val="100"/>
                <w:position w:val="0"/>
                <w:sz w:val="18"/>
                <w:szCs w:val="18"/>
              </w:rPr>
            </w:pPr>
            <w:r>
              <w:rPr>
                <w:b/>
                <w:bCs/>
                <w:color w:val="auto"/>
                <w:spacing w:val="0"/>
                <w:w w:val="100"/>
                <w:position w:val="0"/>
                <w:sz w:val="18"/>
                <w:szCs w:val="18"/>
              </w:rPr>
              <w:t>昼间</w:t>
            </w:r>
          </w:p>
        </w:tc>
      </w:tr>
      <w:tr w14:paraId="7744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trPr>
        <w:tc>
          <w:tcPr>
            <w:tcW w:w="561" w:type="dxa"/>
            <w:vAlign w:val="center"/>
          </w:tcPr>
          <w:p w14:paraId="19B4224A">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eastAsia" w:ascii="Times New Roman" w:hAnsi="Times New Roman" w:eastAsia="宋体" w:cs="Times New Roman"/>
                <w:color w:val="auto"/>
                <w:spacing w:val="0"/>
                <w:w w:val="100"/>
                <w:position w:val="0"/>
                <w:sz w:val="18"/>
                <w:szCs w:val="18"/>
                <w:lang w:eastAsia="zh-CN"/>
              </w:rPr>
            </w:pPr>
            <w:r>
              <w:rPr>
                <w:rFonts w:hint="eastAsia" w:ascii="Times New Roman" w:hAnsi="Times New Roman" w:eastAsia="宋体" w:cs="Times New Roman"/>
                <w:color w:val="auto"/>
                <w:spacing w:val="0"/>
                <w:w w:val="100"/>
                <w:position w:val="0"/>
                <w:sz w:val="18"/>
                <w:szCs w:val="18"/>
                <w:lang w:val="en-US" w:eastAsia="zh-CN"/>
              </w:rPr>
              <w:t>1</w:t>
            </w:r>
          </w:p>
        </w:tc>
        <w:tc>
          <w:tcPr>
            <w:tcW w:w="1550" w:type="dxa"/>
            <w:vAlign w:val="center"/>
          </w:tcPr>
          <w:p w14:paraId="7098E81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color w:val="auto"/>
                <w:spacing w:val="0"/>
                <w:w w:val="100"/>
                <w:position w:val="0"/>
                <w:sz w:val="18"/>
                <w:szCs w:val="18"/>
              </w:rPr>
            </w:pPr>
            <w:r>
              <w:rPr>
                <w:rFonts w:hint="eastAsia" w:ascii="Times New Roman" w:hAnsi="Times New Roman" w:eastAsia="宋体" w:cs="Times New Roman"/>
                <w:bCs/>
                <w:color w:val="auto"/>
                <w:kern w:val="0"/>
                <w:sz w:val="21"/>
                <w:szCs w:val="21"/>
                <w:lang w:val="en-US" w:eastAsia="zh-CN"/>
              </w:rPr>
              <w:t>既有铁路西（现有到发4条货运线）中心线30m</w:t>
            </w:r>
          </w:p>
        </w:tc>
        <w:tc>
          <w:tcPr>
            <w:tcW w:w="617" w:type="dxa"/>
            <w:vAlign w:val="center"/>
          </w:tcPr>
          <w:p w14:paraId="2E02635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路基</w:t>
            </w:r>
          </w:p>
        </w:tc>
        <w:tc>
          <w:tcPr>
            <w:tcW w:w="913" w:type="dxa"/>
            <w:vAlign w:val="center"/>
          </w:tcPr>
          <w:p w14:paraId="3710DFA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30</w:t>
            </w:r>
          </w:p>
        </w:tc>
        <w:tc>
          <w:tcPr>
            <w:tcW w:w="650" w:type="dxa"/>
            <w:vAlign w:val="center"/>
          </w:tcPr>
          <w:p w14:paraId="588F7EA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1</w:t>
            </w:r>
          </w:p>
        </w:tc>
        <w:tc>
          <w:tcPr>
            <w:tcW w:w="900" w:type="dxa"/>
            <w:vAlign w:val="center"/>
          </w:tcPr>
          <w:p w14:paraId="5FEB27A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N</w:t>
            </w:r>
            <w:r>
              <w:rPr>
                <w:rFonts w:hint="eastAsia" w:ascii="Times New Roman" w:hAnsi="Times New Roman" w:eastAsia="宋体" w:cs="Times New Roman"/>
                <w:bCs/>
                <w:color w:val="auto"/>
                <w:kern w:val="0"/>
                <w:sz w:val="21"/>
                <w:szCs w:val="21"/>
                <w:lang w:val="en-US" w:eastAsia="zh-CN"/>
              </w:rPr>
              <w:t>7</w:t>
            </w:r>
          </w:p>
        </w:tc>
        <w:tc>
          <w:tcPr>
            <w:tcW w:w="1080" w:type="dxa"/>
            <w:vAlign w:val="center"/>
          </w:tcPr>
          <w:p w14:paraId="77467B3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75.0</w:t>
            </w:r>
          </w:p>
        </w:tc>
        <w:tc>
          <w:tcPr>
            <w:tcW w:w="893" w:type="dxa"/>
            <w:vAlign w:val="center"/>
          </w:tcPr>
          <w:p w14:paraId="2F8557D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25</w:t>
            </w:r>
          </w:p>
        </w:tc>
        <w:tc>
          <w:tcPr>
            <w:tcW w:w="1387" w:type="dxa"/>
            <w:vAlign w:val="center"/>
          </w:tcPr>
          <w:p w14:paraId="6B57A24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有缝线路、无砟轨道</w:t>
            </w:r>
          </w:p>
        </w:tc>
        <w:tc>
          <w:tcPr>
            <w:tcW w:w="913" w:type="dxa"/>
            <w:vAlign w:val="center"/>
          </w:tcPr>
          <w:p w14:paraId="4675707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昼间</w:t>
            </w:r>
          </w:p>
        </w:tc>
        <w:tc>
          <w:tcPr>
            <w:tcW w:w="941" w:type="dxa"/>
            <w:vAlign w:val="center"/>
          </w:tcPr>
          <w:p w14:paraId="4EABD99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62.1</w:t>
            </w:r>
          </w:p>
        </w:tc>
        <w:tc>
          <w:tcPr>
            <w:tcW w:w="988" w:type="dxa"/>
            <w:vAlign w:val="center"/>
          </w:tcPr>
          <w:p w14:paraId="57E84B6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46.84</w:t>
            </w:r>
          </w:p>
        </w:tc>
        <w:tc>
          <w:tcPr>
            <w:tcW w:w="785" w:type="dxa"/>
            <w:vAlign w:val="center"/>
          </w:tcPr>
          <w:p w14:paraId="00C97A4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62.23</w:t>
            </w:r>
          </w:p>
        </w:tc>
        <w:tc>
          <w:tcPr>
            <w:tcW w:w="799" w:type="dxa"/>
            <w:vAlign w:val="center"/>
          </w:tcPr>
          <w:p w14:paraId="7CAB145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70</w:t>
            </w:r>
          </w:p>
        </w:tc>
        <w:tc>
          <w:tcPr>
            <w:tcW w:w="622" w:type="dxa"/>
            <w:vAlign w:val="center"/>
          </w:tcPr>
          <w:p w14:paraId="0BADEE5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0</w:t>
            </w:r>
          </w:p>
        </w:tc>
        <w:tc>
          <w:tcPr>
            <w:tcW w:w="653" w:type="dxa"/>
            <w:vAlign w:val="center"/>
          </w:tcPr>
          <w:p w14:paraId="4468900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0.13</w:t>
            </w:r>
          </w:p>
        </w:tc>
      </w:tr>
      <w:tr w14:paraId="1576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15" w:hRule="atLeast"/>
        </w:trPr>
        <w:tc>
          <w:tcPr>
            <w:tcW w:w="561" w:type="dxa"/>
            <w:vAlign w:val="center"/>
          </w:tcPr>
          <w:p w14:paraId="254565CF">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eastAsia" w:ascii="Times New Roman" w:hAnsi="Times New Roman" w:eastAsia="宋体" w:cs="Times New Roman"/>
                <w:color w:val="auto"/>
                <w:spacing w:val="0"/>
                <w:w w:val="100"/>
                <w:position w:val="0"/>
                <w:sz w:val="18"/>
                <w:szCs w:val="18"/>
                <w:lang w:eastAsia="zh-CN"/>
              </w:rPr>
            </w:pPr>
            <w:r>
              <w:rPr>
                <w:rFonts w:hint="eastAsia" w:ascii="Times New Roman" w:hAnsi="Times New Roman" w:eastAsia="宋体" w:cs="Times New Roman"/>
                <w:color w:val="auto"/>
                <w:spacing w:val="0"/>
                <w:w w:val="100"/>
                <w:position w:val="0"/>
                <w:sz w:val="18"/>
                <w:szCs w:val="18"/>
                <w:lang w:val="en-US" w:eastAsia="zh-CN"/>
              </w:rPr>
              <w:t>2</w:t>
            </w:r>
          </w:p>
        </w:tc>
        <w:tc>
          <w:tcPr>
            <w:tcW w:w="1550" w:type="dxa"/>
            <w:vAlign w:val="center"/>
          </w:tcPr>
          <w:p w14:paraId="0526A2B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color w:val="auto"/>
                <w:spacing w:val="0"/>
                <w:w w:val="100"/>
                <w:position w:val="0"/>
                <w:sz w:val="18"/>
                <w:szCs w:val="18"/>
                <w:lang w:eastAsia="zh-CN"/>
              </w:rPr>
            </w:pPr>
            <w:r>
              <w:rPr>
                <w:rFonts w:hint="eastAsia" w:ascii="Times New Roman" w:hAnsi="Times New Roman" w:eastAsia="宋体" w:cs="Times New Roman"/>
                <w:bCs/>
                <w:color w:val="auto"/>
                <w:kern w:val="0"/>
                <w:sz w:val="21"/>
                <w:szCs w:val="21"/>
                <w:lang w:val="en-US" w:eastAsia="zh-CN"/>
              </w:rPr>
              <w:t>既有铁路（现有到发4条货运线）外轨中心线东30m与新建铁路（H1、H2新建货运线）外轨中心线西30m交叉点</w:t>
            </w:r>
          </w:p>
        </w:tc>
        <w:tc>
          <w:tcPr>
            <w:tcW w:w="617" w:type="dxa"/>
            <w:vAlign w:val="center"/>
          </w:tcPr>
          <w:p w14:paraId="43302A2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路基</w:t>
            </w:r>
          </w:p>
        </w:tc>
        <w:tc>
          <w:tcPr>
            <w:tcW w:w="913" w:type="dxa"/>
            <w:vAlign w:val="center"/>
          </w:tcPr>
          <w:p w14:paraId="5E54889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30</w:t>
            </w:r>
          </w:p>
        </w:tc>
        <w:tc>
          <w:tcPr>
            <w:tcW w:w="650" w:type="dxa"/>
            <w:vAlign w:val="center"/>
          </w:tcPr>
          <w:p w14:paraId="3772275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1</w:t>
            </w:r>
          </w:p>
        </w:tc>
        <w:tc>
          <w:tcPr>
            <w:tcW w:w="900" w:type="dxa"/>
            <w:vAlign w:val="center"/>
          </w:tcPr>
          <w:p w14:paraId="5FDB161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N</w:t>
            </w:r>
            <w:r>
              <w:rPr>
                <w:rFonts w:hint="eastAsia" w:ascii="Times New Roman" w:hAnsi="Times New Roman" w:eastAsia="宋体" w:cs="Times New Roman"/>
                <w:bCs/>
                <w:color w:val="auto"/>
                <w:kern w:val="0"/>
                <w:sz w:val="21"/>
                <w:szCs w:val="21"/>
                <w:lang w:val="en-US" w:eastAsia="zh-CN"/>
              </w:rPr>
              <w:t>8</w:t>
            </w:r>
          </w:p>
        </w:tc>
        <w:tc>
          <w:tcPr>
            <w:tcW w:w="1080" w:type="dxa"/>
            <w:vAlign w:val="center"/>
          </w:tcPr>
          <w:p w14:paraId="1CB719B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75.0</w:t>
            </w:r>
          </w:p>
        </w:tc>
        <w:tc>
          <w:tcPr>
            <w:tcW w:w="893" w:type="dxa"/>
            <w:vAlign w:val="center"/>
          </w:tcPr>
          <w:p w14:paraId="5E02D33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25</w:t>
            </w:r>
          </w:p>
        </w:tc>
        <w:tc>
          <w:tcPr>
            <w:tcW w:w="1387" w:type="dxa"/>
            <w:vAlign w:val="center"/>
          </w:tcPr>
          <w:p w14:paraId="75B7D24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有缝线路、无砟轨道</w:t>
            </w:r>
          </w:p>
        </w:tc>
        <w:tc>
          <w:tcPr>
            <w:tcW w:w="913" w:type="dxa"/>
            <w:vAlign w:val="center"/>
          </w:tcPr>
          <w:p w14:paraId="75B1029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昼间</w:t>
            </w:r>
          </w:p>
        </w:tc>
        <w:tc>
          <w:tcPr>
            <w:tcW w:w="941" w:type="dxa"/>
            <w:vAlign w:val="center"/>
          </w:tcPr>
          <w:p w14:paraId="14D010F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63.2</w:t>
            </w:r>
          </w:p>
        </w:tc>
        <w:tc>
          <w:tcPr>
            <w:tcW w:w="988" w:type="dxa"/>
            <w:vAlign w:val="center"/>
          </w:tcPr>
          <w:p w14:paraId="23E2E46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53.06</w:t>
            </w:r>
          </w:p>
        </w:tc>
        <w:tc>
          <w:tcPr>
            <w:tcW w:w="785" w:type="dxa"/>
            <w:vAlign w:val="center"/>
          </w:tcPr>
          <w:p w14:paraId="7C0B05D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63.60</w:t>
            </w:r>
          </w:p>
        </w:tc>
        <w:tc>
          <w:tcPr>
            <w:tcW w:w="799" w:type="dxa"/>
            <w:vAlign w:val="center"/>
          </w:tcPr>
          <w:p w14:paraId="2661929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70</w:t>
            </w:r>
          </w:p>
        </w:tc>
        <w:tc>
          <w:tcPr>
            <w:tcW w:w="622" w:type="dxa"/>
            <w:vAlign w:val="center"/>
          </w:tcPr>
          <w:p w14:paraId="58A0381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0</w:t>
            </w:r>
          </w:p>
        </w:tc>
        <w:tc>
          <w:tcPr>
            <w:tcW w:w="653" w:type="dxa"/>
            <w:vAlign w:val="center"/>
          </w:tcPr>
          <w:p w14:paraId="72AE586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0.4</w:t>
            </w:r>
          </w:p>
        </w:tc>
      </w:tr>
      <w:tr w14:paraId="0D2F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561" w:type="dxa"/>
            <w:vAlign w:val="center"/>
          </w:tcPr>
          <w:p w14:paraId="0FA81B63">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eastAsia" w:ascii="Times New Roman" w:hAnsi="Times New Roman" w:eastAsia="宋体" w:cs="Times New Roman"/>
                <w:color w:val="auto"/>
                <w:spacing w:val="0"/>
                <w:w w:val="100"/>
                <w:position w:val="0"/>
                <w:sz w:val="18"/>
                <w:szCs w:val="18"/>
                <w:lang w:val="en-US" w:eastAsia="zh-CN"/>
              </w:rPr>
            </w:pPr>
            <w:r>
              <w:rPr>
                <w:rFonts w:hint="eastAsia" w:ascii="Times New Roman" w:hAnsi="Times New Roman" w:eastAsia="宋体" w:cs="Times New Roman"/>
                <w:color w:val="auto"/>
                <w:spacing w:val="0"/>
                <w:w w:val="100"/>
                <w:position w:val="0"/>
                <w:sz w:val="18"/>
                <w:szCs w:val="18"/>
                <w:lang w:val="en-US" w:eastAsia="zh-CN"/>
              </w:rPr>
              <w:t>3</w:t>
            </w:r>
          </w:p>
        </w:tc>
        <w:tc>
          <w:tcPr>
            <w:tcW w:w="1550" w:type="dxa"/>
            <w:vAlign w:val="center"/>
          </w:tcPr>
          <w:p w14:paraId="09B9F20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color w:val="auto"/>
                <w:spacing w:val="0"/>
                <w:w w:val="100"/>
                <w:position w:val="0"/>
                <w:sz w:val="18"/>
                <w:szCs w:val="18"/>
              </w:rPr>
            </w:pPr>
            <w:r>
              <w:rPr>
                <w:rFonts w:hint="eastAsia" w:ascii="Times New Roman" w:hAnsi="Times New Roman" w:eastAsia="宋体" w:cs="Times New Roman"/>
                <w:bCs/>
                <w:color w:val="auto"/>
                <w:kern w:val="0"/>
                <w:sz w:val="21"/>
                <w:szCs w:val="21"/>
                <w:lang w:val="en-US" w:eastAsia="zh-CN"/>
              </w:rPr>
              <w:t>新建铁路（H1、H2新建货运线）外轨中心线东30m</w:t>
            </w:r>
          </w:p>
        </w:tc>
        <w:tc>
          <w:tcPr>
            <w:tcW w:w="617" w:type="dxa"/>
            <w:vAlign w:val="center"/>
          </w:tcPr>
          <w:p w14:paraId="3564EE0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路基</w:t>
            </w:r>
          </w:p>
        </w:tc>
        <w:tc>
          <w:tcPr>
            <w:tcW w:w="913" w:type="dxa"/>
            <w:vAlign w:val="center"/>
          </w:tcPr>
          <w:p w14:paraId="13DADCE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30</w:t>
            </w:r>
          </w:p>
        </w:tc>
        <w:tc>
          <w:tcPr>
            <w:tcW w:w="650" w:type="dxa"/>
            <w:vAlign w:val="center"/>
          </w:tcPr>
          <w:p w14:paraId="27348DF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1</w:t>
            </w:r>
          </w:p>
        </w:tc>
        <w:tc>
          <w:tcPr>
            <w:tcW w:w="900" w:type="dxa"/>
            <w:vAlign w:val="center"/>
          </w:tcPr>
          <w:p w14:paraId="16272C2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N</w:t>
            </w:r>
            <w:r>
              <w:rPr>
                <w:rFonts w:hint="eastAsia" w:ascii="Times New Roman" w:hAnsi="Times New Roman" w:eastAsia="宋体" w:cs="Times New Roman"/>
                <w:bCs/>
                <w:color w:val="auto"/>
                <w:kern w:val="0"/>
                <w:sz w:val="21"/>
                <w:szCs w:val="21"/>
                <w:lang w:val="en-US" w:eastAsia="zh-CN"/>
              </w:rPr>
              <w:t>9</w:t>
            </w:r>
          </w:p>
        </w:tc>
        <w:tc>
          <w:tcPr>
            <w:tcW w:w="1080" w:type="dxa"/>
            <w:vAlign w:val="center"/>
          </w:tcPr>
          <w:p w14:paraId="465E9FF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75.0</w:t>
            </w:r>
          </w:p>
        </w:tc>
        <w:tc>
          <w:tcPr>
            <w:tcW w:w="893" w:type="dxa"/>
            <w:vAlign w:val="center"/>
          </w:tcPr>
          <w:p w14:paraId="50B4EEE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25</w:t>
            </w:r>
          </w:p>
        </w:tc>
        <w:tc>
          <w:tcPr>
            <w:tcW w:w="1387" w:type="dxa"/>
            <w:vAlign w:val="center"/>
          </w:tcPr>
          <w:p w14:paraId="565F4D3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有缝线路、无砟轨道</w:t>
            </w:r>
          </w:p>
        </w:tc>
        <w:tc>
          <w:tcPr>
            <w:tcW w:w="913" w:type="dxa"/>
            <w:vAlign w:val="center"/>
          </w:tcPr>
          <w:p w14:paraId="2AF78AB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昼间</w:t>
            </w:r>
          </w:p>
        </w:tc>
        <w:tc>
          <w:tcPr>
            <w:tcW w:w="941" w:type="dxa"/>
            <w:vAlign w:val="center"/>
          </w:tcPr>
          <w:p w14:paraId="5A6DA2E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w:t>
            </w:r>
          </w:p>
        </w:tc>
        <w:tc>
          <w:tcPr>
            <w:tcW w:w="988" w:type="dxa"/>
            <w:vAlign w:val="center"/>
          </w:tcPr>
          <w:p w14:paraId="302EF9B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48.09</w:t>
            </w:r>
          </w:p>
        </w:tc>
        <w:tc>
          <w:tcPr>
            <w:tcW w:w="785" w:type="dxa"/>
            <w:vAlign w:val="center"/>
          </w:tcPr>
          <w:p w14:paraId="7537A45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48.09</w:t>
            </w:r>
          </w:p>
        </w:tc>
        <w:tc>
          <w:tcPr>
            <w:tcW w:w="799" w:type="dxa"/>
            <w:vAlign w:val="center"/>
          </w:tcPr>
          <w:p w14:paraId="3E371C1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70</w:t>
            </w:r>
          </w:p>
        </w:tc>
        <w:tc>
          <w:tcPr>
            <w:tcW w:w="622" w:type="dxa"/>
            <w:vAlign w:val="center"/>
          </w:tcPr>
          <w:p w14:paraId="5C62DFB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0</w:t>
            </w:r>
          </w:p>
        </w:tc>
        <w:tc>
          <w:tcPr>
            <w:tcW w:w="653" w:type="dxa"/>
            <w:vAlign w:val="center"/>
          </w:tcPr>
          <w:p w14:paraId="2203E74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0</w:t>
            </w:r>
          </w:p>
        </w:tc>
      </w:tr>
    </w:tbl>
    <w:p w14:paraId="160FF86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textAlignment w:val="baseline"/>
        <w:rPr>
          <w:b/>
          <w:bCs/>
          <w:color w:val="auto"/>
          <w:spacing w:val="0"/>
          <w:w w:val="100"/>
          <w:position w:val="0"/>
        </w:rPr>
      </w:pPr>
      <w:r>
        <w:rPr>
          <w:b/>
          <w:bCs/>
          <w:color w:val="auto"/>
          <w:spacing w:val="0"/>
          <w:w w:val="100"/>
          <w:position w:val="0"/>
        </w:rPr>
        <w:t>根据上表预测结果可知：</w:t>
      </w:r>
    </w:p>
    <w:p w14:paraId="773EB27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eastAsia" w:ascii="Times New Roman" w:hAnsi="Times New Roman" w:eastAsia="宋体" w:cs="Times New Roman"/>
          <w:color w:val="auto"/>
          <w:sz w:val="24"/>
          <w:szCs w:val="24"/>
          <w:lang w:eastAsia="zh-CN"/>
        </w:rPr>
        <w:sectPr>
          <w:pgSz w:w="16839" w:h="11906" w:orient="landscape"/>
          <w:pgMar w:top="1785" w:right="1169" w:bottom="1596" w:left="1243" w:header="845" w:footer="1026" w:gutter="0"/>
          <w:pgNumType w:fmt="decimal"/>
          <w:cols w:space="720" w:num="1"/>
        </w:sectPr>
      </w:pPr>
      <w:r>
        <w:rPr>
          <w:rFonts w:hint="eastAsia" w:ascii="Times New Roman" w:hAnsi="Times New Roman" w:eastAsia="宋体" w:cs="Times New Roman"/>
          <w:color w:val="auto"/>
          <w:spacing w:val="1"/>
          <w:sz w:val="24"/>
          <w:szCs w:val="24"/>
          <w:lang w:eastAsia="zh-CN"/>
        </w:rPr>
        <w:t>既有铁路（现有到发4条货运线）外轨中心线西30m可达《铁路边界噪声限值及其测量方法》（GB12525-90）修改方案中表1限值；既有铁路（现有到发4条货运线）外轨中心线东30m与新建铁路（H1、H2新建货运线）外轨中心线西30m交叉点、新建铁路（H1、H2新建货运线）外轨中心线东30m的3个预测点均可达《铁路边界噪声限值及其测量方法》（GB12525-90）修改方案中表2中限值，即昼间70dB（A）。</w:t>
      </w:r>
    </w:p>
    <w:p w14:paraId="2505BC5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jc w:val="center"/>
        <w:textAlignment w:val="baseline"/>
        <w:rPr>
          <w:rFonts w:hint="default" w:ascii="Times New Roman" w:hAnsi="Times New Roman" w:cs="Times New Roman"/>
          <w:b/>
          <w:bCs/>
          <w:color w:val="auto"/>
          <w:spacing w:val="0"/>
          <w:w w:val="100"/>
          <w:position w:val="0"/>
        </w:rPr>
      </w:pPr>
      <w:r>
        <w:rPr>
          <w:rFonts w:hint="eastAsia" w:eastAsia="宋体"/>
          <w:color w:val="auto"/>
          <w:spacing w:val="0"/>
          <w:w w:val="100"/>
          <w:position w:val="0"/>
          <w:lang w:eastAsia="zh-CN"/>
        </w:rPr>
        <w:drawing>
          <wp:inline distT="0" distB="0" distL="114300" distR="114300">
            <wp:extent cx="5410200" cy="2807970"/>
            <wp:effectExtent l="0" t="0" r="0" b="11430"/>
            <wp:docPr id="22" name="图片 22" descr="预测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预测图片"/>
                    <pic:cNvPicPr>
                      <a:picLocks noChangeAspect="1"/>
                    </pic:cNvPicPr>
                  </pic:nvPicPr>
                  <pic:blipFill>
                    <a:blip r:embed="rId85"/>
                    <a:stretch>
                      <a:fillRect/>
                    </a:stretch>
                  </pic:blipFill>
                  <pic:spPr>
                    <a:xfrm>
                      <a:off x="0" y="0"/>
                      <a:ext cx="5410200" cy="2807970"/>
                    </a:xfrm>
                    <a:prstGeom prst="rect">
                      <a:avLst/>
                    </a:prstGeom>
                  </pic:spPr>
                </pic:pic>
              </a:graphicData>
            </a:graphic>
          </wp:inline>
        </w:drawing>
      </w:r>
      <w:r>
        <w:rPr>
          <w:rFonts w:hint="default" w:ascii="Times New Roman" w:hAnsi="Times New Roman" w:cs="Times New Roman"/>
          <w:b/>
          <w:bCs/>
          <w:color w:val="auto"/>
          <w:spacing w:val="0"/>
          <w:w w:val="100"/>
          <w:position w:val="0"/>
        </w:rPr>
        <w:t>图</w:t>
      </w:r>
      <w:r>
        <w:rPr>
          <w:rFonts w:hint="default" w:ascii="Times New Roman" w:hAnsi="Times New Roman" w:eastAsia="宋体" w:cs="Times New Roman"/>
          <w:b/>
          <w:bCs/>
          <w:color w:val="auto"/>
          <w:spacing w:val="0"/>
          <w:w w:val="100"/>
          <w:position w:val="0"/>
          <w:lang w:val="en-US" w:eastAsia="zh-CN"/>
        </w:rPr>
        <w:t>4.4-2</w:t>
      </w:r>
      <w:r>
        <w:rPr>
          <w:rFonts w:hint="default" w:ascii="Times New Roman" w:hAnsi="Times New Roman" w:cs="Times New Roman"/>
          <w:b/>
          <w:bCs/>
          <w:color w:val="auto"/>
          <w:spacing w:val="0"/>
          <w:w w:val="100"/>
          <w:position w:val="0"/>
        </w:rPr>
        <w:t>昼间等值线图</w:t>
      </w:r>
    </w:p>
    <w:p w14:paraId="1463AC1B">
      <w:pPr>
        <w:pStyle w:val="9"/>
        <w:keepNext w:val="0"/>
        <w:keepLines w:val="0"/>
        <w:pageBreakBefore w:val="0"/>
        <w:widowControl/>
        <w:kinsoku/>
        <w:wordWrap/>
        <w:overflowPunct/>
        <w:topLinePunct w:val="0"/>
        <w:autoSpaceDE w:val="0"/>
        <w:autoSpaceDN w:val="0"/>
        <w:bidi w:val="0"/>
        <w:adjustRightInd/>
        <w:snapToGrid/>
        <w:spacing w:line="360" w:lineRule="auto"/>
        <w:ind w:left="458"/>
        <w:textAlignment w:val="baseline"/>
        <w:outlineLvl w:val="3"/>
        <w:rPr>
          <w:color w:val="auto"/>
          <w:sz w:val="28"/>
          <w:szCs w:val="28"/>
        </w:rPr>
      </w:pPr>
      <w:r>
        <w:rPr>
          <w:rFonts w:ascii="Times New Roman" w:hAnsi="Times New Roman" w:eastAsia="Times New Roman" w:cs="Times New Roman"/>
          <w:b/>
          <w:bCs/>
          <w:color w:val="auto"/>
          <w:spacing w:val="-2"/>
          <w:sz w:val="28"/>
          <w:szCs w:val="28"/>
        </w:rPr>
        <w:t>4.4.</w:t>
      </w:r>
      <w:r>
        <w:rPr>
          <w:rFonts w:hint="eastAsia" w:ascii="Times New Roman" w:hAnsi="Times New Roman" w:eastAsia="宋体" w:cs="Times New Roman"/>
          <w:b/>
          <w:bCs/>
          <w:color w:val="auto"/>
          <w:spacing w:val="-2"/>
          <w:sz w:val="28"/>
          <w:szCs w:val="28"/>
          <w:lang w:val="en-US" w:eastAsia="zh-CN"/>
        </w:rPr>
        <w:t>5</w:t>
      </w:r>
      <w:r>
        <w:rPr>
          <w:rFonts w:ascii="Times New Roman" w:hAnsi="Times New Roman" w:eastAsia="Times New Roman" w:cs="Times New Roman"/>
          <w:b/>
          <w:bCs/>
          <w:color w:val="auto"/>
          <w:spacing w:val="-2"/>
          <w:sz w:val="28"/>
          <w:szCs w:val="28"/>
        </w:rPr>
        <w:t xml:space="preserve"> </w:t>
      </w:r>
      <w:r>
        <w:rPr>
          <w:b/>
          <w:bCs/>
          <w:color w:val="auto"/>
          <w:spacing w:val="-2"/>
          <w:sz w:val="28"/>
          <w:szCs w:val="28"/>
        </w:rPr>
        <w:t>机车鸣笛噪声环境影响分析</w:t>
      </w:r>
    </w:p>
    <w:p w14:paraId="35BC010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color w:val="auto"/>
          <w:sz w:val="24"/>
          <w:szCs w:val="24"/>
        </w:rPr>
      </w:pPr>
      <w:r>
        <w:rPr>
          <w:color w:val="auto"/>
          <w:spacing w:val="1"/>
          <w:sz w:val="24"/>
          <w:szCs w:val="24"/>
        </w:rPr>
        <w:t>机车鸣笛的作用主要有</w:t>
      </w:r>
      <w:r>
        <w:rPr>
          <w:rFonts w:ascii="Times New Roman" w:hAnsi="Times New Roman" w:eastAsia="Times New Roman" w:cs="Times New Roman"/>
          <w:color w:val="auto"/>
          <w:spacing w:val="1"/>
          <w:sz w:val="24"/>
          <w:szCs w:val="24"/>
        </w:rPr>
        <w:t>2</w:t>
      </w:r>
      <w:r>
        <w:rPr>
          <w:color w:val="auto"/>
          <w:spacing w:val="1"/>
          <w:sz w:val="24"/>
          <w:szCs w:val="24"/>
        </w:rPr>
        <w:t>个</w:t>
      </w:r>
      <w:r>
        <w:rPr>
          <w:color w:val="auto"/>
          <w:spacing w:val="-8"/>
          <w:sz w:val="24"/>
          <w:szCs w:val="24"/>
        </w:rPr>
        <w:t>：（</w:t>
      </w:r>
      <w:r>
        <w:rPr>
          <w:rFonts w:ascii="Times New Roman" w:hAnsi="Times New Roman" w:eastAsia="Times New Roman" w:cs="Times New Roman"/>
          <w:color w:val="auto"/>
          <w:spacing w:val="1"/>
          <w:sz w:val="24"/>
          <w:szCs w:val="24"/>
        </w:rPr>
        <w:t>1</w:t>
      </w:r>
      <w:r>
        <w:rPr>
          <w:color w:val="auto"/>
          <w:spacing w:val="1"/>
          <w:sz w:val="24"/>
          <w:szCs w:val="24"/>
        </w:rPr>
        <w:t>）联络信号，主要为机车运行时司机与车</w:t>
      </w:r>
      <w:r>
        <w:rPr>
          <w:color w:val="auto"/>
          <w:spacing w:val="2"/>
          <w:sz w:val="24"/>
          <w:szCs w:val="24"/>
        </w:rPr>
        <w:t>站值班员、扳道工、运转车长等联络</w:t>
      </w:r>
      <w:r>
        <w:rPr>
          <w:color w:val="auto"/>
          <w:spacing w:val="-17"/>
          <w:sz w:val="24"/>
          <w:szCs w:val="24"/>
        </w:rPr>
        <w:t>；（</w:t>
      </w:r>
      <w:r>
        <w:rPr>
          <w:rFonts w:ascii="Times New Roman" w:hAnsi="Times New Roman" w:eastAsia="Times New Roman" w:cs="Times New Roman"/>
          <w:color w:val="auto"/>
          <w:spacing w:val="2"/>
          <w:sz w:val="24"/>
          <w:szCs w:val="24"/>
        </w:rPr>
        <w:t>2</w:t>
      </w:r>
      <w:r>
        <w:rPr>
          <w:color w:val="auto"/>
          <w:spacing w:val="2"/>
          <w:sz w:val="24"/>
          <w:szCs w:val="24"/>
        </w:rPr>
        <w:t>）警</w:t>
      </w:r>
      <w:r>
        <w:rPr>
          <w:color w:val="auto"/>
          <w:spacing w:val="1"/>
          <w:sz w:val="24"/>
          <w:szCs w:val="24"/>
        </w:rPr>
        <w:t>告信号，主要是警告机车运行前</w:t>
      </w:r>
      <w:r>
        <w:rPr>
          <w:color w:val="auto"/>
          <w:spacing w:val="-3"/>
          <w:sz w:val="24"/>
          <w:szCs w:val="24"/>
        </w:rPr>
        <w:t>方的行人、车辆及线路作业人员等。从环境保护角度而言，机车鸣笛的噪声水平</w:t>
      </w:r>
      <w:r>
        <w:rPr>
          <w:color w:val="auto"/>
          <w:spacing w:val="-1"/>
          <w:sz w:val="24"/>
          <w:szCs w:val="24"/>
        </w:rPr>
        <w:t>愈高，对环境噪声质量的影响愈大。</w:t>
      </w:r>
    </w:p>
    <w:p w14:paraId="6F13348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96" w:firstLineChars="200"/>
        <w:textAlignment w:val="baseline"/>
        <w:rPr>
          <w:color w:val="auto"/>
          <w:sz w:val="24"/>
          <w:szCs w:val="24"/>
        </w:rPr>
      </w:pPr>
      <w:r>
        <w:rPr>
          <w:color w:val="auto"/>
          <w:spacing w:val="4"/>
          <w:sz w:val="24"/>
          <w:szCs w:val="24"/>
        </w:rPr>
        <w:t>根据对北京市等</w:t>
      </w:r>
      <w:r>
        <w:rPr>
          <w:rFonts w:ascii="Times New Roman" w:hAnsi="Times New Roman" w:eastAsia="Times New Roman" w:cs="Times New Roman"/>
          <w:color w:val="auto"/>
          <w:spacing w:val="4"/>
          <w:sz w:val="24"/>
          <w:szCs w:val="24"/>
        </w:rPr>
        <w:t>5</w:t>
      </w:r>
      <w:r>
        <w:rPr>
          <w:color w:val="auto"/>
          <w:spacing w:val="4"/>
          <w:sz w:val="24"/>
          <w:szCs w:val="24"/>
        </w:rPr>
        <w:t>个城市有关列车通过时机车鸣笛与不</w:t>
      </w:r>
      <w:r>
        <w:rPr>
          <w:color w:val="auto"/>
          <w:spacing w:val="3"/>
          <w:sz w:val="24"/>
          <w:szCs w:val="24"/>
        </w:rPr>
        <w:t>鸣笛时的铁路环境</w:t>
      </w:r>
      <w:r>
        <w:rPr>
          <w:color w:val="auto"/>
          <w:spacing w:val="1"/>
          <w:sz w:val="24"/>
          <w:szCs w:val="24"/>
        </w:rPr>
        <w:t>噪声的监测结果，表明在距铁路外轨</w:t>
      </w:r>
      <w:r>
        <w:rPr>
          <w:rFonts w:ascii="Times New Roman" w:hAnsi="Times New Roman" w:eastAsia="Times New Roman" w:cs="Times New Roman"/>
          <w:color w:val="auto"/>
          <w:spacing w:val="1"/>
          <w:sz w:val="24"/>
          <w:szCs w:val="24"/>
        </w:rPr>
        <w:t>30m</w:t>
      </w:r>
      <w:r>
        <w:rPr>
          <w:color w:val="auto"/>
          <w:spacing w:val="1"/>
          <w:sz w:val="24"/>
          <w:szCs w:val="24"/>
        </w:rPr>
        <w:t>处时，鸣笛时的铁路环境噪声比不鸣</w:t>
      </w:r>
      <w:r>
        <w:rPr>
          <w:color w:val="auto"/>
          <w:sz w:val="24"/>
          <w:szCs w:val="24"/>
        </w:rPr>
        <w:t>笛时的噪声级高</w:t>
      </w:r>
      <w:r>
        <w:rPr>
          <w:color w:val="auto"/>
          <w:spacing w:val="-50"/>
          <w:sz w:val="24"/>
          <w:szCs w:val="24"/>
        </w:rPr>
        <w:t xml:space="preserve"> </w:t>
      </w:r>
      <w:r>
        <w:rPr>
          <w:rFonts w:ascii="Times New Roman" w:hAnsi="Times New Roman" w:eastAsia="Times New Roman" w:cs="Times New Roman"/>
          <w:color w:val="auto"/>
          <w:sz w:val="24"/>
          <w:szCs w:val="24"/>
        </w:rPr>
        <w:t>6</w:t>
      </w:r>
      <w:r>
        <w:rPr>
          <w:color w:val="auto"/>
          <w:sz w:val="24"/>
          <w:szCs w:val="24"/>
        </w:rPr>
        <w:t>～</w:t>
      </w:r>
      <w:r>
        <w:rPr>
          <w:rFonts w:ascii="Times New Roman" w:hAnsi="Times New Roman" w:eastAsia="Times New Roman" w:cs="Times New Roman"/>
          <w:color w:val="auto"/>
          <w:sz w:val="24"/>
          <w:szCs w:val="24"/>
        </w:rPr>
        <w:t>10dB</w:t>
      </w:r>
      <w:r>
        <w:rPr>
          <w:color w:val="auto"/>
          <w:sz w:val="24"/>
          <w:szCs w:val="24"/>
        </w:rPr>
        <w:t>（</w:t>
      </w:r>
      <w:r>
        <w:rPr>
          <w:rFonts w:ascii="Times New Roman" w:hAnsi="Times New Roman" w:eastAsia="Times New Roman" w:cs="Times New Roman"/>
          <w:color w:val="auto"/>
          <w:sz w:val="24"/>
          <w:szCs w:val="24"/>
        </w:rPr>
        <w:t>A</w:t>
      </w:r>
      <w:r>
        <w:rPr>
          <w:color w:val="auto"/>
          <w:spacing w:val="-8"/>
          <w:sz w:val="24"/>
          <w:szCs w:val="24"/>
        </w:rPr>
        <w:t>），</w:t>
      </w:r>
      <w:r>
        <w:rPr>
          <w:color w:val="auto"/>
          <w:sz w:val="24"/>
          <w:szCs w:val="24"/>
        </w:rPr>
        <w:t>在</w:t>
      </w:r>
      <w:r>
        <w:rPr>
          <w:rFonts w:ascii="Times New Roman" w:hAnsi="Times New Roman" w:eastAsia="Times New Roman" w:cs="Times New Roman"/>
          <w:color w:val="auto"/>
          <w:sz w:val="24"/>
          <w:szCs w:val="24"/>
        </w:rPr>
        <w:t>200m</w:t>
      </w:r>
      <w:r>
        <w:rPr>
          <w:color w:val="auto"/>
          <w:sz w:val="24"/>
          <w:szCs w:val="24"/>
        </w:rPr>
        <w:t>距离当有建筑物时，声级差约</w:t>
      </w:r>
      <w:r>
        <w:rPr>
          <w:rFonts w:ascii="Times New Roman" w:hAnsi="Times New Roman" w:eastAsia="Times New Roman" w:cs="Times New Roman"/>
          <w:color w:val="auto"/>
          <w:sz w:val="24"/>
          <w:szCs w:val="24"/>
        </w:rPr>
        <w:t>2</w:t>
      </w:r>
      <w:r>
        <w:rPr>
          <w:color w:val="auto"/>
          <w:sz w:val="24"/>
          <w:szCs w:val="24"/>
        </w:rPr>
        <w:t>～</w:t>
      </w:r>
      <w:r>
        <w:rPr>
          <w:rFonts w:ascii="Times New Roman" w:hAnsi="Times New Roman" w:eastAsia="Times New Roman" w:cs="Times New Roman"/>
          <w:color w:val="auto"/>
          <w:spacing w:val="-1"/>
          <w:sz w:val="24"/>
          <w:szCs w:val="24"/>
        </w:rPr>
        <w:t>3dB</w:t>
      </w:r>
      <w:r>
        <w:rPr>
          <w:color w:val="auto"/>
          <w:spacing w:val="-5"/>
          <w:sz w:val="24"/>
          <w:szCs w:val="24"/>
        </w:rPr>
        <w:t>（</w:t>
      </w:r>
      <w:r>
        <w:rPr>
          <w:rFonts w:ascii="Times New Roman" w:hAnsi="Times New Roman" w:eastAsia="Times New Roman" w:cs="Times New Roman"/>
          <w:color w:val="auto"/>
          <w:spacing w:val="-5"/>
          <w:sz w:val="24"/>
          <w:szCs w:val="24"/>
        </w:rPr>
        <w:t>A</w:t>
      </w:r>
      <w:r>
        <w:rPr>
          <w:color w:val="auto"/>
          <w:spacing w:val="-20"/>
          <w:sz w:val="24"/>
          <w:szCs w:val="24"/>
        </w:rPr>
        <w:t>）；</w:t>
      </w:r>
      <w:r>
        <w:rPr>
          <w:color w:val="auto"/>
          <w:spacing w:val="-5"/>
          <w:sz w:val="24"/>
          <w:szCs w:val="24"/>
        </w:rPr>
        <w:t>无建筑群时，声级之差约为</w:t>
      </w:r>
      <w:r>
        <w:rPr>
          <w:rFonts w:ascii="Times New Roman" w:hAnsi="Times New Roman" w:eastAsia="Times New Roman" w:cs="Times New Roman"/>
          <w:color w:val="auto"/>
          <w:spacing w:val="-5"/>
          <w:sz w:val="24"/>
          <w:szCs w:val="24"/>
        </w:rPr>
        <w:t>7</w:t>
      </w:r>
      <w:r>
        <w:rPr>
          <w:color w:val="auto"/>
          <w:spacing w:val="-5"/>
          <w:sz w:val="24"/>
          <w:szCs w:val="24"/>
        </w:rPr>
        <w:t>～</w:t>
      </w:r>
      <w:r>
        <w:rPr>
          <w:rFonts w:ascii="Times New Roman" w:hAnsi="Times New Roman" w:eastAsia="Times New Roman" w:cs="Times New Roman"/>
          <w:color w:val="auto"/>
          <w:spacing w:val="-5"/>
          <w:sz w:val="24"/>
          <w:szCs w:val="24"/>
        </w:rPr>
        <w:t>8dB</w:t>
      </w:r>
      <w:r>
        <w:rPr>
          <w:color w:val="auto"/>
          <w:spacing w:val="-5"/>
          <w:sz w:val="24"/>
          <w:szCs w:val="24"/>
        </w:rPr>
        <w:t>（</w:t>
      </w:r>
      <w:r>
        <w:rPr>
          <w:rFonts w:ascii="Times New Roman" w:hAnsi="Times New Roman" w:eastAsia="Times New Roman" w:cs="Times New Roman"/>
          <w:color w:val="auto"/>
          <w:spacing w:val="-5"/>
          <w:sz w:val="24"/>
          <w:szCs w:val="24"/>
        </w:rPr>
        <w:t>A</w:t>
      </w:r>
      <w:r>
        <w:rPr>
          <w:color w:val="auto"/>
          <w:spacing w:val="-5"/>
          <w:sz w:val="24"/>
          <w:szCs w:val="24"/>
        </w:rPr>
        <w:t>）</w:t>
      </w:r>
      <w:r>
        <w:rPr>
          <w:color w:val="auto"/>
          <w:spacing w:val="-6"/>
          <w:sz w:val="24"/>
          <w:szCs w:val="24"/>
        </w:rPr>
        <w:t>。显然，机车鸣笛具有声级高、</w:t>
      </w:r>
      <w:r>
        <w:rPr>
          <w:color w:val="auto"/>
          <w:sz w:val="24"/>
          <w:szCs w:val="24"/>
        </w:rPr>
        <w:t>传播距离远的特点。可见，机车鸣笛是造成声环境质量下</w:t>
      </w:r>
      <w:r>
        <w:rPr>
          <w:color w:val="auto"/>
          <w:spacing w:val="-1"/>
          <w:sz w:val="24"/>
          <w:szCs w:val="24"/>
        </w:rPr>
        <w:t>降的一个重要因素。</w:t>
      </w:r>
    </w:p>
    <w:p w14:paraId="33322D4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鸣笛是突发噪声，对人影响更大；因此建议采取以下措施：</w:t>
      </w:r>
    </w:p>
    <w:p w14:paraId="66145A1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w:t>
      </w:r>
      <w:r>
        <w:rPr>
          <w:rFonts w:ascii="Times New Roman" w:hAnsi="Times New Roman" w:eastAsia="Times New Roman" w:cs="Times New Roman"/>
          <w:color w:val="auto"/>
          <w:spacing w:val="-2"/>
          <w:sz w:val="24"/>
          <w:szCs w:val="24"/>
        </w:rPr>
        <w:t>1</w:t>
      </w:r>
      <w:r>
        <w:rPr>
          <w:color w:val="auto"/>
          <w:spacing w:val="-2"/>
          <w:sz w:val="24"/>
          <w:szCs w:val="24"/>
        </w:rPr>
        <w:t>）采用安装强指向性风笛装置。</w:t>
      </w:r>
    </w:p>
    <w:p w14:paraId="4125153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w:t>
      </w:r>
      <w:r>
        <w:rPr>
          <w:rFonts w:ascii="Times New Roman" w:hAnsi="Times New Roman" w:eastAsia="Times New Roman" w:cs="Times New Roman"/>
          <w:color w:val="auto"/>
          <w:spacing w:val="-2"/>
          <w:sz w:val="24"/>
          <w:szCs w:val="24"/>
        </w:rPr>
        <w:t>2</w:t>
      </w:r>
      <w:r>
        <w:rPr>
          <w:color w:val="auto"/>
          <w:spacing w:val="-2"/>
          <w:sz w:val="24"/>
          <w:szCs w:val="24"/>
        </w:rPr>
        <w:t>）严格控制鸣笛时长，尽量采用短鸣笛。</w:t>
      </w:r>
    </w:p>
    <w:p w14:paraId="58E88B76">
      <w:pPr>
        <w:pStyle w:val="9"/>
        <w:keepNext w:val="0"/>
        <w:keepLines w:val="0"/>
        <w:pageBreakBefore w:val="0"/>
        <w:widowControl/>
        <w:wordWrap/>
        <w:overflowPunct/>
        <w:topLinePunct w:val="0"/>
        <w:autoSpaceDE w:val="0"/>
        <w:autoSpaceDN w:val="0"/>
        <w:bidi w:val="0"/>
        <w:adjustRightInd/>
        <w:snapToGrid/>
        <w:spacing w:before="187" w:line="360" w:lineRule="auto"/>
        <w:ind w:left="0"/>
        <w:textAlignment w:val="baseline"/>
        <w:outlineLvl w:val="3"/>
        <w:rPr>
          <w:color w:val="auto"/>
          <w:sz w:val="28"/>
          <w:szCs w:val="28"/>
        </w:rPr>
      </w:pPr>
      <w:r>
        <w:rPr>
          <w:rFonts w:ascii="Times New Roman" w:hAnsi="Times New Roman" w:eastAsia="Times New Roman" w:cs="Times New Roman"/>
          <w:b/>
          <w:bCs/>
          <w:color w:val="auto"/>
          <w:spacing w:val="-2"/>
          <w:sz w:val="28"/>
          <w:szCs w:val="28"/>
        </w:rPr>
        <w:t>4.4.</w:t>
      </w:r>
      <w:r>
        <w:rPr>
          <w:rFonts w:hint="eastAsia" w:ascii="Times New Roman" w:hAnsi="Times New Roman" w:eastAsia="宋体" w:cs="Times New Roman"/>
          <w:b/>
          <w:bCs/>
          <w:color w:val="auto"/>
          <w:spacing w:val="-2"/>
          <w:sz w:val="28"/>
          <w:szCs w:val="28"/>
          <w:lang w:val="en-US" w:eastAsia="zh-CN"/>
        </w:rPr>
        <w:t>6</w:t>
      </w:r>
      <w:r>
        <w:rPr>
          <w:rFonts w:ascii="Times New Roman" w:hAnsi="Times New Roman" w:eastAsia="Times New Roman" w:cs="Times New Roman"/>
          <w:b/>
          <w:bCs/>
          <w:color w:val="auto"/>
          <w:spacing w:val="-2"/>
          <w:sz w:val="28"/>
          <w:szCs w:val="28"/>
        </w:rPr>
        <w:t xml:space="preserve"> </w:t>
      </w:r>
      <w:r>
        <w:rPr>
          <w:b/>
          <w:bCs/>
          <w:color w:val="auto"/>
          <w:spacing w:val="-2"/>
          <w:sz w:val="28"/>
          <w:szCs w:val="28"/>
        </w:rPr>
        <w:t>交通运输的噪声影响分析</w:t>
      </w:r>
    </w:p>
    <w:p w14:paraId="765C908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本项目货物汽车运输产生的噪声对运输道路沿线的居民点有一定的影响，车辆噪声声级水平取决于多种因素，载重车辆交通噪声的声级值一般在70～85dB（A）之间，噪声排放方式为间断排放，为避免和减轻噪声对运输沿线居民点的影响，采取以下措施：</w:t>
      </w:r>
    </w:p>
    <w:p w14:paraId="6E67BA6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（1）合理规划运输时间，货物运输尽量安排在白天进行；</w:t>
      </w:r>
    </w:p>
    <w:p w14:paraId="47FA3AC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（2）加强管理，严格限制进出项目区运输车辆的车速，严禁野蛮驾驶；</w:t>
      </w:r>
    </w:p>
    <w:p w14:paraId="512CA88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采取以上措施后，汽车运输对沿线居民点的影响可以接受。</w:t>
      </w:r>
    </w:p>
    <w:p w14:paraId="0AB61401">
      <w:pPr>
        <w:pStyle w:val="9"/>
        <w:keepNext w:val="0"/>
        <w:keepLines w:val="0"/>
        <w:pageBreakBefore w:val="0"/>
        <w:widowControl/>
        <w:wordWrap/>
        <w:overflowPunct/>
        <w:topLinePunct w:val="0"/>
        <w:autoSpaceDE w:val="0"/>
        <w:autoSpaceDN w:val="0"/>
        <w:bidi w:val="0"/>
        <w:adjustRightInd/>
        <w:snapToGrid/>
        <w:spacing w:before="187" w:line="360" w:lineRule="auto"/>
        <w:ind w:left="18"/>
        <w:textAlignment w:val="baseline"/>
        <w:outlineLvl w:val="3"/>
        <w:rPr>
          <w:color w:val="auto"/>
          <w:sz w:val="28"/>
          <w:szCs w:val="28"/>
        </w:rPr>
      </w:pPr>
      <w:r>
        <w:rPr>
          <w:rFonts w:ascii="Times New Roman" w:hAnsi="Times New Roman" w:eastAsia="Times New Roman" w:cs="Times New Roman"/>
          <w:b/>
          <w:bCs/>
          <w:color w:val="auto"/>
          <w:spacing w:val="-2"/>
          <w:sz w:val="28"/>
          <w:szCs w:val="28"/>
        </w:rPr>
        <w:t>4.4.</w:t>
      </w:r>
      <w:r>
        <w:rPr>
          <w:rFonts w:hint="eastAsia" w:ascii="Times New Roman" w:hAnsi="Times New Roman" w:eastAsia="宋体" w:cs="Times New Roman"/>
          <w:b/>
          <w:bCs/>
          <w:color w:val="auto"/>
          <w:spacing w:val="-2"/>
          <w:sz w:val="28"/>
          <w:szCs w:val="28"/>
          <w:lang w:val="en-US" w:eastAsia="zh-CN"/>
        </w:rPr>
        <w:t>7</w:t>
      </w:r>
      <w:r>
        <w:rPr>
          <w:rFonts w:ascii="Times New Roman" w:hAnsi="Times New Roman" w:eastAsia="Times New Roman" w:cs="Times New Roman"/>
          <w:b/>
          <w:bCs/>
          <w:color w:val="auto"/>
          <w:spacing w:val="-2"/>
          <w:sz w:val="28"/>
          <w:szCs w:val="28"/>
        </w:rPr>
        <w:t xml:space="preserve"> </w:t>
      </w:r>
      <w:r>
        <w:rPr>
          <w:b/>
          <w:bCs/>
          <w:color w:val="auto"/>
          <w:spacing w:val="-2"/>
          <w:sz w:val="28"/>
          <w:szCs w:val="28"/>
        </w:rPr>
        <w:t>装卸区噪声影响分析</w:t>
      </w:r>
    </w:p>
    <w:p w14:paraId="3DCA297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本项目配备有装卸设备，主要为2台正面吊装卸。在装卸货物时会产生装卸噪声，主要产生在装卸厂区内，装卸噪声在经距离衰减后，厂界噪声可达到《工业企业厂界环境噪声排放标准》3类标准，对周围环境的影响</w:t>
      </w:r>
      <w:r>
        <w:rPr>
          <w:rFonts w:hint="eastAsia" w:ascii="Times New Roman" w:hAnsi="Times New Roman" w:eastAsia="宋体" w:cs="Times New Roman"/>
          <w:color w:val="auto"/>
          <w:spacing w:val="1"/>
          <w:sz w:val="24"/>
          <w:szCs w:val="24"/>
          <w:lang w:val="en-US" w:eastAsia="zh-CN"/>
        </w:rPr>
        <w:t>较小</w:t>
      </w:r>
      <w:r>
        <w:rPr>
          <w:rFonts w:hint="default" w:ascii="Times New Roman" w:hAnsi="Times New Roman" w:cs="Times New Roman"/>
          <w:color w:val="auto"/>
          <w:spacing w:val="1"/>
          <w:sz w:val="24"/>
          <w:szCs w:val="24"/>
        </w:rPr>
        <w:t>。</w:t>
      </w:r>
    </w:p>
    <w:p w14:paraId="4FACD52A">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outlineLvl w:val="3"/>
        <w:rPr>
          <w:color w:val="auto"/>
          <w:sz w:val="28"/>
          <w:szCs w:val="28"/>
        </w:rPr>
      </w:pPr>
      <w:r>
        <w:rPr>
          <w:rFonts w:ascii="Times New Roman" w:hAnsi="Times New Roman" w:eastAsia="Times New Roman" w:cs="Times New Roman"/>
          <w:b/>
          <w:bCs/>
          <w:color w:val="auto"/>
          <w:spacing w:val="-2"/>
          <w:sz w:val="28"/>
          <w:szCs w:val="28"/>
        </w:rPr>
        <w:t>4.4.</w:t>
      </w:r>
      <w:r>
        <w:rPr>
          <w:rFonts w:hint="eastAsia" w:ascii="Times New Roman" w:hAnsi="Times New Roman" w:eastAsia="宋体" w:cs="Times New Roman"/>
          <w:b/>
          <w:bCs/>
          <w:color w:val="auto"/>
          <w:spacing w:val="-2"/>
          <w:sz w:val="28"/>
          <w:szCs w:val="28"/>
          <w:lang w:val="en-US" w:eastAsia="zh-CN"/>
        </w:rPr>
        <w:t>8</w:t>
      </w:r>
      <w:r>
        <w:rPr>
          <w:rFonts w:ascii="Times New Roman" w:hAnsi="Times New Roman" w:eastAsia="Times New Roman" w:cs="Times New Roman"/>
          <w:b/>
          <w:bCs/>
          <w:color w:val="auto"/>
          <w:spacing w:val="-2"/>
          <w:sz w:val="28"/>
          <w:szCs w:val="28"/>
        </w:rPr>
        <w:t xml:space="preserve"> </w:t>
      </w:r>
      <w:r>
        <w:rPr>
          <w:b/>
          <w:bCs/>
          <w:color w:val="auto"/>
          <w:spacing w:val="-2"/>
          <w:sz w:val="28"/>
          <w:szCs w:val="28"/>
        </w:rPr>
        <w:t>对声环境保护目标的影响分析</w:t>
      </w:r>
    </w:p>
    <w:p w14:paraId="74A3982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lang w:val="en-US" w:eastAsia="zh-CN"/>
        </w:rPr>
      </w:pPr>
      <w:r>
        <w:rPr>
          <w:rFonts w:hint="default" w:ascii="Times New Roman" w:hAnsi="Times New Roman" w:cs="Times New Roman"/>
          <w:color w:val="auto"/>
          <w:spacing w:val="1"/>
          <w:sz w:val="24"/>
          <w:szCs w:val="24"/>
        </w:rPr>
        <w:t>根据现场踏勘调查，</w:t>
      </w:r>
      <w:r>
        <w:rPr>
          <w:rFonts w:hint="eastAsia" w:ascii="Times New Roman" w:hAnsi="Times New Roman" w:cs="Times New Roman"/>
          <w:color w:val="auto"/>
          <w:spacing w:val="1"/>
          <w:sz w:val="24"/>
          <w:szCs w:val="24"/>
          <w:lang w:val="en-US" w:eastAsia="zh-CN"/>
        </w:rPr>
        <w:t>本项目200m范围内均无声环境保护目标。</w:t>
      </w:r>
    </w:p>
    <w:p w14:paraId="6CDAF65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本项目铁路运营噪声、机车鸣笛噪声、交通运输、装卸区等噪声经过采取相关措施后对声环境保护目标的影响较小。</w:t>
      </w:r>
    </w:p>
    <w:p w14:paraId="0C062737">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outlineLvl w:val="3"/>
        <w:rPr>
          <w:color w:val="auto"/>
          <w:sz w:val="28"/>
          <w:szCs w:val="28"/>
        </w:rPr>
      </w:pPr>
      <w:r>
        <w:rPr>
          <w:rFonts w:ascii="Times New Roman" w:hAnsi="Times New Roman" w:eastAsia="Times New Roman" w:cs="Times New Roman"/>
          <w:b/>
          <w:bCs/>
          <w:color w:val="auto"/>
          <w:spacing w:val="-2"/>
          <w:sz w:val="28"/>
          <w:szCs w:val="28"/>
        </w:rPr>
        <w:t xml:space="preserve">4.4.10 </w:t>
      </w:r>
      <w:r>
        <w:rPr>
          <w:b/>
          <w:bCs/>
          <w:color w:val="auto"/>
          <w:spacing w:val="-2"/>
          <w:sz w:val="28"/>
          <w:szCs w:val="28"/>
        </w:rPr>
        <w:t>声环境影响评价结论</w:t>
      </w:r>
    </w:p>
    <w:p w14:paraId="2799698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从</w:t>
      </w:r>
      <w:r>
        <w:rPr>
          <w:rFonts w:hint="eastAsia" w:ascii="Times New Roman" w:hAnsi="Times New Roman" w:cs="Times New Roman"/>
          <w:color w:val="auto"/>
          <w:spacing w:val="1"/>
          <w:sz w:val="24"/>
          <w:szCs w:val="24"/>
          <w:lang w:val="en-US" w:eastAsia="zh-CN"/>
        </w:rPr>
        <w:t>噪声预测结果达标分析表看出：</w:t>
      </w:r>
      <w:r>
        <w:rPr>
          <w:rFonts w:hint="default" w:ascii="Times New Roman" w:hAnsi="Times New Roman" w:cs="Times New Roman"/>
          <w:color w:val="auto"/>
          <w:spacing w:val="1"/>
          <w:sz w:val="24"/>
          <w:szCs w:val="24"/>
        </w:rPr>
        <w:t>项目</w:t>
      </w:r>
      <w:r>
        <w:rPr>
          <w:rFonts w:hint="eastAsia" w:ascii="Times New Roman" w:hAnsi="Times New Roman" w:cs="Times New Roman"/>
          <w:color w:val="auto"/>
          <w:spacing w:val="1"/>
          <w:sz w:val="24"/>
          <w:szCs w:val="24"/>
          <w:lang w:val="en-US" w:eastAsia="zh-CN"/>
        </w:rPr>
        <w:t>厂区边界</w:t>
      </w:r>
      <w:r>
        <w:rPr>
          <w:rFonts w:hint="default" w:ascii="Times New Roman" w:hAnsi="Times New Roman" w:cs="Times New Roman"/>
          <w:color w:val="auto"/>
          <w:spacing w:val="1"/>
          <w:sz w:val="24"/>
          <w:szCs w:val="24"/>
        </w:rPr>
        <w:t>噪声值均能达到《工业企业厂界环境噪声排放标准》（GB12348-2008）中的</w:t>
      </w:r>
      <w:r>
        <w:rPr>
          <w:rFonts w:hint="default" w:ascii="Times New Roman" w:hAnsi="Times New Roman" w:cs="Times New Roman"/>
          <w:color w:val="auto"/>
          <w:spacing w:val="1"/>
          <w:sz w:val="24"/>
          <w:szCs w:val="24"/>
          <w:lang w:val="en-US" w:eastAsia="zh-CN"/>
        </w:rPr>
        <w:t>3</w:t>
      </w:r>
      <w:r>
        <w:rPr>
          <w:rFonts w:hint="default" w:ascii="Times New Roman" w:hAnsi="Times New Roman" w:cs="Times New Roman"/>
          <w:color w:val="auto"/>
          <w:spacing w:val="1"/>
          <w:sz w:val="24"/>
          <w:szCs w:val="24"/>
        </w:rPr>
        <w:t>类（昼间6</w:t>
      </w:r>
      <w:r>
        <w:rPr>
          <w:rFonts w:hint="default" w:ascii="Times New Roman" w:hAnsi="Times New Roman" w:cs="Times New Roman"/>
          <w:color w:val="auto"/>
          <w:spacing w:val="1"/>
          <w:sz w:val="24"/>
          <w:szCs w:val="24"/>
          <w:lang w:val="en-US" w:eastAsia="zh-CN"/>
        </w:rPr>
        <w:t>5</w:t>
      </w:r>
      <w:r>
        <w:rPr>
          <w:rFonts w:hint="default" w:ascii="Times New Roman" w:hAnsi="Times New Roman" w:cs="Times New Roman"/>
          <w:color w:val="auto"/>
          <w:spacing w:val="1"/>
          <w:sz w:val="24"/>
          <w:szCs w:val="24"/>
        </w:rPr>
        <w:t>dB</w:t>
      </w:r>
      <w:r>
        <w:rPr>
          <w:rFonts w:hint="eastAsia"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rPr>
        <w:t>A</w:t>
      </w:r>
      <w:r>
        <w:rPr>
          <w:rFonts w:hint="eastAsia"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rPr>
        <w:t>）标准</w:t>
      </w:r>
      <w:r>
        <w:rPr>
          <w:rFonts w:hint="default" w:ascii="Times New Roman" w:hAnsi="Times New Roman" w:cs="Times New Roman"/>
          <w:color w:val="auto"/>
          <w:spacing w:val="1"/>
          <w:sz w:val="24"/>
          <w:szCs w:val="24"/>
          <w:lang w:eastAsia="zh-CN"/>
        </w:rPr>
        <w:t>要求，</w:t>
      </w:r>
      <w:r>
        <w:rPr>
          <w:rFonts w:hint="default" w:ascii="Times New Roman" w:hAnsi="Times New Roman" w:cs="Times New Roman"/>
          <w:color w:val="auto"/>
          <w:spacing w:val="1"/>
          <w:sz w:val="24"/>
          <w:szCs w:val="24"/>
          <w:lang w:val="en-US" w:eastAsia="zh-CN"/>
        </w:rPr>
        <w:t>夜间不运行</w:t>
      </w:r>
      <w:r>
        <w:rPr>
          <w:rFonts w:hint="default"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rPr>
        <w:t>位于</w:t>
      </w:r>
      <w:r>
        <w:rPr>
          <w:rFonts w:hint="eastAsia" w:ascii="Times New Roman" w:hAnsi="Times New Roman" w:eastAsia="宋体" w:cs="Times New Roman"/>
          <w:color w:val="auto"/>
          <w:spacing w:val="1"/>
          <w:sz w:val="24"/>
          <w:szCs w:val="24"/>
          <w:lang w:eastAsia="zh-CN"/>
        </w:rPr>
        <w:t>既有铁路（现有到发4条货运线）外轨中心线西30m</w:t>
      </w:r>
      <w:r>
        <w:rPr>
          <w:rFonts w:hint="eastAsia" w:ascii="Times New Roman" w:hAnsi="Times New Roman" w:cs="Times New Roman"/>
          <w:color w:val="auto"/>
          <w:spacing w:val="1"/>
          <w:sz w:val="24"/>
          <w:szCs w:val="24"/>
          <w:lang w:eastAsia="zh-CN"/>
        </w:rPr>
        <w:t>、</w:t>
      </w:r>
      <w:r>
        <w:rPr>
          <w:rFonts w:hint="eastAsia" w:ascii="Times New Roman" w:hAnsi="Times New Roman" w:eastAsia="宋体" w:cs="Times New Roman"/>
          <w:color w:val="auto"/>
          <w:spacing w:val="1"/>
          <w:sz w:val="24"/>
          <w:szCs w:val="24"/>
          <w:lang w:eastAsia="zh-CN"/>
        </w:rPr>
        <w:t>既有铁路（现有到发4条货运线）外轨中心线东30m</w:t>
      </w:r>
      <w:r>
        <w:rPr>
          <w:rFonts w:hint="default" w:ascii="Times New Roman" w:hAnsi="Times New Roman" w:cs="Times New Roman"/>
          <w:color w:val="auto"/>
          <w:spacing w:val="1"/>
          <w:sz w:val="24"/>
          <w:szCs w:val="24"/>
        </w:rPr>
        <w:t>与</w:t>
      </w:r>
      <w:r>
        <w:rPr>
          <w:rFonts w:hint="eastAsia" w:ascii="Times New Roman" w:hAnsi="Times New Roman" w:eastAsia="宋体" w:cs="Times New Roman"/>
          <w:color w:val="auto"/>
          <w:spacing w:val="1"/>
          <w:sz w:val="24"/>
          <w:szCs w:val="24"/>
          <w:lang w:eastAsia="zh-CN"/>
        </w:rPr>
        <w:t>新建铁路（H1、H2新建货运线）外轨中心线西30m</w:t>
      </w:r>
      <w:r>
        <w:rPr>
          <w:rFonts w:hint="default" w:ascii="Times New Roman" w:hAnsi="Times New Roman" w:cs="Times New Roman"/>
          <w:color w:val="auto"/>
          <w:spacing w:val="1"/>
          <w:sz w:val="24"/>
          <w:szCs w:val="24"/>
        </w:rPr>
        <w:t>交叉点</w:t>
      </w:r>
      <w:r>
        <w:rPr>
          <w:rFonts w:hint="eastAsia" w:ascii="Times New Roman" w:hAnsi="Times New Roman" w:cs="Times New Roman"/>
          <w:color w:val="auto"/>
          <w:spacing w:val="1"/>
          <w:sz w:val="24"/>
          <w:szCs w:val="24"/>
          <w:lang w:eastAsia="zh-CN"/>
        </w:rPr>
        <w:t>、</w:t>
      </w:r>
      <w:r>
        <w:rPr>
          <w:rFonts w:hint="eastAsia" w:ascii="Times New Roman" w:hAnsi="Times New Roman" w:eastAsia="宋体" w:cs="Times New Roman"/>
          <w:color w:val="auto"/>
          <w:spacing w:val="1"/>
          <w:sz w:val="24"/>
          <w:szCs w:val="24"/>
          <w:lang w:eastAsia="zh-CN"/>
        </w:rPr>
        <w:t>新建铁路（H1、H2新建货运线）外轨中心线东30m</w:t>
      </w:r>
      <w:r>
        <w:rPr>
          <w:rFonts w:hint="default" w:ascii="Times New Roman" w:hAnsi="Times New Roman" w:cs="Times New Roman"/>
          <w:color w:val="auto"/>
          <w:spacing w:val="1"/>
          <w:sz w:val="24"/>
          <w:szCs w:val="24"/>
        </w:rPr>
        <w:t>的3个预测点，均可达《铁路边界噪声限值及其测量方法》（GB12525-90）修改方案中表1、表2中限值</w:t>
      </w:r>
      <w:r>
        <w:rPr>
          <w:rFonts w:hint="eastAsia" w:ascii="Times New Roman" w:hAnsi="Times New Roman" w:cs="Times New Roman"/>
          <w:color w:val="auto"/>
          <w:spacing w:val="1"/>
          <w:sz w:val="24"/>
          <w:szCs w:val="24"/>
          <w:lang w:eastAsia="zh-CN"/>
        </w:rPr>
        <w:t>（</w:t>
      </w:r>
      <w:r>
        <w:rPr>
          <w:rFonts w:hint="eastAsia" w:ascii="Times New Roman" w:hAnsi="Times New Roman" w:cs="Times New Roman"/>
          <w:color w:val="auto"/>
          <w:spacing w:val="1"/>
          <w:sz w:val="24"/>
          <w:szCs w:val="24"/>
          <w:lang w:val="en-US" w:eastAsia="zh-CN"/>
        </w:rPr>
        <w:t>昼间70</w:t>
      </w:r>
      <w:r>
        <w:rPr>
          <w:rFonts w:hint="default" w:ascii="Times New Roman" w:hAnsi="Times New Roman" w:cs="Times New Roman"/>
          <w:color w:val="auto"/>
          <w:spacing w:val="1"/>
          <w:sz w:val="24"/>
          <w:szCs w:val="24"/>
        </w:rPr>
        <w:t>dB（A）</w:t>
      </w:r>
      <w:r>
        <w:rPr>
          <w:rFonts w:hint="eastAsia" w:ascii="Times New Roman" w:hAnsi="Times New Roman" w:cs="Times New Roman"/>
          <w:color w:val="auto"/>
          <w:spacing w:val="1"/>
          <w:sz w:val="24"/>
          <w:szCs w:val="24"/>
          <w:lang w:eastAsia="zh-CN"/>
        </w:rPr>
        <w:t>）。</w:t>
      </w:r>
    </w:p>
    <w:p w14:paraId="3A20B16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val="en-US" w:eastAsia="zh-CN"/>
        </w:rPr>
        <w:t>项目</w:t>
      </w:r>
      <w:r>
        <w:rPr>
          <w:rFonts w:hint="default" w:ascii="Times New Roman" w:hAnsi="Times New Roman" w:cs="Times New Roman"/>
          <w:color w:val="auto"/>
          <w:spacing w:val="1"/>
          <w:sz w:val="24"/>
          <w:szCs w:val="24"/>
        </w:rPr>
        <w:t>厂界外</w:t>
      </w:r>
      <w:r>
        <w:rPr>
          <w:rFonts w:hint="eastAsia" w:ascii="Times New Roman" w:hAnsi="Times New Roman" w:cs="Times New Roman"/>
          <w:color w:val="auto"/>
          <w:spacing w:val="1"/>
          <w:sz w:val="24"/>
          <w:szCs w:val="24"/>
          <w:lang w:val="en-US" w:eastAsia="zh-CN"/>
        </w:rPr>
        <w:t>200</w:t>
      </w:r>
      <w:r>
        <w:rPr>
          <w:rFonts w:hint="default" w:ascii="Times New Roman" w:hAnsi="Times New Roman" w:cs="Times New Roman"/>
          <w:color w:val="auto"/>
          <w:spacing w:val="1"/>
          <w:sz w:val="24"/>
          <w:szCs w:val="24"/>
        </w:rPr>
        <w:t>米范围内</w:t>
      </w:r>
      <w:r>
        <w:rPr>
          <w:rFonts w:hint="default" w:ascii="Times New Roman" w:hAnsi="Times New Roman" w:cs="Times New Roman"/>
          <w:color w:val="auto"/>
          <w:spacing w:val="1"/>
          <w:sz w:val="24"/>
          <w:szCs w:val="24"/>
          <w:lang w:eastAsia="zh-CN"/>
        </w:rPr>
        <w:t>无</w:t>
      </w:r>
      <w:r>
        <w:rPr>
          <w:rFonts w:hint="default" w:ascii="Times New Roman" w:hAnsi="Times New Roman" w:cs="Times New Roman"/>
          <w:color w:val="auto"/>
          <w:spacing w:val="1"/>
          <w:sz w:val="24"/>
          <w:szCs w:val="24"/>
        </w:rPr>
        <w:t>声环境保护目标，</w:t>
      </w:r>
      <w:r>
        <w:rPr>
          <w:rFonts w:hint="default" w:ascii="Times New Roman" w:hAnsi="Times New Roman" w:cs="Times New Roman"/>
          <w:color w:val="auto"/>
          <w:spacing w:val="1"/>
          <w:sz w:val="24"/>
          <w:szCs w:val="24"/>
          <w:lang w:val="zh-CN"/>
        </w:rPr>
        <w:t>本</w:t>
      </w:r>
      <w:r>
        <w:rPr>
          <w:rFonts w:hint="default" w:ascii="Times New Roman" w:hAnsi="Times New Roman" w:cs="Times New Roman"/>
          <w:color w:val="auto"/>
          <w:spacing w:val="1"/>
          <w:sz w:val="24"/>
          <w:szCs w:val="24"/>
        </w:rPr>
        <w:t>项目</w:t>
      </w:r>
      <w:r>
        <w:rPr>
          <w:rFonts w:hint="default" w:ascii="Times New Roman" w:hAnsi="Times New Roman" w:cs="Times New Roman"/>
          <w:color w:val="auto"/>
          <w:spacing w:val="1"/>
          <w:sz w:val="24"/>
          <w:szCs w:val="24"/>
          <w:lang w:eastAsia="zh-CN"/>
        </w:rPr>
        <w:t>噪声对</w:t>
      </w:r>
      <w:r>
        <w:rPr>
          <w:rFonts w:hint="default" w:ascii="Times New Roman" w:hAnsi="Times New Roman" w:cs="Times New Roman"/>
          <w:color w:val="auto"/>
          <w:spacing w:val="1"/>
          <w:sz w:val="24"/>
          <w:szCs w:val="24"/>
          <w:lang w:val="en-US" w:eastAsia="zh-CN"/>
        </w:rPr>
        <w:t>周围环境</w:t>
      </w:r>
      <w:r>
        <w:rPr>
          <w:rFonts w:hint="default" w:ascii="Times New Roman" w:hAnsi="Times New Roman" w:cs="Times New Roman"/>
          <w:color w:val="auto"/>
          <w:spacing w:val="1"/>
          <w:sz w:val="24"/>
          <w:szCs w:val="24"/>
        </w:rPr>
        <w:t>影响较小。</w:t>
      </w:r>
    </w:p>
    <w:p w14:paraId="540E2F11">
      <w:pPr>
        <w:pStyle w:val="9"/>
        <w:spacing w:before="4" w:line="220" w:lineRule="auto"/>
        <w:ind w:left="19"/>
        <w:outlineLvl w:val="1"/>
        <w:rPr>
          <w:color w:val="auto"/>
          <w:sz w:val="30"/>
          <w:szCs w:val="30"/>
        </w:rPr>
      </w:pPr>
      <w:bookmarkStart w:id="164" w:name="bookmark31"/>
      <w:bookmarkEnd w:id="164"/>
      <w:bookmarkStart w:id="165" w:name="_Toc30714"/>
      <w:r>
        <w:rPr>
          <w:rFonts w:ascii="Times New Roman" w:hAnsi="Times New Roman" w:eastAsia="Times New Roman" w:cs="Times New Roman"/>
          <w:b/>
          <w:bCs/>
          <w:color w:val="auto"/>
          <w:spacing w:val="-3"/>
          <w:sz w:val="30"/>
          <w:szCs w:val="30"/>
        </w:rPr>
        <w:t xml:space="preserve">4.5 </w:t>
      </w:r>
      <w:r>
        <w:rPr>
          <w:b/>
          <w:bCs/>
          <w:color w:val="auto"/>
          <w:spacing w:val="-3"/>
          <w:sz w:val="30"/>
          <w:szCs w:val="30"/>
        </w:rPr>
        <w:t>运营期振动影响分析</w:t>
      </w:r>
      <w:bookmarkEnd w:id="165"/>
    </w:p>
    <w:p w14:paraId="7B18CF50">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color w:val="auto"/>
          <w:sz w:val="24"/>
          <w:szCs w:val="24"/>
        </w:rPr>
      </w:pPr>
      <w:r>
        <w:rPr>
          <w:rFonts w:ascii="Times New Roman" w:hAnsi="Times New Roman" w:eastAsia="Times New Roman" w:cs="Times New Roman"/>
          <w:b/>
          <w:bCs/>
          <w:color w:val="auto"/>
          <w:spacing w:val="-2"/>
          <w:sz w:val="24"/>
          <w:szCs w:val="24"/>
        </w:rPr>
        <w:t xml:space="preserve">4.5.1 </w:t>
      </w:r>
      <w:r>
        <w:rPr>
          <w:b/>
          <w:bCs/>
          <w:color w:val="auto"/>
          <w:spacing w:val="-2"/>
          <w:sz w:val="24"/>
          <w:szCs w:val="24"/>
        </w:rPr>
        <w:t>评价方法</w:t>
      </w:r>
    </w:p>
    <w:p w14:paraId="65219E4E">
      <w:pPr>
        <w:pStyle w:val="9"/>
        <w:spacing w:before="193" w:line="360" w:lineRule="auto"/>
        <w:ind w:left="21" w:right="31" w:firstLine="484"/>
        <w:jc w:val="both"/>
        <w:rPr>
          <w:color w:val="auto"/>
          <w:sz w:val="24"/>
          <w:szCs w:val="24"/>
        </w:rPr>
      </w:pPr>
      <w:r>
        <w:rPr>
          <w:color w:val="auto"/>
          <w:spacing w:val="-3"/>
          <w:sz w:val="24"/>
          <w:szCs w:val="24"/>
        </w:rPr>
        <w:t>列车运行振动源强主要采用《铁路建设项目环境影响评价噪声振</w:t>
      </w:r>
      <w:r>
        <w:rPr>
          <w:color w:val="auto"/>
          <w:spacing w:val="-4"/>
          <w:sz w:val="24"/>
          <w:szCs w:val="24"/>
        </w:rPr>
        <w:t>动源强取值</w:t>
      </w:r>
      <w:r>
        <w:rPr>
          <w:color w:val="auto"/>
          <w:spacing w:val="1"/>
          <w:sz w:val="24"/>
          <w:szCs w:val="24"/>
        </w:rPr>
        <w:t>和治理原则指导意见（</w:t>
      </w:r>
      <w:r>
        <w:rPr>
          <w:rFonts w:ascii="Times New Roman" w:hAnsi="Times New Roman" w:eastAsia="Times New Roman" w:cs="Times New Roman"/>
          <w:color w:val="auto"/>
          <w:spacing w:val="1"/>
          <w:sz w:val="24"/>
          <w:szCs w:val="24"/>
        </w:rPr>
        <w:t xml:space="preserve">2010 </w:t>
      </w:r>
      <w:r>
        <w:rPr>
          <w:color w:val="auto"/>
          <w:spacing w:val="1"/>
          <w:sz w:val="24"/>
          <w:szCs w:val="24"/>
        </w:rPr>
        <w:t>年修订稿）</w:t>
      </w:r>
      <w:r>
        <w:rPr>
          <w:color w:val="auto"/>
          <w:sz w:val="24"/>
          <w:szCs w:val="24"/>
        </w:rPr>
        <w:t>》（铁计函〔</w:t>
      </w:r>
      <w:r>
        <w:rPr>
          <w:rFonts w:ascii="Times New Roman" w:hAnsi="Times New Roman" w:eastAsia="Times New Roman" w:cs="Times New Roman"/>
          <w:color w:val="auto"/>
          <w:sz w:val="24"/>
          <w:szCs w:val="24"/>
        </w:rPr>
        <w:t>2010</w:t>
      </w:r>
      <w:r>
        <w:rPr>
          <w:color w:val="auto"/>
          <w:sz w:val="24"/>
          <w:szCs w:val="24"/>
        </w:rPr>
        <w:t>〕</w:t>
      </w:r>
      <w:r>
        <w:rPr>
          <w:rFonts w:ascii="Times New Roman" w:hAnsi="Times New Roman" w:eastAsia="Times New Roman" w:cs="Times New Roman"/>
          <w:color w:val="auto"/>
          <w:sz w:val="24"/>
          <w:szCs w:val="24"/>
        </w:rPr>
        <w:t xml:space="preserve">44 </w:t>
      </w:r>
      <w:r>
        <w:rPr>
          <w:color w:val="auto"/>
          <w:sz w:val="24"/>
          <w:szCs w:val="24"/>
        </w:rPr>
        <w:t>号文）确定，并</w:t>
      </w:r>
      <w:r>
        <w:rPr>
          <w:color w:val="auto"/>
          <w:spacing w:val="-1"/>
          <w:sz w:val="24"/>
          <w:szCs w:val="24"/>
        </w:rPr>
        <w:t>根据工程实际情况进行修正，采用模式法对</w:t>
      </w:r>
      <w:r>
        <w:rPr>
          <w:color w:val="auto"/>
          <w:spacing w:val="-2"/>
          <w:sz w:val="24"/>
          <w:szCs w:val="24"/>
        </w:rPr>
        <w:t>振动保护目标处振动影响进行预测。</w:t>
      </w:r>
    </w:p>
    <w:p w14:paraId="3F4E79F9">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ascii="Times New Roman" w:hAnsi="Times New Roman" w:eastAsia="Times New Roman" w:cs="Times New Roman"/>
          <w:b/>
          <w:bCs/>
          <w:color w:val="auto"/>
          <w:spacing w:val="-2"/>
          <w:sz w:val="24"/>
          <w:szCs w:val="24"/>
        </w:rPr>
      </w:pPr>
      <w:r>
        <w:rPr>
          <w:rFonts w:ascii="Times New Roman" w:hAnsi="Times New Roman" w:eastAsia="Times New Roman" w:cs="Times New Roman"/>
          <w:b/>
          <w:bCs/>
          <w:color w:val="auto"/>
          <w:spacing w:val="-2"/>
          <w:sz w:val="24"/>
          <w:szCs w:val="24"/>
        </w:rPr>
        <w:t>4.5.2 评价范围</w:t>
      </w:r>
    </w:p>
    <w:p w14:paraId="49C099F8">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1"/>
        <w:jc w:val="both"/>
        <w:textAlignment w:val="baseline"/>
        <w:rPr>
          <w:color w:val="auto"/>
          <w:sz w:val="24"/>
          <w:szCs w:val="24"/>
        </w:rPr>
      </w:pPr>
      <w:r>
        <w:rPr>
          <w:color w:val="auto"/>
          <w:spacing w:val="-3"/>
          <w:sz w:val="24"/>
          <w:szCs w:val="24"/>
        </w:rPr>
        <w:t>轮轨振动为铁路的主要振动源，其产生机理为轮轨激励产生振动经轨枕、道</w:t>
      </w:r>
      <w:r>
        <w:rPr>
          <w:color w:val="auto"/>
          <w:spacing w:val="-1"/>
          <w:sz w:val="24"/>
          <w:szCs w:val="24"/>
        </w:rPr>
        <w:t>床传递至桥梁及其基础，再由基础传递至地面，从而引发地面和建筑物的振动。</w:t>
      </w:r>
      <w:r>
        <w:rPr>
          <w:color w:val="auto"/>
          <w:spacing w:val="-3"/>
          <w:sz w:val="24"/>
          <w:szCs w:val="24"/>
        </w:rPr>
        <w:t>参考铁道部发布的《铁路工程建设项目环境影响评价技术标准</w:t>
      </w:r>
      <w:r>
        <w:rPr>
          <w:color w:val="auto"/>
          <w:spacing w:val="-4"/>
          <w:sz w:val="24"/>
          <w:szCs w:val="24"/>
        </w:rPr>
        <w:t>》（</w:t>
      </w:r>
      <w:r>
        <w:rPr>
          <w:rFonts w:ascii="Times New Roman" w:hAnsi="Times New Roman" w:eastAsia="Times New Roman" w:cs="Times New Roman"/>
          <w:color w:val="auto"/>
          <w:spacing w:val="-4"/>
          <w:sz w:val="24"/>
          <w:szCs w:val="24"/>
        </w:rPr>
        <w:t>TB10502-93</w:t>
      </w:r>
      <w:r>
        <w:rPr>
          <w:color w:val="auto"/>
          <w:spacing w:val="-54"/>
          <w:w w:val="86"/>
          <w:sz w:val="24"/>
          <w:szCs w:val="24"/>
        </w:rPr>
        <w:t>），</w:t>
      </w:r>
      <w:r>
        <w:rPr>
          <w:color w:val="auto"/>
          <w:spacing w:val="-3"/>
          <w:sz w:val="24"/>
          <w:szCs w:val="24"/>
        </w:rPr>
        <w:t>铁路振动评价范围与振动源强、路基结构、地质状况有关，振动在沿地表的传递</w:t>
      </w:r>
      <w:r>
        <w:rPr>
          <w:color w:val="auto"/>
          <w:spacing w:val="1"/>
          <w:sz w:val="24"/>
          <w:szCs w:val="24"/>
        </w:rPr>
        <w:t>过程中衰减很快，一般评价范围为距离铁路外轨中心线</w:t>
      </w:r>
      <w:r>
        <w:rPr>
          <w:rFonts w:ascii="Times New Roman" w:hAnsi="Times New Roman" w:eastAsia="Times New Roman" w:cs="Times New Roman"/>
          <w:color w:val="auto"/>
          <w:spacing w:val="1"/>
          <w:sz w:val="24"/>
          <w:szCs w:val="24"/>
        </w:rPr>
        <w:t>60m</w:t>
      </w:r>
      <w:r>
        <w:rPr>
          <w:color w:val="auto"/>
          <w:spacing w:val="1"/>
          <w:sz w:val="24"/>
          <w:szCs w:val="24"/>
        </w:rPr>
        <w:t>处足够。因此，本</w:t>
      </w:r>
      <w:r>
        <w:rPr>
          <w:color w:val="auto"/>
          <w:spacing w:val="-1"/>
          <w:sz w:val="24"/>
          <w:szCs w:val="24"/>
        </w:rPr>
        <w:t>项目振动评价范围确定为铁路外轨中心线至距其</w:t>
      </w:r>
      <w:r>
        <w:rPr>
          <w:rFonts w:ascii="Times New Roman" w:hAnsi="Times New Roman" w:eastAsia="Times New Roman" w:cs="Times New Roman"/>
          <w:color w:val="auto"/>
          <w:spacing w:val="-1"/>
          <w:sz w:val="24"/>
          <w:szCs w:val="24"/>
        </w:rPr>
        <w:t>60m</w:t>
      </w:r>
      <w:r>
        <w:rPr>
          <w:color w:val="auto"/>
          <w:spacing w:val="-1"/>
          <w:sz w:val="24"/>
          <w:szCs w:val="24"/>
        </w:rPr>
        <w:t>范围内。</w:t>
      </w:r>
    </w:p>
    <w:p w14:paraId="27B5C1F5">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2"/>
        <w:jc w:val="both"/>
        <w:textAlignment w:val="baseline"/>
        <w:rPr>
          <w:color w:val="auto"/>
          <w:sz w:val="24"/>
          <w:szCs w:val="24"/>
        </w:rPr>
      </w:pPr>
      <w:r>
        <w:rPr>
          <w:color w:val="auto"/>
          <w:spacing w:val="1"/>
          <w:sz w:val="24"/>
          <w:szCs w:val="24"/>
        </w:rPr>
        <w:t>项目铁路外轨中心线</w:t>
      </w:r>
      <w:r>
        <w:rPr>
          <w:rFonts w:ascii="Times New Roman" w:hAnsi="Times New Roman" w:eastAsia="Times New Roman" w:cs="Times New Roman"/>
          <w:color w:val="auto"/>
          <w:spacing w:val="1"/>
          <w:sz w:val="24"/>
          <w:szCs w:val="24"/>
        </w:rPr>
        <w:t>60m</w:t>
      </w:r>
      <w:r>
        <w:rPr>
          <w:color w:val="auto"/>
          <w:spacing w:val="1"/>
          <w:sz w:val="24"/>
          <w:szCs w:val="24"/>
        </w:rPr>
        <w:t>范围内无敏感点，距离本项目最近的居民点为本</w:t>
      </w:r>
      <w:r>
        <w:rPr>
          <w:color w:val="auto"/>
          <w:spacing w:val="-2"/>
          <w:sz w:val="24"/>
          <w:szCs w:val="24"/>
        </w:rPr>
        <w:t>项目</w:t>
      </w:r>
      <w:r>
        <w:rPr>
          <w:color w:val="auto"/>
          <w:spacing w:val="-2"/>
          <w:sz w:val="24"/>
          <w:szCs w:val="24"/>
          <w:highlight w:val="none"/>
        </w:rPr>
        <w:t>铁路外轨中心线</w:t>
      </w:r>
      <w:r>
        <w:rPr>
          <w:rFonts w:hint="eastAsia" w:eastAsia="宋体"/>
          <w:color w:val="auto"/>
          <w:spacing w:val="-2"/>
          <w:sz w:val="24"/>
          <w:szCs w:val="24"/>
          <w:highlight w:val="none"/>
          <w:lang w:val="en-US" w:eastAsia="zh-CN"/>
        </w:rPr>
        <w:t>东</w:t>
      </w:r>
      <w:r>
        <w:rPr>
          <w:color w:val="auto"/>
          <w:spacing w:val="-2"/>
          <w:sz w:val="24"/>
          <w:szCs w:val="24"/>
          <w:highlight w:val="none"/>
        </w:rPr>
        <w:t>南侧约</w:t>
      </w:r>
      <w:r>
        <w:rPr>
          <w:rFonts w:hint="eastAsia" w:ascii="Times New Roman" w:hAnsi="Times New Roman" w:eastAsia="宋体" w:cs="Times New Roman"/>
          <w:color w:val="auto"/>
          <w:spacing w:val="-2"/>
          <w:sz w:val="24"/>
          <w:szCs w:val="24"/>
          <w:highlight w:val="none"/>
          <w:lang w:val="en-US" w:eastAsia="zh-CN"/>
        </w:rPr>
        <w:t>495</w:t>
      </w:r>
      <w:r>
        <w:rPr>
          <w:rFonts w:ascii="Times New Roman" w:hAnsi="Times New Roman" w:eastAsia="Times New Roman" w:cs="Times New Roman"/>
          <w:color w:val="auto"/>
          <w:spacing w:val="-2"/>
          <w:sz w:val="24"/>
          <w:szCs w:val="24"/>
          <w:highlight w:val="none"/>
        </w:rPr>
        <w:t>m</w:t>
      </w:r>
      <w:r>
        <w:rPr>
          <w:color w:val="auto"/>
          <w:spacing w:val="-2"/>
          <w:sz w:val="24"/>
          <w:szCs w:val="24"/>
          <w:highlight w:val="none"/>
        </w:rPr>
        <w:t>的</w:t>
      </w:r>
      <w:r>
        <w:rPr>
          <w:rFonts w:hint="eastAsia" w:eastAsia="宋体"/>
          <w:color w:val="auto"/>
          <w:spacing w:val="-2"/>
          <w:sz w:val="24"/>
          <w:szCs w:val="24"/>
          <w:highlight w:val="none"/>
          <w:lang w:val="en-US" w:eastAsia="zh-CN"/>
        </w:rPr>
        <w:t>兴源社区</w:t>
      </w:r>
      <w:r>
        <w:rPr>
          <w:color w:val="auto"/>
          <w:spacing w:val="-1"/>
          <w:sz w:val="24"/>
          <w:szCs w:val="24"/>
          <w:highlight w:val="none"/>
        </w:rPr>
        <w:t>。</w:t>
      </w:r>
      <w:r>
        <w:rPr>
          <w:color w:val="auto"/>
          <w:spacing w:val="-1"/>
          <w:sz w:val="24"/>
          <w:szCs w:val="24"/>
        </w:rPr>
        <w:t>本次预测仅</w:t>
      </w:r>
      <w:r>
        <w:rPr>
          <w:rFonts w:hint="eastAsia" w:eastAsia="宋体"/>
          <w:color w:val="auto"/>
          <w:spacing w:val="-1"/>
          <w:sz w:val="24"/>
          <w:szCs w:val="24"/>
          <w:lang w:val="en-US" w:eastAsia="zh-CN"/>
        </w:rPr>
        <w:t>针对</w:t>
      </w:r>
      <w:r>
        <w:rPr>
          <w:rFonts w:hint="eastAsia"/>
          <w:color w:val="auto"/>
          <w:spacing w:val="-1"/>
          <w:sz w:val="24"/>
          <w:szCs w:val="24"/>
        </w:rPr>
        <w:t>达标控制距离</w:t>
      </w:r>
      <w:r>
        <w:rPr>
          <w:color w:val="auto"/>
          <w:spacing w:val="-1"/>
          <w:sz w:val="24"/>
          <w:szCs w:val="24"/>
        </w:rPr>
        <w:t>进行预测。</w:t>
      </w:r>
    </w:p>
    <w:p w14:paraId="32D37F17">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ascii="Times New Roman" w:hAnsi="Times New Roman" w:eastAsia="Times New Roman" w:cs="Times New Roman"/>
          <w:b/>
          <w:bCs/>
          <w:color w:val="auto"/>
          <w:spacing w:val="-2"/>
          <w:sz w:val="24"/>
          <w:szCs w:val="24"/>
        </w:rPr>
      </w:pPr>
      <w:r>
        <w:rPr>
          <w:rFonts w:ascii="Times New Roman" w:hAnsi="Times New Roman" w:eastAsia="Times New Roman" w:cs="Times New Roman"/>
          <w:b/>
          <w:bCs/>
          <w:color w:val="auto"/>
          <w:spacing w:val="-2"/>
          <w:sz w:val="24"/>
          <w:szCs w:val="24"/>
        </w:rPr>
        <w:t>4.5.3 预测模式</w:t>
      </w:r>
    </w:p>
    <w:p w14:paraId="29FE7A03">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铁路振动源强、传播规律受到较多因素的影响，一般地形、地貌、地质条件</w:t>
      </w:r>
      <w:r>
        <w:rPr>
          <w:color w:val="auto"/>
          <w:spacing w:val="-7"/>
          <w:sz w:val="24"/>
          <w:szCs w:val="24"/>
        </w:rPr>
        <w:t>以及某些人工构筑物均会对振动的产生、传播产生特殊的影响，因此</w:t>
      </w:r>
      <w:r>
        <w:rPr>
          <w:color w:val="auto"/>
          <w:spacing w:val="-8"/>
          <w:sz w:val="24"/>
          <w:szCs w:val="24"/>
        </w:rPr>
        <w:t>振动的产生、</w:t>
      </w:r>
      <w:r>
        <w:rPr>
          <w:color w:val="auto"/>
          <w:spacing w:val="-1"/>
          <w:sz w:val="24"/>
          <w:szCs w:val="24"/>
        </w:rPr>
        <w:t>传播随着各处具体情况的差异表现出各自的特点。</w:t>
      </w:r>
    </w:p>
    <w:p w14:paraId="4F5277F9">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本次评价铁路线机车运行振动值类比同类项目振动源强，预测模式根据</w:t>
      </w:r>
      <w:r>
        <w:rPr>
          <w:color w:val="auto"/>
          <w:spacing w:val="-4"/>
          <w:sz w:val="24"/>
          <w:szCs w:val="24"/>
        </w:rPr>
        <w:t>铁计</w:t>
      </w:r>
      <w:r>
        <w:rPr>
          <w:color w:val="auto"/>
          <w:spacing w:val="2"/>
          <w:sz w:val="24"/>
          <w:szCs w:val="24"/>
        </w:rPr>
        <w:t>函〔</w:t>
      </w:r>
      <w:r>
        <w:rPr>
          <w:rFonts w:ascii="Times New Roman" w:hAnsi="Times New Roman" w:eastAsia="Times New Roman" w:cs="Times New Roman"/>
          <w:color w:val="auto"/>
          <w:spacing w:val="2"/>
          <w:sz w:val="24"/>
          <w:szCs w:val="24"/>
        </w:rPr>
        <w:t>2010</w:t>
      </w:r>
      <w:r>
        <w:rPr>
          <w:color w:val="auto"/>
          <w:spacing w:val="2"/>
          <w:sz w:val="24"/>
          <w:szCs w:val="24"/>
        </w:rPr>
        <w:t>〕</w:t>
      </w:r>
      <w:r>
        <w:rPr>
          <w:rFonts w:ascii="Times New Roman" w:hAnsi="Times New Roman" w:eastAsia="Times New Roman" w:cs="Times New Roman"/>
          <w:color w:val="auto"/>
          <w:spacing w:val="2"/>
          <w:sz w:val="24"/>
          <w:szCs w:val="24"/>
        </w:rPr>
        <w:t>44</w:t>
      </w:r>
      <w:r>
        <w:rPr>
          <w:rFonts w:ascii="Times New Roman" w:hAnsi="Times New Roman" w:eastAsia="Times New Roman" w:cs="Times New Roman"/>
          <w:color w:val="auto"/>
          <w:spacing w:val="20"/>
          <w:w w:val="101"/>
          <w:sz w:val="24"/>
          <w:szCs w:val="24"/>
        </w:rPr>
        <w:t xml:space="preserve"> </w:t>
      </w:r>
      <w:r>
        <w:rPr>
          <w:color w:val="auto"/>
          <w:spacing w:val="2"/>
          <w:sz w:val="24"/>
          <w:szCs w:val="24"/>
        </w:rPr>
        <w:t>号文《铁路建设项目环境</w:t>
      </w:r>
      <w:r>
        <w:rPr>
          <w:color w:val="auto"/>
          <w:spacing w:val="1"/>
          <w:sz w:val="24"/>
          <w:szCs w:val="24"/>
        </w:rPr>
        <w:t>影响评价噪声振动源强取值和治理原则</w:t>
      </w:r>
      <w:r>
        <w:rPr>
          <w:color w:val="auto"/>
          <w:sz w:val="24"/>
          <w:szCs w:val="24"/>
        </w:rPr>
        <w:t>指导意见》进行预测，各项参数的修正及取值</w:t>
      </w:r>
      <w:r>
        <w:rPr>
          <w:color w:val="auto"/>
          <w:spacing w:val="-1"/>
          <w:sz w:val="24"/>
          <w:szCs w:val="24"/>
        </w:rPr>
        <w:t>均根据工程实际情况进行确定。</w:t>
      </w:r>
    </w:p>
    <w:p w14:paraId="6EC0D9C6">
      <w:pPr>
        <w:pStyle w:val="9"/>
        <w:keepNext w:val="0"/>
        <w:keepLines w:val="0"/>
        <w:pageBreakBefore w:val="0"/>
        <w:widowControl/>
        <w:wordWrap/>
        <w:overflowPunct/>
        <w:topLinePunct w:val="0"/>
        <w:autoSpaceDE w:val="0"/>
        <w:autoSpaceDN w:val="0"/>
        <w:bidi w:val="0"/>
        <w:adjustRightInd/>
        <w:snapToGrid/>
        <w:spacing w:line="360" w:lineRule="auto"/>
        <w:ind w:left="0" w:right="0" w:firstLine="466" w:firstLineChars="200"/>
        <w:textAlignment w:val="baseline"/>
        <w:rPr>
          <w:rFonts w:hint="default" w:ascii="Times New Roman" w:hAnsi="Times New Roman" w:cs="Times New Roman"/>
          <w:color w:val="auto"/>
          <w:sz w:val="24"/>
          <w:szCs w:val="24"/>
        </w:rPr>
      </w:pPr>
      <w:r>
        <w:rPr>
          <w:rFonts w:hint="default" w:ascii="Times New Roman" w:hAnsi="Times New Roman" w:eastAsia="宋体" w:cs="Times New Roman"/>
          <w:b/>
          <w:bCs/>
          <w:color w:val="auto"/>
          <w:spacing w:val="-4"/>
          <w:sz w:val="24"/>
          <w:szCs w:val="24"/>
          <w:lang w:eastAsia="zh-CN"/>
        </w:rPr>
        <w:t>（</w:t>
      </w:r>
      <w:r>
        <w:rPr>
          <w:rFonts w:hint="default" w:ascii="Times New Roman" w:hAnsi="Times New Roman" w:eastAsia="宋体" w:cs="Times New Roman"/>
          <w:b/>
          <w:bCs/>
          <w:color w:val="auto"/>
          <w:spacing w:val="-4"/>
          <w:sz w:val="24"/>
          <w:szCs w:val="24"/>
          <w:lang w:val="en-US" w:eastAsia="zh-CN"/>
        </w:rPr>
        <w:t>1</w:t>
      </w:r>
      <w:r>
        <w:rPr>
          <w:rFonts w:hint="default" w:ascii="Times New Roman" w:hAnsi="Times New Roman" w:eastAsia="宋体" w:cs="Times New Roman"/>
          <w:b/>
          <w:bCs/>
          <w:color w:val="auto"/>
          <w:spacing w:val="-4"/>
          <w:sz w:val="24"/>
          <w:szCs w:val="24"/>
          <w:lang w:eastAsia="zh-CN"/>
        </w:rPr>
        <w:t>）</w:t>
      </w:r>
      <w:r>
        <w:rPr>
          <w:rFonts w:hint="default" w:ascii="Times New Roman" w:hAnsi="Times New Roman" w:cs="Times New Roman"/>
          <w:b/>
          <w:bCs/>
          <w:color w:val="auto"/>
          <w:spacing w:val="-4"/>
          <w:sz w:val="24"/>
          <w:szCs w:val="24"/>
        </w:rPr>
        <w:t>预测公式</w:t>
      </w:r>
    </w:p>
    <w:p w14:paraId="613C1BA5">
      <w:pPr>
        <w:pStyle w:val="9"/>
        <w:keepNext w:val="0"/>
        <w:keepLines w:val="0"/>
        <w:pageBreakBefore w:val="0"/>
        <w:widowControl/>
        <w:wordWrap/>
        <w:overflowPunct/>
        <w:topLinePunct w:val="0"/>
        <w:autoSpaceDE w:val="0"/>
        <w:autoSpaceDN w:val="0"/>
        <w:bidi w:val="0"/>
        <w:adjustRightInd/>
        <w:snapToGrid/>
        <w:spacing w:line="360" w:lineRule="auto"/>
        <w:ind w:left="0" w:right="0" w:firstLine="484" w:firstLineChars="200"/>
        <w:textAlignment w:val="baseline"/>
        <w:rPr>
          <w:color w:val="auto"/>
          <w:sz w:val="24"/>
          <w:szCs w:val="24"/>
        </w:rPr>
      </w:pPr>
      <w:r>
        <w:rPr>
          <w:color w:val="auto"/>
          <w:spacing w:val="1"/>
          <w:sz w:val="24"/>
          <w:szCs w:val="24"/>
        </w:rPr>
        <w:t>本次环境振动影响预测采用铁计函〔</w:t>
      </w:r>
      <w:r>
        <w:rPr>
          <w:rFonts w:ascii="Times New Roman" w:hAnsi="Times New Roman" w:eastAsia="Times New Roman" w:cs="Times New Roman"/>
          <w:color w:val="auto"/>
          <w:spacing w:val="1"/>
          <w:sz w:val="24"/>
          <w:szCs w:val="24"/>
        </w:rPr>
        <w:t>2010</w:t>
      </w:r>
      <w:r>
        <w:rPr>
          <w:color w:val="auto"/>
          <w:spacing w:val="1"/>
          <w:sz w:val="24"/>
          <w:szCs w:val="24"/>
        </w:rPr>
        <w:t>〕</w:t>
      </w:r>
      <w:r>
        <w:rPr>
          <w:rFonts w:ascii="Times New Roman" w:hAnsi="Times New Roman" w:eastAsia="Times New Roman" w:cs="Times New Roman"/>
          <w:color w:val="auto"/>
          <w:spacing w:val="1"/>
          <w:sz w:val="24"/>
          <w:szCs w:val="24"/>
        </w:rPr>
        <w:t>4</w:t>
      </w:r>
      <w:r>
        <w:rPr>
          <w:rFonts w:ascii="Times New Roman" w:hAnsi="Times New Roman" w:eastAsia="Times New Roman" w:cs="Times New Roman"/>
          <w:color w:val="auto"/>
          <w:sz w:val="24"/>
          <w:szCs w:val="24"/>
        </w:rPr>
        <w:t>4</w:t>
      </w:r>
      <w:r>
        <w:rPr>
          <w:color w:val="auto"/>
          <w:sz w:val="24"/>
          <w:szCs w:val="24"/>
        </w:rPr>
        <w:t>号文中推荐的模式预测法。</w:t>
      </w:r>
      <w:r>
        <w:rPr>
          <w:color w:val="auto"/>
          <w:spacing w:val="-4"/>
          <w:sz w:val="24"/>
          <w:szCs w:val="24"/>
        </w:rPr>
        <w:t>铁路环境振动</w:t>
      </w:r>
      <w:r>
        <w:rPr>
          <w:rFonts w:ascii="Times New Roman" w:hAnsi="Times New Roman" w:eastAsia="Times New Roman" w:cs="Times New Roman"/>
          <w:i/>
          <w:iCs/>
          <w:color w:val="auto"/>
          <w:spacing w:val="-4"/>
          <w:sz w:val="24"/>
          <w:szCs w:val="24"/>
        </w:rPr>
        <w:t>VL</w:t>
      </w:r>
      <w:r>
        <w:rPr>
          <w:rFonts w:ascii="Times New Roman" w:hAnsi="Times New Roman" w:eastAsia="Times New Roman" w:cs="Times New Roman"/>
          <w:color w:val="auto"/>
          <w:spacing w:val="-4"/>
          <w:position w:val="-1"/>
          <w:sz w:val="24"/>
          <w:szCs w:val="24"/>
          <w:vertAlign w:val="subscript"/>
        </w:rPr>
        <w:t>z</w:t>
      </w:r>
      <w:r>
        <w:rPr>
          <w:color w:val="auto"/>
          <w:spacing w:val="-4"/>
          <w:sz w:val="24"/>
          <w:szCs w:val="24"/>
        </w:rPr>
        <w:t>的基本预测计算公式如下：</w:t>
      </w:r>
    </w:p>
    <w:p w14:paraId="16244872">
      <w:pPr>
        <w:pStyle w:val="9"/>
        <w:keepNext w:val="0"/>
        <w:keepLines w:val="0"/>
        <w:pageBreakBefore w:val="0"/>
        <w:widowControl/>
        <w:wordWrap/>
        <w:overflowPunct/>
        <w:topLinePunct w:val="0"/>
        <w:autoSpaceDE w:val="0"/>
        <w:autoSpaceDN w:val="0"/>
        <w:bidi w:val="0"/>
        <w:adjustRightInd/>
        <w:snapToGrid/>
        <w:spacing w:line="360" w:lineRule="auto"/>
        <w:ind w:left="0" w:right="0" w:firstLine="420" w:firstLineChars="200"/>
        <w:jc w:val="center"/>
        <w:textAlignment w:val="baseline"/>
        <w:rPr>
          <w:color w:val="auto"/>
        </w:rPr>
      </w:pPr>
      <w:r>
        <w:rPr>
          <w:color w:val="auto"/>
        </w:rPr>
        <w:drawing>
          <wp:inline distT="0" distB="0" distL="114300" distR="114300">
            <wp:extent cx="2676525" cy="914400"/>
            <wp:effectExtent l="0" t="0" r="9525" b="0"/>
            <wp:docPr id="1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2"/>
                    <pic:cNvPicPr>
                      <a:picLocks noChangeAspect="1"/>
                    </pic:cNvPicPr>
                  </pic:nvPicPr>
                  <pic:blipFill>
                    <a:blip r:embed="rId86"/>
                    <a:stretch>
                      <a:fillRect/>
                    </a:stretch>
                  </pic:blipFill>
                  <pic:spPr>
                    <a:xfrm>
                      <a:off x="0" y="0"/>
                      <a:ext cx="2676525" cy="914400"/>
                    </a:xfrm>
                    <a:prstGeom prst="rect">
                      <a:avLst/>
                    </a:prstGeom>
                    <a:noFill/>
                    <a:ln>
                      <a:noFill/>
                    </a:ln>
                  </pic:spPr>
                </pic:pic>
              </a:graphicData>
            </a:graphic>
          </wp:inline>
        </w:drawing>
      </w:r>
    </w:p>
    <w:p w14:paraId="3FD2DE60">
      <w:pPr>
        <w:pStyle w:val="9"/>
        <w:keepNext w:val="0"/>
        <w:keepLines w:val="0"/>
        <w:pageBreakBefore w:val="0"/>
        <w:widowControl/>
        <w:wordWrap/>
        <w:overflowPunct/>
        <w:topLinePunct w:val="0"/>
        <w:autoSpaceDE w:val="0"/>
        <w:autoSpaceDN w:val="0"/>
        <w:bidi w:val="0"/>
        <w:adjustRightInd/>
        <w:snapToGrid/>
        <w:spacing w:line="360" w:lineRule="auto"/>
        <w:ind w:left="0" w:right="0" w:firstLine="460" w:firstLineChars="200"/>
        <w:jc w:val="center"/>
        <w:textAlignment w:val="baseline"/>
        <w:rPr>
          <w:color w:val="auto"/>
          <w:sz w:val="24"/>
          <w:szCs w:val="24"/>
        </w:rPr>
      </w:pPr>
      <w:r>
        <w:rPr>
          <w:color w:val="auto"/>
          <w:spacing w:val="-5"/>
          <w:sz w:val="24"/>
          <w:szCs w:val="24"/>
        </w:rPr>
        <w:t>式中：</w:t>
      </w:r>
      <w:r>
        <w:rPr>
          <w:rFonts w:ascii="Times New Roman" w:hAnsi="Times New Roman" w:eastAsia="Times New Roman" w:cs="Times New Roman"/>
          <w:i/>
          <w:iCs/>
          <w:color w:val="auto"/>
          <w:spacing w:val="-1"/>
          <w:sz w:val="24"/>
          <w:szCs w:val="24"/>
        </w:rPr>
        <w:t>VL</w:t>
      </w:r>
      <w:r>
        <w:rPr>
          <w:rFonts w:ascii="Times New Roman" w:hAnsi="Times New Roman" w:eastAsia="Times New Roman" w:cs="Times New Roman"/>
          <w:color w:val="auto"/>
          <w:spacing w:val="-1"/>
          <w:sz w:val="24"/>
          <w:szCs w:val="24"/>
          <w:vertAlign w:val="subscript"/>
        </w:rPr>
        <w:t>Z0</w:t>
      </w:r>
      <w:r>
        <w:rPr>
          <w:color w:val="auto"/>
          <w:spacing w:val="-1"/>
          <w:sz w:val="24"/>
          <w:szCs w:val="24"/>
        </w:rPr>
        <w:t>，</w:t>
      </w:r>
      <w:r>
        <w:rPr>
          <w:rFonts w:ascii="Times New Roman" w:hAnsi="Times New Roman" w:eastAsia="Times New Roman" w:cs="Times New Roman"/>
          <w:color w:val="auto"/>
          <w:spacing w:val="-1"/>
          <w:sz w:val="24"/>
          <w:szCs w:val="24"/>
        </w:rPr>
        <w:t>i—</w:t>
      </w:r>
      <w:r>
        <w:rPr>
          <w:color w:val="auto"/>
          <w:spacing w:val="-1"/>
          <w:sz w:val="24"/>
          <w:szCs w:val="24"/>
        </w:rPr>
        <w:t>振动源强，列车通过时段的最大</w:t>
      </w:r>
      <w:r>
        <w:rPr>
          <w:color w:val="auto"/>
          <w:spacing w:val="-57"/>
          <w:sz w:val="24"/>
          <w:szCs w:val="24"/>
        </w:rPr>
        <w:t xml:space="preserve"> </w:t>
      </w:r>
      <w:r>
        <w:rPr>
          <w:rFonts w:ascii="Times New Roman" w:hAnsi="Times New Roman" w:eastAsia="Times New Roman" w:cs="Times New Roman"/>
          <w:color w:val="auto"/>
          <w:spacing w:val="-1"/>
          <w:sz w:val="24"/>
          <w:szCs w:val="24"/>
        </w:rPr>
        <w:t>Z</w:t>
      </w:r>
      <w:r>
        <w:rPr>
          <w:color w:val="auto"/>
          <w:spacing w:val="-2"/>
          <w:sz w:val="24"/>
          <w:szCs w:val="24"/>
        </w:rPr>
        <w:t>计权振动级，单位为</w:t>
      </w:r>
      <w:r>
        <w:rPr>
          <w:rFonts w:ascii="Times New Roman" w:hAnsi="Times New Roman" w:eastAsia="Times New Roman" w:cs="Times New Roman"/>
          <w:color w:val="auto"/>
          <w:spacing w:val="-2"/>
          <w:sz w:val="24"/>
          <w:szCs w:val="24"/>
        </w:rPr>
        <w:t>dB</w:t>
      </w:r>
      <w:r>
        <w:rPr>
          <w:color w:val="auto"/>
          <w:spacing w:val="-2"/>
          <w:sz w:val="24"/>
          <w:szCs w:val="24"/>
        </w:rPr>
        <w:t>；</w:t>
      </w:r>
    </w:p>
    <w:p w14:paraId="2697A574">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i—</w:t>
      </w:r>
      <w:r>
        <w:rPr>
          <w:color w:val="auto"/>
          <w:spacing w:val="-2"/>
          <w:sz w:val="24"/>
          <w:szCs w:val="24"/>
        </w:rPr>
        <w:t>第</w:t>
      </w:r>
      <w:r>
        <w:rPr>
          <w:rFonts w:ascii="Times New Roman" w:hAnsi="Times New Roman" w:eastAsia="Times New Roman" w:cs="Times New Roman"/>
          <w:color w:val="auto"/>
          <w:spacing w:val="-2"/>
          <w:sz w:val="24"/>
          <w:szCs w:val="24"/>
        </w:rPr>
        <w:t>i</w:t>
      </w:r>
      <w:r>
        <w:rPr>
          <w:color w:val="auto"/>
          <w:spacing w:val="-2"/>
          <w:sz w:val="24"/>
          <w:szCs w:val="24"/>
        </w:rPr>
        <w:t>类列车的振动修正项，单位为</w:t>
      </w:r>
      <w:r>
        <w:rPr>
          <w:rFonts w:ascii="Times New Roman" w:hAnsi="Times New Roman" w:eastAsia="Times New Roman" w:cs="Times New Roman"/>
          <w:color w:val="auto"/>
          <w:spacing w:val="-2"/>
          <w:sz w:val="24"/>
          <w:szCs w:val="24"/>
        </w:rPr>
        <w:t>dB</w:t>
      </w:r>
      <w:r>
        <w:rPr>
          <w:color w:val="auto"/>
          <w:spacing w:val="-2"/>
          <w:sz w:val="24"/>
          <w:szCs w:val="24"/>
        </w:rPr>
        <w:t>；</w:t>
      </w:r>
    </w:p>
    <w:p w14:paraId="43BF55E7">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rFonts w:ascii="Times New Roman" w:hAnsi="Times New Roman" w:eastAsia="Times New Roman" w:cs="Times New Roman"/>
          <w:i/>
          <w:iCs/>
          <w:color w:val="auto"/>
          <w:spacing w:val="-1"/>
          <w:sz w:val="24"/>
          <w:szCs w:val="24"/>
        </w:rPr>
        <w:t>n</w:t>
      </w:r>
      <w:r>
        <w:rPr>
          <w:rFonts w:ascii="Times New Roman" w:hAnsi="Times New Roman" w:eastAsia="Times New Roman" w:cs="Times New Roman"/>
          <w:color w:val="auto"/>
          <w:spacing w:val="-1"/>
          <w:sz w:val="24"/>
          <w:szCs w:val="24"/>
        </w:rPr>
        <w:t>—</w:t>
      </w:r>
      <w:r>
        <w:rPr>
          <w:color w:val="auto"/>
          <w:spacing w:val="-1"/>
          <w:sz w:val="24"/>
          <w:szCs w:val="24"/>
        </w:rPr>
        <w:t>列车通过的列数。</w:t>
      </w:r>
    </w:p>
    <w:p w14:paraId="4AB21208">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振动修正项</w:t>
      </w:r>
      <w:r>
        <w:rPr>
          <w:rFonts w:ascii="Times New Roman" w:hAnsi="Times New Roman" w:eastAsia="Times New Roman" w:cs="Times New Roman"/>
          <w:i/>
          <w:iCs/>
          <w:color w:val="auto"/>
          <w:spacing w:val="-3"/>
          <w:sz w:val="24"/>
          <w:szCs w:val="24"/>
        </w:rPr>
        <w:t>C</w:t>
      </w:r>
      <w:r>
        <w:rPr>
          <w:color w:val="auto"/>
          <w:spacing w:val="-3"/>
          <w:sz w:val="24"/>
          <w:szCs w:val="24"/>
        </w:rPr>
        <w:t>式计算：</w:t>
      </w:r>
    </w:p>
    <w:p w14:paraId="5AB7154B">
      <w:pPr>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jc w:val="center"/>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rPr>
        <w:t>i</w:t>
      </w:r>
      <w:r>
        <w:rPr>
          <w:rFonts w:ascii="Times New Roman" w:hAnsi="Times New Roman" w:eastAsia="Times New Roman" w:cs="Times New Roman"/>
          <w:color w:val="auto"/>
          <w:spacing w:val="2"/>
          <w:position w:val="2"/>
          <w:sz w:val="24"/>
          <w:szCs w:val="24"/>
        </w:rPr>
        <w:t>=</w:t>
      </w: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vertAlign w:val="subscript"/>
        </w:rPr>
        <w:t>V</w:t>
      </w:r>
      <w:r>
        <w:rPr>
          <w:rFonts w:ascii="Times New Roman" w:hAnsi="Times New Roman" w:eastAsia="Times New Roman" w:cs="Times New Roman"/>
          <w:color w:val="auto"/>
          <w:spacing w:val="2"/>
          <w:position w:val="2"/>
          <w:sz w:val="24"/>
          <w:szCs w:val="24"/>
        </w:rPr>
        <w:t>+</w:t>
      </w: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vertAlign w:val="subscript"/>
        </w:rPr>
        <w:t>W</w:t>
      </w:r>
      <w:r>
        <w:rPr>
          <w:rFonts w:ascii="Times New Roman" w:hAnsi="Times New Roman" w:eastAsia="Times New Roman" w:cs="Times New Roman"/>
          <w:color w:val="auto"/>
          <w:spacing w:val="2"/>
          <w:position w:val="2"/>
          <w:sz w:val="24"/>
          <w:szCs w:val="24"/>
        </w:rPr>
        <w:t>+</w:t>
      </w: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vertAlign w:val="subscript"/>
        </w:rPr>
        <w:t>L</w:t>
      </w:r>
      <w:r>
        <w:rPr>
          <w:rFonts w:ascii="Times New Roman" w:hAnsi="Times New Roman" w:eastAsia="Times New Roman" w:cs="Times New Roman"/>
          <w:color w:val="auto"/>
          <w:spacing w:val="2"/>
          <w:position w:val="2"/>
          <w:sz w:val="24"/>
          <w:szCs w:val="24"/>
        </w:rPr>
        <w:t>+</w:t>
      </w: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vertAlign w:val="subscript"/>
        </w:rPr>
        <w:t>R</w:t>
      </w:r>
      <w:r>
        <w:rPr>
          <w:rFonts w:ascii="Times New Roman" w:hAnsi="Times New Roman" w:eastAsia="Times New Roman" w:cs="Times New Roman"/>
          <w:color w:val="auto"/>
          <w:spacing w:val="2"/>
          <w:position w:val="2"/>
          <w:sz w:val="24"/>
          <w:szCs w:val="24"/>
        </w:rPr>
        <w:t>+</w:t>
      </w: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vertAlign w:val="subscript"/>
        </w:rPr>
        <w:t>G</w:t>
      </w:r>
      <w:r>
        <w:rPr>
          <w:rFonts w:ascii="Times New Roman" w:hAnsi="Times New Roman" w:eastAsia="Times New Roman" w:cs="Times New Roman"/>
          <w:color w:val="auto"/>
          <w:spacing w:val="2"/>
          <w:position w:val="2"/>
          <w:sz w:val="24"/>
          <w:szCs w:val="24"/>
        </w:rPr>
        <w:t>+</w:t>
      </w: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vertAlign w:val="subscript"/>
        </w:rPr>
        <w:t>D</w:t>
      </w:r>
      <w:r>
        <w:rPr>
          <w:rFonts w:ascii="Times New Roman" w:hAnsi="Times New Roman" w:eastAsia="Times New Roman" w:cs="Times New Roman"/>
          <w:color w:val="auto"/>
          <w:spacing w:val="2"/>
          <w:position w:val="2"/>
          <w:sz w:val="24"/>
          <w:szCs w:val="24"/>
        </w:rPr>
        <w:t>+</w:t>
      </w:r>
      <w:r>
        <w:rPr>
          <w:rFonts w:ascii="Times New Roman" w:hAnsi="Times New Roman" w:eastAsia="Times New Roman" w:cs="Times New Roman"/>
          <w:i/>
          <w:iCs/>
          <w:color w:val="auto"/>
          <w:position w:val="2"/>
          <w:sz w:val="24"/>
          <w:szCs w:val="24"/>
        </w:rPr>
        <w:t>C</w:t>
      </w:r>
      <w:r>
        <w:rPr>
          <w:rFonts w:ascii="Times New Roman" w:hAnsi="Times New Roman" w:eastAsia="Times New Roman" w:cs="Times New Roman"/>
          <w:color w:val="auto"/>
          <w:position w:val="1"/>
          <w:sz w:val="24"/>
          <w:szCs w:val="24"/>
          <w:vertAlign w:val="subscript"/>
        </w:rPr>
        <w:t>B</w:t>
      </w:r>
    </w:p>
    <w:p w14:paraId="00E24F3E">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式中：</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position w:val="-1"/>
          <w:sz w:val="24"/>
          <w:szCs w:val="24"/>
        </w:rPr>
        <w:t>V</w:t>
      </w:r>
      <w:r>
        <w:rPr>
          <w:rFonts w:ascii="Times New Roman" w:hAnsi="Times New Roman" w:eastAsia="Times New Roman" w:cs="Times New Roman"/>
          <w:color w:val="auto"/>
          <w:spacing w:val="-2"/>
          <w:sz w:val="24"/>
          <w:szCs w:val="24"/>
        </w:rPr>
        <w:t>—</w:t>
      </w:r>
      <w:r>
        <w:rPr>
          <w:color w:val="auto"/>
          <w:spacing w:val="-2"/>
          <w:sz w:val="24"/>
          <w:szCs w:val="24"/>
        </w:rPr>
        <w:t>速度修正，单位为</w:t>
      </w:r>
      <w:r>
        <w:rPr>
          <w:color w:val="auto"/>
          <w:spacing w:val="-39"/>
          <w:sz w:val="24"/>
          <w:szCs w:val="24"/>
        </w:rPr>
        <w:t xml:space="preserve"> </w:t>
      </w:r>
      <w:r>
        <w:rPr>
          <w:rFonts w:ascii="Times New Roman" w:hAnsi="Times New Roman" w:eastAsia="Times New Roman" w:cs="Times New Roman"/>
          <w:color w:val="auto"/>
          <w:spacing w:val="-2"/>
          <w:sz w:val="24"/>
          <w:szCs w:val="24"/>
        </w:rPr>
        <w:t>dB</w:t>
      </w:r>
      <w:r>
        <w:rPr>
          <w:color w:val="auto"/>
          <w:spacing w:val="-2"/>
          <w:sz w:val="24"/>
          <w:szCs w:val="24"/>
        </w:rPr>
        <w:t>；</w:t>
      </w:r>
    </w:p>
    <w:p w14:paraId="4E1D16FD">
      <w:pPr>
        <w:pStyle w:val="9"/>
        <w:keepNext w:val="0"/>
        <w:keepLines w:val="0"/>
        <w:pageBreakBefore w:val="0"/>
        <w:widowControl/>
        <w:wordWrap/>
        <w:overflowPunct/>
        <w:topLinePunct w:val="0"/>
        <w:autoSpaceDE w:val="0"/>
        <w:autoSpaceDN w:val="0"/>
        <w:bidi w:val="0"/>
        <w:adjustRightInd/>
        <w:snapToGrid/>
        <w:spacing w:line="360" w:lineRule="auto"/>
        <w:ind w:right="0" w:firstLine="1180" w:firstLineChars="500"/>
        <w:textAlignment w:val="baseline"/>
        <w:rPr>
          <w:color w:val="auto"/>
          <w:sz w:val="24"/>
          <w:szCs w:val="24"/>
        </w:rPr>
      </w:pP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position w:val="-1"/>
          <w:sz w:val="24"/>
          <w:szCs w:val="24"/>
        </w:rPr>
        <w:t>W</w:t>
      </w:r>
      <w:r>
        <w:rPr>
          <w:rFonts w:ascii="Times New Roman" w:hAnsi="Times New Roman" w:eastAsia="Times New Roman" w:cs="Times New Roman"/>
          <w:color w:val="auto"/>
          <w:spacing w:val="-2"/>
          <w:sz w:val="24"/>
          <w:szCs w:val="24"/>
        </w:rPr>
        <w:t>—</w:t>
      </w:r>
      <w:r>
        <w:rPr>
          <w:color w:val="auto"/>
          <w:spacing w:val="-2"/>
          <w:sz w:val="24"/>
          <w:szCs w:val="24"/>
        </w:rPr>
        <w:t>轴重修正，单位为</w:t>
      </w:r>
      <w:r>
        <w:rPr>
          <w:color w:val="auto"/>
          <w:spacing w:val="-47"/>
          <w:sz w:val="24"/>
          <w:szCs w:val="24"/>
        </w:rPr>
        <w:t xml:space="preserve"> </w:t>
      </w:r>
      <w:r>
        <w:rPr>
          <w:rFonts w:ascii="Times New Roman" w:hAnsi="Times New Roman" w:eastAsia="Times New Roman" w:cs="Times New Roman"/>
          <w:color w:val="auto"/>
          <w:spacing w:val="-2"/>
          <w:sz w:val="24"/>
          <w:szCs w:val="24"/>
        </w:rPr>
        <w:t>dB</w:t>
      </w:r>
      <w:r>
        <w:rPr>
          <w:color w:val="auto"/>
          <w:spacing w:val="-2"/>
          <w:sz w:val="24"/>
          <w:szCs w:val="24"/>
        </w:rPr>
        <w:t>；</w:t>
      </w:r>
    </w:p>
    <w:p w14:paraId="64A20BC3">
      <w:pPr>
        <w:pStyle w:val="9"/>
        <w:keepNext w:val="0"/>
        <w:keepLines w:val="0"/>
        <w:pageBreakBefore w:val="0"/>
        <w:widowControl/>
        <w:wordWrap/>
        <w:overflowPunct/>
        <w:topLinePunct w:val="0"/>
        <w:autoSpaceDE w:val="0"/>
        <w:autoSpaceDN w:val="0"/>
        <w:bidi w:val="0"/>
        <w:adjustRightInd/>
        <w:snapToGrid/>
        <w:spacing w:line="360" w:lineRule="auto"/>
        <w:ind w:right="0" w:firstLine="1180" w:firstLineChars="500"/>
        <w:textAlignment w:val="baseline"/>
        <w:rPr>
          <w:rFonts w:ascii="Times New Roman" w:hAnsi="Times New Roman" w:eastAsia="Times New Roman" w:cs="Times New Roman"/>
          <w:i w:val="0"/>
          <w:iCs w:val="0"/>
          <w:color w:val="auto"/>
          <w:spacing w:val="-2"/>
          <w:sz w:val="24"/>
          <w:szCs w:val="24"/>
        </w:rPr>
      </w:pPr>
      <w:r>
        <w:rPr>
          <w:rFonts w:ascii="Times New Roman" w:hAnsi="Times New Roman" w:eastAsia="Times New Roman" w:cs="Times New Roman"/>
          <w:i w:val="0"/>
          <w:iCs w:val="0"/>
          <w:color w:val="auto"/>
          <w:spacing w:val="-2"/>
          <w:sz w:val="24"/>
          <w:szCs w:val="24"/>
        </w:rPr>
        <w:t>CL—线路类型修正，单位为dB；</w:t>
      </w:r>
    </w:p>
    <w:p w14:paraId="0464BDFF">
      <w:pPr>
        <w:pStyle w:val="9"/>
        <w:keepNext w:val="0"/>
        <w:keepLines w:val="0"/>
        <w:pageBreakBefore w:val="0"/>
        <w:widowControl/>
        <w:wordWrap/>
        <w:overflowPunct/>
        <w:topLinePunct w:val="0"/>
        <w:autoSpaceDE w:val="0"/>
        <w:autoSpaceDN w:val="0"/>
        <w:bidi w:val="0"/>
        <w:adjustRightInd/>
        <w:snapToGrid/>
        <w:spacing w:line="360" w:lineRule="auto"/>
        <w:ind w:right="0" w:firstLine="1180" w:firstLineChars="500"/>
        <w:textAlignment w:val="baseline"/>
        <w:rPr>
          <w:rFonts w:ascii="Times New Roman" w:hAnsi="Times New Roman" w:eastAsia="Times New Roman" w:cs="Times New Roman"/>
          <w:i w:val="0"/>
          <w:iCs w:val="0"/>
          <w:color w:val="auto"/>
          <w:spacing w:val="-2"/>
          <w:sz w:val="24"/>
          <w:szCs w:val="24"/>
        </w:rPr>
      </w:pPr>
      <w:r>
        <w:rPr>
          <w:rFonts w:ascii="Times New Roman" w:hAnsi="Times New Roman" w:eastAsia="Times New Roman" w:cs="Times New Roman"/>
          <w:i w:val="0"/>
          <w:iCs w:val="0"/>
          <w:color w:val="auto"/>
          <w:spacing w:val="-2"/>
          <w:sz w:val="24"/>
          <w:szCs w:val="24"/>
        </w:rPr>
        <w:t>CR—轨道类型修正，单位为 dB；</w:t>
      </w:r>
    </w:p>
    <w:p w14:paraId="25F3C5CD">
      <w:pPr>
        <w:pStyle w:val="9"/>
        <w:keepNext w:val="0"/>
        <w:keepLines w:val="0"/>
        <w:pageBreakBefore w:val="0"/>
        <w:widowControl/>
        <w:wordWrap/>
        <w:overflowPunct/>
        <w:topLinePunct w:val="0"/>
        <w:autoSpaceDE w:val="0"/>
        <w:autoSpaceDN w:val="0"/>
        <w:bidi w:val="0"/>
        <w:adjustRightInd/>
        <w:snapToGrid/>
        <w:spacing w:line="360" w:lineRule="auto"/>
        <w:ind w:right="0" w:firstLine="1180" w:firstLineChars="500"/>
        <w:textAlignment w:val="baseline"/>
        <w:rPr>
          <w:rFonts w:ascii="Times New Roman" w:hAnsi="Times New Roman" w:eastAsia="Times New Roman" w:cs="Times New Roman"/>
          <w:i w:val="0"/>
          <w:iCs w:val="0"/>
          <w:color w:val="auto"/>
          <w:spacing w:val="-2"/>
          <w:sz w:val="24"/>
          <w:szCs w:val="24"/>
        </w:rPr>
      </w:pPr>
      <w:r>
        <w:rPr>
          <w:rFonts w:ascii="Times New Roman" w:hAnsi="Times New Roman" w:eastAsia="Times New Roman" w:cs="Times New Roman"/>
          <w:i w:val="0"/>
          <w:iCs w:val="0"/>
          <w:color w:val="auto"/>
          <w:spacing w:val="-2"/>
          <w:sz w:val="24"/>
          <w:szCs w:val="24"/>
        </w:rPr>
        <w:t>CG—地质修正，单位为 dB；</w:t>
      </w:r>
    </w:p>
    <w:p w14:paraId="062C4DBE">
      <w:pPr>
        <w:pStyle w:val="9"/>
        <w:keepNext w:val="0"/>
        <w:keepLines w:val="0"/>
        <w:pageBreakBefore w:val="0"/>
        <w:widowControl/>
        <w:wordWrap/>
        <w:overflowPunct/>
        <w:topLinePunct w:val="0"/>
        <w:autoSpaceDE w:val="0"/>
        <w:autoSpaceDN w:val="0"/>
        <w:bidi w:val="0"/>
        <w:adjustRightInd/>
        <w:snapToGrid/>
        <w:spacing w:line="360" w:lineRule="auto"/>
        <w:ind w:right="0" w:firstLine="1180" w:firstLineChars="500"/>
        <w:textAlignment w:val="baseline"/>
        <w:rPr>
          <w:rFonts w:ascii="Times New Roman" w:hAnsi="Times New Roman" w:eastAsia="Times New Roman" w:cs="Times New Roman"/>
          <w:i w:val="0"/>
          <w:iCs w:val="0"/>
          <w:color w:val="auto"/>
          <w:spacing w:val="-2"/>
          <w:sz w:val="24"/>
          <w:szCs w:val="24"/>
        </w:rPr>
      </w:pPr>
      <w:r>
        <w:rPr>
          <w:rFonts w:ascii="Times New Roman" w:hAnsi="Times New Roman" w:eastAsia="Times New Roman" w:cs="Times New Roman"/>
          <w:i w:val="0"/>
          <w:iCs w:val="0"/>
          <w:color w:val="auto"/>
          <w:spacing w:val="-2"/>
          <w:sz w:val="24"/>
          <w:szCs w:val="24"/>
        </w:rPr>
        <w:t>CD—距离修正，单位为 dB；</w:t>
      </w:r>
    </w:p>
    <w:p w14:paraId="1F88A372">
      <w:pPr>
        <w:pStyle w:val="9"/>
        <w:keepNext w:val="0"/>
        <w:keepLines w:val="0"/>
        <w:pageBreakBefore w:val="0"/>
        <w:widowControl/>
        <w:wordWrap/>
        <w:overflowPunct/>
        <w:topLinePunct w:val="0"/>
        <w:autoSpaceDE w:val="0"/>
        <w:autoSpaceDN w:val="0"/>
        <w:bidi w:val="0"/>
        <w:adjustRightInd/>
        <w:snapToGrid/>
        <w:spacing w:line="360" w:lineRule="auto"/>
        <w:ind w:right="0" w:firstLine="1180" w:firstLineChars="500"/>
        <w:textAlignment w:val="baseline"/>
        <w:rPr>
          <w:rFonts w:ascii="Times New Roman" w:hAnsi="Times New Roman" w:eastAsia="Times New Roman" w:cs="Times New Roman"/>
          <w:i w:val="0"/>
          <w:iCs w:val="0"/>
          <w:color w:val="auto"/>
          <w:spacing w:val="-2"/>
          <w:sz w:val="24"/>
          <w:szCs w:val="24"/>
        </w:rPr>
      </w:pPr>
      <w:r>
        <w:rPr>
          <w:rFonts w:ascii="Times New Roman" w:hAnsi="Times New Roman" w:eastAsia="Times New Roman" w:cs="Times New Roman"/>
          <w:i w:val="0"/>
          <w:iCs w:val="0"/>
          <w:color w:val="auto"/>
          <w:spacing w:val="-2"/>
          <w:sz w:val="24"/>
          <w:szCs w:val="24"/>
        </w:rPr>
        <w:t>CB—建筑物类型修正，单位为 dB。</w:t>
      </w:r>
    </w:p>
    <w:p w14:paraId="5CC03877">
      <w:pPr>
        <w:pStyle w:val="9"/>
        <w:keepNext w:val="0"/>
        <w:keepLines w:val="0"/>
        <w:pageBreakBefore w:val="0"/>
        <w:widowControl/>
        <w:wordWrap/>
        <w:overflowPunct/>
        <w:topLinePunct w:val="0"/>
        <w:autoSpaceDE w:val="0"/>
        <w:autoSpaceDN w:val="0"/>
        <w:bidi w:val="0"/>
        <w:adjustRightInd/>
        <w:snapToGrid/>
        <w:spacing w:line="360" w:lineRule="auto"/>
        <w:ind w:left="0" w:right="0" w:firstLine="464" w:firstLineChars="200"/>
        <w:textAlignment w:val="baseline"/>
        <w:rPr>
          <w:color w:val="auto"/>
          <w:sz w:val="24"/>
          <w:szCs w:val="24"/>
        </w:rPr>
      </w:pPr>
      <w:r>
        <w:rPr>
          <w:b/>
          <w:bCs/>
          <w:color w:val="auto"/>
          <w:spacing w:val="-4"/>
          <w:sz w:val="24"/>
          <w:szCs w:val="24"/>
        </w:rPr>
        <w:t>（</w:t>
      </w:r>
      <w:r>
        <w:rPr>
          <w:rFonts w:ascii="Times New Roman" w:hAnsi="Times New Roman" w:eastAsia="Times New Roman" w:cs="Times New Roman"/>
          <w:b/>
          <w:bCs/>
          <w:color w:val="auto"/>
          <w:spacing w:val="-4"/>
          <w:sz w:val="24"/>
          <w:szCs w:val="24"/>
        </w:rPr>
        <w:t>2</w:t>
      </w:r>
      <w:r>
        <w:rPr>
          <w:b/>
          <w:bCs/>
          <w:color w:val="auto"/>
          <w:spacing w:val="-4"/>
          <w:sz w:val="24"/>
          <w:szCs w:val="24"/>
        </w:rPr>
        <w:t>）公式参数的确定</w:t>
      </w:r>
    </w:p>
    <w:p w14:paraId="501B5C43">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3"/>
          <w:sz w:val="24"/>
          <w:szCs w:val="24"/>
        </w:rPr>
        <w:t>1</w:t>
      </w:r>
      <w:r>
        <w:rPr>
          <w:color w:val="auto"/>
          <w:spacing w:val="-3"/>
          <w:sz w:val="24"/>
          <w:szCs w:val="24"/>
        </w:rPr>
        <w:t>）振动源强参数</w:t>
      </w:r>
      <w:r>
        <w:rPr>
          <w:rFonts w:ascii="Times New Roman" w:hAnsi="Times New Roman" w:eastAsia="Times New Roman" w:cs="Times New Roman"/>
          <w:i/>
          <w:iCs/>
          <w:color w:val="auto"/>
          <w:spacing w:val="-3"/>
          <w:sz w:val="24"/>
          <w:szCs w:val="24"/>
        </w:rPr>
        <w:t>VL</w:t>
      </w:r>
      <w:r>
        <w:rPr>
          <w:rFonts w:ascii="Times New Roman" w:hAnsi="Times New Roman" w:eastAsia="Times New Roman" w:cs="Times New Roman"/>
          <w:color w:val="auto"/>
          <w:spacing w:val="-3"/>
          <w:sz w:val="24"/>
          <w:szCs w:val="24"/>
        </w:rPr>
        <w:t>Z0i</w:t>
      </w:r>
    </w:p>
    <w:p w14:paraId="639C40AD">
      <w:pPr>
        <w:pStyle w:val="9"/>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textAlignment w:val="baseline"/>
        <w:rPr>
          <w:rFonts w:hint="eastAsia" w:ascii="Times New Roman" w:hAnsi="Times New Roman" w:cs="Times New Roman"/>
          <w:color w:val="auto"/>
          <w:spacing w:val="0"/>
          <w:sz w:val="24"/>
          <w:szCs w:val="24"/>
          <w:lang w:eastAsia="zh-CN"/>
        </w:rPr>
      </w:pPr>
      <w:r>
        <w:rPr>
          <w:rFonts w:hint="default" w:ascii="Times New Roman" w:hAnsi="Times New Roman" w:cs="Times New Roman"/>
          <w:color w:val="auto"/>
          <w:spacing w:val="0"/>
          <w:sz w:val="24"/>
          <w:szCs w:val="24"/>
        </w:rPr>
        <w:t>本项目为货运列车，列车牵引采用内燃机，机车为</w:t>
      </w:r>
      <w:r>
        <w:rPr>
          <w:rFonts w:hint="default" w:ascii="Times New Roman" w:hAnsi="Times New Roman" w:cs="Times New Roman"/>
          <w:color w:val="auto"/>
          <w:spacing w:val="0"/>
          <w:sz w:val="24"/>
          <w:szCs w:val="24"/>
          <w:lang w:val="en-US" w:eastAsia="zh-CN"/>
        </w:rPr>
        <w:t>DF</w:t>
      </w:r>
      <w:r>
        <w:rPr>
          <w:rFonts w:hint="default" w:ascii="Times New Roman" w:hAnsi="Times New Roman" w:cs="Times New Roman"/>
          <w:color w:val="auto"/>
          <w:spacing w:val="0"/>
          <w:sz w:val="24"/>
          <w:szCs w:val="24"/>
          <w:vertAlign w:val="subscript"/>
          <w:lang w:val="en-US" w:eastAsia="zh-CN"/>
        </w:rPr>
        <w:t>5D</w:t>
      </w:r>
      <w:r>
        <w:rPr>
          <w:rFonts w:hint="default" w:ascii="Times New Roman" w:hAnsi="Times New Roman" w:cs="Times New Roman"/>
          <w:color w:val="auto"/>
          <w:spacing w:val="0"/>
          <w:sz w:val="24"/>
          <w:szCs w:val="24"/>
          <w:lang w:val="en-US" w:eastAsia="zh-CN"/>
        </w:rPr>
        <w:t>、DF</w:t>
      </w:r>
      <w:r>
        <w:rPr>
          <w:rFonts w:hint="eastAsia" w:ascii="Times New Roman" w:hAnsi="Times New Roman" w:cs="Times New Roman"/>
          <w:color w:val="auto"/>
          <w:spacing w:val="0"/>
          <w:sz w:val="24"/>
          <w:szCs w:val="24"/>
          <w:vertAlign w:val="subscript"/>
          <w:lang w:val="en-US" w:eastAsia="zh-CN"/>
        </w:rPr>
        <w:t>1</w:t>
      </w:r>
      <w:r>
        <w:rPr>
          <w:rFonts w:hint="default" w:ascii="Times New Roman" w:hAnsi="Times New Roman" w:cs="Times New Roman"/>
          <w:color w:val="auto"/>
          <w:spacing w:val="0"/>
          <w:sz w:val="24"/>
          <w:szCs w:val="24"/>
          <w:vertAlign w:val="subscript"/>
          <w:lang w:val="en-US" w:eastAsia="zh-CN"/>
        </w:rPr>
        <w:t>0D</w:t>
      </w:r>
      <w:r>
        <w:rPr>
          <w:rFonts w:hint="default" w:ascii="Times New Roman" w:hAnsi="Times New Roman" w:cs="Times New Roman"/>
          <w:color w:val="auto"/>
          <w:spacing w:val="0"/>
          <w:sz w:val="24"/>
          <w:szCs w:val="24"/>
        </w:rPr>
        <w:t>机车</w:t>
      </w:r>
      <w:r>
        <w:rPr>
          <w:rFonts w:hint="eastAsia" w:ascii="Times New Roman" w:hAnsi="Times New Roman" w:cs="Times New Roman"/>
          <w:color w:val="auto"/>
          <w:spacing w:val="0"/>
          <w:sz w:val="24"/>
          <w:szCs w:val="24"/>
          <w:lang w:val="en-US" w:eastAsia="zh-CN"/>
        </w:rPr>
        <w:t>，</w:t>
      </w:r>
      <w:r>
        <w:rPr>
          <w:rFonts w:hint="default" w:ascii="Times New Roman" w:hAnsi="Times New Roman" w:cs="Times New Roman"/>
          <w:color w:val="auto"/>
          <w:spacing w:val="0"/>
          <w:sz w:val="24"/>
          <w:szCs w:val="24"/>
        </w:rPr>
        <w:t>项目采用有缝线路，</w:t>
      </w:r>
      <w:r>
        <w:rPr>
          <w:rFonts w:hint="eastAsia" w:ascii="Times New Roman" w:hAnsi="Times New Roman" w:cs="Times New Roman"/>
          <w:color w:val="auto"/>
          <w:spacing w:val="0"/>
          <w:sz w:val="24"/>
          <w:szCs w:val="24"/>
        </w:rPr>
        <w:t>列车参考速度在预测断面设计速度的75％〜125％范围内</w:t>
      </w:r>
      <w:r>
        <w:rPr>
          <w:rFonts w:hint="eastAsia" w:ascii="Times New Roman" w:hAnsi="Times New Roman" w:cs="Times New Roman"/>
          <w:color w:val="auto"/>
          <w:spacing w:val="0"/>
          <w:sz w:val="24"/>
          <w:szCs w:val="24"/>
          <w:lang w:eastAsia="zh-CN"/>
        </w:rPr>
        <w:t>。</w:t>
      </w:r>
    </w:p>
    <w:p w14:paraId="777E0518">
      <w:pPr>
        <w:pStyle w:val="9"/>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cs="Times New Roman"/>
          <w:color w:val="auto"/>
          <w:spacing w:val="0"/>
          <w:sz w:val="24"/>
          <w:szCs w:val="24"/>
          <w:lang w:val="en-US" w:eastAsia="zh-CN"/>
        </w:rPr>
        <w:t>由于列车在项目区设计速度最高为25km/h，下表中最低速度只到50km/h，故本项目振动预测采用</w:t>
      </w:r>
      <w:r>
        <w:rPr>
          <w:color w:val="auto"/>
          <w:spacing w:val="-3"/>
          <w:sz w:val="24"/>
          <w:szCs w:val="24"/>
        </w:rPr>
        <w:t>振动源强</w:t>
      </w:r>
      <w:r>
        <w:rPr>
          <w:rFonts w:hint="eastAsia" w:ascii="Times New Roman" w:hAnsi="Times New Roman" w:cs="Times New Roman"/>
          <w:color w:val="auto"/>
          <w:spacing w:val="0"/>
          <w:sz w:val="24"/>
          <w:szCs w:val="24"/>
          <w:lang w:val="en-US" w:eastAsia="zh-CN"/>
        </w:rPr>
        <w:t>设计速度</w:t>
      </w:r>
      <w:r>
        <w:rPr>
          <w:rFonts w:hint="eastAsia" w:eastAsia="宋体"/>
          <w:color w:val="auto"/>
          <w:spacing w:val="-3"/>
          <w:sz w:val="24"/>
          <w:szCs w:val="24"/>
          <w:lang w:val="en-US" w:eastAsia="zh-CN"/>
        </w:rPr>
        <w:t>采用</w:t>
      </w:r>
      <w:r>
        <w:rPr>
          <w:rFonts w:hint="eastAsia" w:ascii="Times New Roman" w:hAnsi="Times New Roman" w:cs="Times New Roman"/>
          <w:color w:val="auto"/>
          <w:spacing w:val="0"/>
          <w:sz w:val="24"/>
          <w:szCs w:val="24"/>
          <w:lang w:val="en-US" w:eastAsia="zh-CN"/>
        </w:rPr>
        <w:t>50km/h作为计算，若预测50km/h作为设计速度达标，则项目实际的25km/h也可达标。则参考速度取值</w:t>
      </w:r>
      <w:r>
        <w:rPr>
          <w:rFonts w:hint="eastAsia" w:ascii="Times New Roman" w:hAnsi="Times New Roman" w:cs="Times New Roman"/>
          <w:color w:val="auto"/>
          <w:spacing w:val="0"/>
          <w:sz w:val="24"/>
          <w:szCs w:val="24"/>
        </w:rPr>
        <w:t>12</w:t>
      </w:r>
      <w:r>
        <w:rPr>
          <w:rFonts w:hint="eastAsia" w:ascii="Times New Roman" w:hAnsi="Times New Roman" w:eastAsia="宋体" w:cs="Times New Roman"/>
          <w:color w:val="auto"/>
          <w:spacing w:val="0"/>
          <w:sz w:val="24"/>
          <w:szCs w:val="24"/>
          <w:lang w:val="en-US" w:eastAsia="zh-CN"/>
        </w:rPr>
        <w:t>0</w:t>
      </w:r>
      <w:r>
        <w:rPr>
          <w:rFonts w:hint="eastAsia" w:ascii="Times New Roman" w:hAnsi="Times New Roman" w:cs="Times New Roman"/>
          <w:color w:val="auto"/>
          <w:spacing w:val="0"/>
          <w:sz w:val="24"/>
          <w:szCs w:val="24"/>
        </w:rPr>
        <w:t>％</w:t>
      </w:r>
      <w:r>
        <w:rPr>
          <w:rFonts w:hint="eastAsia" w:ascii="Times New Roman" w:hAnsi="Times New Roman" w:eastAsia="宋体" w:cs="Times New Roman"/>
          <w:color w:val="auto"/>
          <w:spacing w:val="0"/>
          <w:sz w:val="24"/>
          <w:szCs w:val="24"/>
          <w:lang w:eastAsia="zh-CN"/>
        </w:rPr>
        <w:t>，</w:t>
      </w:r>
      <w:r>
        <w:rPr>
          <w:rFonts w:hint="eastAsia" w:ascii="Times New Roman" w:hAnsi="Times New Roman" w:cs="Times New Roman"/>
          <w:color w:val="auto"/>
          <w:spacing w:val="0"/>
          <w:sz w:val="24"/>
          <w:szCs w:val="24"/>
          <w:lang w:val="en-US" w:eastAsia="zh-CN"/>
        </w:rPr>
        <w:t>为60km/h。</w:t>
      </w:r>
      <w:r>
        <w:rPr>
          <w:rFonts w:hint="eastAsia" w:ascii="Times New Roman" w:hAnsi="Times New Roman" w:eastAsia="宋体" w:cs="Times New Roman"/>
          <w:color w:val="auto"/>
          <w:spacing w:val="0"/>
          <w:sz w:val="24"/>
          <w:szCs w:val="24"/>
          <w:highlight w:val="none"/>
          <w:lang w:val="en-US" w:eastAsia="zh-CN"/>
        </w:rPr>
        <w:t>本铁路专用线振动源强取值78.5dB</w:t>
      </w:r>
      <w:r>
        <w:rPr>
          <w:rFonts w:hint="default" w:ascii="Times New Roman" w:hAnsi="Times New Roman" w:eastAsia="宋体" w:cs="Times New Roman"/>
          <w:color w:val="auto"/>
          <w:spacing w:val="0"/>
          <w:sz w:val="24"/>
          <w:szCs w:val="24"/>
          <w:highlight w:val="none"/>
          <w:lang w:val="en-US" w:eastAsia="zh-CN"/>
        </w:rPr>
        <w:t>。</w:t>
      </w:r>
    </w:p>
    <w:p w14:paraId="22DADEED">
      <w:pPr>
        <w:pStyle w:val="9"/>
        <w:keepNext w:val="0"/>
        <w:keepLines w:val="0"/>
        <w:pageBreakBefore w:val="0"/>
        <w:widowControl/>
        <w:wordWrap/>
        <w:overflowPunct/>
        <w:topLinePunct w:val="0"/>
        <w:autoSpaceDE w:val="0"/>
        <w:autoSpaceDN w:val="0"/>
        <w:bidi w:val="0"/>
        <w:adjustRightInd/>
        <w:snapToGrid/>
        <w:spacing w:line="360" w:lineRule="auto"/>
        <w:ind w:left="0" w:right="0" w:firstLine="416" w:firstLineChars="200"/>
        <w:jc w:val="center"/>
        <w:textAlignment w:val="baseline"/>
        <w:rPr>
          <w:rFonts w:hint="default" w:ascii="Times New Roman" w:hAnsi="Times New Roman" w:cs="Times New Roman"/>
          <w:color w:val="auto"/>
        </w:rPr>
      </w:pPr>
      <w:r>
        <w:rPr>
          <w:rFonts w:hint="default" w:ascii="Times New Roman" w:hAnsi="Times New Roman" w:cs="Times New Roman"/>
          <w:b/>
          <w:bCs/>
          <w:color w:val="auto"/>
          <w:spacing w:val="-1"/>
        </w:rPr>
        <w:t>表</w:t>
      </w:r>
      <w:r>
        <w:rPr>
          <w:rFonts w:hint="default" w:ascii="Times New Roman" w:hAnsi="Times New Roman" w:cs="Times New Roman"/>
          <w:color w:val="auto"/>
          <w:spacing w:val="-53"/>
        </w:rPr>
        <w:t xml:space="preserve"> </w:t>
      </w:r>
      <w:r>
        <w:rPr>
          <w:rFonts w:hint="default" w:ascii="Times New Roman" w:hAnsi="Times New Roman" w:eastAsia="Times New Roman" w:cs="Times New Roman"/>
          <w:b/>
          <w:bCs/>
          <w:color w:val="auto"/>
          <w:spacing w:val="-1"/>
        </w:rPr>
        <w:t>4.5-</w:t>
      </w:r>
      <w:r>
        <w:rPr>
          <w:rFonts w:hint="default" w:ascii="Times New Roman" w:hAnsi="Times New Roman" w:eastAsia="Times New Roman" w:cs="Times New Roman"/>
          <w:b/>
          <w:bCs/>
          <w:color w:val="auto"/>
          <w:spacing w:val="-45"/>
        </w:rPr>
        <w:t xml:space="preserve"> </w:t>
      </w:r>
      <w:r>
        <w:rPr>
          <w:rFonts w:hint="eastAsia" w:ascii="Times New Roman" w:hAnsi="Times New Roman" w:eastAsia="宋体" w:cs="Times New Roman"/>
          <w:b/>
          <w:bCs/>
          <w:color w:val="auto"/>
          <w:spacing w:val="-1"/>
          <w:lang w:val="en-US" w:eastAsia="zh-CN"/>
        </w:rPr>
        <w:t>1</w:t>
      </w:r>
      <w:r>
        <w:rPr>
          <w:rFonts w:hint="default" w:ascii="Times New Roman" w:hAnsi="Times New Roman" w:eastAsia="Times New Roman" w:cs="Times New Roman"/>
          <w:b/>
          <w:bCs/>
          <w:color w:val="auto"/>
          <w:spacing w:val="-1"/>
        </w:rPr>
        <w:t xml:space="preserve">      </w:t>
      </w:r>
      <w:r>
        <w:rPr>
          <w:rFonts w:hint="default" w:ascii="Times New Roman" w:hAnsi="Times New Roman" w:cs="Times New Roman"/>
          <w:b/>
          <w:bCs/>
          <w:color w:val="auto"/>
          <w:spacing w:val="-1"/>
        </w:rPr>
        <w:t>普通货物列车通过振动源强表</w:t>
      </w:r>
    </w:p>
    <w:tbl>
      <w:tblPr>
        <w:tblStyle w:val="26"/>
        <w:tblW w:w="8097"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1"/>
        <w:gridCol w:w="1608"/>
        <w:gridCol w:w="1609"/>
        <w:gridCol w:w="1609"/>
        <w:gridCol w:w="1390"/>
      </w:tblGrid>
      <w:tr w14:paraId="7E014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881" w:type="dxa"/>
            <w:vAlign w:val="center"/>
          </w:tcPr>
          <w:p w14:paraId="695743A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color w:val="auto"/>
                <w:spacing w:val="0"/>
                <w:sz w:val="20"/>
                <w:szCs w:val="20"/>
              </w:rPr>
              <w:t>速度，</w:t>
            </w:r>
            <w:r>
              <w:rPr>
                <w:rFonts w:ascii="Times New Roman" w:hAnsi="Times New Roman" w:eastAsia="Times New Roman" w:cs="Times New Roman"/>
                <w:color w:val="auto"/>
                <w:spacing w:val="0"/>
                <w:sz w:val="20"/>
                <w:szCs w:val="20"/>
              </w:rPr>
              <w:t>km/h</w:t>
            </w:r>
          </w:p>
        </w:tc>
        <w:tc>
          <w:tcPr>
            <w:tcW w:w="1608" w:type="dxa"/>
            <w:vAlign w:val="center"/>
          </w:tcPr>
          <w:p w14:paraId="28AB56E0">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50</w:t>
            </w:r>
          </w:p>
        </w:tc>
        <w:tc>
          <w:tcPr>
            <w:tcW w:w="1609" w:type="dxa"/>
            <w:vAlign w:val="center"/>
          </w:tcPr>
          <w:p w14:paraId="16FE1EFB">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60</w:t>
            </w:r>
          </w:p>
        </w:tc>
        <w:tc>
          <w:tcPr>
            <w:tcW w:w="1609" w:type="dxa"/>
            <w:vAlign w:val="center"/>
          </w:tcPr>
          <w:p w14:paraId="012F6130">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70</w:t>
            </w:r>
          </w:p>
        </w:tc>
        <w:tc>
          <w:tcPr>
            <w:tcW w:w="1390" w:type="dxa"/>
            <w:vAlign w:val="center"/>
          </w:tcPr>
          <w:p w14:paraId="26D0D21B">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ascii="Times New Roman" w:hAnsi="Times New Roman" w:eastAsia="Times New Roman" w:cs="Times New Roman"/>
                <w:color w:val="auto"/>
                <w:spacing w:val="0"/>
                <w:sz w:val="20"/>
                <w:szCs w:val="20"/>
              </w:rPr>
            </w:pPr>
            <w:r>
              <w:rPr>
                <w:rFonts w:ascii="Times New Roman" w:hAnsi="Times New Roman" w:eastAsia="Times New Roman" w:cs="Times New Roman"/>
                <w:color w:val="auto"/>
                <w:spacing w:val="0"/>
                <w:sz w:val="20"/>
                <w:szCs w:val="20"/>
              </w:rPr>
              <w:t>80</w:t>
            </w:r>
          </w:p>
        </w:tc>
      </w:tr>
      <w:tr w14:paraId="21FC4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881" w:type="dxa"/>
            <w:vAlign w:val="center"/>
          </w:tcPr>
          <w:p w14:paraId="404C98B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color w:val="auto"/>
                <w:spacing w:val="0"/>
                <w:sz w:val="20"/>
                <w:szCs w:val="20"/>
              </w:rPr>
            </w:pPr>
            <w:r>
              <w:rPr>
                <w:color w:val="auto"/>
                <w:spacing w:val="0"/>
                <w:sz w:val="20"/>
                <w:szCs w:val="20"/>
              </w:rPr>
              <w:t>源强，</w:t>
            </w:r>
            <w:r>
              <w:rPr>
                <w:rFonts w:ascii="Times New Roman" w:hAnsi="Times New Roman" w:eastAsia="Times New Roman" w:cs="Times New Roman"/>
                <w:color w:val="auto"/>
                <w:spacing w:val="0"/>
                <w:sz w:val="20"/>
                <w:szCs w:val="20"/>
              </w:rPr>
              <w:t>dB</w:t>
            </w:r>
          </w:p>
        </w:tc>
        <w:tc>
          <w:tcPr>
            <w:tcW w:w="1608" w:type="dxa"/>
            <w:vAlign w:val="center"/>
          </w:tcPr>
          <w:p w14:paraId="317E5B2B">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78.5</w:t>
            </w:r>
          </w:p>
        </w:tc>
        <w:tc>
          <w:tcPr>
            <w:tcW w:w="1609" w:type="dxa"/>
            <w:vAlign w:val="center"/>
          </w:tcPr>
          <w:p w14:paraId="4F18499F">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79.0</w:t>
            </w:r>
          </w:p>
        </w:tc>
        <w:tc>
          <w:tcPr>
            <w:tcW w:w="1609" w:type="dxa"/>
            <w:vAlign w:val="center"/>
          </w:tcPr>
          <w:p w14:paraId="0C06CC3E">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79.5</w:t>
            </w:r>
          </w:p>
        </w:tc>
        <w:tc>
          <w:tcPr>
            <w:tcW w:w="1390" w:type="dxa"/>
            <w:vAlign w:val="center"/>
          </w:tcPr>
          <w:p w14:paraId="5E48D511">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eastAsia="宋体" w:cs="Times New Roman"/>
                <w:color w:val="auto"/>
                <w:spacing w:val="0"/>
                <w:sz w:val="20"/>
                <w:szCs w:val="20"/>
                <w:lang w:val="en-US" w:eastAsia="zh-CN"/>
              </w:rPr>
            </w:pPr>
            <w:r>
              <w:rPr>
                <w:rFonts w:hint="eastAsia" w:ascii="Times New Roman" w:hAnsi="Times New Roman" w:eastAsia="宋体" w:cs="Times New Roman"/>
                <w:color w:val="auto"/>
                <w:spacing w:val="0"/>
                <w:sz w:val="20"/>
                <w:szCs w:val="20"/>
                <w:lang w:val="en-US" w:eastAsia="zh-CN"/>
              </w:rPr>
              <w:t>80.0</w:t>
            </w:r>
          </w:p>
        </w:tc>
      </w:tr>
    </w:tbl>
    <w:p w14:paraId="3F58B290">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2"/>
          <w:sz w:val="24"/>
          <w:szCs w:val="24"/>
        </w:rPr>
        <w:t>2</w:t>
      </w:r>
      <w:r>
        <w:rPr>
          <w:color w:val="auto"/>
          <w:spacing w:val="-2"/>
          <w:sz w:val="24"/>
          <w:szCs w:val="24"/>
        </w:rPr>
        <w:t>）速度修正</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v</w:t>
      </w:r>
    </w:p>
    <w:p w14:paraId="016B5CD1">
      <w:pPr>
        <w:pStyle w:val="9"/>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sz w:val="32"/>
          <w:szCs w:val="32"/>
        </w:rPr>
      </w:pPr>
      <w:r>
        <w:rPr>
          <w:rFonts w:hint="default" w:ascii="Times New Roman" w:hAnsi="Times New Roman" w:cs="Times New Roman"/>
          <w:color w:val="auto"/>
          <w:spacing w:val="0"/>
          <w:sz w:val="24"/>
          <w:szCs w:val="24"/>
        </w:rPr>
        <w:t>预测时的列车运行计算速度，应尽量接近预测点对应区段正式运营时的列车通过速度，不应按最高设计列车运行速度计算。列车速度的确定应考虑不同列车类型、起动加速、制动减速、区间通过、限速运行等因素的影响。</w:t>
      </w:r>
      <w:r>
        <w:rPr>
          <w:color w:val="auto"/>
          <w:spacing w:val="-3"/>
          <w:sz w:val="24"/>
          <w:szCs w:val="24"/>
        </w:rPr>
        <w:t>预测计算速度</w:t>
      </w:r>
      <w:r>
        <w:rPr>
          <w:color w:val="auto"/>
          <w:spacing w:val="-2"/>
          <w:sz w:val="24"/>
          <w:szCs w:val="24"/>
        </w:rPr>
        <w:t>可按设计最高速度确定，即</w:t>
      </w:r>
      <w:r>
        <w:rPr>
          <w:rFonts w:hint="eastAsia" w:ascii="Times New Roman" w:hAnsi="Times New Roman" w:eastAsia="宋体" w:cs="Times New Roman"/>
          <w:color w:val="auto"/>
          <w:spacing w:val="-2"/>
          <w:sz w:val="24"/>
          <w:szCs w:val="24"/>
          <w:lang w:val="en-US" w:eastAsia="zh-CN"/>
        </w:rPr>
        <w:t>25</w:t>
      </w:r>
      <w:r>
        <w:rPr>
          <w:rFonts w:ascii="Times New Roman" w:hAnsi="Times New Roman" w:eastAsia="Times New Roman" w:cs="Times New Roman"/>
          <w:color w:val="auto"/>
          <w:spacing w:val="-2"/>
          <w:sz w:val="24"/>
          <w:szCs w:val="24"/>
        </w:rPr>
        <w:t>km/h</w:t>
      </w:r>
      <w:r>
        <w:rPr>
          <w:color w:val="auto"/>
          <w:spacing w:val="-2"/>
          <w:sz w:val="24"/>
          <w:szCs w:val="24"/>
        </w:rPr>
        <w:t>。</w:t>
      </w:r>
    </w:p>
    <w:p w14:paraId="7498CA3F">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根据国内外铁路振动实际测量结果，速度修正</w:t>
      </w:r>
      <w:r>
        <w:rPr>
          <w:rFonts w:ascii="Times New Roman" w:hAnsi="Times New Roman" w:eastAsia="Times New Roman" w:cs="Times New Roman"/>
          <w:i/>
          <w:iCs/>
          <w:color w:val="auto"/>
          <w:spacing w:val="-1"/>
          <w:sz w:val="24"/>
          <w:szCs w:val="24"/>
        </w:rPr>
        <w:t>C</w:t>
      </w:r>
      <w:r>
        <w:rPr>
          <w:rFonts w:ascii="Times New Roman" w:hAnsi="Times New Roman" w:eastAsia="Times New Roman" w:cs="Times New Roman"/>
          <w:color w:val="auto"/>
          <w:spacing w:val="-1"/>
          <w:sz w:val="24"/>
          <w:szCs w:val="24"/>
        </w:rPr>
        <w:t>V</w:t>
      </w:r>
      <w:r>
        <w:rPr>
          <w:color w:val="auto"/>
          <w:spacing w:val="-1"/>
          <w:sz w:val="24"/>
          <w:szCs w:val="24"/>
        </w:rPr>
        <w:t>关</w:t>
      </w:r>
      <w:r>
        <w:rPr>
          <w:color w:val="auto"/>
          <w:spacing w:val="-2"/>
          <w:sz w:val="24"/>
          <w:szCs w:val="24"/>
        </w:rPr>
        <w:t>系式见下式：</w:t>
      </w:r>
    </w:p>
    <w:p w14:paraId="5C0588FF">
      <w:pPr>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jc w:val="center"/>
        <w:textAlignment w:val="baseline"/>
        <w:rPr>
          <w:color w:val="auto"/>
          <w:sz w:val="24"/>
          <w:szCs w:val="24"/>
        </w:rPr>
      </w:pPr>
      <w:r>
        <w:rPr>
          <w:color w:val="auto"/>
          <w:position w:val="-11"/>
          <w:sz w:val="24"/>
          <w:szCs w:val="24"/>
        </w:rPr>
        <w:drawing>
          <wp:inline distT="0" distB="0" distL="0" distR="0">
            <wp:extent cx="913765" cy="351790"/>
            <wp:effectExtent l="0" t="0" r="635" b="1016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87"/>
                    <a:stretch>
                      <a:fillRect/>
                    </a:stretch>
                  </pic:blipFill>
                  <pic:spPr>
                    <a:xfrm>
                      <a:off x="0" y="0"/>
                      <a:ext cx="913943" cy="352342"/>
                    </a:xfrm>
                    <a:prstGeom prst="rect">
                      <a:avLst/>
                    </a:prstGeom>
                  </pic:spPr>
                </pic:pic>
              </a:graphicData>
            </a:graphic>
          </wp:inline>
        </w:drawing>
      </w:r>
    </w:p>
    <w:p w14:paraId="0C9FE0DC">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其中：</w:t>
      </w:r>
      <w:r>
        <w:rPr>
          <w:rFonts w:ascii="Times New Roman" w:hAnsi="Times New Roman" w:eastAsia="Times New Roman" w:cs="Times New Roman"/>
          <w:i/>
          <w:iCs/>
          <w:color w:val="auto"/>
          <w:spacing w:val="-1"/>
          <w:sz w:val="24"/>
          <w:szCs w:val="24"/>
        </w:rPr>
        <w:t>C</w:t>
      </w:r>
      <w:r>
        <w:rPr>
          <w:rFonts w:ascii="Times New Roman" w:hAnsi="Times New Roman" w:eastAsia="Times New Roman" w:cs="Times New Roman"/>
          <w:color w:val="auto"/>
          <w:spacing w:val="-1"/>
          <w:sz w:val="24"/>
          <w:szCs w:val="24"/>
        </w:rPr>
        <w:t>V——</w:t>
      </w:r>
      <w:r>
        <w:rPr>
          <w:color w:val="auto"/>
          <w:spacing w:val="-1"/>
          <w:sz w:val="24"/>
          <w:szCs w:val="24"/>
        </w:rPr>
        <w:t>速度引起的振动修正量，</w:t>
      </w:r>
      <w:r>
        <w:rPr>
          <w:rFonts w:ascii="Times New Roman" w:hAnsi="Times New Roman" w:eastAsia="Times New Roman" w:cs="Times New Roman"/>
          <w:color w:val="auto"/>
          <w:spacing w:val="-1"/>
          <w:sz w:val="24"/>
          <w:szCs w:val="24"/>
        </w:rPr>
        <w:t>dB</w:t>
      </w:r>
      <w:r>
        <w:rPr>
          <w:color w:val="auto"/>
          <w:spacing w:val="-1"/>
          <w:sz w:val="24"/>
          <w:szCs w:val="24"/>
        </w:rPr>
        <w:t>；</w:t>
      </w:r>
    </w:p>
    <w:p w14:paraId="2982E6D6">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rFonts w:ascii="Times New Roman" w:hAnsi="Times New Roman" w:eastAsia="Times New Roman" w:cs="Times New Roman"/>
          <w:i/>
          <w:iCs/>
          <w:color w:val="auto"/>
          <w:spacing w:val="-3"/>
          <w:sz w:val="24"/>
          <w:szCs w:val="24"/>
        </w:rPr>
        <w:t>n</w:t>
      </w:r>
      <w:r>
        <w:rPr>
          <w:rFonts w:ascii="Times New Roman" w:hAnsi="Times New Roman" w:eastAsia="Times New Roman" w:cs="Times New Roman"/>
          <w:color w:val="auto"/>
          <w:spacing w:val="-3"/>
          <w:sz w:val="24"/>
          <w:szCs w:val="24"/>
        </w:rPr>
        <w:t>——</w:t>
      </w:r>
      <w:r>
        <w:rPr>
          <w:color w:val="auto"/>
          <w:spacing w:val="-3"/>
          <w:sz w:val="24"/>
          <w:szCs w:val="24"/>
        </w:rPr>
        <w:t>速度修正参数，</w:t>
      </w:r>
      <w:r>
        <w:rPr>
          <w:rFonts w:ascii="Times New Roman" w:hAnsi="Times New Roman" w:eastAsia="Times New Roman" w:cs="Times New Roman"/>
          <w:color w:val="auto"/>
          <w:spacing w:val="-3"/>
          <w:sz w:val="24"/>
          <w:szCs w:val="24"/>
        </w:rPr>
        <w:t>n</w:t>
      </w:r>
      <w:r>
        <w:rPr>
          <w:color w:val="auto"/>
          <w:spacing w:val="-3"/>
          <w:sz w:val="24"/>
          <w:szCs w:val="24"/>
        </w:rPr>
        <w:t>＝</w:t>
      </w:r>
      <w:r>
        <w:rPr>
          <w:rFonts w:ascii="Times New Roman" w:hAnsi="Times New Roman" w:eastAsia="Times New Roman" w:cs="Times New Roman"/>
          <w:color w:val="auto"/>
          <w:spacing w:val="-3"/>
          <w:sz w:val="24"/>
          <w:szCs w:val="24"/>
        </w:rPr>
        <w:t>2</w:t>
      </w:r>
      <w:r>
        <w:rPr>
          <w:color w:val="auto"/>
          <w:spacing w:val="-3"/>
          <w:sz w:val="24"/>
          <w:szCs w:val="24"/>
        </w:rPr>
        <w:t>；</w:t>
      </w:r>
    </w:p>
    <w:p w14:paraId="5FF488A1">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rFonts w:ascii="Times New Roman" w:hAnsi="Times New Roman" w:eastAsia="Times New Roman" w:cs="Times New Roman"/>
          <w:i/>
          <w:iCs/>
          <w:color w:val="auto"/>
          <w:spacing w:val="-2"/>
          <w:sz w:val="24"/>
          <w:szCs w:val="24"/>
        </w:rPr>
        <w:t>V</w:t>
      </w:r>
      <w:r>
        <w:rPr>
          <w:rFonts w:ascii="Times New Roman" w:hAnsi="Times New Roman" w:eastAsia="Times New Roman" w:cs="Times New Roman"/>
          <w:color w:val="auto"/>
          <w:spacing w:val="-2"/>
          <w:sz w:val="24"/>
          <w:szCs w:val="24"/>
        </w:rPr>
        <w:t>——</w:t>
      </w:r>
      <w:r>
        <w:rPr>
          <w:color w:val="auto"/>
          <w:spacing w:val="-2"/>
          <w:sz w:val="24"/>
          <w:szCs w:val="24"/>
        </w:rPr>
        <w:t>列车运行速度，</w:t>
      </w:r>
      <w:r>
        <w:rPr>
          <w:rFonts w:hint="eastAsia" w:ascii="Times New Roman" w:hAnsi="Times New Roman" w:eastAsia="宋体" w:cs="Times New Roman"/>
          <w:color w:val="auto"/>
          <w:spacing w:val="-2"/>
          <w:sz w:val="24"/>
          <w:szCs w:val="24"/>
          <w:lang w:val="en-US" w:eastAsia="zh-CN"/>
        </w:rPr>
        <w:t>50</w:t>
      </w:r>
      <w:r>
        <w:rPr>
          <w:rFonts w:ascii="Times New Roman" w:hAnsi="Times New Roman" w:eastAsia="Times New Roman" w:cs="Times New Roman"/>
          <w:color w:val="auto"/>
          <w:spacing w:val="-2"/>
          <w:sz w:val="24"/>
          <w:szCs w:val="24"/>
        </w:rPr>
        <w:t>km/h</w:t>
      </w:r>
      <w:r>
        <w:rPr>
          <w:color w:val="auto"/>
          <w:spacing w:val="-2"/>
          <w:sz w:val="24"/>
          <w:szCs w:val="24"/>
        </w:rPr>
        <w:t>；</w:t>
      </w:r>
    </w:p>
    <w:p w14:paraId="7C26D27C">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rFonts w:ascii="Times New Roman" w:hAnsi="Times New Roman" w:eastAsia="Times New Roman" w:cs="Times New Roman"/>
          <w:i/>
          <w:iCs/>
          <w:color w:val="auto"/>
          <w:spacing w:val="-2"/>
          <w:sz w:val="24"/>
          <w:szCs w:val="24"/>
        </w:rPr>
        <w:t>V</w:t>
      </w:r>
      <w:r>
        <w:rPr>
          <w:rFonts w:ascii="Times New Roman" w:hAnsi="Times New Roman" w:eastAsia="Times New Roman" w:cs="Times New Roman"/>
          <w:color w:val="auto"/>
          <w:spacing w:val="-2"/>
          <w:sz w:val="24"/>
          <w:szCs w:val="24"/>
        </w:rPr>
        <w:t>0——</w:t>
      </w:r>
      <w:r>
        <w:rPr>
          <w:color w:val="auto"/>
          <w:spacing w:val="-2"/>
          <w:sz w:val="24"/>
          <w:szCs w:val="24"/>
        </w:rPr>
        <w:t>参考速度，</w:t>
      </w:r>
      <w:r>
        <w:rPr>
          <w:rFonts w:hint="eastAsia" w:ascii="Times New Roman" w:hAnsi="Times New Roman" w:eastAsia="宋体" w:cs="Times New Roman"/>
          <w:color w:val="auto"/>
          <w:spacing w:val="-2"/>
          <w:sz w:val="24"/>
          <w:szCs w:val="24"/>
          <w:lang w:val="en-US" w:eastAsia="zh-CN"/>
        </w:rPr>
        <w:t>60</w:t>
      </w:r>
      <w:r>
        <w:rPr>
          <w:rFonts w:ascii="Times New Roman" w:hAnsi="Times New Roman" w:eastAsia="Times New Roman" w:cs="Times New Roman"/>
          <w:color w:val="auto"/>
          <w:spacing w:val="-2"/>
          <w:sz w:val="24"/>
          <w:szCs w:val="24"/>
        </w:rPr>
        <w:t>km/h</w:t>
      </w:r>
      <w:r>
        <w:rPr>
          <w:color w:val="auto"/>
          <w:spacing w:val="-2"/>
          <w:sz w:val="24"/>
          <w:szCs w:val="24"/>
        </w:rPr>
        <w:t>。</w:t>
      </w:r>
    </w:p>
    <w:p w14:paraId="488B2673">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计算得本项目速度修正</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V</w:t>
      </w:r>
      <w:r>
        <w:rPr>
          <w:color w:val="auto"/>
          <w:spacing w:val="-2"/>
          <w:sz w:val="24"/>
          <w:szCs w:val="24"/>
        </w:rPr>
        <w:t>为</w:t>
      </w:r>
      <w:r>
        <w:rPr>
          <w:rFonts w:ascii="Times New Roman" w:hAnsi="Times New Roman" w:eastAsia="Times New Roman" w:cs="Times New Roman"/>
          <w:color w:val="auto"/>
          <w:spacing w:val="-2"/>
          <w:sz w:val="24"/>
          <w:szCs w:val="24"/>
        </w:rPr>
        <w:t>-</w:t>
      </w:r>
      <w:r>
        <w:rPr>
          <w:rFonts w:hint="eastAsia" w:ascii="Times New Roman" w:hAnsi="Times New Roman" w:eastAsia="宋体" w:cs="Times New Roman"/>
          <w:color w:val="auto"/>
          <w:spacing w:val="-2"/>
          <w:sz w:val="24"/>
          <w:szCs w:val="24"/>
          <w:lang w:val="en-US" w:eastAsia="zh-CN"/>
        </w:rPr>
        <w:t>3.17</w:t>
      </w:r>
      <w:r>
        <w:rPr>
          <w:rFonts w:ascii="Times New Roman" w:hAnsi="Times New Roman" w:eastAsia="Times New Roman" w:cs="Times New Roman"/>
          <w:color w:val="auto"/>
          <w:spacing w:val="-2"/>
          <w:sz w:val="24"/>
          <w:szCs w:val="24"/>
        </w:rPr>
        <w:t>dB</w:t>
      </w:r>
      <w:r>
        <w:rPr>
          <w:color w:val="auto"/>
          <w:spacing w:val="-2"/>
          <w:sz w:val="24"/>
          <w:szCs w:val="24"/>
        </w:rPr>
        <w:t>。</w:t>
      </w:r>
    </w:p>
    <w:p w14:paraId="4686D602">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3"/>
          <w:sz w:val="24"/>
          <w:szCs w:val="24"/>
        </w:rPr>
        <w:t>3</w:t>
      </w:r>
      <w:r>
        <w:rPr>
          <w:color w:val="auto"/>
          <w:spacing w:val="-3"/>
          <w:sz w:val="24"/>
          <w:szCs w:val="24"/>
        </w:rPr>
        <w:t>）轴重修正</w:t>
      </w:r>
      <w:r>
        <w:rPr>
          <w:rFonts w:ascii="Times New Roman" w:hAnsi="Times New Roman" w:eastAsia="Times New Roman" w:cs="Times New Roman"/>
          <w:i/>
          <w:iCs/>
          <w:color w:val="auto"/>
          <w:spacing w:val="-3"/>
          <w:sz w:val="24"/>
          <w:szCs w:val="24"/>
        </w:rPr>
        <w:t>C</w:t>
      </w:r>
      <w:r>
        <w:rPr>
          <w:rFonts w:ascii="Times New Roman" w:hAnsi="Times New Roman" w:eastAsia="Times New Roman" w:cs="Times New Roman"/>
          <w:color w:val="auto"/>
          <w:spacing w:val="-3"/>
          <w:sz w:val="24"/>
          <w:szCs w:val="24"/>
        </w:rPr>
        <w:t>W</w:t>
      </w:r>
    </w:p>
    <w:p w14:paraId="305CB374">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当列车轴重与源强确定时给定的轴重不同时，其修</w:t>
      </w:r>
      <w:r>
        <w:rPr>
          <w:color w:val="auto"/>
          <w:spacing w:val="-2"/>
          <w:sz w:val="24"/>
          <w:szCs w:val="24"/>
        </w:rPr>
        <w:t>正</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w</w:t>
      </w:r>
      <w:r>
        <w:rPr>
          <w:color w:val="auto"/>
          <w:spacing w:val="-2"/>
          <w:sz w:val="24"/>
          <w:szCs w:val="24"/>
        </w:rPr>
        <w:t>可按下式计算：</w:t>
      </w:r>
    </w:p>
    <w:p w14:paraId="0361E68D">
      <w:pPr>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jc w:val="center"/>
        <w:textAlignment w:val="baseline"/>
        <w:rPr>
          <w:color w:val="auto"/>
          <w:sz w:val="24"/>
          <w:szCs w:val="24"/>
        </w:rPr>
      </w:pPr>
      <w:r>
        <w:rPr>
          <w:color w:val="auto"/>
          <w:position w:val="-10"/>
          <w:sz w:val="24"/>
          <w:szCs w:val="24"/>
        </w:rPr>
        <w:drawing>
          <wp:inline distT="0" distB="0" distL="0" distR="0">
            <wp:extent cx="818515" cy="307975"/>
            <wp:effectExtent l="0" t="0" r="635" b="15875"/>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88"/>
                    <a:stretch>
                      <a:fillRect/>
                    </a:stretch>
                  </pic:blipFill>
                  <pic:spPr>
                    <a:xfrm>
                      <a:off x="0" y="0"/>
                      <a:ext cx="818601" cy="308441"/>
                    </a:xfrm>
                    <a:prstGeom prst="rect">
                      <a:avLst/>
                    </a:prstGeom>
                  </pic:spPr>
                </pic:pic>
              </a:graphicData>
            </a:graphic>
          </wp:inline>
        </w:drawing>
      </w:r>
    </w:p>
    <w:p w14:paraId="4F49F8A5">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式中：</w:t>
      </w:r>
      <w:r>
        <w:rPr>
          <w:rFonts w:ascii="Times New Roman" w:hAnsi="Times New Roman" w:eastAsia="Times New Roman" w:cs="Times New Roman"/>
          <w:i/>
          <w:iCs/>
          <w:color w:val="auto"/>
          <w:spacing w:val="-1"/>
          <w:sz w:val="24"/>
          <w:szCs w:val="24"/>
        </w:rPr>
        <w:t>W</w:t>
      </w:r>
      <w:r>
        <w:rPr>
          <w:rFonts w:ascii="Times New Roman" w:hAnsi="Times New Roman" w:eastAsia="Times New Roman" w:cs="Times New Roman"/>
          <w:color w:val="auto"/>
          <w:spacing w:val="-1"/>
          <w:sz w:val="24"/>
          <w:szCs w:val="24"/>
        </w:rPr>
        <w:t>—</w:t>
      </w:r>
      <w:r>
        <w:rPr>
          <w:color w:val="auto"/>
          <w:spacing w:val="-1"/>
          <w:sz w:val="24"/>
          <w:szCs w:val="24"/>
        </w:rPr>
        <w:t>预测车辆的轴重，</w:t>
      </w:r>
      <w:r>
        <w:rPr>
          <w:rFonts w:ascii="Times New Roman" w:hAnsi="Times New Roman" w:eastAsia="Times New Roman" w:cs="Times New Roman"/>
          <w:color w:val="auto"/>
          <w:spacing w:val="-1"/>
          <w:sz w:val="24"/>
          <w:szCs w:val="24"/>
        </w:rPr>
        <w:t>t</w:t>
      </w:r>
      <w:r>
        <w:rPr>
          <w:color w:val="auto"/>
          <w:spacing w:val="-1"/>
          <w:sz w:val="24"/>
          <w:szCs w:val="24"/>
        </w:rPr>
        <w:t>；</w:t>
      </w:r>
    </w:p>
    <w:p w14:paraId="0B531C55">
      <w:pPr>
        <w:pStyle w:val="9"/>
        <w:keepNext w:val="0"/>
        <w:keepLines w:val="0"/>
        <w:pageBreakBefore w:val="0"/>
        <w:widowControl/>
        <w:wordWrap/>
        <w:overflowPunct/>
        <w:topLinePunct w:val="0"/>
        <w:autoSpaceDE w:val="0"/>
        <w:autoSpaceDN w:val="0"/>
        <w:bidi w:val="0"/>
        <w:adjustRightInd/>
        <w:snapToGrid/>
        <w:spacing w:line="360" w:lineRule="auto"/>
        <w:ind w:left="0" w:right="0" w:firstLine="1170" w:firstLineChars="500"/>
        <w:textAlignment w:val="baseline"/>
        <w:rPr>
          <w:color w:val="auto"/>
          <w:sz w:val="24"/>
          <w:szCs w:val="24"/>
        </w:rPr>
      </w:pPr>
      <w:r>
        <w:rPr>
          <w:rFonts w:ascii="Times New Roman" w:hAnsi="Times New Roman" w:eastAsia="Times New Roman" w:cs="Times New Roman"/>
          <w:i/>
          <w:iCs/>
          <w:color w:val="auto"/>
          <w:spacing w:val="-3"/>
          <w:sz w:val="24"/>
          <w:szCs w:val="24"/>
        </w:rPr>
        <w:t>W</w:t>
      </w:r>
      <w:r>
        <w:rPr>
          <w:rFonts w:ascii="Times New Roman" w:hAnsi="Times New Roman" w:eastAsia="Times New Roman" w:cs="Times New Roman"/>
          <w:color w:val="auto"/>
          <w:spacing w:val="-3"/>
          <w:sz w:val="24"/>
          <w:szCs w:val="24"/>
        </w:rPr>
        <w:t>0—</w:t>
      </w:r>
      <w:r>
        <w:rPr>
          <w:color w:val="auto"/>
          <w:spacing w:val="-3"/>
          <w:sz w:val="24"/>
          <w:szCs w:val="24"/>
        </w:rPr>
        <w:t>参考轴重，</w:t>
      </w:r>
      <w:r>
        <w:rPr>
          <w:rFonts w:ascii="Times New Roman" w:hAnsi="Times New Roman" w:eastAsia="Times New Roman" w:cs="Times New Roman"/>
          <w:color w:val="auto"/>
          <w:spacing w:val="-3"/>
          <w:sz w:val="24"/>
          <w:szCs w:val="24"/>
        </w:rPr>
        <w:t>t</w:t>
      </w:r>
      <w:r>
        <w:rPr>
          <w:color w:val="auto"/>
          <w:spacing w:val="-3"/>
          <w:sz w:val="24"/>
          <w:szCs w:val="24"/>
        </w:rPr>
        <w:t>。</w:t>
      </w:r>
    </w:p>
    <w:p w14:paraId="3160A1C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left"/>
        <w:textAlignment w:val="baseline"/>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项目机车为</w:t>
      </w:r>
      <w:r>
        <w:rPr>
          <w:rFonts w:hint="default" w:ascii="Times New Roman" w:hAnsi="Times New Roman" w:eastAsia="宋体" w:cs="Times New Roman"/>
          <w:color w:val="auto"/>
          <w:spacing w:val="0"/>
          <w:sz w:val="24"/>
          <w:szCs w:val="24"/>
          <w:highlight w:val="none"/>
          <w:lang w:val="en-US" w:eastAsia="zh-CN"/>
        </w:rPr>
        <w:t>DF</w:t>
      </w:r>
      <w:r>
        <w:rPr>
          <w:rFonts w:hint="default" w:ascii="Times New Roman" w:hAnsi="Times New Roman" w:eastAsia="宋体" w:cs="Times New Roman"/>
          <w:color w:val="auto"/>
          <w:spacing w:val="0"/>
          <w:sz w:val="24"/>
          <w:szCs w:val="24"/>
          <w:highlight w:val="none"/>
          <w:vertAlign w:val="subscript"/>
          <w:lang w:val="en-US" w:eastAsia="zh-CN"/>
        </w:rPr>
        <w:t>5D</w:t>
      </w:r>
      <w:r>
        <w:rPr>
          <w:rFonts w:hint="default" w:ascii="Times New Roman" w:hAnsi="Times New Roman" w:eastAsia="宋体" w:cs="Times New Roman"/>
          <w:color w:val="auto"/>
          <w:spacing w:val="0"/>
          <w:sz w:val="24"/>
          <w:szCs w:val="24"/>
          <w:highlight w:val="none"/>
          <w:lang w:val="en-US" w:eastAsia="zh-CN"/>
        </w:rPr>
        <w:t>、DF</w:t>
      </w:r>
      <w:r>
        <w:rPr>
          <w:rFonts w:hint="default" w:ascii="Times New Roman" w:hAnsi="Times New Roman" w:eastAsia="宋体" w:cs="Times New Roman"/>
          <w:color w:val="auto"/>
          <w:spacing w:val="0"/>
          <w:sz w:val="24"/>
          <w:szCs w:val="24"/>
          <w:highlight w:val="none"/>
          <w:vertAlign w:val="subscript"/>
          <w:lang w:val="en-US" w:eastAsia="zh-CN"/>
        </w:rPr>
        <w:t>10D</w:t>
      </w:r>
      <w:r>
        <w:rPr>
          <w:rFonts w:hint="default" w:ascii="Times New Roman" w:hAnsi="Times New Roman" w:cs="Times New Roman"/>
          <w:color w:val="auto"/>
          <w:spacing w:val="0"/>
          <w:sz w:val="24"/>
          <w:szCs w:val="24"/>
          <w:highlight w:val="none"/>
        </w:rPr>
        <w:t>机车，轴重</w:t>
      </w:r>
      <w:r>
        <w:rPr>
          <w:rFonts w:hint="eastAsia" w:ascii="Times New Roman" w:hAnsi="Times New Roman" w:eastAsia="宋体" w:cs="Times New Roman"/>
          <w:color w:val="auto"/>
          <w:spacing w:val="0"/>
          <w:sz w:val="24"/>
          <w:szCs w:val="24"/>
          <w:highlight w:val="none"/>
          <w:lang w:val="en-US" w:eastAsia="zh-CN"/>
        </w:rPr>
        <w:t>21</w:t>
      </w:r>
      <w:r>
        <w:rPr>
          <w:rFonts w:hint="default" w:ascii="Times New Roman" w:hAnsi="Times New Roman" w:cs="Times New Roman"/>
          <w:color w:val="auto"/>
          <w:spacing w:val="0"/>
          <w:sz w:val="24"/>
          <w:szCs w:val="24"/>
          <w:highlight w:val="none"/>
        </w:rPr>
        <w:t>t，参考轴重21t，因此</w:t>
      </w:r>
      <w:r>
        <w:rPr>
          <w:rFonts w:hint="eastAsia" w:ascii="Times New Roman" w:hAnsi="Times New Roman" w:eastAsia="宋体" w:cs="Times New Roman"/>
          <w:color w:val="auto"/>
          <w:spacing w:val="0"/>
          <w:sz w:val="24"/>
          <w:szCs w:val="24"/>
          <w:highlight w:val="none"/>
          <w:lang w:val="en-US" w:eastAsia="zh-CN"/>
        </w:rPr>
        <w:t>无需进行</w:t>
      </w:r>
      <w:r>
        <w:rPr>
          <w:rFonts w:hint="default" w:ascii="Times New Roman" w:hAnsi="Times New Roman" w:cs="Times New Roman"/>
          <w:color w:val="auto"/>
          <w:spacing w:val="0"/>
          <w:sz w:val="24"/>
          <w:szCs w:val="24"/>
          <w:highlight w:val="none"/>
        </w:rPr>
        <w:t>轴重修正。</w:t>
      </w:r>
    </w:p>
    <w:p w14:paraId="580D6AD2">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2"/>
          <w:sz w:val="24"/>
          <w:szCs w:val="24"/>
        </w:rPr>
        <w:t>4</w:t>
      </w:r>
      <w:r>
        <w:rPr>
          <w:color w:val="auto"/>
          <w:spacing w:val="-2"/>
          <w:sz w:val="24"/>
          <w:szCs w:val="24"/>
        </w:rPr>
        <w:t>）线路类型修正</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L</w:t>
      </w:r>
    </w:p>
    <w:p w14:paraId="0E13B729">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距线路中心线</w:t>
      </w:r>
      <w:r>
        <w:rPr>
          <w:rFonts w:ascii="Times New Roman" w:hAnsi="Times New Roman" w:eastAsia="Times New Roman" w:cs="Times New Roman"/>
          <w:color w:val="auto"/>
          <w:spacing w:val="-1"/>
          <w:sz w:val="24"/>
          <w:szCs w:val="24"/>
        </w:rPr>
        <w:t>30</w:t>
      </w:r>
      <w:r>
        <w:rPr>
          <w:color w:val="auto"/>
          <w:spacing w:val="-1"/>
          <w:sz w:val="24"/>
          <w:szCs w:val="24"/>
        </w:rPr>
        <w:t>～</w:t>
      </w:r>
      <w:r>
        <w:rPr>
          <w:rFonts w:ascii="Times New Roman" w:hAnsi="Times New Roman" w:eastAsia="Times New Roman" w:cs="Times New Roman"/>
          <w:color w:val="auto"/>
          <w:spacing w:val="-1"/>
          <w:sz w:val="24"/>
          <w:szCs w:val="24"/>
        </w:rPr>
        <w:t>60m</w:t>
      </w:r>
      <w:r>
        <w:rPr>
          <w:color w:val="auto"/>
          <w:spacing w:val="-1"/>
          <w:sz w:val="24"/>
          <w:szCs w:val="24"/>
        </w:rPr>
        <w:t>范围内，对于冲积层地质，普速铁路路堑振动相对于路堤线路</w:t>
      </w:r>
      <w:r>
        <w:rPr>
          <w:rFonts w:ascii="Times New Roman" w:hAnsi="Times New Roman" w:eastAsia="Times New Roman" w:cs="Times New Roman"/>
          <w:i/>
          <w:iCs/>
          <w:color w:val="auto"/>
          <w:spacing w:val="-1"/>
          <w:sz w:val="24"/>
          <w:szCs w:val="24"/>
        </w:rPr>
        <w:t>C</w:t>
      </w:r>
      <w:r>
        <w:rPr>
          <w:rFonts w:ascii="Times New Roman" w:hAnsi="Times New Roman" w:eastAsia="Times New Roman" w:cs="Times New Roman"/>
          <w:color w:val="auto"/>
          <w:spacing w:val="-1"/>
          <w:sz w:val="24"/>
          <w:szCs w:val="24"/>
        </w:rPr>
        <w:t>L=2.5dB</w:t>
      </w:r>
      <w:r>
        <w:rPr>
          <w:color w:val="auto"/>
          <w:spacing w:val="-2"/>
          <w:sz w:val="24"/>
          <w:szCs w:val="24"/>
        </w:rPr>
        <w:t>。</w:t>
      </w:r>
    </w:p>
    <w:p w14:paraId="6AF93F9D">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2"/>
          <w:sz w:val="24"/>
          <w:szCs w:val="24"/>
        </w:rPr>
        <w:t>5</w:t>
      </w:r>
      <w:r>
        <w:rPr>
          <w:color w:val="auto"/>
          <w:spacing w:val="-2"/>
          <w:sz w:val="24"/>
          <w:szCs w:val="24"/>
        </w:rPr>
        <w:t>）轨道类型修正</w:t>
      </w:r>
      <w:r>
        <w:rPr>
          <w:color w:val="auto"/>
          <w:spacing w:val="-44"/>
          <w:sz w:val="24"/>
          <w:szCs w:val="24"/>
        </w:rPr>
        <w:t xml:space="preserve"> </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R</w:t>
      </w:r>
    </w:p>
    <w:p w14:paraId="3A31E469">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position w:val="1"/>
          <w:sz w:val="24"/>
          <w:szCs w:val="24"/>
        </w:rPr>
        <w:t>高速铁路无砟轨道相对于有砟轨道，</w:t>
      </w:r>
      <w:r>
        <w:rPr>
          <w:rFonts w:ascii="Times New Roman" w:hAnsi="Times New Roman" w:eastAsia="Times New Roman" w:cs="Times New Roman"/>
          <w:i/>
          <w:iCs/>
          <w:color w:val="auto"/>
          <w:spacing w:val="-1"/>
          <w:position w:val="1"/>
          <w:sz w:val="24"/>
          <w:szCs w:val="24"/>
        </w:rPr>
        <w:t>C</w:t>
      </w:r>
      <w:r>
        <w:rPr>
          <w:rFonts w:ascii="Times New Roman" w:hAnsi="Times New Roman" w:eastAsia="Times New Roman" w:cs="Times New Roman"/>
          <w:color w:val="auto"/>
          <w:spacing w:val="-1"/>
          <w:position w:val="1"/>
          <w:sz w:val="24"/>
          <w:szCs w:val="24"/>
        </w:rPr>
        <w:t>R=-3dB</w:t>
      </w:r>
      <w:r>
        <w:rPr>
          <w:color w:val="auto"/>
          <w:spacing w:val="-1"/>
          <w:position w:val="1"/>
          <w:sz w:val="24"/>
          <w:szCs w:val="24"/>
        </w:rPr>
        <w:t>；</w:t>
      </w:r>
    </w:p>
    <w:p w14:paraId="5B7F3EC8">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position w:val="1"/>
          <w:sz w:val="24"/>
          <w:szCs w:val="24"/>
        </w:rPr>
        <w:t>本工程均为无砟轨道，</w:t>
      </w:r>
      <w:r>
        <w:rPr>
          <w:rFonts w:ascii="Times New Roman" w:hAnsi="Times New Roman" w:eastAsia="Times New Roman" w:cs="Times New Roman"/>
          <w:i/>
          <w:iCs/>
          <w:color w:val="auto"/>
          <w:spacing w:val="-1"/>
          <w:position w:val="1"/>
          <w:sz w:val="24"/>
          <w:szCs w:val="24"/>
        </w:rPr>
        <w:t>C</w:t>
      </w:r>
      <w:r>
        <w:rPr>
          <w:rFonts w:ascii="Times New Roman" w:hAnsi="Times New Roman" w:eastAsia="Times New Roman" w:cs="Times New Roman"/>
          <w:color w:val="auto"/>
          <w:spacing w:val="-1"/>
          <w:position w:val="1"/>
          <w:sz w:val="24"/>
          <w:szCs w:val="24"/>
        </w:rPr>
        <w:t>R=-3dB</w:t>
      </w:r>
      <w:r>
        <w:rPr>
          <w:color w:val="auto"/>
          <w:spacing w:val="-1"/>
          <w:position w:val="1"/>
          <w:sz w:val="24"/>
          <w:szCs w:val="24"/>
        </w:rPr>
        <w:t>。</w:t>
      </w:r>
    </w:p>
    <w:p w14:paraId="073B8ECB">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2"/>
          <w:sz w:val="24"/>
          <w:szCs w:val="24"/>
        </w:rPr>
        <w:t>6</w:t>
      </w:r>
      <w:r>
        <w:rPr>
          <w:color w:val="auto"/>
          <w:spacing w:val="-2"/>
          <w:sz w:val="24"/>
          <w:szCs w:val="24"/>
        </w:rPr>
        <w:t>）地质修正</w:t>
      </w:r>
      <w:r>
        <w:rPr>
          <w:color w:val="auto"/>
          <w:spacing w:val="-51"/>
          <w:sz w:val="24"/>
          <w:szCs w:val="24"/>
        </w:rPr>
        <w:t xml:space="preserve"> </w:t>
      </w:r>
      <w:r>
        <w:rPr>
          <w:rFonts w:ascii="Times New Roman" w:hAnsi="Times New Roman" w:eastAsia="Times New Roman" w:cs="Times New Roman"/>
          <w:color w:val="auto"/>
          <w:spacing w:val="-2"/>
          <w:sz w:val="24"/>
          <w:szCs w:val="24"/>
        </w:rPr>
        <w:t>CG</w:t>
      </w:r>
    </w:p>
    <w:p w14:paraId="63DF2E26">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根据对振动的影响，地质条件可分为</w:t>
      </w:r>
      <w:r>
        <w:rPr>
          <w:rFonts w:ascii="Times New Roman" w:hAnsi="Times New Roman" w:eastAsia="Times New Roman" w:cs="Times New Roman"/>
          <w:color w:val="auto"/>
          <w:spacing w:val="-2"/>
          <w:sz w:val="24"/>
          <w:szCs w:val="24"/>
        </w:rPr>
        <w:t>3</w:t>
      </w:r>
      <w:r>
        <w:rPr>
          <w:color w:val="auto"/>
          <w:spacing w:val="-2"/>
          <w:sz w:val="24"/>
          <w:szCs w:val="24"/>
        </w:rPr>
        <w:t>类，即软土地质、冲击层、洪积层。</w:t>
      </w:r>
      <w:r>
        <w:rPr>
          <w:color w:val="auto"/>
          <w:spacing w:val="-1"/>
          <w:sz w:val="24"/>
          <w:szCs w:val="24"/>
        </w:rPr>
        <w:t>相对于冲积层地质，洪积层地质修正：</w:t>
      </w:r>
      <w:r>
        <w:rPr>
          <w:rFonts w:ascii="Times New Roman" w:hAnsi="Times New Roman" w:eastAsia="Times New Roman" w:cs="Times New Roman"/>
          <w:i/>
          <w:iCs/>
          <w:color w:val="auto"/>
          <w:spacing w:val="-1"/>
          <w:sz w:val="24"/>
          <w:szCs w:val="24"/>
        </w:rPr>
        <w:t>C</w:t>
      </w:r>
      <w:r>
        <w:rPr>
          <w:rFonts w:ascii="Times New Roman" w:hAnsi="Times New Roman" w:eastAsia="Times New Roman" w:cs="Times New Roman"/>
          <w:color w:val="auto"/>
          <w:spacing w:val="-1"/>
          <w:sz w:val="24"/>
          <w:szCs w:val="24"/>
        </w:rPr>
        <w:t>G=-4dB</w:t>
      </w:r>
      <w:r>
        <w:rPr>
          <w:color w:val="auto"/>
          <w:spacing w:val="-1"/>
          <w:sz w:val="24"/>
          <w:szCs w:val="24"/>
        </w:rPr>
        <w:t>；</w:t>
      </w:r>
    </w:p>
    <w:p w14:paraId="1FE7A6CD">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position w:val="1"/>
          <w:sz w:val="24"/>
          <w:szCs w:val="24"/>
        </w:rPr>
        <w:t>相对于冲积层地质，软土地质修正：</w:t>
      </w:r>
      <w:r>
        <w:rPr>
          <w:rFonts w:ascii="Times New Roman" w:hAnsi="Times New Roman" w:eastAsia="Times New Roman" w:cs="Times New Roman"/>
          <w:i/>
          <w:iCs/>
          <w:color w:val="auto"/>
          <w:spacing w:val="-1"/>
          <w:position w:val="1"/>
          <w:sz w:val="24"/>
          <w:szCs w:val="24"/>
        </w:rPr>
        <w:t>C</w:t>
      </w:r>
      <w:r>
        <w:rPr>
          <w:rFonts w:ascii="Times New Roman" w:hAnsi="Times New Roman" w:eastAsia="Times New Roman" w:cs="Times New Roman"/>
          <w:color w:val="auto"/>
          <w:spacing w:val="-1"/>
          <w:position w:val="1"/>
          <w:sz w:val="24"/>
          <w:szCs w:val="24"/>
        </w:rPr>
        <w:t>G=+4dB</w:t>
      </w:r>
      <w:r>
        <w:rPr>
          <w:color w:val="auto"/>
          <w:spacing w:val="-1"/>
          <w:position w:val="1"/>
          <w:sz w:val="24"/>
          <w:szCs w:val="24"/>
        </w:rPr>
        <w:t>。</w:t>
      </w:r>
    </w:p>
    <w:p w14:paraId="7E30DC25">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position w:val="1"/>
          <w:sz w:val="24"/>
          <w:szCs w:val="24"/>
        </w:rPr>
        <w:t>本工程地质以冲洪积层为主，故修正</w:t>
      </w:r>
      <w:r>
        <w:rPr>
          <w:rFonts w:ascii="Times New Roman" w:hAnsi="Times New Roman" w:eastAsia="Times New Roman" w:cs="Times New Roman"/>
          <w:i/>
          <w:iCs/>
          <w:color w:val="auto"/>
          <w:spacing w:val="-1"/>
          <w:position w:val="1"/>
          <w:sz w:val="24"/>
          <w:szCs w:val="24"/>
        </w:rPr>
        <w:t>C</w:t>
      </w:r>
      <w:r>
        <w:rPr>
          <w:rFonts w:ascii="Times New Roman" w:hAnsi="Times New Roman" w:eastAsia="Times New Roman" w:cs="Times New Roman"/>
          <w:color w:val="auto"/>
          <w:spacing w:val="-1"/>
          <w:position w:val="1"/>
          <w:sz w:val="24"/>
          <w:szCs w:val="24"/>
        </w:rPr>
        <w:t>G=-4dB</w:t>
      </w:r>
      <w:r>
        <w:rPr>
          <w:color w:val="auto"/>
          <w:spacing w:val="-1"/>
          <w:position w:val="1"/>
          <w:sz w:val="24"/>
          <w:szCs w:val="24"/>
        </w:rPr>
        <w:t>。</w:t>
      </w:r>
    </w:p>
    <w:p w14:paraId="1A6A00A3">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2"/>
          <w:sz w:val="24"/>
          <w:szCs w:val="24"/>
        </w:rPr>
        <w:t>7</w:t>
      </w:r>
      <w:r>
        <w:rPr>
          <w:color w:val="auto"/>
          <w:spacing w:val="-2"/>
          <w:sz w:val="24"/>
          <w:szCs w:val="24"/>
        </w:rPr>
        <w:t>）距离衰减修正</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vertAlign w:val="subscript"/>
        </w:rPr>
        <w:t>D</w:t>
      </w:r>
    </w:p>
    <w:p w14:paraId="0EE2DA23">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3"/>
          <w:sz w:val="24"/>
          <w:szCs w:val="24"/>
        </w:rPr>
        <w:t>距离衰减修正</w:t>
      </w:r>
      <w:r>
        <w:rPr>
          <w:rFonts w:hint="default" w:ascii="Times New Roman" w:hAnsi="Times New Roman" w:eastAsia="Times New Roman" w:cs="Times New Roman"/>
          <w:i/>
          <w:iCs/>
          <w:color w:val="auto"/>
          <w:spacing w:val="-3"/>
          <w:sz w:val="24"/>
          <w:szCs w:val="24"/>
        </w:rPr>
        <w:t>C</w:t>
      </w:r>
      <w:r>
        <w:rPr>
          <w:rFonts w:hint="default" w:ascii="Times New Roman" w:hAnsi="Times New Roman" w:eastAsia="Times New Roman" w:cs="Times New Roman"/>
          <w:color w:val="auto"/>
          <w:spacing w:val="-3"/>
          <w:sz w:val="24"/>
          <w:szCs w:val="24"/>
          <w:vertAlign w:val="subscript"/>
        </w:rPr>
        <w:t>D</w:t>
      </w:r>
      <w:r>
        <w:rPr>
          <w:rFonts w:hint="default" w:ascii="Times New Roman" w:hAnsi="Times New Roman" w:cs="Times New Roman"/>
          <w:color w:val="auto"/>
          <w:spacing w:val="-3"/>
          <w:sz w:val="24"/>
          <w:szCs w:val="24"/>
        </w:rPr>
        <w:t>按下式计算：</w:t>
      </w:r>
    </w:p>
    <w:p w14:paraId="1DA3B55B">
      <w:pPr>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position w:val="-11"/>
          <w:sz w:val="24"/>
          <w:szCs w:val="24"/>
        </w:rPr>
        <w:drawing>
          <wp:inline distT="0" distB="0" distL="0" distR="0">
            <wp:extent cx="1111885" cy="354965"/>
            <wp:effectExtent l="0" t="0" r="12065" b="6985"/>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89"/>
                    <a:stretch>
                      <a:fillRect/>
                    </a:stretch>
                  </pic:blipFill>
                  <pic:spPr>
                    <a:xfrm>
                      <a:off x="0" y="0"/>
                      <a:ext cx="1112062" cy="355543"/>
                    </a:xfrm>
                    <a:prstGeom prst="rect">
                      <a:avLst/>
                    </a:prstGeom>
                  </pic:spPr>
                </pic:pic>
              </a:graphicData>
            </a:graphic>
          </wp:inline>
        </w:drawing>
      </w:r>
    </w:p>
    <w:p w14:paraId="31177140">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1"/>
          <w:position w:val="1"/>
          <w:sz w:val="24"/>
          <w:szCs w:val="24"/>
        </w:rPr>
        <w:t>式中：</w:t>
      </w:r>
      <w:r>
        <w:rPr>
          <w:rFonts w:hint="default" w:ascii="Times New Roman" w:hAnsi="Times New Roman" w:eastAsia="Times New Roman" w:cs="Times New Roman"/>
          <w:i/>
          <w:iCs/>
          <w:color w:val="auto"/>
          <w:spacing w:val="-1"/>
          <w:position w:val="1"/>
          <w:sz w:val="24"/>
          <w:szCs w:val="24"/>
        </w:rPr>
        <w:t>d</w:t>
      </w:r>
      <w:r>
        <w:rPr>
          <w:rFonts w:hint="default" w:ascii="Times New Roman" w:hAnsi="Times New Roman" w:eastAsia="Times New Roman" w:cs="Times New Roman"/>
          <w:color w:val="auto"/>
          <w:spacing w:val="-1"/>
          <w:position w:val="1"/>
          <w:sz w:val="24"/>
          <w:szCs w:val="24"/>
        </w:rPr>
        <w:t>0—</w:t>
      </w:r>
      <w:r>
        <w:rPr>
          <w:rFonts w:hint="default" w:ascii="Times New Roman" w:hAnsi="Times New Roman" w:cs="Times New Roman"/>
          <w:color w:val="auto"/>
          <w:spacing w:val="-1"/>
          <w:position w:val="1"/>
          <w:sz w:val="24"/>
          <w:szCs w:val="24"/>
        </w:rPr>
        <w:t>参考距离</w:t>
      </w:r>
      <w:r>
        <w:rPr>
          <w:rFonts w:hint="default" w:ascii="Times New Roman" w:hAnsi="Times New Roman" w:eastAsia="宋体" w:cs="Times New Roman"/>
          <w:color w:val="auto"/>
          <w:spacing w:val="-1"/>
          <w:position w:val="1"/>
          <w:sz w:val="24"/>
          <w:szCs w:val="24"/>
          <w:lang w:eastAsia="zh-CN"/>
        </w:rPr>
        <w:t>，</w:t>
      </w:r>
      <w:r>
        <w:rPr>
          <w:rFonts w:hint="default" w:ascii="Times New Roman" w:hAnsi="Times New Roman" w:eastAsia="宋体" w:cs="Times New Roman"/>
          <w:color w:val="auto"/>
          <w:spacing w:val="-1"/>
          <w:position w:val="1"/>
          <w:sz w:val="24"/>
          <w:szCs w:val="24"/>
          <w:lang w:val="en-US" w:eastAsia="zh-CN"/>
        </w:rPr>
        <w:t>30m</w:t>
      </w:r>
      <w:r>
        <w:rPr>
          <w:rFonts w:hint="default" w:ascii="Times New Roman" w:hAnsi="Times New Roman" w:cs="Times New Roman"/>
          <w:color w:val="auto"/>
          <w:spacing w:val="-1"/>
          <w:position w:val="1"/>
          <w:sz w:val="24"/>
          <w:szCs w:val="24"/>
        </w:rPr>
        <w:t>；</w:t>
      </w:r>
    </w:p>
    <w:p w14:paraId="6A8C577E">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cs="Times New Roman"/>
          <w:color w:val="auto"/>
          <w:sz w:val="24"/>
          <w:szCs w:val="24"/>
        </w:rPr>
      </w:pPr>
      <w:r>
        <w:rPr>
          <w:rFonts w:hint="default" w:ascii="Times New Roman" w:hAnsi="Times New Roman" w:eastAsia="Times New Roman" w:cs="Times New Roman"/>
          <w:i/>
          <w:iCs/>
          <w:color w:val="auto"/>
          <w:spacing w:val="-1"/>
          <w:position w:val="1"/>
          <w:sz w:val="24"/>
          <w:szCs w:val="24"/>
        </w:rPr>
        <w:t>d</w:t>
      </w:r>
      <w:r>
        <w:rPr>
          <w:rFonts w:hint="default" w:ascii="Times New Roman" w:hAnsi="Times New Roman" w:eastAsia="Times New Roman" w:cs="Times New Roman"/>
          <w:color w:val="auto"/>
          <w:spacing w:val="-1"/>
          <w:position w:val="1"/>
          <w:sz w:val="24"/>
          <w:szCs w:val="24"/>
        </w:rPr>
        <w:t>—</w:t>
      </w:r>
      <w:r>
        <w:rPr>
          <w:rFonts w:hint="default" w:ascii="Times New Roman" w:hAnsi="Times New Roman" w:cs="Times New Roman"/>
          <w:color w:val="auto"/>
          <w:spacing w:val="-1"/>
          <w:position w:val="1"/>
          <w:sz w:val="24"/>
          <w:szCs w:val="24"/>
        </w:rPr>
        <w:t>预测点到线路中心线的距离；</w:t>
      </w:r>
    </w:p>
    <w:p w14:paraId="1D16AF0A">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color w:val="auto"/>
          <w:sz w:val="24"/>
          <w:szCs w:val="24"/>
        </w:rPr>
      </w:pPr>
      <w:r>
        <w:rPr>
          <w:rFonts w:hint="default" w:ascii="Times New Roman" w:hAnsi="Times New Roman" w:eastAsia="Times New Roman" w:cs="Times New Roman"/>
          <w:i/>
          <w:iCs/>
          <w:color w:val="auto"/>
          <w:spacing w:val="-3"/>
          <w:sz w:val="24"/>
          <w:szCs w:val="24"/>
        </w:rPr>
        <w:t>k</w:t>
      </w:r>
      <w:r>
        <w:rPr>
          <w:rFonts w:hint="default" w:ascii="Times New Roman" w:hAnsi="Times New Roman" w:eastAsia="Times New Roman" w:cs="Times New Roman"/>
          <w:color w:val="auto"/>
          <w:spacing w:val="-3"/>
          <w:sz w:val="24"/>
          <w:szCs w:val="24"/>
        </w:rPr>
        <w:t>R—</w:t>
      </w:r>
      <w:r>
        <w:rPr>
          <w:rFonts w:hint="default" w:ascii="Times New Roman" w:hAnsi="Times New Roman" w:cs="Times New Roman"/>
          <w:color w:val="auto"/>
          <w:spacing w:val="-3"/>
          <w:sz w:val="24"/>
          <w:szCs w:val="24"/>
        </w:rPr>
        <w:t>距离修正系数，与线路结构有关，对于路基线路，当</w:t>
      </w:r>
      <w:r>
        <w:rPr>
          <w:rFonts w:hint="default" w:ascii="Times New Roman" w:hAnsi="Times New Roman" w:cs="Times New Roman"/>
          <w:color w:val="auto"/>
          <w:spacing w:val="-52"/>
          <w:sz w:val="24"/>
          <w:szCs w:val="24"/>
        </w:rPr>
        <w:t xml:space="preserve"> </w:t>
      </w:r>
      <w:r>
        <w:rPr>
          <w:rFonts w:hint="default" w:ascii="Times New Roman" w:hAnsi="Times New Roman" w:eastAsia="Times New Roman" w:cs="Times New Roman"/>
          <w:color w:val="auto"/>
          <w:spacing w:val="-3"/>
          <w:sz w:val="24"/>
          <w:szCs w:val="24"/>
        </w:rPr>
        <w:t>d≤30m</w:t>
      </w:r>
      <w:r>
        <w:rPr>
          <w:rFonts w:hint="default" w:ascii="Times New Roman" w:hAnsi="Times New Roman" w:eastAsia="Times New Roman" w:cs="Times New Roman"/>
          <w:color w:val="auto"/>
          <w:spacing w:val="21"/>
          <w:w w:val="101"/>
          <w:sz w:val="24"/>
          <w:szCs w:val="24"/>
        </w:rPr>
        <w:t xml:space="preserve"> </w:t>
      </w:r>
      <w:r>
        <w:rPr>
          <w:rFonts w:hint="default" w:ascii="Times New Roman" w:hAnsi="Times New Roman" w:cs="Times New Roman"/>
          <w:color w:val="auto"/>
          <w:spacing w:val="-3"/>
          <w:sz w:val="24"/>
          <w:szCs w:val="24"/>
        </w:rPr>
        <w:t>时，</w:t>
      </w:r>
      <w:r>
        <w:rPr>
          <w:rFonts w:hint="default" w:ascii="Times New Roman" w:hAnsi="Times New Roman" w:cs="Times New Roman"/>
          <w:color w:val="auto"/>
          <w:sz w:val="24"/>
          <w:szCs w:val="24"/>
        </w:rPr>
        <w:t xml:space="preserve"> </w:t>
      </w:r>
      <w:r>
        <w:rPr>
          <w:rFonts w:hint="default" w:ascii="Times New Roman" w:hAnsi="Times New Roman" w:eastAsia="Times New Roman" w:cs="Times New Roman"/>
          <w:i/>
          <w:iCs/>
          <w:color w:val="auto"/>
          <w:spacing w:val="-3"/>
          <w:sz w:val="24"/>
          <w:szCs w:val="24"/>
        </w:rPr>
        <w:t>k</w:t>
      </w:r>
      <w:r>
        <w:rPr>
          <w:rFonts w:hint="default" w:ascii="Times New Roman" w:hAnsi="Times New Roman" w:eastAsia="Times New Roman" w:cs="Times New Roman"/>
          <w:color w:val="auto"/>
          <w:spacing w:val="-3"/>
          <w:sz w:val="24"/>
          <w:szCs w:val="24"/>
        </w:rPr>
        <w:t>R=</w:t>
      </w:r>
      <w:r>
        <w:rPr>
          <w:rFonts w:hint="default" w:ascii="Times New Roman" w:hAnsi="Times New Roman" w:eastAsia="Times New Roman" w:cs="Times New Roman"/>
          <w:color w:val="auto"/>
          <w:spacing w:val="-32"/>
          <w:sz w:val="24"/>
          <w:szCs w:val="24"/>
        </w:rPr>
        <w:t xml:space="preserve"> </w:t>
      </w:r>
      <w:r>
        <w:rPr>
          <w:rFonts w:hint="default" w:ascii="Times New Roman" w:hAnsi="Times New Roman" w:eastAsia="Times New Roman" w:cs="Times New Roman"/>
          <w:color w:val="auto"/>
          <w:spacing w:val="-3"/>
          <w:sz w:val="24"/>
          <w:szCs w:val="24"/>
        </w:rPr>
        <w:t>1</w:t>
      </w:r>
      <w:r>
        <w:rPr>
          <w:rFonts w:hint="default" w:ascii="Times New Roman" w:hAnsi="Times New Roman" w:eastAsia="Times New Roman" w:cs="Times New Roman"/>
          <w:color w:val="auto"/>
          <w:spacing w:val="-30"/>
          <w:sz w:val="24"/>
          <w:szCs w:val="24"/>
        </w:rPr>
        <w:t xml:space="preserve"> </w:t>
      </w:r>
      <w:r>
        <w:rPr>
          <w:rFonts w:hint="default" w:ascii="Times New Roman" w:hAnsi="Times New Roman" w:cs="Times New Roman"/>
          <w:color w:val="auto"/>
          <w:spacing w:val="-3"/>
          <w:sz w:val="24"/>
          <w:szCs w:val="24"/>
        </w:rPr>
        <w:t>；当</w:t>
      </w:r>
      <w:r>
        <w:rPr>
          <w:rFonts w:hint="default" w:ascii="Times New Roman" w:hAnsi="Times New Roman" w:cs="Times New Roman"/>
          <w:color w:val="auto"/>
          <w:spacing w:val="-51"/>
          <w:sz w:val="24"/>
          <w:szCs w:val="24"/>
        </w:rPr>
        <w:t xml:space="preserve"> </w:t>
      </w:r>
      <w:r>
        <w:rPr>
          <w:rFonts w:hint="default" w:ascii="Times New Roman" w:hAnsi="Times New Roman" w:eastAsia="Times New Roman" w:cs="Times New Roman"/>
          <w:color w:val="auto"/>
          <w:spacing w:val="-3"/>
          <w:sz w:val="24"/>
          <w:szCs w:val="24"/>
        </w:rPr>
        <w:t>30m</w:t>
      </w:r>
      <w:r>
        <w:rPr>
          <w:rFonts w:hint="default" w:ascii="Times New Roman" w:hAnsi="Times New Roman" w:cs="Times New Roman"/>
          <w:color w:val="auto"/>
          <w:spacing w:val="-3"/>
          <w:sz w:val="24"/>
          <w:szCs w:val="24"/>
        </w:rPr>
        <w:t>＜</w:t>
      </w:r>
      <w:r>
        <w:rPr>
          <w:rFonts w:hint="default" w:ascii="Times New Roman" w:hAnsi="Times New Roman" w:eastAsia="Times New Roman" w:cs="Times New Roman"/>
          <w:color w:val="auto"/>
          <w:spacing w:val="-3"/>
          <w:sz w:val="24"/>
          <w:szCs w:val="24"/>
        </w:rPr>
        <w:t>d≤60m</w:t>
      </w:r>
      <w:r>
        <w:rPr>
          <w:rFonts w:hint="default" w:ascii="Times New Roman" w:hAnsi="Times New Roman" w:eastAsia="Times New Roman" w:cs="Times New Roman"/>
          <w:color w:val="auto"/>
          <w:spacing w:val="22"/>
          <w:sz w:val="24"/>
          <w:szCs w:val="24"/>
        </w:rPr>
        <w:t xml:space="preserve"> </w:t>
      </w:r>
      <w:r>
        <w:rPr>
          <w:rFonts w:hint="default" w:ascii="Times New Roman" w:hAnsi="Times New Roman" w:cs="Times New Roman"/>
          <w:color w:val="auto"/>
          <w:spacing w:val="-3"/>
          <w:sz w:val="24"/>
          <w:szCs w:val="24"/>
        </w:rPr>
        <w:t>时，</w:t>
      </w:r>
      <w:r>
        <w:rPr>
          <w:rFonts w:hint="default" w:ascii="Times New Roman" w:hAnsi="Times New Roman" w:eastAsia="Times New Roman" w:cs="Times New Roman"/>
          <w:i/>
          <w:iCs/>
          <w:color w:val="auto"/>
          <w:spacing w:val="-3"/>
          <w:sz w:val="24"/>
          <w:szCs w:val="24"/>
        </w:rPr>
        <w:t>k</w:t>
      </w:r>
      <w:r>
        <w:rPr>
          <w:rFonts w:hint="default" w:ascii="Times New Roman" w:hAnsi="Times New Roman" w:eastAsia="Times New Roman" w:cs="Times New Roman"/>
          <w:color w:val="auto"/>
          <w:spacing w:val="-3"/>
          <w:sz w:val="24"/>
          <w:szCs w:val="24"/>
        </w:rPr>
        <w:t>R=2</w:t>
      </w:r>
      <w:r>
        <w:rPr>
          <w:rFonts w:hint="default" w:ascii="Times New Roman" w:hAnsi="Times New Roman" w:eastAsia="Times New Roman" w:cs="Times New Roman"/>
          <w:color w:val="auto"/>
          <w:spacing w:val="-28"/>
          <w:sz w:val="24"/>
          <w:szCs w:val="24"/>
        </w:rPr>
        <w:t xml:space="preserve"> </w:t>
      </w:r>
      <w:r>
        <w:rPr>
          <w:rFonts w:hint="default" w:ascii="Times New Roman" w:hAnsi="Times New Roman" w:cs="Times New Roman"/>
          <w:color w:val="auto"/>
          <w:spacing w:val="-3"/>
          <w:sz w:val="24"/>
          <w:szCs w:val="24"/>
        </w:rPr>
        <w:t>；对于桥梁线路，当</w:t>
      </w:r>
      <w:r>
        <w:rPr>
          <w:rFonts w:hint="default" w:ascii="Times New Roman" w:hAnsi="Times New Roman" w:cs="Times New Roman"/>
          <w:color w:val="auto"/>
          <w:spacing w:val="-52"/>
          <w:sz w:val="24"/>
          <w:szCs w:val="24"/>
        </w:rPr>
        <w:t xml:space="preserve"> </w:t>
      </w:r>
      <w:r>
        <w:rPr>
          <w:rFonts w:hint="default" w:ascii="Times New Roman" w:hAnsi="Times New Roman" w:eastAsia="Times New Roman" w:cs="Times New Roman"/>
          <w:color w:val="auto"/>
          <w:spacing w:val="-4"/>
          <w:sz w:val="24"/>
          <w:szCs w:val="24"/>
        </w:rPr>
        <w:t>d≤60m</w:t>
      </w:r>
      <w:r>
        <w:rPr>
          <w:rFonts w:hint="default" w:ascii="Times New Roman" w:hAnsi="Times New Roman" w:eastAsia="Times New Roman" w:cs="Times New Roman"/>
          <w:color w:val="auto"/>
          <w:spacing w:val="21"/>
          <w:w w:val="101"/>
          <w:sz w:val="24"/>
          <w:szCs w:val="24"/>
        </w:rPr>
        <w:t xml:space="preserve"> </w:t>
      </w:r>
      <w:r>
        <w:rPr>
          <w:rFonts w:hint="default" w:ascii="Times New Roman" w:hAnsi="Times New Roman" w:cs="Times New Roman"/>
          <w:color w:val="auto"/>
          <w:spacing w:val="-4"/>
          <w:sz w:val="24"/>
          <w:szCs w:val="24"/>
        </w:rPr>
        <w:t>时，</w:t>
      </w:r>
      <w:r>
        <w:rPr>
          <w:rFonts w:hint="default" w:ascii="Times New Roman" w:hAnsi="Times New Roman" w:eastAsia="Times New Roman" w:cs="Times New Roman"/>
          <w:i/>
          <w:iCs/>
          <w:color w:val="auto"/>
          <w:spacing w:val="-4"/>
          <w:sz w:val="24"/>
          <w:szCs w:val="24"/>
        </w:rPr>
        <w:t>k</w:t>
      </w:r>
      <w:r>
        <w:rPr>
          <w:rFonts w:hint="default" w:ascii="Times New Roman" w:hAnsi="Times New Roman" w:eastAsia="Times New Roman" w:cs="Times New Roman"/>
          <w:color w:val="auto"/>
          <w:spacing w:val="-4"/>
          <w:sz w:val="24"/>
          <w:szCs w:val="24"/>
        </w:rPr>
        <w:t>R=2</w:t>
      </w:r>
      <w:r>
        <w:rPr>
          <w:rFonts w:hint="default" w:ascii="Times New Roman" w:hAnsi="Times New Roman" w:cs="Times New Roman"/>
          <w:color w:val="auto"/>
          <w:spacing w:val="-4"/>
          <w:sz w:val="24"/>
          <w:szCs w:val="24"/>
        </w:rPr>
        <w:t>。</w:t>
      </w:r>
    </w:p>
    <w:p w14:paraId="05F53EDD">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2"/>
          <w:sz w:val="24"/>
          <w:szCs w:val="24"/>
        </w:rPr>
        <w:t>8</w:t>
      </w:r>
      <w:r>
        <w:rPr>
          <w:color w:val="auto"/>
          <w:spacing w:val="-2"/>
          <w:sz w:val="24"/>
          <w:szCs w:val="24"/>
        </w:rPr>
        <w:t>）建筑物类型修正</w:t>
      </w:r>
      <w:r>
        <w:rPr>
          <w:color w:val="auto"/>
          <w:spacing w:val="-44"/>
          <w:sz w:val="24"/>
          <w:szCs w:val="24"/>
        </w:rPr>
        <w:t xml:space="preserve"> </w:t>
      </w: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B</w:t>
      </w:r>
    </w:p>
    <w:p w14:paraId="78135123">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预测建筑物室外</w:t>
      </w:r>
      <w:r>
        <w:rPr>
          <w:rFonts w:ascii="Times New Roman" w:hAnsi="Times New Roman" w:eastAsia="Times New Roman" w:cs="Times New Roman"/>
          <w:color w:val="auto"/>
          <w:spacing w:val="-1"/>
          <w:sz w:val="24"/>
          <w:szCs w:val="24"/>
        </w:rPr>
        <w:t>0.5m</w:t>
      </w:r>
      <w:r>
        <w:rPr>
          <w:color w:val="auto"/>
          <w:spacing w:val="-1"/>
          <w:sz w:val="24"/>
          <w:szCs w:val="24"/>
        </w:rPr>
        <w:t>振动时，应根据建筑物类型进行修正。不同建筑物室外</w:t>
      </w:r>
      <w:r>
        <w:rPr>
          <w:rFonts w:ascii="Times New Roman" w:hAnsi="Times New Roman" w:eastAsia="Times New Roman" w:cs="Times New Roman"/>
          <w:color w:val="auto"/>
          <w:spacing w:val="-1"/>
          <w:sz w:val="24"/>
          <w:szCs w:val="24"/>
        </w:rPr>
        <w:t xml:space="preserve">0.5m </w:t>
      </w:r>
      <w:r>
        <w:rPr>
          <w:color w:val="auto"/>
          <w:spacing w:val="-1"/>
          <w:sz w:val="24"/>
          <w:szCs w:val="24"/>
        </w:rPr>
        <w:t>对振动响应不同，一般将各类建筑物划分为三种类型进行修正：</w:t>
      </w:r>
    </w:p>
    <w:p w14:paraId="6CF3B5D6">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rFonts w:ascii="Times New Roman" w:hAnsi="Times New Roman" w:eastAsia="Times New Roman" w:cs="Times New Roman"/>
          <w:color w:val="auto"/>
          <w:spacing w:val="-1"/>
          <w:sz w:val="24"/>
          <w:szCs w:val="24"/>
        </w:rPr>
        <w:t>Ⅰ</w:t>
      </w:r>
      <w:r>
        <w:rPr>
          <w:color w:val="auto"/>
          <w:spacing w:val="-1"/>
          <w:sz w:val="24"/>
          <w:szCs w:val="24"/>
        </w:rPr>
        <w:t>类建筑为良好基础、框架结构的高层建筑：</w:t>
      </w:r>
    </w:p>
    <w:p w14:paraId="1D7FD313">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jc w:val="center"/>
        <w:textAlignment w:val="baseline"/>
        <w:rPr>
          <w:rFonts w:ascii="Times New Roman" w:hAnsi="Times New Roman" w:eastAsia="Times New Roman" w:cs="Times New Roman"/>
          <w:color w:val="auto"/>
          <w:spacing w:val="-2"/>
          <w:sz w:val="24"/>
          <w:szCs w:val="24"/>
        </w:rPr>
      </w:pP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B=-10dB</w:t>
      </w:r>
    </w:p>
    <w:p w14:paraId="678D01B2">
      <w:pPr>
        <w:pStyle w:val="9"/>
        <w:keepNext w:val="0"/>
        <w:keepLines w:val="0"/>
        <w:pageBreakBefore w:val="0"/>
        <w:widowControl/>
        <w:wordWrap/>
        <w:overflowPunct/>
        <w:topLinePunct w:val="0"/>
        <w:autoSpaceDE w:val="0"/>
        <w:autoSpaceDN w:val="0"/>
        <w:bidi w:val="0"/>
        <w:adjustRightInd/>
        <w:snapToGrid/>
        <w:spacing w:line="360" w:lineRule="auto"/>
        <w:ind w:left="0" w:right="0" w:firstLine="464" w:firstLineChars="200"/>
        <w:textAlignment w:val="baseline"/>
        <w:rPr>
          <w:color w:val="auto"/>
          <w:sz w:val="24"/>
          <w:szCs w:val="24"/>
        </w:rPr>
      </w:pPr>
      <w:r>
        <w:rPr>
          <w:rFonts w:ascii="Times New Roman" w:hAnsi="Times New Roman" w:eastAsia="Times New Roman" w:cs="Times New Roman"/>
          <w:color w:val="auto"/>
          <w:spacing w:val="-4"/>
          <w:sz w:val="24"/>
          <w:szCs w:val="24"/>
        </w:rPr>
        <w:t>Ⅱ</w:t>
      </w:r>
      <w:r>
        <w:rPr>
          <w:color w:val="auto"/>
          <w:spacing w:val="-4"/>
          <w:sz w:val="24"/>
          <w:szCs w:val="24"/>
        </w:rPr>
        <w:t>类建筑为较好基础、砖墙结构的中层建筑：</w:t>
      </w:r>
    </w:p>
    <w:p w14:paraId="2B76F8D5">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jc w:val="center"/>
        <w:textAlignment w:val="baseline"/>
        <w:rPr>
          <w:rFonts w:ascii="Times New Roman" w:hAnsi="Times New Roman" w:eastAsia="Times New Roman" w:cs="Times New Roman"/>
          <w:color w:val="auto"/>
          <w:spacing w:val="-2"/>
          <w:sz w:val="24"/>
          <w:szCs w:val="24"/>
        </w:rPr>
      </w:pPr>
      <w:r>
        <w:rPr>
          <w:rFonts w:ascii="Times New Roman" w:hAnsi="Times New Roman" w:eastAsia="Times New Roman" w:cs="Times New Roman"/>
          <w:i/>
          <w:iCs/>
          <w:color w:val="auto"/>
          <w:spacing w:val="-2"/>
          <w:sz w:val="24"/>
          <w:szCs w:val="24"/>
        </w:rPr>
        <w:t>C</w:t>
      </w:r>
      <w:r>
        <w:rPr>
          <w:rFonts w:ascii="Times New Roman" w:hAnsi="Times New Roman" w:eastAsia="Times New Roman" w:cs="Times New Roman"/>
          <w:color w:val="auto"/>
          <w:spacing w:val="-2"/>
          <w:sz w:val="24"/>
          <w:szCs w:val="24"/>
        </w:rPr>
        <w:t>B=-5dB</w:t>
      </w:r>
    </w:p>
    <w:p w14:paraId="5F79D2AE">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rFonts w:ascii="Times New Roman" w:hAnsi="Times New Roman" w:eastAsia="Times New Roman" w:cs="Times New Roman"/>
          <w:color w:val="auto"/>
          <w:spacing w:val="-1"/>
          <w:sz w:val="24"/>
          <w:szCs w:val="24"/>
        </w:rPr>
        <w:t>Ⅲ</w:t>
      </w:r>
      <w:r>
        <w:rPr>
          <w:color w:val="auto"/>
          <w:spacing w:val="-1"/>
          <w:sz w:val="24"/>
          <w:szCs w:val="24"/>
        </w:rPr>
        <w:t>类建筑为一般基础的平房建筑：</w:t>
      </w:r>
    </w:p>
    <w:p w14:paraId="3C213D4D">
      <w:pPr>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jc w:val="center"/>
        <w:textAlignment w:val="baseline"/>
        <w:rPr>
          <w:rFonts w:ascii="Times New Roman" w:hAnsi="Times New Roman" w:eastAsia="Times New Roman" w:cs="Times New Roman"/>
          <w:color w:val="auto"/>
          <w:sz w:val="24"/>
          <w:szCs w:val="24"/>
        </w:rPr>
      </w:pPr>
      <w:r>
        <w:rPr>
          <w:rFonts w:ascii="Times New Roman" w:hAnsi="Times New Roman" w:eastAsia="Times New Roman" w:cs="Times New Roman"/>
          <w:i/>
          <w:iCs/>
          <w:color w:val="auto"/>
          <w:spacing w:val="-2"/>
          <w:position w:val="2"/>
          <w:sz w:val="24"/>
          <w:szCs w:val="24"/>
        </w:rPr>
        <w:t>C</w:t>
      </w:r>
      <w:r>
        <w:rPr>
          <w:rFonts w:ascii="Times New Roman" w:hAnsi="Times New Roman" w:eastAsia="Times New Roman" w:cs="Times New Roman"/>
          <w:color w:val="auto"/>
          <w:spacing w:val="-2"/>
          <w:position w:val="2"/>
          <w:sz w:val="24"/>
          <w:szCs w:val="24"/>
        </w:rPr>
        <w:t>B=0dB</w:t>
      </w:r>
    </w:p>
    <w:p w14:paraId="07F58B26">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本项目振动敏感点为一般基础的平房或者低层建筑，属</w:t>
      </w:r>
      <w:r>
        <w:rPr>
          <w:rFonts w:ascii="Times New Roman" w:hAnsi="Times New Roman" w:eastAsia="Times New Roman" w:cs="Times New Roman"/>
          <w:color w:val="auto"/>
          <w:spacing w:val="-3"/>
          <w:sz w:val="24"/>
          <w:szCs w:val="24"/>
        </w:rPr>
        <w:t>Ⅲ</w:t>
      </w:r>
      <w:r>
        <w:rPr>
          <w:color w:val="auto"/>
          <w:spacing w:val="-3"/>
          <w:sz w:val="24"/>
          <w:szCs w:val="24"/>
        </w:rPr>
        <w:t>类建筑，故建筑类型修正</w:t>
      </w:r>
      <w:r>
        <w:rPr>
          <w:color w:val="auto"/>
          <w:spacing w:val="-44"/>
          <w:sz w:val="24"/>
          <w:szCs w:val="24"/>
        </w:rPr>
        <w:t xml:space="preserve"> </w:t>
      </w:r>
      <w:r>
        <w:rPr>
          <w:rFonts w:ascii="Times New Roman" w:hAnsi="Times New Roman" w:eastAsia="Times New Roman" w:cs="Times New Roman"/>
          <w:i/>
          <w:iCs/>
          <w:color w:val="auto"/>
          <w:spacing w:val="-3"/>
          <w:sz w:val="24"/>
          <w:szCs w:val="24"/>
        </w:rPr>
        <w:t>C</w:t>
      </w:r>
      <w:r>
        <w:rPr>
          <w:rFonts w:ascii="Times New Roman" w:hAnsi="Times New Roman" w:eastAsia="Times New Roman" w:cs="Times New Roman"/>
          <w:color w:val="auto"/>
          <w:spacing w:val="-3"/>
          <w:sz w:val="24"/>
          <w:szCs w:val="24"/>
        </w:rPr>
        <w:t>B=0dB</w:t>
      </w:r>
      <w:r>
        <w:rPr>
          <w:color w:val="auto"/>
          <w:spacing w:val="-3"/>
          <w:sz w:val="24"/>
          <w:szCs w:val="24"/>
        </w:rPr>
        <w:t>。</w:t>
      </w:r>
    </w:p>
    <w:p w14:paraId="7AF640DC">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ascii="Times New Roman" w:hAnsi="Times New Roman" w:eastAsia="Times New Roman" w:cs="Times New Roman"/>
          <w:b/>
          <w:bCs/>
          <w:color w:val="auto"/>
          <w:spacing w:val="-2"/>
          <w:sz w:val="24"/>
          <w:szCs w:val="24"/>
        </w:rPr>
      </w:pPr>
      <w:r>
        <w:rPr>
          <w:rFonts w:ascii="Times New Roman" w:hAnsi="Times New Roman" w:eastAsia="Times New Roman" w:cs="Times New Roman"/>
          <w:b/>
          <w:bCs/>
          <w:color w:val="auto"/>
          <w:spacing w:val="-2"/>
          <w:sz w:val="24"/>
          <w:szCs w:val="24"/>
        </w:rPr>
        <w:t>4.5.4 预测技术条件</w:t>
      </w:r>
    </w:p>
    <w:p w14:paraId="46A0C7BB">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1</w:t>
      </w:r>
      <w:r>
        <w:rPr>
          <w:color w:val="auto"/>
          <w:spacing w:val="-3"/>
          <w:sz w:val="24"/>
          <w:szCs w:val="24"/>
        </w:rPr>
        <w:t>）牵引种类</w:t>
      </w:r>
    </w:p>
    <w:p w14:paraId="3FD2CABC">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rFonts w:ascii="Times New Roman" w:hAnsi="Times New Roman" w:eastAsia="Times New Roman" w:cs="Times New Roman"/>
          <w:color w:val="auto"/>
          <w:spacing w:val="-3"/>
          <w:sz w:val="24"/>
          <w:szCs w:val="24"/>
        </w:rPr>
      </w:pPr>
      <w:r>
        <w:rPr>
          <w:rFonts w:ascii="Times New Roman" w:hAnsi="Times New Roman" w:eastAsia="Times New Roman" w:cs="Times New Roman"/>
          <w:color w:val="auto"/>
          <w:spacing w:val="-3"/>
          <w:sz w:val="24"/>
          <w:szCs w:val="24"/>
        </w:rPr>
        <w:t xml:space="preserve">内燃机牵引，机车类型为 </w:t>
      </w:r>
      <w:r>
        <w:rPr>
          <w:rFonts w:hint="default" w:ascii="Times New Roman" w:hAnsi="Times New Roman" w:eastAsia="Times New Roman" w:cs="Times New Roman"/>
          <w:color w:val="auto"/>
          <w:spacing w:val="-3"/>
          <w:sz w:val="24"/>
          <w:szCs w:val="24"/>
          <w:lang w:val="en-US" w:eastAsia="zh-CN"/>
        </w:rPr>
        <w:t>DF</w:t>
      </w:r>
      <w:r>
        <w:rPr>
          <w:rFonts w:hint="default" w:ascii="Times New Roman" w:hAnsi="Times New Roman" w:eastAsia="Times New Roman" w:cs="Times New Roman"/>
          <w:color w:val="auto"/>
          <w:spacing w:val="-3"/>
          <w:sz w:val="24"/>
          <w:szCs w:val="24"/>
          <w:vertAlign w:val="subscript"/>
          <w:lang w:val="en-US" w:eastAsia="zh-CN"/>
        </w:rPr>
        <w:t>5D</w:t>
      </w:r>
      <w:r>
        <w:rPr>
          <w:rFonts w:hint="default" w:ascii="Times New Roman" w:hAnsi="Times New Roman" w:eastAsia="Times New Roman" w:cs="Times New Roman"/>
          <w:color w:val="auto"/>
          <w:spacing w:val="-3"/>
          <w:sz w:val="24"/>
          <w:szCs w:val="24"/>
          <w:lang w:val="en-US" w:eastAsia="zh-CN"/>
        </w:rPr>
        <w:t>、DF</w:t>
      </w:r>
      <w:r>
        <w:rPr>
          <w:rFonts w:hint="eastAsia" w:ascii="Times New Roman" w:hAnsi="Times New Roman" w:eastAsia="Times New Roman" w:cs="Times New Roman"/>
          <w:color w:val="auto"/>
          <w:spacing w:val="-3"/>
          <w:sz w:val="24"/>
          <w:szCs w:val="24"/>
          <w:vertAlign w:val="subscript"/>
          <w:lang w:val="en-US" w:eastAsia="zh-CN"/>
        </w:rPr>
        <w:t>1</w:t>
      </w:r>
      <w:r>
        <w:rPr>
          <w:rFonts w:hint="default" w:ascii="Times New Roman" w:hAnsi="Times New Roman" w:eastAsia="Times New Roman" w:cs="Times New Roman"/>
          <w:color w:val="auto"/>
          <w:spacing w:val="-3"/>
          <w:sz w:val="24"/>
          <w:szCs w:val="24"/>
          <w:vertAlign w:val="subscript"/>
          <w:lang w:val="en-US" w:eastAsia="zh-CN"/>
        </w:rPr>
        <w:t>0D</w:t>
      </w:r>
      <w:r>
        <w:rPr>
          <w:rFonts w:ascii="Times New Roman" w:hAnsi="Times New Roman" w:eastAsia="Times New Roman" w:cs="Times New Roman"/>
          <w:color w:val="auto"/>
          <w:spacing w:val="-3"/>
          <w:sz w:val="24"/>
          <w:szCs w:val="24"/>
        </w:rPr>
        <w:t>，牵引质量</w:t>
      </w:r>
      <w:r>
        <w:rPr>
          <w:rFonts w:hint="eastAsia" w:ascii="Times New Roman" w:hAnsi="Times New Roman" w:eastAsia="Times New Roman" w:cs="Times New Roman"/>
          <w:color w:val="auto"/>
          <w:spacing w:val="-3"/>
          <w:sz w:val="24"/>
          <w:szCs w:val="24"/>
          <w:lang w:val="en-US" w:eastAsia="zh-CN"/>
        </w:rPr>
        <w:t>合计</w:t>
      </w:r>
      <w:r>
        <w:rPr>
          <w:rFonts w:ascii="Times New Roman" w:hAnsi="Times New Roman" w:eastAsia="Times New Roman" w:cs="Times New Roman"/>
          <w:color w:val="auto"/>
          <w:spacing w:val="-3"/>
          <w:sz w:val="24"/>
          <w:szCs w:val="24"/>
        </w:rPr>
        <w:t>为</w:t>
      </w:r>
      <w:r>
        <w:rPr>
          <w:rFonts w:hint="eastAsia" w:ascii="Times New Roman" w:hAnsi="Times New Roman" w:eastAsia="Times New Roman" w:cs="Times New Roman"/>
          <w:color w:val="auto"/>
          <w:spacing w:val="-3"/>
          <w:sz w:val="24"/>
          <w:szCs w:val="24"/>
          <w:lang w:val="en-US" w:eastAsia="zh-CN"/>
        </w:rPr>
        <w:t>8</w:t>
      </w:r>
      <w:r>
        <w:rPr>
          <w:rFonts w:ascii="Times New Roman" w:hAnsi="Times New Roman" w:eastAsia="Times New Roman" w:cs="Times New Roman"/>
          <w:color w:val="auto"/>
          <w:spacing w:val="-3"/>
          <w:sz w:val="24"/>
          <w:szCs w:val="24"/>
        </w:rPr>
        <w:t>000t ，轴重 2</w:t>
      </w:r>
      <w:r>
        <w:rPr>
          <w:rFonts w:hint="eastAsia" w:ascii="Times New Roman" w:hAnsi="Times New Roman" w:eastAsia="宋体" w:cs="Times New Roman"/>
          <w:color w:val="auto"/>
          <w:spacing w:val="-3"/>
          <w:sz w:val="24"/>
          <w:szCs w:val="24"/>
          <w:lang w:val="en-US" w:eastAsia="zh-CN"/>
        </w:rPr>
        <w:t>1</w:t>
      </w:r>
      <w:r>
        <w:rPr>
          <w:rFonts w:ascii="Times New Roman" w:hAnsi="Times New Roman" w:eastAsia="Times New Roman" w:cs="Times New Roman"/>
          <w:color w:val="auto"/>
          <w:spacing w:val="-3"/>
          <w:sz w:val="24"/>
          <w:szCs w:val="24"/>
        </w:rPr>
        <w:t>t。</w:t>
      </w:r>
    </w:p>
    <w:p w14:paraId="4AE8C0F2">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2</w:t>
      </w:r>
      <w:r>
        <w:rPr>
          <w:color w:val="auto"/>
          <w:spacing w:val="-3"/>
          <w:sz w:val="24"/>
          <w:szCs w:val="24"/>
        </w:rPr>
        <w:t>）列车长度</w:t>
      </w:r>
    </w:p>
    <w:p w14:paraId="22BC599D">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color w:val="auto"/>
          <w:sz w:val="24"/>
          <w:szCs w:val="24"/>
        </w:rPr>
      </w:pPr>
      <w:r>
        <w:rPr>
          <w:rFonts w:hint="eastAsia" w:ascii="Times New Roman" w:hAnsi="Times New Roman" w:eastAsia="宋体" w:cs="Times New Roman"/>
          <w:color w:val="auto"/>
          <w:spacing w:val="-3"/>
          <w:sz w:val="24"/>
          <w:szCs w:val="24"/>
          <w:lang w:val="en-US" w:eastAsia="zh-CN"/>
        </w:rPr>
        <w:t>45节</w:t>
      </w:r>
      <w:r>
        <w:rPr>
          <w:rFonts w:hint="default" w:ascii="Times New Roman" w:hAnsi="Times New Roman" w:cs="Times New Roman"/>
          <w:color w:val="auto"/>
          <w:spacing w:val="-3"/>
          <w:sz w:val="24"/>
          <w:szCs w:val="24"/>
        </w:rPr>
        <w:t>编组，一节的长度为</w:t>
      </w:r>
      <w:r>
        <w:rPr>
          <w:rFonts w:hint="default" w:ascii="Times New Roman" w:hAnsi="Times New Roman" w:eastAsia="宋体" w:cs="Times New Roman"/>
          <w:color w:val="auto"/>
          <w:spacing w:val="-26"/>
          <w:sz w:val="24"/>
          <w:szCs w:val="24"/>
          <w:lang w:val="en-US" w:eastAsia="zh-CN"/>
        </w:rPr>
        <w:t>1</w:t>
      </w:r>
      <w:r>
        <w:rPr>
          <w:rFonts w:hint="default" w:ascii="Times New Roman" w:hAnsi="Times New Roman" w:eastAsia="Times New Roman" w:cs="Times New Roman"/>
          <w:color w:val="auto"/>
          <w:spacing w:val="-3"/>
          <w:sz w:val="24"/>
          <w:szCs w:val="24"/>
        </w:rPr>
        <w:t>4m</w:t>
      </w:r>
      <w:r>
        <w:rPr>
          <w:rFonts w:hint="default" w:ascii="Times New Roman" w:hAnsi="Times New Roman" w:cs="Times New Roman"/>
          <w:color w:val="auto"/>
          <w:spacing w:val="-3"/>
          <w:sz w:val="24"/>
          <w:szCs w:val="24"/>
        </w:rPr>
        <w:t>，所以</w:t>
      </w:r>
      <w:r>
        <w:rPr>
          <w:rFonts w:hint="eastAsia" w:ascii="Times New Roman" w:hAnsi="Times New Roman" w:eastAsia="宋体" w:cs="Times New Roman"/>
          <w:color w:val="auto"/>
          <w:spacing w:val="-3"/>
          <w:sz w:val="24"/>
          <w:szCs w:val="24"/>
          <w:lang w:val="en-US" w:eastAsia="zh-CN"/>
        </w:rPr>
        <w:t>45</w:t>
      </w:r>
      <w:r>
        <w:rPr>
          <w:rFonts w:hint="default" w:ascii="Times New Roman" w:hAnsi="Times New Roman" w:cs="Times New Roman"/>
          <w:color w:val="auto"/>
          <w:spacing w:val="-3"/>
          <w:sz w:val="24"/>
          <w:szCs w:val="24"/>
        </w:rPr>
        <w:t>辆编组为</w:t>
      </w:r>
      <w:r>
        <w:rPr>
          <w:rFonts w:hint="eastAsia" w:ascii="Times New Roman" w:hAnsi="Times New Roman" w:eastAsia="宋体" w:cs="Times New Roman"/>
          <w:color w:val="auto"/>
          <w:spacing w:val="-3"/>
          <w:sz w:val="24"/>
          <w:szCs w:val="24"/>
          <w:lang w:val="en-US" w:eastAsia="zh-CN"/>
        </w:rPr>
        <w:t>630</w:t>
      </w:r>
      <w:r>
        <w:rPr>
          <w:rFonts w:hint="default" w:ascii="Times New Roman" w:hAnsi="Times New Roman" w:eastAsia="Times New Roman" w:cs="Times New Roman"/>
          <w:color w:val="auto"/>
          <w:spacing w:val="-3"/>
          <w:sz w:val="24"/>
          <w:szCs w:val="24"/>
        </w:rPr>
        <w:t>m</w:t>
      </w:r>
      <w:r>
        <w:rPr>
          <w:rFonts w:hint="default" w:ascii="Times New Roman" w:hAnsi="Times New Roman" w:cs="Times New Roman"/>
          <w:color w:val="auto"/>
          <w:spacing w:val="-3"/>
          <w:sz w:val="24"/>
          <w:szCs w:val="24"/>
        </w:rPr>
        <w:t>，加上内燃调机单</w:t>
      </w:r>
      <w:r>
        <w:rPr>
          <w:rFonts w:hint="default" w:ascii="Times New Roman" w:hAnsi="Times New Roman" w:cs="Times New Roman"/>
          <w:color w:val="auto"/>
          <w:sz w:val="24"/>
          <w:szCs w:val="24"/>
        </w:rPr>
        <w:t>节最大</w:t>
      </w:r>
      <w:r>
        <w:rPr>
          <w:rFonts w:hint="default" w:ascii="Times New Roman" w:hAnsi="Times New Roman" w:eastAsia="Times New Roman" w:cs="Times New Roman"/>
          <w:color w:val="auto"/>
          <w:sz w:val="24"/>
          <w:szCs w:val="24"/>
        </w:rPr>
        <w:t>22m</w:t>
      </w:r>
      <w:r>
        <w:rPr>
          <w:rFonts w:hint="default" w:ascii="Times New Roman" w:hAnsi="Times New Roman" w:cs="Times New Roman"/>
          <w:color w:val="auto"/>
          <w:sz w:val="24"/>
          <w:szCs w:val="24"/>
        </w:rPr>
        <w:t>，本评价预测列车长度按</w:t>
      </w:r>
      <w:r>
        <w:rPr>
          <w:rFonts w:hint="eastAsia" w:ascii="Times New Roman" w:hAnsi="Times New Roman" w:eastAsia="宋体" w:cs="Times New Roman"/>
          <w:color w:val="auto"/>
          <w:sz w:val="24"/>
          <w:szCs w:val="24"/>
          <w:lang w:val="en-US" w:eastAsia="zh-CN"/>
        </w:rPr>
        <w:t>652</w:t>
      </w:r>
      <w:r>
        <w:rPr>
          <w:rFonts w:hint="default" w:ascii="Times New Roman" w:hAnsi="Times New Roman" w:eastAsia="Times New Roman" w:cs="Times New Roman"/>
          <w:color w:val="auto"/>
          <w:sz w:val="24"/>
          <w:szCs w:val="24"/>
        </w:rPr>
        <w:t>m</w:t>
      </w:r>
      <w:r>
        <w:rPr>
          <w:rFonts w:hint="default" w:ascii="Times New Roman" w:hAnsi="Times New Roman" w:cs="Times New Roman"/>
          <w:color w:val="auto"/>
          <w:sz w:val="24"/>
          <w:szCs w:val="24"/>
        </w:rPr>
        <w:t>计。</w:t>
      </w:r>
    </w:p>
    <w:p w14:paraId="7C1E9270">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3</w:t>
      </w:r>
      <w:r>
        <w:rPr>
          <w:color w:val="auto"/>
          <w:spacing w:val="-3"/>
          <w:sz w:val="24"/>
          <w:szCs w:val="24"/>
        </w:rPr>
        <w:t>）列车运行速度</w:t>
      </w:r>
    </w:p>
    <w:p w14:paraId="65677B3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项目主要是运行普通货运列车，本次评价</w:t>
      </w:r>
      <w:r>
        <w:rPr>
          <w:rFonts w:hint="eastAsia" w:ascii="Times New Roman" w:hAnsi="Times New Roman" w:eastAsia="宋体" w:cs="Times New Roman"/>
          <w:color w:val="auto"/>
          <w:spacing w:val="0"/>
          <w:sz w:val="24"/>
          <w:szCs w:val="24"/>
          <w:lang w:eastAsia="zh-CN"/>
        </w:rPr>
        <w:t>列车</w:t>
      </w:r>
      <w:r>
        <w:rPr>
          <w:rFonts w:hint="default" w:ascii="Times New Roman" w:hAnsi="Times New Roman" w:cs="Times New Roman"/>
          <w:color w:val="auto"/>
          <w:spacing w:val="0"/>
          <w:sz w:val="24"/>
          <w:szCs w:val="24"/>
        </w:rPr>
        <w:t>运行速度以</w:t>
      </w:r>
      <w:r>
        <w:rPr>
          <w:rFonts w:hint="eastAsia" w:ascii="Times New Roman" w:hAnsi="Times New Roman" w:eastAsia="宋体" w:cs="Times New Roman"/>
          <w:color w:val="auto"/>
          <w:spacing w:val="0"/>
          <w:sz w:val="24"/>
          <w:szCs w:val="24"/>
          <w:lang w:val="en-US" w:eastAsia="zh-CN"/>
        </w:rPr>
        <w:t>25</w:t>
      </w:r>
      <w:r>
        <w:rPr>
          <w:rFonts w:hint="default" w:ascii="Times New Roman" w:hAnsi="Times New Roman" w:eastAsia="Times New Roman" w:cs="Times New Roman"/>
          <w:color w:val="auto"/>
          <w:spacing w:val="0"/>
          <w:sz w:val="24"/>
          <w:szCs w:val="24"/>
        </w:rPr>
        <w:t>km/h</w:t>
      </w:r>
      <w:r>
        <w:rPr>
          <w:rFonts w:hint="default" w:ascii="Times New Roman" w:hAnsi="Times New Roman" w:cs="Times New Roman"/>
          <w:color w:val="auto"/>
          <w:spacing w:val="0"/>
          <w:sz w:val="24"/>
          <w:szCs w:val="24"/>
        </w:rPr>
        <w:t>计算。</w:t>
      </w:r>
    </w:p>
    <w:p w14:paraId="445FC3ED">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4</w:t>
      </w:r>
      <w:r>
        <w:rPr>
          <w:color w:val="auto"/>
          <w:spacing w:val="-3"/>
          <w:sz w:val="24"/>
          <w:szCs w:val="24"/>
        </w:rPr>
        <w:t>）轨道、道床条件</w:t>
      </w:r>
    </w:p>
    <w:p w14:paraId="3C89D6EB">
      <w:pPr>
        <w:pStyle w:val="9"/>
        <w:keepNext w:val="0"/>
        <w:keepLines w:val="0"/>
        <w:pageBreakBefore w:val="0"/>
        <w:widowControl/>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本工程采取有缝线路、</w:t>
      </w:r>
      <w:r>
        <w:rPr>
          <w:rFonts w:hint="eastAsia" w:eastAsia="宋体"/>
          <w:color w:val="auto"/>
          <w:sz w:val="24"/>
          <w:szCs w:val="24"/>
          <w:lang w:val="en-US" w:eastAsia="zh-CN"/>
        </w:rPr>
        <w:t>无</w:t>
      </w:r>
      <w:r>
        <w:rPr>
          <w:color w:val="auto"/>
          <w:sz w:val="24"/>
          <w:szCs w:val="24"/>
        </w:rPr>
        <w:t>砟轨道。有缝线路采用</w:t>
      </w:r>
      <w:r>
        <w:rPr>
          <w:rFonts w:ascii="Times New Roman" w:hAnsi="Times New Roman" w:eastAsia="Times New Roman" w:cs="Times New Roman"/>
          <w:color w:val="auto"/>
          <w:sz w:val="24"/>
          <w:szCs w:val="24"/>
        </w:rPr>
        <w:t>50kg/m</w:t>
      </w:r>
      <w:r>
        <w:rPr>
          <w:color w:val="auto"/>
          <w:sz w:val="24"/>
          <w:szCs w:val="24"/>
        </w:rPr>
        <w:t>，每根</w:t>
      </w:r>
      <w:r>
        <w:rPr>
          <w:rFonts w:ascii="Times New Roman" w:hAnsi="Times New Roman" w:eastAsia="Times New Roman" w:cs="Times New Roman"/>
          <w:color w:val="auto"/>
          <w:sz w:val="24"/>
          <w:szCs w:val="24"/>
        </w:rPr>
        <w:t>25m</w:t>
      </w:r>
      <w:r>
        <w:rPr>
          <w:color w:val="auto"/>
          <w:sz w:val="24"/>
          <w:szCs w:val="24"/>
        </w:rPr>
        <w:t>标准长</w:t>
      </w:r>
      <w:r>
        <w:rPr>
          <w:color w:val="auto"/>
          <w:spacing w:val="-1"/>
          <w:sz w:val="24"/>
          <w:szCs w:val="24"/>
        </w:rPr>
        <w:t>度钢轨。全线铺设</w:t>
      </w:r>
      <w:r>
        <w:rPr>
          <w:rFonts w:hint="eastAsia" w:eastAsia="宋体"/>
          <w:color w:val="auto"/>
          <w:sz w:val="24"/>
          <w:szCs w:val="24"/>
          <w:lang w:val="en-US" w:eastAsia="zh-CN"/>
        </w:rPr>
        <w:t>无</w:t>
      </w:r>
      <w:r>
        <w:rPr>
          <w:color w:val="auto"/>
          <w:spacing w:val="-1"/>
          <w:sz w:val="24"/>
          <w:szCs w:val="24"/>
        </w:rPr>
        <w:t>砟轨道。</w:t>
      </w:r>
    </w:p>
    <w:p w14:paraId="4ABEC19B">
      <w:pPr>
        <w:pStyle w:val="9"/>
        <w:keepNext w:val="0"/>
        <w:keepLines w:val="0"/>
        <w:pageBreakBefore w:val="0"/>
        <w:widowControl/>
        <w:wordWrap/>
        <w:overflowPunct/>
        <w:topLinePunct w:val="0"/>
        <w:autoSpaceDE w:val="0"/>
        <w:autoSpaceDN w:val="0"/>
        <w:bidi w:val="0"/>
        <w:adjustRightInd/>
        <w:snapToGrid/>
        <w:spacing w:line="360" w:lineRule="auto"/>
        <w:ind w:left="0" w:right="0" w:firstLine="472" w:firstLineChars="200"/>
        <w:textAlignment w:val="baseline"/>
        <w:rPr>
          <w:color w:val="auto"/>
          <w:sz w:val="24"/>
          <w:szCs w:val="24"/>
        </w:rPr>
      </w:pPr>
      <w:r>
        <w:rPr>
          <w:color w:val="auto"/>
          <w:spacing w:val="-2"/>
          <w:sz w:val="24"/>
          <w:szCs w:val="24"/>
        </w:rPr>
        <w:t>（</w:t>
      </w:r>
      <w:r>
        <w:rPr>
          <w:rFonts w:ascii="Times New Roman" w:hAnsi="Times New Roman" w:eastAsia="Times New Roman" w:cs="Times New Roman"/>
          <w:color w:val="auto"/>
          <w:spacing w:val="-2"/>
          <w:sz w:val="24"/>
          <w:szCs w:val="24"/>
        </w:rPr>
        <w:t>5</w:t>
      </w:r>
      <w:r>
        <w:rPr>
          <w:color w:val="auto"/>
          <w:spacing w:val="-2"/>
          <w:sz w:val="24"/>
          <w:szCs w:val="24"/>
        </w:rPr>
        <w:t>）设计年限列车对数</w:t>
      </w:r>
    </w:p>
    <w:p w14:paraId="604A0E31">
      <w:pPr>
        <w:pStyle w:val="9"/>
        <w:keepNext w:val="0"/>
        <w:keepLines w:val="0"/>
        <w:pageBreakBefore w:val="0"/>
        <w:widowControl/>
        <w:wordWrap/>
        <w:overflowPunct/>
        <w:topLinePunct w:val="0"/>
        <w:autoSpaceDE w:val="0"/>
        <w:autoSpaceDN w:val="0"/>
        <w:bidi w:val="0"/>
        <w:adjustRightInd/>
        <w:snapToGrid/>
        <w:spacing w:line="360" w:lineRule="auto"/>
        <w:ind w:left="0" w:right="0" w:firstLine="464"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4"/>
          <w:sz w:val="24"/>
          <w:szCs w:val="24"/>
        </w:rPr>
        <w:t>本项目铁路专用线列车对数</w:t>
      </w:r>
      <w:r>
        <w:rPr>
          <w:rFonts w:hint="eastAsia" w:ascii="Times New Roman" w:hAnsi="Times New Roman" w:eastAsia="宋体" w:cs="Times New Roman"/>
          <w:color w:val="auto"/>
          <w:spacing w:val="-4"/>
          <w:sz w:val="24"/>
          <w:szCs w:val="24"/>
          <w:lang w:val="en-US" w:eastAsia="zh-CN"/>
        </w:rPr>
        <w:t>19</w:t>
      </w:r>
      <w:r>
        <w:rPr>
          <w:rFonts w:hint="default" w:ascii="Times New Roman" w:hAnsi="Times New Roman" w:cs="Times New Roman"/>
          <w:color w:val="auto"/>
          <w:spacing w:val="-4"/>
          <w:sz w:val="24"/>
          <w:szCs w:val="24"/>
        </w:rPr>
        <w:t>对</w:t>
      </w:r>
      <w:r>
        <w:rPr>
          <w:rFonts w:hint="default" w:ascii="Times New Roman" w:hAnsi="Times New Roman" w:eastAsia="Times New Roman" w:cs="Times New Roman"/>
          <w:color w:val="auto"/>
          <w:spacing w:val="-4"/>
          <w:sz w:val="24"/>
          <w:szCs w:val="24"/>
        </w:rPr>
        <w:t>/</w:t>
      </w:r>
      <w:r>
        <w:rPr>
          <w:rFonts w:hint="default" w:ascii="Times New Roman" w:hAnsi="Times New Roman" w:cs="Times New Roman"/>
          <w:color w:val="auto"/>
          <w:spacing w:val="-4"/>
          <w:sz w:val="24"/>
          <w:szCs w:val="24"/>
        </w:rPr>
        <w:t>日（共</w:t>
      </w:r>
      <w:r>
        <w:rPr>
          <w:rFonts w:hint="eastAsia" w:ascii="Times New Roman" w:hAnsi="Times New Roman" w:eastAsia="宋体" w:cs="Times New Roman"/>
          <w:color w:val="auto"/>
          <w:spacing w:val="-4"/>
          <w:sz w:val="24"/>
          <w:szCs w:val="24"/>
          <w:lang w:val="en-US" w:eastAsia="zh-CN"/>
        </w:rPr>
        <w:t>19</w:t>
      </w:r>
      <w:r>
        <w:rPr>
          <w:rFonts w:hint="default" w:ascii="Times New Roman" w:hAnsi="Times New Roman" w:cs="Times New Roman"/>
          <w:color w:val="auto"/>
          <w:spacing w:val="-4"/>
          <w:sz w:val="24"/>
          <w:szCs w:val="24"/>
        </w:rPr>
        <w:t>列</w:t>
      </w:r>
      <w:r>
        <w:rPr>
          <w:rFonts w:hint="default" w:ascii="Times New Roman" w:hAnsi="Times New Roman" w:cs="Times New Roman"/>
          <w:color w:val="auto"/>
          <w:spacing w:val="-2"/>
          <w:sz w:val="24"/>
          <w:szCs w:val="24"/>
        </w:rPr>
        <w:t>。预测模式输入为列车列数</w:t>
      </w:r>
      <w:r>
        <w:rPr>
          <w:rFonts w:hint="eastAsia" w:ascii="Times New Roman" w:hAnsi="Times New Roman" w:eastAsia="宋体" w:cs="Times New Roman"/>
          <w:color w:val="auto"/>
          <w:spacing w:val="-2"/>
          <w:sz w:val="24"/>
          <w:szCs w:val="24"/>
          <w:lang w:eastAsia="zh-CN"/>
        </w:rPr>
        <w:t>）</w:t>
      </w:r>
      <w:r>
        <w:rPr>
          <w:rFonts w:hint="default" w:ascii="Times New Roman" w:hAnsi="Times New Roman" w:cs="Times New Roman"/>
          <w:color w:val="auto"/>
          <w:spacing w:val="-2"/>
          <w:sz w:val="24"/>
          <w:szCs w:val="24"/>
        </w:rPr>
        <w:t>。</w:t>
      </w:r>
    </w:p>
    <w:p w14:paraId="3E3E2EC6">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6</w:t>
      </w:r>
      <w:r>
        <w:rPr>
          <w:color w:val="auto"/>
          <w:spacing w:val="-3"/>
          <w:sz w:val="24"/>
          <w:szCs w:val="24"/>
        </w:rPr>
        <w:t>）预测时段</w:t>
      </w:r>
    </w:p>
    <w:p w14:paraId="7CA3D30F">
      <w:pPr>
        <w:pStyle w:val="9"/>
        <w:keepNext w:val="0"/>
        <w:keepLines w:val="0"/>
        <w:pageBreakBefore w:val="0"/>
        <w:widowControl/>
        <w:wordWrap/>
        <w:overflowPunct/>
        <w:topLinePunct w:val="0"/>
        <w:autoSpaceDE w:val="0"/>
        <w:autoSpaceDN w:val="0"/>
        <w:bidi w:val="0"/>
        <w:adjustRightInd/>
        <w:snapToGrid/>
        <w:spacing w:line="360" w:lineRule="auto"/>
        <w:ind w:left="0" w:right="0" w:firstLine="460" w:firstLineChars="200"/>
        <w:textAlignment w:val="baseline"/>
        <w:rPr>
          <w:color w:val="auto"/>
          <w:sz w:val="24"/>
          <w:szCs w:val="24"/>
        </w:rPr>
      </w:pPr>
      <w:r>
        <w:rPr>
          <w:color w:val="auto"/>
          <w:spacing w:val="-5"/>
          <w:sz w:val="24"/>
          <w:szCs w:val="24"/>
        </w:rPr>
        <w:t>预测时间昼间为</w:t>
      </w:r>
      <w:r>
        <w:rPr>
          <w:rFonts w:hint="eastAsia" w:ascii="Times New Roman" w:hAnsi="Times New Roman" w:eastAsia="宋体" w:cs="Times New Roman"/>
          <w:color w:val="auto"/>
          <w:spacing w:val="-5"/>
          <w:sz w:val="24"/>
          <w:szCs w:val="24"/>
          <w:lang w:val="en-US" w:eastAsia="zh-CN"/>
        </w:rPr>
        <w:t>8</w:t>
      </w:r>
      <w:r>
        <w:rPr>
          <w:color w:val="auto"/>
          <w:spacing w:val="-5"/>
          <w:sz w:val="24"/>
          <w:szCs w:val="24"/>
        </w:rPr>
        <w:t>小时。</w:t>
      </w:r>
    </w:p>
    <w:p w14:paraId="46CD98F8">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ascii="Times New Roman" w:hAnsi="Times New Roman" w:eastAsia="Times New Roman" w:cs="Times New Roman"/>
          <w:b/>
          <w:bCs/>
          <w:color w:val="auto"/>
          <w:spacing w:val="-2"/>
          <w:sz w:val="24"/>
          <w:szCs w:val="24"/>
        </w:rPr>
      </w:pPr>
      <w:r>
        <w:rPr>
          <w:rFonts w:ascii="Times New Roman" w:hAnsi="Times New Roman" w:eastAsia="Times New Roman" w:cs="Times New Roman"/>
          <w:b/>
          <w:bCs/>
          <w:color w:val="auto"/>
          <w:spacing w:val="-2"/>
          <w:sz w:val="24"/>
          <w:szCs w:val="24"/>
        </w:rPr>
        <w:t>4.5.5 执行标准</w:t>
      </w:r>
    </w:p>
    <w:p w14:paraId="17DDCA79">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振动环境执行《城市区域环境振动标准》（</w:t>
      </w:r>
      <w:r>
        <w:rPr>
          <w:rFonts w:ascii="Times New Roman" w:hAnsi="Times New Roman" w:eastAsia="Times New Roman" w:cs="Times New Roman"/>
          <w:color w:val="auto"/>
          <w:spacing w:val="-1"/>
          <w:sz w:val="24"/>
          <w:szCs w:val="24"/>
        </w:rPr>
        <w:t>GB10070-88</w:t>
      </w:r>
      <w:r>
        <w:rPr>
          <w:color w:val="auto"/>
          <w:spacing w:val="-1"/>
          <w:sz w:val="24"/>
          <w:szCs w:val="24"/>
        </w:rPr>
        <w:t>）中</w:t>
      </w:r>
      <w:r>
        <w:rPr>
          <w:rFonts w:hint="eastAsia" w:eastAsia="宋体"/>
          <w:color w:val="auto"/>
          <w:spacing w:val="-1"/>
          <w:sz w:val="24"/>
          <w:szCs w:val="24"/>
          <w:lang w:eastAsia="zh-CN"/>
        </w:rPr>
        <w:t>“</w:t>
      </w:r>
      <w:r>
        <w:rPr>
          <w:rFonts w:hint="eastAsia" w:eastAsia="宋体"/>
          <w:color w:val="auto"/>
          <w:spacing w:val="-2"/>
          <w:sz w:val="24"/>
          <w:szCs w:val="24"/>
          <w:lang w:val="en-US" w:eastAsia="zh-CN"/>
        </w:rPr>
        <w:t>工业集中区</w:t>
      </w:r>
      <w:r>
        <w:rPr>
          <w:rFonts w:hint="eastAsia" w:eastAsia="宋体"/>
          <w:color w:val="auto"/>
          <w:spacing w:val="-88"/>
          <w:sz w:val="24"/>
          <w:szCs w:val="24"/>
          <w:lang w:eastAsia="zh-CN"/>
        </w:rPr>
        <w:t>”</w:t>
      </w:r>
      <w:r>
        <w:rPr>
          <w:color w:val="auto"/>
          <w:spacing w:val="-2"/>
          <w:sz w:val="24"/>
          <w:szCs w:val="24"/>
        </w:rPr>
        <w:t>标</w:t>
      </w:r>
      <w:r>
        <w:rPr>
          <w:color w:val="auto"/>
          <w:spacing w:val="-4"/>
          <w:sz w:val="24"/>
          <w:szCs w:val="24"/>
        </w:rPr>
        <w:t>准，即昼间</w:t>
      </w:r>
      <w:r>
        <w:rPr>
          <w:rFonts w:ascii="Times New Roman" w:hAnsi="Times New Roman" w:eastAsia="Times New Roman" w:cs="Times New Roman"/>
          <w:color w:val="auto"/>
          <w:spacing w:val="-4"/>
          <w:sz w:val="24"/>
          <w:szCs w:val="24"/>
        </w:rPr>
        <w:t>75dB</w:t>
      </w:r>
      <w:r>
        <w:rPr>
          <w:color w:val="auto"/>
          <w:spacing w:val="-4"/>
          <w:sz w:val="24"/>
          <w:szCs w:val="24"/>
        </w:rPr>
        <w:t>。</w:t>
      </w:r>
    </w:p>
    <w:p w14:paraId="4A2D5F4F">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3"/>
        <w:rPr>
          <w:rFonts w:ascii="Times New Roman" w:hAnsi="Times New Roman" w:eastAsia="Times New Roman" w:cs="Times New Roman"/>
          <w:b/>
          <w:bCs/>
          <w:color w:val="auto"/>
          <w:spacing w:val="-2"/>
          <w:sz w:val="24"/>
          <w:szCs w:val="24"/>
        </w:rPr>
      </w:pPr>
      <w:r>
        <w:rPr>
          <w:rFonts w:ascii="Times New Roman" w:hAnsi="Times New Roman" w:eastAsia="Times New Roman" w:cs="Times New Roman"/>
          <w:b/>
          <w:bCs/>
          <w:color w:val="auto"/>
          <w:spacing w:val="-2"/>
          <w:sz w:val="24"/>
          <w:szCs w:val="24"/>
        </w:rPr>
        <w:t>4.5.6 振动预测结果</w:t>
      </w:r>
    </w:p>
    <w:p w14:paraId="422231CA">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b/>
          <w:bCs/>
          <w:color w:val="auto"/>
          <w:spacing w:val="-3"/>
          <w:sz w:val="24"/>
          <w:szCs w:val="24"/>
        </w:rPr>
        <w:t>（</w:t>
      </w:r>
      <w:r>
        <w:rPr>
          <w:rFonts w:ascii="Times New Roman" w:hAnsi="Times New Roman" w:eastAsia="Times New Roman" w:cs="Times New Roman"/>
          <w:b/>
          <w:bCs/>
          <w:color w:val="auto"/>
          <w:spacing w:val="-3"/>
          <w:sz w:val="24"/>
          <w:szCs w:val="24"/>
        </w:rPr>
        <w:t>1</w:t>
      </w:r>
      <w:r>
        <w:rPr>
          <w:b/>
          <w:bCs/>
          <w:color w:val="auto"/>
          <w:spacing w:val="-3"/>
          <w:sz w:val="24"/>
          <w:szCs w:val="24"/>
        </w:rPr>
        <w:t>）</w:t>
      </w:r>
      <w:r>
        <w:rPr>
          <w:rFonts w:hint="eastAsia" w:eastAsia="宋体"/>
          <w:b/>
          <w:bCs/>
          <w:color w:val="auto"/>
          <w:spacing w:val="-3"/>
          <w:sz w:val="24"/>
          <w:szCs w:val="24"/>
          <w:lang w:eastAsia="zh-CN"/>
        </w:rPr>
        <w:t>建设</w:t>
      </w:r>
      <w:r>
        <w:rPr>
          <w:b/>
          <w:bCs/>
          <w:color w:val="auto"/>
          <w:spacing w:val="-3"/>
          <w:sz w:val="24"/>
          <w:szCs w:val="24"/>
        </w:rPr>
        <w:t>铁路线营运期振动预测值</w:t>
      </w:r>
    </w:p>
    <w:p w14:paraId="01EB20E7">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jc w:val="center"/>
        <w:textAlignment w:val="baseline"/>
        <w:rPr>
          <w:rFonts w:hint="default" w:eastAsia="宋体"/>
          <w:color w:val="auto"/>
          <w:spacing w:val="-3"/>
          <w:sz w:val="24"/>
          <w:szCs w:val="24"/>
          <w:lang w:val="en-US" w:eastAsia="zh-CN"/>
        </w:rPr>
      </w:pPr>
      <w:r>
        <w:rPr>
          <w:rFonts w:hint="eastAsia" w:eastAsia="宋体"/>
          <w:color w:val="auto"/>
          <w:spacing w:val="-3"/>
          <w:sz w:val="24"/>
          <w:szCs w:val="24"/>
          <w:lang w:val="en-US" w:eastAsia="zh-CN"/>
        </w:rPr>
        <w:t>项目声环境和振动环境评价范围内无声环境保护目标，故不进行评价。</w:t>
      </w:r>
    </w:p>
    <w:p w14:paraId="3EB206E2">
      <w:pPr>
        <w:pStyle w:val="9"/>
        <w:keepNext w:val="0"/>
        <w:keepLines w:val="0"/>
        <w:pageBreakBefore w:val="0"/>
        <w:widowControl/>
        <w:wordWrap/>
        <w:overflowPunct/>
        <w:topLinePunct w:val="0"/>
        <w:autoSpaceDE w:val="0"/>
        <w:autoSpaceDN w:val="0"/>
        <w:bidi w:val="0"/>
        <w:adjustRightInd/>
        <w:snapToGrid/>
        <w:spacing w:line="360" w:lineRule="auto"/>
        <w:ind w:left="0" w:right="0" w:firstLine="468" w:firstLineChars="200"/>
        <w:textAlignment w:val="baseline"/>
        <w:rPr>
          <w:color w:val="auto"/>
          <w:sz w:val="24"/>
          <w:szCs w:val="24"/>
        </w:rPr>
      </w:pPr>
      <w:r>
        <w:rPr>
          <w:b/>
          <w:bCs/>
          <w:color w:val="auto"/>
          <w:spacing w:val="-3"/>
          <w:sz w:val="24"/>
          <w:szCs w:val="24"/>
        </w:rPr>
        <w:t>（</w:t>
      </w:r>
      <w:r>
        <w:rPr>
          <w:rFonts w:ascii="Times New Roman" w:hAnsi="Times New Roman" w:eastAsia="Times New Roman" w:cs="Times New Roman"/>
          <w:b/>
          <w:bCs/>
          <w:color w:val="auto"/>
          <w:spacing w:val="-3"/>
          <w:sz w:val="24"/>
          <w:szCs w:val="24"/>
        </w:rPr>
        <w:t>2</w:t>
      </w:r>
      <w:r>
        <w:rPr>
          <w:b/>
          <w:bCs/>
          <w:color w:val="auto"/>
          <w:spacing w:val="-3"/>
          <w:sz w:val="24"/>
          <w:szCs w:val="24"/>
        </w:rPr>
        <w:t>）</w:t>
      </w:r>
      <w:r>
        <w:rPr>
          <w:rFonts w:hint="eastAsia" w:eastAsia="宋体"/>
          <w:b/>
          <w:bCs/>
          <w:color w:val="auto"/>
          <w:spacing w:val="-3"/>
          <w:sz w:val="24"/>
          <w:szCs w:val="24"/>
          <w:lang w:eastAsia="zh-CN"/>
        </w:rPr>
        <w:t>建设</w:t>
      </w:r>
      <w:r>
        <w:rPr>
          <w:b/>
          <w:bCs/>
          <w:color w:val="auto"/>
          <w:spacing w:val="-3"/>
          <w:sz w:val="24"/>
          <w:szCs w:val="24"/>
        </w:rPr>
        <w:t>铁路线营运期达标控制距离预测</w:t>
      </w:r>
    </w:p>
    <w:p w14:paraId="771C5FD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根据本次评价的环境振动标准和工程特点，本次评价按</w:t>
      </w:r>
      <w:r>
        <w:rPr>
          <w:rFonts w:hint="default" w:ascii="Times New Roman" w:hAnsi="Times New Roman" w:cs="Times New Roman"/>
          <w:b w:val="0"/>
          <w:bCs w:val="0"/>
          <w:color w:val="auto"/>
          <w:spacing w:val="-1"/>
          <w:sz w:val="24"/>
          <w:szCs w:val="24"/>
        </w:rPr>
        <w:t>表</w:t>
      </w:r>
      <w:r>
        <w:rPr>
          <w:rFonts w:hint="default" w:ascii="Times New Roman" w:hAnsi="Times New Roman" w:cs="Times New Roman"/>
          <w:b w:val="0"/>
          <w:bCs w:val="0"/>
          <w:color w:val="auto"/>
          <w:spacing w:val="-53"/>
          <w:sz w:val="24"/>
          <w:szCs w:val="24"/>
        </w:rPr>
        <w:t xml:space="preserve"> </w:t>
      </w:r>
      <w:r>
        <w:rPr>
          <w:rFonts w:hint="default" w:ascii="Times New Roman" w:hAnsi="Times New Roman" w:eastAsia="Times New Roman" w:cs="Times New Roman"/>
          <w:b w:val="0"/>
          <w:bCs w:val="0"/>
          <w:color w:val="auto"/>
          <w:spacing w:val="-1"/>
          <w:sz w:val="24"/>
          <w:szCs w:val="24"/>
        </w:rPr>
        <w:t>4.5-</w:t>
      </w:r>
      <w:r>
        <w:rPr>
          <w:rFonts w:hint="default" w:ascii="Times New Roman" w:hAnsi="Times New Roman" w:eastAsia="Times New Roman" w:cs="Times New Roman"/>
          <w:b w:val="0"/>
          <w:bCs w:val="0"/>
          <w:color w:val="auto"/>
          <w:spacing w:val="-45"/>
          <w:sz w:val="24"/>
          <w:szCs w:val="24"/>
        </w:rPr>
        <w:t xml:space="preserve"> </w:t>
      </w:r>
      <w:r>
        <w:rPr>
          <w:rFonts w:hint="eastAsia" w:ascii="Times New Roman" w:hAnsi="Times New Roman" w:eastAsia="宋体" w:cs="Times New Roman"/>
          <w:b w:val="0"/>
          <w:bCs w:val="0"/>
          <w:color w:val="auto"/>
          <w:spacing w:val="-1"/>
          <w:sz w:val="24"/>
          <w:szCs w:val="24"/>
          <w:lang w:val="en-US" w:eastAsia="zh-CN"/>
        </w:rPr>
        <w:t>1最低速度</w:t>
      </w:r>
      <w:r>
        <w:rPr>
          <w:rFonts w:hint="default" w:ascii="Times New Roman" w:hAnsi="Times New Roman" w:cs="Times New Roman"/>
          <w:color w:val="auto"/>
          <w:spacing w:val="0"/>
          <w:sz w:val="24"/>
          <w:szCs w:val="24"/>
        </w:rPr>
        <w:t>（列车运行</w:t>
      </w:r>
      <w:r>
        <w:rPr>
          <w:rFonts w:hint="eastAsia" w:ascii="Times New Roman" w:hAnsi="Times New Roman" w:eastAsia="宋体" w:cs="Times New Roman"/>
          <w:color w:val="auto"/>
          <w:spacing w:val="0"/>
          <w:sz w:val="24"/>
          <w:szCs w:val="24"/>
          <w:lang w:val="en-US" w:eastAsia="zh-CN"/>
        </w:rPr>
        <w:t>50</w:t>
      </w:r>
      <w:r>
        <w:rPr>
          <w:rFonts w:hint="default" w:ascii="Times New Roman" w:hAnsi="Times New Roman" w:eastAsia="Times New Roman" w:cs="Times New Roman"/>
          <w:color w:val="auto"/>
          <w:spacing w:val="0"/>
          <w:sz w:val="24"/>
          <w:szCs w:val="24"/>
        </w:rPr>
        <w:t>km/h</w:t>
      </w:r>
      <w:r>
        <w:rPr>
          <w:rFonts w:hint="default" w:ascii="Times New Roman" w:hAnsi="Times New Roman" w:cs="Times New Roman"/>
          <w:color w:val="auto"/>
          <w:spacing w:val="0"/>
          <w:sz w:val="24"/>
          <w:szCs w:val="24"/>
        </w:rPr>
        <w:t>），预测列车不同距离处振动预测值，并给出相应路段的振动达标距离，具体详见表</w:t>
      </w:r>
      <w:r>
        <w:rPr>
          <w:rFonts w:hint="eastAsia" w:ascii="Times New Roman" w:hAnsi="Times New Roman" w:eastAsia="宋体" w:cs="Times New Roman"/>
          <w:color w:val="auto"/>
          <w:spacing w:val="0"/>
          <w:sz w:val="24"/>
          <w:szCs w:val="24"/>
          <w:lang w:val="en-US" w:eastAsia="zh-CN"/>
        </w:rPr>
        <w:t>4</w:t>
      </w:r>
      <w:r>
        <w:rPr>
          <w:rFonts w:hint="default" w:ascii="Times New Roman" w:hAnsi="Times New Roman" w:eastAsia="Times New Roman" w:cs="Times New Roman"/>
          <w:color w:val="auto"/>
          <w:spacing w:val="0"/>
          <w:sz w:val="24"/>
          <w:szCs w:val="24"/>
        </w:rPr>
        <w:t>.5</w:t>
      </w:r>
      <w:r>
        <w:rPr>
          <w:rFonts w:hint="eastAsia" w:ascii="Times New Roman" w:hAnsi="Times New Roman" w:eastAsia="宋体" w:cs="Times New Roman"/>
          <w:color w:val="auto"/>
          <w:spacing w:val="0"/>
          <w:sz w:val="24"/>
          <w:szCs w:val="24"/>
          <w:lang w:val="en-US" w:eastAsia="zh-CN"/>
        </w:rPr>
        <w:t>-5</w:t>
      </w:r>
      <w:r>
        <w:rPr>
          <w:rFonts w:hint="default" w:ascii="Times New Roman" w:hAnsi="Times New Roman" w:cs="Times New Roman"/>
          <w:color w:val="auto"/>
          <w:spacing w:val="0"/>
          <w:sz w:val="24"/>
          <w:szCs w:val="24"/>
        </w:rPr>
        <w:t>。</w:t>
      </w:r>
    </w:p>
    <w:p w14:paraId="2CA1E5AA">
      <w:pPr>
        <w:pStyle w:val="9"/>
        <w:keepNext w:val="0"/>
        <w:keepLines w:val="0"/>
        <w:pageBreakBefore w:val="0"/>
        <w:widowControl/>
        <w:wordWrap/>
        <w:overflowPunct/>
        <w:topLinePunct w:val="0"/>
        <w:autoSpaceDE w:val="0"/>
        <w:autoSpaceDN w:val="0"/>
        <w:bidi w:val="0"/>
        <w:adjustRightInd/>
        <w:snapToGrid/>
        <w:spacing w:line="360" w:lineRule="auto"/>
        <w:ind w:left="0" w:right="0" w:firstLine="412" w:firstLineChars="200"/>
        <w:jc w:val="center"/>
        <w:textAlignment w:val="baseline"/>
        <w:rPr>
          <w:color w:val="auto"/>
        </w:rPr>
      </w:pPr>
      <w:r>
        <w:rPr>
          <w:b/>
          <w:bCs/>
          <w:color w:val="auto"/>
          <w:spacing w:val="-2"/>
        </w:rPr>
        <w:t>表</w:t>
      </w:r>
      <w:r>
        <w:rPr>
          <w:color w:val="auto"/>
          <w:spacing w:val="-47"/>
        </w:rPr>
        <w:t xml:space="preserve"> </w:t>
      </w:r>
      <w:r>
        <w:rPr>
          <w:rFonts w:ascii="Times New Roman" w:hAnsi="Times New Roman" w:eastAsia="Times New Roman" w:cs="Times New Roman"/>
          <w:b/>
          <w:bCs/>
          <w:color w:val="auto"/>
          <w:spacing w:val="-2"/>
        </w:rPr>
        <w:t>4.5</w:t>
      </w:r>
      <w:r>
        <w:rPr>
          <w:rFonts w:hint="eastAsia" w:ascii="Times New Roman" w:hAnsi="Times New Roman" w:eastAsia="宋体" w:cs="Times New Roman"/>
          <w:b/>
          <w:bCs/>
          <w:color w:val="auto"/>
          <w:spacing w:val="-2"/>
          <w:lang w:val="en-US" w:eastAsia="zh-CN"/>
        </w:rPr>
        <w:t>-5</w:t>
      </w:r>
      <w:r>
        <w:rPr>
          <w:rFonts w:ascii="Times New Roman" w:hAnsi="Times New Roman" w:eastAsia="Times New Roman" w:cs="Times New Roman"/>
          <w:b/>
          <w:bCs/>
          <w:color w:val="auto"/>
          <w:spacing w:val="-2"/>
        </w:rPr>
        <w:t xml:space="preserve">   </w:t>
      </w:r>
      <w:r>
        <w:rPr>
          <w:b/>
          <w:bCs/>
          <w:color w:val="auto"/>
          <w:spacing w:val="-2"/>
        </w:rPr>
        <w:t>铁路振动达标距离表</w:t>
      </w:r>
    </w:p>
    <w:tbl>
      <w:tblPr>
        <w:tblStyle w:val="26"/>
        <w:tblW w:w="8598" w:type="dxa"/>
        <w:tblInd w:w="15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
        <w:gridCol w:w="857"/>
        <w:gridCol w:w="671"/>
        <w:gridCol w:w="1209"/>
        <w:gridCol w:w="806"/>
        <w:gridCol w:w="890"/>
        <w:gridCol w:w="1030"/>
        <w:gridCol w:w="740"/>
        <w:gridCol w:w="1476"/>
      </w:tblGrid>
      <w:tr w14:paraId="08675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919" w:type="dxa"/>
            <w:vMerge w:val="restart"/>
            <w:tcBorders>
              <w:bottom w:val="nil"/>
            </w:tcBorders>
            <w:vAlign w:val="center"/>
          </w:tcPr>
          <w:p w14:paraId="37F1E7A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r>
              <w:rPr>
                <w:rFonts w:hint="default" w:ascii="Times New Roman" w:hAnsi="Times New Roman" w:cs="Times New Roman" w:eastAsiaTheme="minorEastAsia"/>
                <w:color w:val="auto"/>
                <w:spacing w:val="0"/>
                <w:sz w:val="21"/>
                <w:szCs w:val="21"/>
              </w:rPr>
              <w:t>车速</w:t>
            </w:r>
          </w:p>
        </w:tc>
        <w:tc>
          <w:tcPr>
            <w:tcW w:w="857" w:type="dxa"/>
            <w:vMerge w:val="restart"/>
            <w:tcBorders>
              <w:bottom w:val="nil"/>
            </w:tcBorders>
            <w:vAlign w:val="center"/>
          </w:tcPr>
          <w:p w14:paraId="05BA296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r>
              <w:rPr>
                <w:rFonts w:hint="default" w:ascii="Times New Roman" w:hAnsi="Times New Roman" w:cs="Times New Roman" w:eastAsiaTheme="minorEastAsia"/>
                <w:color w:val="auto"/>
                <w:spacing w:val="0"/>
                <w:sz w:val="21"/>
                <w:szCs w:val="21"/>
              </w:rPr>
              <w:t>线路形式</w:t>
            </w:r>
          </w:p>
        </w:tc>
        <w:tc>
          <w:tcPr>
            <w:tcW w:w="5346" w:type="dxa"/>
            <w:gridSpan w:val="6"/>
            <w:vAlign w:val="center"/>
          </w:tcPr>
          <w:p w14:paraId="09014BF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r>
              <w:rPr>
                <w:rFonts w:hint="default" w:ascii="Times New Roman" w:hAnsi="Times New Roman" w:cs="Times New Roman" w:eastAsiaTheme="minorEastAsia"/>
                <w:color w:val="auto"/>
                <w:spacing w:val="0"/>
                <w:sz w:val="21"/>
                <w:szCs w:val="21"/>
              </w:rPr>
              <w:t>预测值（dB）</w:t>
            </w:r>
          </w:p>
        </w:tc>
        <w:tc>
          <w:tcPr>
            <w:tcW w:w="1476" w:type="dxa"/>
            <w:vAlign w:val="center"/>
          </w:tcPr>
          <w:p w14:paraId="24B2F82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r>
              <w:rPr>
                <w:rFonts w:hint="default" w:ascii="Times New Roman" w:hAnsi="Times New Roman" w:cs="Times New Roman" w:eastAsiaTheme="minorEastAsia"/>
                <w:color w:val="auto"/>
                <w:spacing w:val="0"/>
                <w:sz w:val="21"/>
                <w:szCs w:val="21"/>
              </w:rPr>
              <w:t>达标距离（m）</w:t>
            </w:r>
          </w:p>
        </w:tc>
      </w:tr>
      <w:tr w14:paraId="05794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19" w:type="dxa"/>
            <w:vMerge w:val="continue"/>
            <w:tcBorders>
              <w:top w:val="nil"/>
            </w:tcBorders>
            <w:vAlign w:val="center"/>
          </w:tcPr>
          <w:p w14:paraId="56DE60C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p>
        </w:tc>
        <w:tc>
          <w:tcPr>
            <w:tcW w:w="857" w:type="dxa"/>
            <w:vMerge w:val="continue"/>
            <w:tcBorders>
              <w:top w:val="nil"/>
            </w:tcBorders>
            <w:vAlign w:val="center"/>
          </w:tcPr>
          <w:p w14:paraId="1AF9527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p>
        </w:tc>
        <w:tc>
          <w:tcPr>
            <w:tcW w:w="671" w:type="dxa"/>
            <w:vAlign w:val="center"/>
          </w:tcPr>
          <w:p w14:paraId="147FE04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12</w:t>
            </w:r>
          </w:p>
        </w:tc>
        <w:tc>
          <w:tcPr>
            <w:tcW w:w="1209" w:type="dxa"/>
            <w:vAlign w:val="center"/>
          </w:tcPr>
          <w:p w14:paraId="5813E52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13</w:t>
            </w:r>
          </w:p>
        </w:tc>
        <w:tc>
          <w:tcPr>
            <w:tcW w:w="806" w:type="dxa"/>
            <w:vAlign w:val="center"/>
          </w:tcPr>
          <w:p w14:paraId="1B15E10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13.92</w:t>
            </w:r>
          </w:p>
        </w:tc>
        <w:tc>
          <w:tcPr>
            <w:tcW w:w="890" w:type="dxa"/>
            <w:vAlign w:val="center"/>
          </w:tcPr>
          <w:p w14:paraId="5C13F24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14</w:t>
            </w:r>
          </w:p>
        </w:tc>
        <w:tc>
          <w:tcPr>
            <w:tcW w:w="1030" w:type="dxa"/>
            <w:vAlign w:val="center"/>
          </w:tcPr>
          <w:p w14:paraId="5828D1E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20</w:t>
            </w:r>
          </w:p>
        </w:tc>
        <w:tc>
          <w:tcPr>
            <w:tcW w:w="740" w:type="dxa"/>
            <w:vAlign w:val="center"/>
          </w:tcPr>
          <w:p w14:paraId="3B62836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25</w:t>
            </w:r>
          </w:p>
        </w:tc>
        <w:tc>
          <w:tcPr>
            <w:tcW w:w="1476" w:type="dxa"/>
            <w:vAlign w:val="center"/>
          </w:tcPr>
          <w:p w14:paraId="209C903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r>
              <w:rPr>
                <w:rFonts w:hint="default" w:ascii="Times New Roman" w:hAnsi="Times New Roman" w:cs="Times New Roman" w:eastAsiaTheme="minorEastAsia"/>
                <w:color w:val="auto"/>
                <w:spacing w:val="0"/>
                <w:sz w:val="21"/>
                <w:szCs w:val="21"/>
              </w:rPr>
              <w:t>昼间</w:t>
            </w:r>
          </w:p>
        </w:tc>
      </w:tr>
      <w:tr w14:paraId="01D90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19" w:type="dxa"/>
            <w:vAlign w:val="center"/>
          </w:tcPr>
          <w:p w14:paraId="61480C1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lang w:val="en-US" w:eastAsia="zh-CN"/>
              </w:rPr>
              <w:t>50</w:t>
            </w:r>
            <w:r>
              <w:rPr>
                <w:rFonts w:hint="default" w:ascii="Times New Roman" w:hAnsi="Times New Roman" w:cs="Times New Roman" w:eastAsiaTheme="minorEastAsia"/>
                <w:color w:val="auto"/>
                <w:spacing w:val="0"/>
                <w:sz w:val="21"/>
                <w:szCs w:val="21"/>
              </w:rPr>
              <w:t>km/h</w:t>
            </w:r>
          </w:p>
        </w:tc>
        <w:tc>
          <w:tcPr>
            <w:tcW w:w="857" w:type="dxa"/>
            <w:vAlign w:val="center"/>
          </w:tcPr>
          <w:p w14:paraId="0589240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rPr>
            </w:pPr>
            <w:r>
              <w:rPr>
                <w:rFonts w:hint="default" w:ascii="Times New Roman" w:hAnsi="Times New Roman" w:cs="Times New Roman" w:eastAsiaTheme="minorEastAsia"/>
                <w:color w:val="auto"/>
                <w:spacing w:val="0"/>
                <w:sz w:val="21"/>
                <w:szCs w:val="21"/>
              </w:rPr>
              <w:t>路基</w:t>
            </w:r>
          </w:p>
        </w:tc>
        <w:tc>
          <w:tcPr>
            <w:tcW w:w="671" w:type="dxa"/>
            <w:vAlign w:val="center"/>
          </w:tcPr>
          <w:p w14:paraId="6E0609B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76.29</w:t>
            </w:r>
          </w:p>
        </w:tc>
        <w:tc>
          <w:tcPr>
            <w:tcW w:w="1209" w:type="dxa"/>
            <w:vAlign w:val="center"/>
          </w:tcPr>
          <w:p w14:paraId="749BCD2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75.47</w:t>
            </w:r>
          </w:p>
        </w:tc>
        <w:tc>
          <w:tcPr>
            <w:tcW w:w="806" w:type="dxa"/>
            <w:vAlign w:val="center"/>
          </w:tcPr>
          <w:p w14:paraId="5828235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75.00</w:t>
            </w:r>
          </w:p>
        </w:tc>
        <w:tc>
          <w:tcPr>
            <w:tcW w:w="890" w:type="dxa"/>
            <w:vAlign w:val="center"/>
          </w:tcPr>
          <w:p w14:paraId="427B76F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74.05</w:t>
            </w:r>
          </w:p>
        </w:tc>
        <w:tc>
          <w:tcPr>
            <w:tcW w:w="1030" w:type="dxa"/>
            <w:vAlign w:val="center"/>
          </w:tcPr>
          <w:p w14:paraId="0545D21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72.31</w:t>
            </w:r>
          </w:p>
        </w:tc>
        <w:tc>
          <w:tcPr>
            <w:tcW w:w="740" w:type="dxa"/>
            <w:vAlign w:val="center"/>
          </w:tcPr>
          <w:p w14:paraId="673CB5D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68.33</w:t>
            </w:r>
          </w:p>
        </w:tc>
        <w:tc>
          <w:tcPr>
            <w:tcW w:w="1476" w:type="dxa"/>
            <w:vAlign w:val="center"/>
          </w:tcPr>
          <w:p w14:paraId="01D81E9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baseline"/>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19.0</w:t>
            </w:r>
          </w:p>
        </w:tc>
      </w:tr>
      <w:tr w14:paraId="29C3B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8598" w:type="dxa"/>
            <w:gridSpan w:val="9"/>
            <w:vAlign w:val="top"/>
          </w:tcPr>
          <w:p w14:paraId="77065FF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left"/>
              <w:textAlignment w:val="baseline"/>
              <w:rPr>
                <w:rFonts w:hint="default" w:ascii="Times New Roman" w:hAnsi="Times New Roman" w:cs="Times New Roman" w:eastAsiaTheme="minorEastAsia"/>
                <w:color w:val="auto"/>
                <w:spacing w:val="0"/>
                <w:sz w:val="21"/>
                <w:szCs w:val="21"/>
              </w:rPr>
            </w:pPr>
            <w:r>
              <w:rPr>
                <w:rFonts w:hint="default" w:ascii="Times New Roman" w:hAnsi="Times New Roman" w:cs="Times New Roman" w:eastAsiaTheme="minorEastAsia"/>
                <w:color w:val="auto"/>
                <w:spacing w:val="0"/>
                <w:sz w:val="21"/>
                <w:szCs w:val="21"/>
              </w:rPr>
              <w:t>注：执行《城市区域环境振动标准》（GB10070-88）中</w:t>
            </w:r>
            <w:r>
              <w:rPr>
                <w:rFonts w:hint="eastAsia" w:ascii="Times New Roman" w:hAnsi="Times New Roman" w:cs="Times New Roman" w:eastAsiaTheme="minorEastAsia"/>
                <w:color w:val="auto"/>
                <w:spacing w:val="0"/>
                <w:sz w:val="21"/>
                <w:szCs w:val="21"/>
                <w:lang w:eastAsia="zh-CN"/>
              </w:rPr>
              <w:t>“</w:t>
            </w:r>
            <w:r>
              <w:rPr>
                <w:rFonts w:hint="eastAsia" w:ascii="Times New Roman" w:hAnsi="Times New Roman" w:cs="Times New Roman" w:eastAsiaTheme="minorEastAsia"/>
                <w:color w:val="auto"/>
                <w:spacing w:val="0"/>
                <w:sz w:val="21"/>
                <w:szCs w:val="21"/>
                <w:lang w:val="en-US" w:eastAsia="zh-CN"/>
              </w:rPr>
              <w:t>工业集中区</w:t>
            </w:r>
            <w:r>
              <w:rPr>
                <w:rFonts w:hint="eastAsia" w:ascii="Times New Roman" w:hAnsi="Times New Roman" w:cs="Times New Roman" w:eastAsiaTheme="minorEastAsia"/>
                <w:color w:val="auto"/>
                <w:spacing w:val="0"/>
                <w:sz w:val="21"/>
                <w:szCs w:val="21"/>
                <w:lang w:eastAsia="zh-CN"/>
              </w:rPr>
              <w:t>”</w:t>
            </w:r>
            <w:r>
              <w:rPr>
                <w:rFonts w:hint="default" w:ascii="Times New Roman" w:hAnsi="Times New Roman" w:cs="Times New Roman" w:eastAsiaTheme="minorEastAsia"/>
                <w:color w:val="auto"/>
                <w:spacing w:val="0"/>
                <w:sz w:val="21"/>
                <w:szCs w:val="21"/>
              </w:rPr>
              <w:t>标准，即昼间75dB</w:t>
            </w:r>
            <w:r>
              <w:rPr>
                <w:color w:val="auto"/>
                <w:spacing w:val="6"/>
                <w:sz w:val="20"/>
                <w:szCs w:val="20"/>
              </w:rPr>
              <w:t>，</w:t>
            </w:r>
            <w:r>
              <w:rPr>
                <w:color w:val="auto"/>
                <w:spacing w:val="4"/>
                <w:sz w:val="20"/>
                <w:szCs w:val="20"/>
              </w:rPr>
              <w:t>夜间</w:t>
            </w:r>
            <w:r>
              <w:rPr>
                <w:rFonts w:ascii="Times New Roman" w:hAnsi="Times New Roman" w:eastAsia="Times New Roman" w:cs="Times New Roman"/>
                <w:color w:val="auto"/>
                <w:spacing w:val="4"/>
                <w:sz w:val="20"/>
                <w:szCs w:val="20"/>
              </w:rPr>
              <w:t>72</w:t>
            </w:r>
            <w:r>
              <w:rPr>
                <w:rFonts w:ascii="Times New Roman" w:hAnsi="Times New Roman" w:eastAsia="Times New Roman" w:cs="Times New Roman"/>
                <w:color w:val="auto"/>
                <w:sz w:val="20"/>
                <w:szCs w:val="20"/>
              </w:rPr>
              <w:t>dB</w:t>
            </w:r>
            <w:r>
              <w:rPr>
                <w:rFonts w:hint="default" w:ascii="Times New Roman" w:hAnsi="Times New Roman" w:cs="Times New Roman" w:eastAsiaTheme="minorEastAsia"/>
                <w:color w:val="auto"/>
                <w:spacing w:val="0"/>
                <w:sz w:val="21"/>
                <w:szCs w:val="21"/>
              </w:rPr>
              <w:t>。</w:t>
            </w:r>
          </w:p>
        </w:tc>
      </w:tr>
    </w:tbl>
    <w:p w14:paraId="0CC0BCD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由上表可知，铁路路基距外轨中心线</w:t>
      </w:r>
      <w:r>
        <w:rPr>
          <w:rFonts w:hint="eastAsia" w:ascii="Times New Roman" w:hAnsi="Times New Roman" w:eastAsia="宋体" w:cs="Times New Roman"/>
          <w:color w:val="auto"/>
          <w:spacing w:val="-1"/>
          <w:sz w:val="24"/>
          <w:szCs w:val="24"/>
          <w:lang w:val="en-US" w:eastAsia="zh-CN"/>
        </w:rPr>
        <w:t>13.92</w:t>
      </w:r>
      <w:r>
        <w:rPr>
          <w:rFonts w:ascii="Times New Roman" w:hAnsi="Times New Roman" w:eastAsia="Times New Roman" w:cs="Times New Roman"/>
          <w:color w:val="auto"/>
          <w:spacing w:val="-1"/>
          <w:sz w:val="24"/>
          <w:szCs w:val="24"/>
        </w:rPr>
        <w:t>m</w:t>
      </w:r>
      <w:r>
        <w:rPr>
          <w:color w:val="auto"/>
          <w:spacing w:val="-1"/>
          <w:sz w:val="24"/>
          <w:szCs w:val="24"/>
        </w:rPr>
        <w:t>外</w:t>
      </w:r>
      <w:r>
        <w:rPr>
          <w:rFonts w:hint="eastAsia" w:eastAsia="宋体"/>
          <w:color w:val="auto"/>
          <w:spacing w:val="-1"/>
          <w:sz w:val="24"/>
          <w:szCs w:val="24"/>
          <w:lang w:val="en-US" w:eastAsia="zh-CN"/>
        </w:rPr>
        <w:t>即</w:t>
      </w:r>
      <w:r>
        <w:rPr>
          <w:color w:val="auto"/>
          <w:spacing w:val="-1"/>
          <w:sz w:val="24"/>
          <w:szCs w:val="24"/>
        </w:rPr>
        <w:t>可</w:t>
      </w:r>
      <w:r>
        <w:rPr>
          <w:color w:val="auto"/>
          <w:spacing w:val="-2"/>
          <w:sz w:val="24"/>
          <w:szCs w:val="24"/>
        </w:rPr>
        <w:t>满足《城市区域环境振动标准》（</w:t>
      </w:r>
      <w:r>
        <w:rPr>
          <w:rFonts w:ascii="Times New Roman" w:hAnsi="Times New Roman" w:eastAsia="Times New Roman" w:cs="Times New Roman"/>
          <w:color w:val="auto"/>
          <w:spacing w:val="-2"/>
          <w:sz w:val="24"/>
          <w:szCs w:val="24"/>
        </w:rPr>
        <w:t>GB10070-88</w:t>
      </w:r>
      <w:r>
        <w:rPr>
          <w:color w:val="auto"/>
          <w:spacing w:val="-2"/>
          <w:sz w:val="24"/>
          <w:szCs w:val="24"/>
        </w:rPr>
        <w:t>）中</w:t>
      </w:r>
      <w:r>
        <w:rPr>
          <w:rFonts w:hint="eastAsia" w:eastAsia="宋体"/>
          <w:color w:val="auto"/>
          <w:spacing w:val="-2"/>
          <w:sz w:val="24"/>
          <w:szCs w:val="24"/>
          <w:lang w:eastAsia="zh-CN"/>
        </w:rPr>
        <w:t>“</w:t>
      </w:r>
      <w:r>
        <w:rPr>
          <w:rFonts w:hint="eastAsia" w:eastAsia="宋体"/>
          <w:color w:val="auto"/>
          <w:spacing w:val="-2"/>
          <w:sz w:val="24"/>
          <w:szCs w:val="24"/>
          <w:lang w:val="en-US" w:eastAsia="zh-CN"/>
        </w:rPr>
        <w:t>工业集中区</w:t>
      </w:r>
      <w:r>
        <w:rPr>
          <w:rFonts w:hint="eastAsia" w:eastAsia="宋体"/>
          <w:color w:val="auto"/>
          <w:spacing w:val="-89"/>
          <w:sz w:val="24"/>
          <w:szCs w:val="24"/>
          <w:lang w:eastAsia="zh-CN"/>
        </w:rPr>
        <w:t>”</w:t>
      </w:r>
      <w:r>
        <w:rPr>
          <w:color w:val="auto"/>
          <w:spacing w:val="-2"/>
          <w:sz w:val="24"/>
          <w:szCs w:val="24"/>
        </w:rPr>
        <w:t>标准</w:t>
      </w:r>
      <w:r>
        <w:rPr>
          <w:color w:val="auto"/>
          <w:spacing w:val="-3"/>
          <w:sz w:val="24"/>
          <w:szCs w:val="24"/>
        </w:rPr>
        <w:t>，即昼间</w:t>
      </w:r>
      <w:r>
        <w:rPr>
          <w:rFonts w:ascii="Times New Roman" w:hAnsi="Times New Roman" w:eastAsia="Times New Roman" w:cs="Times New Roman"/>
          <w:color w:val="auto"/>
          <w:spacing w:val="-3"/>
          <w:sz w:val="24"/>
          <w:szCs w:val="24"/>
        </w:rPr>
        <w:t>75dB</w:t>
      </w:r>
      <w:r>
        <w:rPr>
          <w:color w:val="auto"/>
          <w:spacing w:val="-3"/>
          <w:sz w:val="24"/>
          <w:szCs w:val="24"/>
        </w:rPr>
        <w:t>。</w:t>
      </w:r>
    </w:p>
    <w:p w14:paraId="19B25110">
      <w:pPr>
        <w:pStyle w:val="9"/>
        <w:spacing w:before="2" w:line="219" w:lineRule="auto"/>
        <w:ind w:left="145"/>
        <w:outlineLvl w:val="3"/>
        <w:rPr>
          <w:color w:val="auto"/>
          <w:sz w:val="24"/>
          <w:szCs w:val="24"/>
        </w:rPr>
      </w:pPr>
      <w:r>
        <w:rPr>
          <w:rFonts w:ascii="Times New Roman" w:hAnsi="Times New Roman" w:eastAsia="Times New Roman" w:cs="Times New Roman"/>
          <w:b/>
          <w:bCs/>
          <w:color w:val="auto"/>
          <w:spacing w:val="-2"/>
          <w:sz w:val="24"/>
          <w:szCs w:val="24"/>
        </w:rPr>
        <w:t xml:space="preserve">4.5.7 </w:t>
      </w:r>
      <w:r>
        <w:rPr>
          <w:b/>
          <w:bCs/>
          <w:color w:val="auto"/>
          <w:spacing w:val="-2"/>
          <w:sz w:val="24"/>
          <w:szCs w:val="24"/>
        </w:rPr>
        <w:t>振动环境影响评价结论</w:t>
      </w:r>
    </w:p>
    <w:p w14:paraId="53E128E7">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147" w:right="62" w:firstLine="482"/>
        <w:jc w:val="both"/>
        <w:textAlignment w:val="baseline"/>
        <w:rPr>
          <w:rFonts w:hint="default" w:ascii="Times New Roman" w:hAnsi="Times New Roman" w:cs="Times New Roman" w:eastAsiaTheme="minorEastAsia"/>
          <w:color w:val="auto"/>
          <w:spacing w:val="0"/>
          <w:sz w:val="24"/>
          <w:szCs w:val="24"/>
        </w:rPr>
      </w:pPr>
      <w:r>
        <w:rPr>
          <w:rFonts w:hint="default" w:ascii="Times New Roman" w:hAnsi="Times New Roman" w:cs="Times New Roman" w:eastAsiaTheme="minorEastAsia"/>
          <w:color w:val="auto"/>
          <w:spacing w:val="0"/>
          <w:sz w:val="24"/>
          <w:szCs w:val="24"/>
        </w:rPr>
        <w:t>项目铁路外轨中心线60m范围内无敏感点，根据上文预测结果可知，铁路路堤距外轨中心线</w:t>
      </w:r>
      <w:r>
        <w:rPr>
          <w:rFonts w:hint="eastAsia" w:ascii="Times New Roman" w:hAnsi="Times New Roman" w:cs="Times New Roman" w:eastAsiaTheme="minorEastAsia"/>
          <w:color w:val="auto"/>
          <w:spacing w:val="0"/>
          <w:sz w:val="24"/>
          <w:szCs w:val="24"/>
          <w:lang w:val="en-US" w:eastAsia="zh-CN"/>
        </w:rPr>
        <w:t>13.92</w:t>
      </w:r>
      <w:r>
        <w:rPr>
          <w:rFonts w:hint="default" w:ascii="Times New Roman" w:hAnsi="Times New Roman" w:cs="Times New Roman" w:eastAsiaTheme="minorEastAsia"/>
          <w:color w:val="auto"/>
          <w:spacing w:val="0"/>
          <w:sz w:val="24"/>
          <w:szCs w:val="24"/>
        </w:rPr>
        <w:t>m外</w:t>
      </w:r>
      <w:r>
        <w:rPr>
          <w:rFonts w:hint="eastAsia" w:ascii="Times New Roman" w:hAnsi="Times New Roman" w:cs="Times New Roman" w:eastAsiaTheme="minorEastAsia"/>
          <w:color w:val="auto"/>
          <w:spacing w:val="0"/>
          <w:sz w:val="24"/>
          <w:szCs w:val="24"/>
          <w:lang w:val="en-US" w:eastAsia="zh-CN"/>
        </w:rPr>
        <w:t>即</w:t>
      </w:r>
      <w:r>
        <w:rPr>
          <w:rFonts w:hint="default" w:ascii="Times New Roman" w:hAnsi="Times New Roman" w:cs="Times New Roman" w:eastAsiaTheme="minorEastAsia"/>
          <w:color w:val="auto"/>
          <w:spacing w:val="0"/>
          <w:sz w:val="24"/>
          <w:szCs w:val="24"/>
        </w:rPr>
        <w:t>可满足《城市区域环境振动标准》（GB10070-88）中</w:t>
      </w:r>
      <w:r>
        <w:rPr>
          <w:rFonts w:hint="eastAsia" w:ascii="Times New Roman" w:hAnsi="Times New Roman" w:cs="Times New Roman" w:eastAsiaTheme="minorEastAsia"/>
          <w:color w:val="auto"/>
          <w:spacing w:val="0"/>
          <w:sz w:val="24"/>
          <w:szCs w:val="24"/>
          <w:lang w:eastAsia="zh-CN"/>
        </w:rPr>
        <w:t>“</w:t>
      </w:r>
      <w:r>
        <w:rPr>
          <w:rFonts w:hint="eastAsia" w:ascii="Times New Roman" w:hAnsi="Times New Roman" w:cs="Times New Roman" w:eastAsiaTheme="minorEastAsia"/>
          <w:color w:val="auto"/>
          <w:spacing w:val="0"/>
          <w:sz w:val="24"/>
          <w:szCs w:val="24"/>
          <w:lang w:val="en-US" w:eastAsia="zh-CN"/>
        </w:rPr>
        <w:t>工业集中区</w:t>
      </w:r>
      <w:r>
        <w:rPr>
          <w:rFonts w:hint="eastAsia" w:ascii="Times New Roman" w:hAnsi="Times New Roman" w:cs="Times New Roman" w:eastAsiaTheme="minorEastAsia"/>
          <w:color w:val="auto"/>
          <w:spacing w:val="0"/>
          <w:sz w:val="24"/>
          <w:szCs w:val="24"/>
          <w:lang w:eastAsia="zh-CN"/>
        </w:rPr>
        <w:t>”</w:t>
      </w:r>
      <w:r>
        <w:rPr>
          <w:rFonts w:hint="default" w:ascii="Times New Roman" w:hAnsi="Times New Roman" w:cs="Times New Roman" w:eastAsiaTheme="minorEastAsia"/>
          <w:color w:val="auto"/>
          <w:spacing w:val="0"/>
          <w:sz w:val="24"/>
          <w:szCs w:val="24"/>
        </w:rPr>
        <w:t>标准，即昼间75dB。</w:t>
      </w:r>
    </w:p>
    <w:p w14:paraId="5FBF37B7">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147" w:right="62" w:firstLine="482"/>
        <w:jc w:val="both"/>
        <w:textAlignment w:val="baseline"/>
        <w:rPr>
          <w:rFonts w:hint="default" w:ascii="Times New Roman" w:hAnsi="Times New Roman" w:cs="Times New Roman" w:eastAsiaTheme="minorEastAsia"/>
          <w:color w:val="auto"/>
          <w:spacing w:val="0"/>
          <w:sz w:val="24"/>
          <w:szCs w:val="24"/>
        </w:rPr>
      </w:pPr>
      <w:r>
        <w:rPr>
          <w:rFonts w:hint="eastAsia" w:ascii="Times New Roman" w:hAnsi="Times New Roman" w:cs="Times New Roman" w:eastAsiaTheme="minorEastAsia"/>
          <w:color w:val="auto"/>
          <w:spacing w:val="0"/>
          <w:sz w:val="24"/>
          <w:szCs w:val="24"/>
          <w:lang w:val="en-US" w:eastAsia="zh-CN"/>
        </w:rPr>
        <w:t>由于列车在项目区设计速度最高为25km/h，项目采用50km/h作为源强进行预测，预测结果表明50km/h作为设计速度，列车在</w:t>
      </w:r>
      <w:r>
        <w:rPr>
          <w:rFonts w:hint="default" w:ascii="Times New Roman" w:hAnsi="Times New Roman" w:cs="Times New Roman" w:eastAsiaTheme="minorEastAsia"/>
          <w:color w:val="auto"/>
          <w:spacing w:val="0"/>
          <w:sz w:val="24"/>
          <w:szCs w:val="24"/>
        </w:rPr>
        <w:t>铁路路堤距外轨中心线</w:t>
      </w:r>
      <w:r>
        <w:rPr>
          <w:rFonts w:hint="eastAsia" w:ascii="Times New Roman" w:hAnsi="Times New Roman" w:cs="Times New Roman" w:eastAsiaTheme="minorEastAsia"/>
          <w:color w:val="auto"/>
          <w:spacing w:val="0"/>
          <w:sz w:val="24"/>
          <w:szCs w:val="24"/>
          <w:lang w:val="en-US" w:eastAsia="zh-CN"/>
        </w:rPr>
        <w:t>13.92</w:t>
      </w:r>
      <w:r>
        <w:rPr>
          <w:rFonts w:hint="default" w:ascii="Times New Roman" w:hAnsi="Times New Roman" w:cs="Times New Roman" w:eastAsiaTheme="minorEastAsia"/>
          <w:color w:val="auto"/>
          <w:spacing w:val="0"/>
          <w:sz w:val="24"/>
          <w:szCs w:val="24"/>
        </w:rPr>
        <w:t>m外</w:t>
      </w:r>
      <w:r>
        <w:rPr>
          <w:rFonts w:hint="eastAsia" w:ascii="Times New Roman" w:hAnsi="Times New Roman" w:cs="Times New Roman" w:eastAsiaTheme="minorEastAsia"/>
          <w:color w:val="auto"/>
          <w:spacing w:val="0"/>
          <w:sz w:val="24"/>
          <w:szCs w:val="24"/>
          <w:lang w:val="en-US" w:eastAsia="zh-CN"/>
        </w:rPr>
        <w:t>即</w:t>
      </w:r>
      <w:r>
        <w:rPr>
          <w:rFonts w:hint="default" w:ascii="Times New Roman" w:hAnsi="Times New Roman" w:cs="Times New Roman" w:eastAsiaTheme="minorEastAsia"/>
          <w:color w:val="auto"/>
          <w:spacing w:val="0"/>
          <w:sz w:val="24"/>
          <w:szCs w:val="24"/>
        </w:rPr>
        <w:t>可满足《城市区域环境振动标准》（GB10070-88）中</w:t>
      </w:r>
      <w:r>
        <w:rPr>
          <w:rFonts w:hint="eastAsia" w:ascii="Times New Roman" w:hAnsi="Times New Roman" w:cs="Times New Roman" w:eastAsiaTheme="minorEastAsia"/>
          <w:color w:val="auto"/>
          <w:spacing w:val="0"/>
          <w:sz w:val="24"/>
          <w:szCs w:val="24"/>
          <w:lang w:eastAsia="zh-CN"/>
        </w:rPr>
        <w:t>“</w:t>
      </w:r>
      <w:r>
        <w:rPr>
          <w:rFonts w:hint="eastAsia" w:ascii="Times New Roman" w:hAnsi="Times New Roman" w:cs="Times New Roman" w:eastAsiaTheme="minorEastAsia"/>
          <w:color w:val="auto"/>
          <w:spacing w:val="0"/>
          <w:sz w:val="24"/>
          <w:szCs w:val="24"/>
          <w:lang w:val="en-US" w:eastAsia="zh-CN"/>
        </w:rPr>
        <w:t>工业集中区</w:t>
      </w:r>
      <w:r>
        <w:rPr>
          <w:rFonts w:hint="eastAsia" w:ascii="Times New Roman" w:hAnsi="Times New Roman" w:cs="Times New Roman" w:eastAsiaTheme="minorEastAsia"/>
          <w:color w:val="auto"/>
          <w:spacing w:val="0"/>
          <w:sz w:val="24"/>
          <w:szCs w:val="24"/>
          <w:lang w:eastAsia="zh-CN"/>
        </w:rPr>
        <w:t>”</w:t>
      </w:r>
      <w:r>
        <w:rPr>
          <w:rFonts w:hint="default" w:ascii="Times New Roman" w:hAnsi="Times New Roman" w:cs="Times New Roman" w:eastAsiaTheme="minorEastAsia"/>
          <w:color w:val="auto"/>
          <w:spacing w:val="0"/>
          <w:sz w:val="24"/>
          <w:szCs w:val="24"/>
        </w:rPr>
        <w:t>标准</w:t>
      </w:r>
      <w:r>
        <w:rPr>
          <w:rFonts w:hint="eastAsia" w:ascii="Times New Roman" w:hAnsi="Times New Roman" w:cs="Times New Roman" w:eastAsiaTheme="minorEastAsia"/>
          <w:color w:val="auto"/>
          <w:spacing w:val="0"/>
          <w:sz w:val="24"/>
          <w:szCs w:val="24"/>
          <w:lang w:val="en-US" w:eastAsia="zh-CN"/>
        </w:rPr>
        <w:t>，则项目实际的运行速度25km/h也可在13.92</w:t>
      </w:r>
      <w:r>
        <w:rPr>
          <w:rFonts w:hint="default" w:ascii="Times New Roman" w:hAnsi="Times New Roman" w:cs="Times New Roman" w:eastAsiaTheme="minorEastAsia"/>
          <w:color w:val="auto"/>
          <w:spacing w:val="0"/>
          <w:sz w:val="24"/>
          <w:szCs w:val="24"/>
        </w:rPr>
        <w:t>m外</w:t>
      </w:r>
      <w:r>
        <w:rPr>
          <w:rFonts w:hint="eastAsia" w:ascii="Times New Roman" w:hAnsi="Times New Roman" w:cs="Times New Roman" w:eastAsiaTheme="minorEastAsia"/>
          <w:color w:val="auto"/>
          <w:spacing w:val="0"/>
          <w:sz w:val="24"/>
          <w:szCs w:val="24"/>
          <w:lang w:val="en-US" w:eastAsia="zh-CN"/>
        </w:rPr>
        <w:t>满足</w:t>
      </w:r>
      <w:r>
        <w:rPr>
          <w:rFonts w:hint="default" w:ascii="Times New Roman" w:hAnsi="Times New Roman" w:cs="Times New Roman" w:eastAsiaTheme="minorEastAsia"/>
          <w:color w:val="auto"/>
          <w:spacing w:val="0"/>
          <w:sz w:val="24"/>
          <w:szCs w:val="24"/>
        </w:rPr>
        <w:t>《城市区域环境振动标准》（GB10070-88）中</w:t>
      </w:r>
      <w:r>
        <w:rPr>
          <w:rFonts w:hint="eastAsia" w:ascii="Times New Roman" w:hAnsi="Times New Roman" w:cs="Times New Roman" w:eastAsiaTheme="minorEastAsia"/>
          <w:color w:val="auto"/>
          <w:spacing w:val="0"/>
          <w:sz w:val="24"/>
          <w:szCs w:val="24"/>
          <w:lang w:eastAsia="zh-CN"/>
        </w:rPr>
        <w:t>“</w:t>
      </w:r>
      <w:r>
        <w:rPr>
          <w:rFonts w:hint="eastAsia" w:ascii="Times New Roman" w:hAnsi="Times New Roman" w:cs="Times New Roman" w:eastAsiaTheme="minorEastAsia"/>
          <w:color w:val="auto"/>
          <w:spacing w:val="0"/>
          <w:sz w:val="24"/>
          <w:szCs w:val="24"/>
          <w:lang w:val="en-US" w:eastAsia="zh-CN"/>
        </w:rPr>
        <w:t>工业集中区</w:t>
      </w:r>
      <w:r>
        <w:rPr>
          <w:rFonts w:hint="eastAsia" w:ascii="Times New Roman" w:hAnsi="Times New Roman" w:cs="Times New Roman" w:eastAsiaTheme="minorEastAsia"/>
          <w:color w:val="auto"/>
          <w:spacing w:val="0"/>
          <w:sz w:val="24"/>
          <w:szCs w:val="24"/>
          <w:lang w:eastAsia="zh-CN"/>
        </w:rPr>
        <w:t>”</w:t>
      </w:r>
      <w:r>
        <w:rPr>
          <w:rFonts w:hint="default" w:ascii="Times New Roman" w:hAnsi="Times New Roman" w:cs="Times New Roman" w:eastAsiaTheme="minorEastAsia"/>
          <w:color w:val="auto"/>
          <w:spacing w:val="0"/>
          <w:sz w:val="24"/>
          <w:szCs w:val="24"/>
        </w:rPr>
        <w:t>标准</w:t>
      </w:r>
      <w:r>
        <w:rPr>
          <w:rFonts w:hint="eastAsia" w:ascii="Times New Roman" w:hAnsi="Times New Roman" w:cs="Times New Roman" w:eastAsiaTheme="minorEastAsia"/>
          <w:color w:val="auto"/>
          <w:spacing w:val="0"/>
          <w:sz w:val="24"/>
          <w:szCs w:val="24"/>
          <w:lang w:val="en-US" w:eastAsia="zh-CN"/>
        </w:rPr>
        <w:t>要求。</w:t>
      </w:r>
    </w:p>
    <w:p w14:paraId="746DD81A">
      <w:pPr>
        <w:pStyle w:val="9"/>
        <w:keepNext w:val="0"/>
        <w:keepLines w:val="0"/>
        <w:pageBreakBefore w:val="0"/>
        <w:widowControl/>
        <w:kinsoku w:val="0"/>
        <w:wordWrap/>
        <w:overflowPunct/>
        <w:topLinePunct w:val="0"/>
        <w:autoSpaceDE w:val="0"/>
        <w:autoSpaceDN w:val="0"/>
        <w:bidi w:val="0"/>
        <w:adjustRightInd w:val="0"/>
        <w:snapToGrid w:val="0"/>
        <w:spacing w:before="3" w:line="221" w:lineRule="auto"/>
        <w:ind w:left="238"/>
        <w:textAlignment w:val="baseline"/>
        <w:outlineLvl w:val="1"/>
        <w:rPr>
          <w:color w:val="auto"/>
          <w:sz w:val="30"/>
          <w:szCs w:val="30"/>
        </w:rPr>
      </w:pPr>
      <w:bookmarkStart w:id="166" w:name="bookmark32"/>
      <w:bookmarkEnd w:id="166"/>
      <w:bookmarkStart w:id="167" w:name="_Toc11286"/>
      <w:r>
        <w:rPr>
          <w:rFonts w:ascii="Times New Roman" w:hAnsi="Times New Roman" w:eastAsia="Times New Roman" w:cs="Times New Roman"/>
          <w:b/>
          <w:bCs/>
          <w:color w:val="auto"/>
          <w:spacing w:val="-3"/>
          <w:sz w:val="30"/>
          <w:szCs w:val="30"/>
        </w:rPr>
        <w:t>4.6.</w:t>
      </w:r>
      <w:r>
        <w:rPr>
          <w:b/>
          <w:bCs/>
          <w:color w:val="auto"/>
          <w:spacing w:val="-3"/>
          <w:sz w:val="30"/>
          <w:szCs w:val="30"/>
        </w:rPr>
        <w:t>运营期固体废物影响分析</w:t>
      </w:r>
      <w:bookmarkEnd w:id="167"/>
    </w:p>
    <w:p w14:paraId="26001AC7">
      <w:pPr>
        <w:pStyle w:val="9"/>
        <w:spacing w:before="222" w:line="220" w:lineRule="auto"/>
        <w:ind w:left="239"/>
        <w:outlineLvl w:val="3"/>
        <w:rPr>
          <w:color w:val="auto"/>
          <w:sz w:val="28"/>
          <w:szCs w:val="28"/>
        </w:rPr>
      </w:pPr>
      <w:r>
        <w:rPr>
          <w:rFonts w:ascii="Times New Roman" w:hAnsi="Times New Roman" w:eastAsia="Times New Roman" w:cs="Times New Roman"/>
          <w:b/>
          <w:bCs/>
          <w:color w:val="auto"/>
          <w:spacing w:val="-4"/>
          <w:sz w:val="28"/>
          <w:szCs w:val="28"/>
        </w:rPr>
        <w:t>4.6.1</w:t>
      </w:r>
      <w:r>
        <w:rPr>
          <w:rFonts w:ascii="Times New Roman" w:hAnsi="Times New Roman" w:eastAsia="Times New Roman" w:cs="Times New Roman"/>
          <w:b/>
          <w:bCs/>
          <w:color w:val="auto"/>
          <w:spacing w:val="37"/>
          <w:sz w:val="28"/>
          <w:szCs w:val="28"/>
        </w:rPr>
        <w:t xml:space="preserve"> </w:t>
      </w:r>
      <w:r>
        <w:rPr>
          <w:b/>
          <w:bCs/>
          <w:color w:val="auto"/>
          <w:spacing w:val="-4"/>
          <w:sz w:val="28"/>
          <w:szCs w:val="28"/>
        </w:rPr>
        <w:t>固体废物产生量的种类及数量</w:t>
      </w:r>
    </w:p>
    <w:p w14:paraId="56BC585F">
      <w:pPr>
        <w:pStyle w:val="9"/>
        <w:spacing w:before="204" w:line="359" w:lineRule="auto"/>
        <w:ind w:left="243" w:firstLine="507"/>
        <w:jc w:val="both"/>
        <w:rPr>
          <w:color w:val="auto"/>
          <w:sz w:val="24"/>
          <w:szCs w:val="24"/>
        </w:rPr>
      </w:pPr>
      <w:r>
        <w:rPr>
          <w:color w:val="auto"/>
          <w:sz w:val="24"/>
          <w:szCs w:val="24"/>
        </w:rPr>
        <w:t>由上文固体废物章节分析，项目运营期产生的固体废物主要是工作</w:t>
      </w:r>
      <w:r>
        <w:rPr>
          <w:color w:val="auto"/>
          <w:spacing w:val="-8"/>
          <w:sz w:val="24"/>
          <w:szCs w:val="24"/>
        </w:rPr>
        <w:t>人员的生活垃圾、污泥、废矿物，</w:t>
      </w:r>
      <w:r>
        <w:rPr>
          <w:color w:val="auto"/>
          <w:spacing w:val="-2"/>
          <w:sz w:val="24"/>
          <w:szCs w:val="24"/>
        </w:rPr>
        <w:t>固体废物产生及处置方式详见下表</w:t>
      </w:r>
      <w:r>
        <w:rPr>
          <w:color w:val="auto"/>
          <w:spacing w:val="-55"/>
          <w:sz w:val="24"/>
          <w:szCs w:val="24"/>
        </w:rPr>
        <w:t xml:space="preserve"> </w:t>
      </w:r>
      <w:r>
        <w:rPr>
          <w:rFonts w:ascii="Times New Roman" w:hAnsi="Times New Roman" w:eastAsia="Times New Roman" w:cs="Times New Roman"/>
          <w:color w:val="auto"/>
          <w:spacing w:val="-2"/>
          <w:sz w:val="24"/>
          <w:szCs w:val="24"/>
        </w:rPr>
        <w:t>4.6.1-</w:t>
      </w:r>
      <w:r>
        <w:rPr>
          <w:rFonts w:ascii="Times New Roman" w:hAnsi="Times New Roman" w:eastAsia="Times New Roman" w:cs="Times New Roman"/>
          <w:color w:val="auto"/>
          <w:spacing w:val="-33"/>
          <w:sz w:val="24"/>
          <w:szCs w:val="24"/>
        </w:rPr>
        <w:t xml:space="preserve"> </w:t>
      </w:r>
      <w:r>
        <w:rPr>
          <w:rFonts w:ascii="Times New Roman" w:hAnsi="Times New Roman" w:eastAsia="Times New Roman" w:cs="Times New Roman"/>
          <w:color w:val="auto"/>
          <w:spacing w:val="-2"/>
          <w:sz w:val="24"/>
          <w:szCs w:val="24"/>
        </w:rPr>
        <w:t>1</w:t>
      </w:r>
      <w:r>
        <w:rPr>
          <w:color w:val="auto"/>
          <w:spacing w:val="-2"/>
          <w:sz w:val="24"/>
          <w:szCs w:val="24"/>
        </w:rPr>
        <w:t>。</w:t>
      </w:r>
    </w:p>
    <w:p w14:paraId="796D9807">
      <w:pPr>
        <w:pStyle w:val="9"/>
        <w:spacing w:line="213" w:lineRule="auto"/>
        <w:ind w:left="2760"/>
        <w:rPr>
          <w:color w:val="auto"/>
        </w:rPr>
      </w:pPr>
      <w:r>
        <w:rPr>
          <w:b/>
          <w:bCs/>
          <w:color w:val="auto"/>
          <w:spacing w:val="-4"/>
        </w:rPr>
        <w:t>表</w:t>
      </w:r>
      <w:r>
        <w:rPr>
          <w:color w:val="auto"/>
          <w:spacing w:val="-45"/>
        </w:rPr>
        <w:t xml:space="preserve"> </w:t>
      </w:r>
      <w:r>
        <w:rPr>
          <w:rFonts w:ascii="Times New Roman" w:hAnsi="Times New Roman" w:eastAsia="Times New Roman" w:cs="Times New Roman"/>
          <w:b/>
          <w:bCs/>
          <w:color w:val="auto"/>
          <w:spacing w:val="-4"/>
        </w:rPr>
        <w:t>4.6-1</w:t>
      </w:r>
      <w:r>
        <w:rPr>
          <w:rFonts w:ascii="Times New Roman" w:hAnsi="Times New Roman" w:eastAsia="Times New Roman" w:cs="Times New Roman"/>
          <w:b/>
          <w:bCs/>
          <w:color w:val="auto"/>
          <w:spacing w:val="15"/>
        </w:rPr>
        <w:t xml:space="preserve">  </w:t>
      </w:r>
      <w:r>
        <w:rPr>
          <w:b/>
          <w:bCs/>
          <w:color w:val="auto"/>
          <w:spacing w:val="-4"/>
        </w:rPr>
        <w:t>固体废物产生及处置情况</w:t>
      </w:r>
    </w:p>
    <w:tbl>
      <w:tblPr>
        <w:tblStyle w:val="22"/>
        <w:tblW w:w="45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728"/>
        <w:gridCol w:w="1057"/>
        <w:gridCol w:w="2326"/>
        <w:gridCol w:w="1579"/>
        <w:gridCol w:w="1120"/>
      </w:tblGrid>
      <w:tr w14:paraId="2604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693" w:type="pct"/>
            <w:vMerge w:val="restart"/>
            <w:noWrap w:val="0"/>
            <w:vAlign w:val="center"/>
          </w:tcPr>
          <w:p w14:paraId="50C5F821">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工序</w:t>
            </w:r>
          </w:p>
        </w:tc>
        <w:tc>
          <w:tcPr>
            <w:tcW w:w="460" w:type="pct"/>
            <w:vMerge w:val="restart"/>
            <w:noWrap w:val="0"/>
            <w:vAlign w:val="center"/>
          </w:tcPr>
          <w:p w14:paraId="19412647">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装置</w:t>
            </w:r>
          </w:p>
        </w:tc>
        <w:tc>
          <w:tcPr>
            <w:tcW w:w="668" w:type="pct"/>
            <w:vMerge w:val="restart"/>
            <w:noWrap w:val="0"/>
            <w:vAlign w:val="center"/>
          </w:tcPr>
          <w:p w14:paraId="597B1D5F">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产生量/（t/a）</w:t>
            </w:r>
          </w:p>
        </w:tc>
        <w:tc>
          <w:tcPr>
            <w:tcW w:w="2469" w:type="pct"/>
            <w:gridSpan w:val="2"/>
            <w:noWrap w:val="0"/>
            <w:vAlign w:val="center"/>
          </w:tcPr>
          <w:p w14:paraId="74F23A23">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处置措施</w:t>
            </w:r>
          </w:p>
        </w:tc>
        <w:tc>
          <w:tcPr>
            <w:tcW w:w="708" w:type="pct"/>
            <w:vMerge w:val="restart"/>
            <w:noWrap w:val="0"/>
            <w:vAlign w:val="center"/>
          </w:tcPr>
          <w:p w14:paraId="45E98726">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最终</w:t>
            </w:r>
          </w:p>
          <w:p w14:paraId="1CCF7E11">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去向</w:t>
            </w:r>
          </w:p>
        </w:tc>
      </w:tr>
      <w:tr w14:paraId="01B3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3" w:type="pct"/>
            <w:vMerge w:val="continue"/>
            <w:noWrap w:val="0"/>
            <w:vAlign w:val="center"/>
          </w:tcPr>
          <w:p w14:paraId="15CB45EC">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p>
        </w:tc>
        <w:tc>
          <w:tcPr>
            <w:tcW w:w="460" w:type="pct"/>
            <w:vMerge w:val="continue"/>
            <w:noWrap w:val="0"/>
            <w:vAlign w:val="center"/>
          </w:tcPr>
          <w:p w14:paraId="19112802">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p>
        </w:tc>
        <w:tc>
          <w:tcPr>
            <w:tcW w:w="668" w:type="pct"/>
            <w:vMerge w:val="continue"/>
            <w:noWrap w:val="0"/>
            <w:vAlign w:val="center"/>
          </w:tcPr>
          <w:p w14:paraId="25A2C6DC">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p>
        </w:tc>
        <w:tc>
          <w:tcPr>
            <w:tcW w:w="1471" w:type="pct"/>
            <w:noWrap w:val="0"/>
            <w:vAlign w:val="center"/>
          </w:tcPr>
          <w:p w14:paraId="69D13F1D">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工艺</w:t>
            </w:r>
          </w:p>
        </w:tc>
        <w:tc>
          <w:tcPr>
            <w:tcW w:w="998" w:type="pct"/>
            <w:noWrap w:val="0"/>
            <w:vAlign w:val="center"/>
          </w:tcPr>
          <w:p w14:paraId="130CE94E">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bCs w:val="0"/>
                <w:color w:val="auto"/>
                <w:kern w:val="2"/>
                <w:sz w:val="21"/>
                <w:szCs w:val="21"/>
                <w:highlight w:val="none"/>
                <w:vertAlign w:val="baseline"/>
                <w:lang w:val="en-US" w:eastAsia="zh-CN"/>
              </w:rPr>
            </w:pPr>
            <w:r>
              <w:rPr>
                <w:rFonts w:hint="default" w:ascii="Times New Roman" w:hAnsi="Times New Roman" w:eastAsia="宋体" w:cs="Times New Roman"/>
                <w:b/>
                <w:bCs w:val="0"/>
                <w:color w:val="auto"/>
                <w:kern w:val="2"/>
                <w:sz w:val="21"/>
                <w:szCs w:val="21"/>
                <w:highlight w:val="none"/>
                <w:vertAlign w:val="baseline"/>
                <w:lang w:val="en-US" w:eastAsia="zh-CN"/>
              </w:rPr>
              <w:t>处置量/（t/a）</w:t>
            </w:r>
          </w:p>
        </w:tc>
        <w:tc>
          <w:tcPr>
            <w:tcW w:w="708" w:type="pct"/>
            <w:vMerge w:val="continue"/>
            <w:noWrap w:val="0"/>
            <w:vAlign w:val="center"/>
          </w:tcPr>
          <w:p w14:paraId="792A2AF6">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p>
        </w:tc>
      </w:tr>
      <w:tr w14:paraId="1CB6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93" w:type="pct"/>
            <w:noWrap w:val="0"/>
            <w:vAlign w:val="center"/>
          </w:tcPr>
          <w:p w14:paraId="11DA91F3">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员工办公生活</w:t>
            </w:r>
          </w:p>
        </w:tc>
        <w:tc>
          <w:tcPr>
            <w:tcW w:w="460" w:type="pct"/>
            <w:noWrap w:val="0"/>
            <w:vAlign w:val="center"/>
          </w:tcPr>
          <w:p w14:paraId="40AEAD8C">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办公楼</w:t>
            </w:r>
          </w:p>
        </w:tc>
        <w:tc>
          <w:tcPr>
            <w:tcW w:w="668" w:type="pct"/>
            <w:noWrap w:val="0"/>
            <w:vAlign w:val="center"/>
          </w:tcPr>
          <w:p w14:paraId="59F44C27">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eastAsia="宋体" w:cs="Times New Roman"/>
                <w:b w:val="0"/>
                <w:bCs/>
                <w:color w:val="auto"/>
                <w:kern w:val="2"/>
                <w:sz w:val="21"/>
                <w:szCs w:val="21"/>
                <w:highlight w:val="none"/>
                <w:vertAlign w:val="baseline"/>
                <w:lang w:val="en-US" w:eastAsia="zh-CN"/>
              </w:rPr>
              <w:t>4.752</w:t>
            </w:r>
          </w:p>
        </w:tc>
        <w:tc>
          <w:tcPr>
            <w:tcW w:w="1471" w:type="pct"/>
            <w:noWrap w:val="0"/>
            <w:vAlign w:val="center"/>
          </w:tcPr>
          <w:p w14:paraId="0DC3DB6F">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收集至垃圾桶内，存储一定量后交由环卫部门统一清运处置。</w:t>
            </w:r>
          </w:p>
        </w:tc>
        <w:tc>
          <w:tcPr>
            <w:tcW w:w="998" w:type="pct"/>
            <w:noWrap w:val="0"/>
            <w:vAlign w:val="center"/>
          </w:tcPr>
          <w:p w14:paraId="59362D5D">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eastAsia="宋体" w:cs="Times New Roman"/>
                <w:b w:val="0"/>
                <w:bCs/>
                <w:color w:val="auto"/>
                <w:kern w:val="2"/>
                <w:sz w:val="21"/>
                <w:szCs w:val="21"/>
                <w:highlight w:val="none"/>
                <w:vertAlign w:val="baseline"/>
                <w:lang w:val="en-US" w:eastAsia="zh-CN"/>
              </w:rPr>
              <w:t>4.752</w:t>
            </w:r>
          </w:p>
        </w:tc>
        <w:tc>
          <w:tcPr>
            <w:tcW w:w="708" w:type="pct"/>
            <w:noWrap w:val="0"/>
            <w:vAlign w:val="center"/>
          </w:tcPr>
          <w:p w14:paraId="57A52F28">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环卫</w:t>
            </w:r>
          </w:p>
          <w:p w14:paraId="362CF0E2">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部门</w:t>
            </w:r>
          </w:p>
        </w:tc>
      </w:tr>
      <w:tr w14:paraId="1015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93" w:type="pct"/>
            <w:noWrap w:val="0"/>
            <w:vAlign w:val="center"/>
          </w:tcPr>
          <w:p w14:paraId="324CCFBA">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生活废水处理工序</w:t>
            </w:r>
          </w:p>
        </w:tc>
        <w:tc>
          <w:tcPr>
            <w:tcW w:w="460" w:type="pct"/>
            <w:noWrap w:val="0"/>
            <w:vAlign w:val="center"/>
          </w:tcPr>
          <w:p w14:paraId="2CE28A97">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化粪池</w:t>
            </w:r>
          </w:p>
        </w:tc>
        <w:tc>
          <w:tcPr>
            <w:tcW w:w="668" w:type="pct"/>
            <w:vMerge w:val="restart"/>
            <w:noWrap w:val="0"/>
            <w:vAlign w:val="center"/>
          </w:tcPr>
          <w:p w14:paraId="66982F51">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1.17</w:t>
            </w:r>
          </w:p>
        </w:tc>
        <w:tc>
          <w:tcPr>
            <w:tcW w:w="1471" w:type="pct"/>
            <w:noWrap w:val="0"/>
            <w:vAlign w:val="center"/>
          </w:tcPr>
          <w:p w14:paraId="245638B9">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委托环卫部门统一清掏处置</w:t>
            </w:r>
          </w:p>
        </w:tc>
        <w:tc>
          <w:tcPr>
            <w:tcW w:w="998" w:type="pct"/>
            <w:vMerge w:val="restart"/>
            <w:noWrap w:val="0"/>
            <w:vAlign w:val="center"/>
          </w:tcPr>
          <w:p w14:paraId="26EB980E">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1.17</w:t>
            </w:r>
          </w:p>
        </w:tc>
        <w:tc>
          <w:tcPr>
            <w:tcW w:w="708" w:type="pct"/>
            <w:noWrap w:val="0"/>
            <w:vAlign w:val="center"/>
          </w:tcPr>
          <w:p w14:paraId="43E1C8A7">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环卫</w:t>
            </w:r>
          </w:p>
          <w:p w14:paraId="157B8C0D">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部门</w:t>
            </w:r>
          </w:p>
        </w:tc>
      </w:tr>
      <w:tr w14:paraId="334E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693" w:type="pct"/>
            <w:noWrap w:val="0"/>
            <w:vAlign w:val="center"/>
          </w:tcPr>
          <w:p w14:paraId="014AA327">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初期雨水处理工序</w:t>
            </w:r>
          </w:p>
        </w:tc>
        <w:tc>
          <w:tcPr>
            <w:tcW w:w="460" w:type="pct"/>
            <w:noWrap w:val="0"/>
            <w:vAlign w:val="center"/>
          </w:tcPr>
          <w:p w14:paraId="4FE066D9">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初期雨水收集池</w:t>
            </w:r>
          </w:p>
        </w:tc>
        <w:tc>
          <w:tcPr>
            <w:tcW w:w="668" w:type="pct"/>
            <w:vMerge w:val="continue"/>
            <w:noWrap w:val="0"/>
            <w:vAlign w:val="center"/>
          </w:tcPr>
          <w:p w14:paraId="0317CDD6">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p>
        </w:tc>
        <w:tc>
          <w:tcPr>
            <w:tcW w:w="1471" w:type="pct"/>
            <w:noWrap w:val="0"/>
            <w:vAlign w:val="center"/>
          </w:tcPr>
          <w:p w14:paraId="2C783A84">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委托环卫部门统一清掏处置</w:t>
            </w:r>
          </w:p>
        </w:tc>
        <w:tc>
          <w:tcPr>
            <w:tcW w:w="998" w:type="pct"/>
            <w:vMerge w:val="continue"/>
            <w:noWrap w:val="0"/>
            <w:vAlign w:val="center"/>
          </w:tcPr>
          <w:p w14:paraId="415EA4F0">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p>
        </w:tc>
        <w:tc>
          <w:tcPr>
            <w:tcW w:w="708" w:type="pct"/>
            <w:noWrap w:val="0"/>
            <w:vAlign w:val="center"/>
          </w:tcPr>
          <w:p w14:paraId="1C9F1C9E">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环卫</w:t>
            </w:r>
          </w:p>
          <w:p w14:paraId="2393E869">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部门</w:t>
            </w:r>
          </w:p>
        </w:tc>
      </w:tr>
      <w:tr w14:paraId="4A43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93" w:type="pct"/>
            <w:vMerge w:val="restart"/>
            <w:noWrap w:val="0"/>
            <w:vAlign w:val="center"/>
          </w:tcPr>
          <w:p w14:paraId="31830146">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eastAsia="宋体" w:cs="Times New Roman"/>
                <w:b w:val="0"/>
                <w:bCs/>
                <w:color w:val="auto"/>
                <w:kern w:val="2"/>
                <w:sz w:val="21"/>
                <w:szCs w:val="21"/>
                <w:highlight w:val="none"/>
                <w:vertAlign w:val="baseline"/>
                <w:lang w:val="en-US" w:eastAsia="zh-CN"/>
              </w:rPr>
              <w:t>机械设备维修、保养</w:t>
            </w:r>
          </w:p>
        </w:tc>
        <w:tc>
          <w:tcPr>
            <w:tcW w:w="460" w:type="pct"/>
            <w:vMerge w:val="restart"/>
            <w:noWrap w:val="0"/>
            <w:vAlign w:val="center"/>
          </w:tcPr>
          <w:p w14:paraId="7CDCD991">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Cs/>
                <w:color w:val="auto"/>
                <w:kern w:val="2"/>
                <w:sz w:val="21"/>
                <w:szCs w:val="21"/>
                <w:lang w:val="en-US" w:eastAsia="zh-CN" w:bidi="ar-SA"/>
              </w:rPr>
              <w:t>电动正面吊、</w:t>
            </w:r>
            <w:r>
              <w:rPr>
                <w:rFonts w:hint="eastAsia" w:ascii="Times New Roman" w:hAnsi="Times New Roman" w:eastAsia="宋体" w:cs="Times New Roman"/>
                <w:bCs/>
                <w:color w:val="auto"/>
                <w:kern w:val="2"/>
                <w:sz w:val="21"/>
                <w:szCs w:val="21"/>
                <w:lang w:val="en-US" w:eastAsia="zh-CN" w:bidi="ar-SA"/>
              </w:rPr>
              <w:t>轨道</w:t>
            </w:r>
          </w:p>
        </w:tc>
        <w:tc>
          <w:tcPr>
            <w:tcW w:w="668" w:type="pct"/>
            <w:noWrap w:val="0"/>
            <w:vAlign w:val="center"/>
          </w:tcPr>
          <w:p w14:paraId="52721669">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vertAlign w:val="baseline"/>
                <w:lang w:val="en-US" w:eastAsia="zh-CN"/>
              </w:rPr>
              <w:t>0.01</w:t>
            </w:r>
          </w:p>
        </w:tc>
        <w:tc>
          <w:tcPr>
            <w:tcW w:w="1471" w:type="pct"/>
            <w:vMerge w:val="restart"/>
            <w:noWrap w:val="0"/>
            <w:vAlign w:val="center"/>
          </w:tcPr>
          <w:p w14:paraId="3A5E6E7F">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收集暂存至危废暂存间，暂存一定量后委托有相关危废处置资质的单位进行处理，并建立危险废物管理台账。</w:t>
            </w:r>
          </w:p>
        </w:tc>
        <w:tc>
          <w:tcPr>
            <w:tcW w:w="998" w:type="pct"/>
            <w:noWrap w:val="0"/>
            <w:vAlign w:val="center"/>
          </w:tcPr>
          <w:p w14:paraId="40DCA8B4">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eastAsia="宋体" w:cs="Times New Roman"/>
                <w:b w:val="0"/>
                <w:bCs/>
                <w:color w:val="auto"/>
                <w:kern w:val="2"/>
                <w:sz w:val="21"/>
                <w:szCs w:val="21"/>
                <w:highlight w:val="none"/>
                <w:vertAlign w:val="baseline"/>
                <w:lang w:val="en-US" w:eastAsia="zh-CN"/>
              </w:rPr>
              <w:t>废矿物油</w:t>
            </w:r>
            <w:r>
              <w:rPr>
                <w:rFonts w:hint="default" w:ascii="Times New Roman" w:hAnsi="Times New Roman" w:eastAsia="宋体" w:cs="Times New Roman"/>
                <w:b w:val="0"/>
                <w:bCs/>
                <w:color w:val="auto"/>
                <w:kern w:val="2"/>
                <w:sz w:val="21"/>
                <w:szCs w:val="21"/>
                <w:highlight w:val="none"/>
                <w:vertAlign w:val="baseline"/>
                <w:lang w:val="en-US" w:eastAsia="zh-CN"/>
              </w:rPr>
              <w:t>0.01</w:t>
            </w:r>
          </w:p>
        </w:tc>
        <w:tc>
          <w:tcPr>
            <w:tcW w:w="708" w:type="pct"/>
            <w:vMerge w:val="restart"/>
            <w:noWrap w:val="0"/>
            <w:vAlign w:val="center"/>
          </w:tcPr>
          <w:p w14:paraId="6C3A8665">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有相关危废处置资质的单位</w:t>
            </w:r>
          </w:p>
        </w:tc>
      </w:tr>
      <w:tr w14:paraId="1F3F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93" w:type="pct"/>
            <w:vMerge w:val="continue"/>
            <w:noWrap w:val="0"/>
            <w:vAlign w:val="center"/>
          </w:tcPr>
          <w:p w14:paraId="3F7310F3">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p>
        </w:tc>
        <w:tc>
          <w:tcPr>
            <w:tcW w:w="460" w:type="pct"/>
            <w:vMerge w:val="continue"/>
            <w:noWrap w:val="0"/>
            <w:vAlign w:val="center"/>
          </w:tcPr>
          <w:p w14:paraId="0F06DEDB">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Cs/>
                <w:color w:val="auto"/>
                <w:kern w:val="2"/>
                <w:sz w:val="21"/>
                <w:szCs w:val="21"/>
                <w:lang w:val="en-US" w:eastAsia="zh-CN" w:bidi="ar-SA"/>
              </w:rPr>
            </w:pPr>
          </w:p>
        </w:tc>
        <w:tc>
          <w:tcPr>
            <w:tcW w:w="668" w:type="pct"/>
            <w:noWrap w:val="0"/>
            <w:vAlign w:val="center"/>
          </w:tcPr>
          <w:p w14:paraId="02DA2B79">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default" w:ascii="Times New Roman" w:hAnsi="Times New Roman" w:cs="Times New Roman"/>
                <w:b w:val="0"/>
                <w:bCs/>
                <w:color w:val="auto"/>
                <w:kern w:val="2"/>
                <w:sz w:val="21"/>
                <w:szCs w:val="21"/>
                <w:highlight w:val="none"/>
                <w:vertAlign w:val="baseline"/>
                <w:lang w:val="en-US" w:eastAsia="zh-CN"/>
              </w:rPr>
              <w:t>0.05</w:t>
            </w:r>
          </w:p>
        </w:tc>
        <w:tc>
          <w:tcPr>
            <w:tcW w:w="1471" w:type="pct"/>
            <w:vMerge w:val="continue"/>
            <w:noWrap w:val="0"/>
            <w:vAlign w:val="center"/>
          </w:tcPr>
          <w:p w14:paraId="1C5A81BB">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firstLine="0" w:firstLineChars="0"/>
              <w:jc w:val="center"/>
              <w:textAlignment w:val="baseline"/>
              <w:rPr>
                <w:rFonts w:hint="default" w:ascii="Times New Roman" w:hAnsi="Times New Roman" w:eastAsia="宋体" w:cs="Times New Roman"/>
                <w:b w:val="0"/>
                <w:bCs/>
                <w:color w:val="auto"/>
                <w:sz w:val="21"/>
                <w:szCs w:val="21"/>
                <w:highlight w:val="none"/>
                <w:vertAlign w:val="baseline"/>
                <w:lang w:val="en-US" w:eastAsia="zh-CN"/>
              </w:rPr>
            </w:pPr>
          </w:p>
        </w:tc>
        <w:tc>
          <w:tcPr>
            <w:tcW w:w="998" w:type="pct"/>
            <w:noWrap w:val="0"/>
            <w:vAlign w:val="center"/>
          </w:tcPr>
          <w:p w14:paraId="2D6BEAE1">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kern w:val="2"/>
                <w:sz w:val="21"/>
                <w:szCs w:val="21"/>
                <w:highlight w:val="none"/>
                <w:vertAlign w:val="baseline"/>
                <w:lang w:val="en-US" w:eastAsia="zh-CN"/>
              </w:rPr>
            </w:pPr>
            <w:r>
              <w:rPr>
                <w:rFonts w:hint="eastAsia" w:ascii="Times New Roman" w:hAnsi="Times New Roman" w:cs="Times New Roman"/>
                <w:b w:val="0"/>
                <w:bCs/>
                <w:color w:val="auto"/>
                <w:kern w:val="2"/>
                <w:sz w:val="21"/>
                <w:szCs w:val="21"/>
                <w:highlight w:val="none"/>
                <w:vertAlign w:val="baseline"/>
                <w:lang w:val="en-US" w:eastAsia="zh-CN"/>
              </w:rPr>
              <w:t>含油手套和抹布</w:t>
            </w:r>
            <w:r>
              <w:rPr>
                <w:rFonts w:hint="default" w:ascii="Times New Roman" w:hAnsi="Times New Roman" w:cs="Times New Roman"/>
                <w:b w:val="0"/>
                <w:bCs/>
                <w:color w:val="auto"/>
                <w:kern w:val="2"/>
                <w:sz w:val="21"/>
                <w:szCs w:val="21"/>
                <w:highlight w:val="none"/>
                <w:vertAlign w:val="baseline"/>
                <w:lang w:val="en-US" w:eastAsia="zh-CN"/>
              </w:rPr>
              <w:t>0.05</w:t>
            </w:r>
          </w:p>
        </w:tc>
        <w:tc>
          <w:tcPr>
            <w:tcW w:w="708" w:type="pct"/>
            <w:vMerge w:val="continue"/>
            <w:noWrap w:val="0"/>
            <w:vAlign w:val="center"/>
          </w:tcPr>
          <w:p w14:paraId="34786BFC">
            <w:pPr>
              <w:pStyle w:val="9"/>
              <w:keepNext w:val="0"/>
              <w:keepLines w:val="0"/>
              <w:pageBreakBefore w:val="0"/>
              <w:widowControl w:val="0"/>
              <w:kinsoku/>
              <w:wordWrap/>
              <w:overflowPunct/>
              <w:topLinePunct w:val="0"/>
              <w:autoSpaceDE w:val="0"/>
              <w:autoSpaceDN w:val="0"/>
              <w:bidi w:val="0"/>
              <w:adjustRightInd/>
              <w:snapToGrid/>
              <w:spacing w:before="0" w:after="0" w:line="240" w:lineRule="auto"/>
              <w:ind w:right="0" w:rightChars="0" w:firstLine="0" w:firstLineChars="0"/>
              <w:jc w:val="center"/>
              <w:textAlignment w:val="baseline"/>
              <w:rPr>
                <w:rFonts w:hint="default" w:ascii="Times New Roman" w:hAnsi="Times New Roman" w:eastAsia="宋体" w:cs="Times New Roman"/>
                <w:b w:val="0"/>
                <w:bCs/>
                <w:color w:val="auto"/>
                <w:sz w:val="21"/>
                <w:szCs w:val="21"/>
                <w:highlight w:val="none"/>
                <w:vertAlign w:val="baseline"/>
                <w:lang w:val="en-US" w:eastAsia="zh-CN"/>
              </w:rPr>
            </w:pPr>
          </w:p>
        </w:tc>
      </w:tr>
    </w:tbl>
    <w:p w14:paraId="0C85647B">
      <w:pPr>
        <w:pStyle w:val="9"/>
        <w:spacing w:before="1" w:line="220" w:lineRule="auto"/>
        <w:ind w:left="18"/>
        <w:outlineLvl w:val="3"/>
        <w:rPr>
          <w:color w:val="auto"/>
          <w:sz w:val="28"/>
          <w:szCs w:val="28"/>
        </w:rPr>
      </w:pPr>
      <w:r>
        <w:rPr>
          <w:rFonts w:ascii="Times New Roman" w:hAnsi="Times New Roman" w:eastAsia="Times New Roman" w:cs="Times New Roman"/>
          <w:b/>
          <w:bCs/>
          <w:color w:val="auto"/>
          <w:spacing w:val="-5"/>
          <w:sz w:val="28"/>
          <w:szCs w:val="28"/>
        </w:rPr>
        <w:t>4.6.</w:t>
      </w:r>
      <w:r>
        <w:rPr>
          <w:rFonts w:hint="eastAsia" w:ascii="Times New Roman" w:hAnsi="Times New Roman" w:eastAsia="宋体" w:cs="Times New Roman"/>
          <w:b/>
          <w:bCs/>
          <w:color w:val="auto"/>
          <w:spacing w:val="-5"/>
          <w:sz w:val="28"/>
          <w:szCs w:val="28"/>
          <w:lang w:val="en-US" w:eastAsia="zh-CN"/>
        </w:rPr>
        <w:t>2</w:t>
      </w:r>
      <w:r>
        <w:rPr>
          <w:rFonts w:ascii="Times New Roman" w:hAnsi="Times New Roman" w:eastAsia="Times New Roman" w:cs="Times New Roman"/>
          <w:b/>
          <w:bCs/>
          <w:color w:val="auto"/>
          <w:spacing w:val="41"/>
          <w:sz w:val="28"/>
          <w:szCs w:val="28"/>
        </w:rPr>
        <w:t xml:space="preserve"> </w:t>
      </w:r>
      <w:r>
        <w:rPr>
          <w:b/>
          <w:bCs/>
          <w:color w:val="auto"/>
          <w:spacing w:val="-5"/>
          <w:sz w:val="28"/>
          <w:szCs w:val="28"/>
        </w:rPr>
        <w:t>固体废物影响分析</w:t>
      </w:r>
    </w:p>
    <w:p w14:paraId="392C21B6">
      <w:pPr>
        <w:pStyle w:val="9"/>
        <w:spacing w:before="206" w:line="359" w:lineRule="auto"/>
        <w:ind w:left="21" w:right="153" w:firstLine="483"/>
        <w:jc w:val="both"/>
        <w:rPr>
          <w:color w:val="auto"/>
          <w:sz w:val="24"/>
          <w:szCs w:val="24"/>
        </w:rPr>
      </w:pPr>
      <w:r>
        <w:rPr>
          <w:color w:val="auto"/>
          <w:spacing w:val="4"/>
          <w:sz w:val="24"/>
          <w:szCs w:val="24"/>
        </w:rPr>
        <w:t>项目运营期员工生活垃圾由垃圾桶收集后由专人定期清运至</w:t>
      </w:r>
      <w:r>
        <w:rPr>
          <w:rFonts w:hint="eastAsia" w:eastAsia="宋体"/>
          <w:color w:val="auto"/>
          <w:spacing w:val="4"/>
          <w:sz w:val="24"/>
          <w:szCs w:val="24"/>
          <w:lang w:val="en-US" w:eastAsia="zh-CN"/>
        </w:rPr>
        <w:t>园区</w:t>
      </w:r>
      <w:r>
        <w:rPr>
          <w:color w:val="auto"/>
          <w:spacing w:val="4"/>
          <w:sz w:val="24"/>
          <w:szCs w:val="24"/>
        </w:rPr>
        <w:t>指定</w:t>
      </w:r>
      <w:r>
        <w:rPr>
          <w:color w:val="auto"/>
          <w:spacing w:val="-3"/>
          <w:sz w:val="24"/>
          <w:szCs w:val="24"/>
        </w:rPr>
        <w:t>垃圾收集点，委托环卫部门统一清运处置，不在项目区乱堆乱放</w:t>
      </w:r>
      <w:r>
        <w:rPr>
          <w:color w:val="auto"/>
          <w:spacing w:val="-1"/>
          <w:sz w:val="24"/>
          <w:szCs w:val="24"/>
        </w:rPr>
        <w:t>。</w:t>
      </w:r>
    </w:p>
    <w:p w14:paraId="616D1F27">
      <w:pPr>
        <w:pStyle w:val="9"/>
        <w:spacing w:before="2" w:line="360" w:lineRule="auto"/>
        <w:ind w:left="21" w:right="181" w:firstLine="479"/>
        <w:rPr>
          <w:color w:val="auto"/>
          <w:sz w:val="24"/>
          <w:szCs w:val="24"/>
        </w:rPr>
      </w:pPr>
      <w:r>
        <w:rPr>
          <w:color w:val="auto"/>
          <w:sz w:val="24"/>
          <w:szCs w:val="24"/>
        </w:rPr>
        <w:t>项目运营期固体废物均能妥善处置</w:t>
      </w:r>
      <w:r>
        <w:rPr>
          <w:color w:val="auto"/>
          <w:spacing w:val="-1"/>
          <w:sz w:val="24"/>
          <w:szCs w:val="24"/>
        </w:rPr>
        <w:t>，对周边环境影响较小。</w:t>
      </w:r>
    </w:p>
    <w:p w14:paraId="48B90E25">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z w:val="28"/>
          <w:szCs w:val="28"/>
        </w:rPr>
      </w:pPr>
      <w:r>
        <w:rPr>
          <w:rFonts w:ascii="Times New Roman" w:hAnsi="Times New Roman" w:eastAsia="Times New Roman" w:cs="Times New Roman"/>
          <w:b/>
          <w:bCs/>
          <w:color w:val="auto"/>
          <w:spacing w:val="-4"/>
          <w:sz w:val="28"/>
          <w:szCs w:val="28"/>
        </w:rPr>
        <w:t>4.6.</w:t>
      </w:r>
      <w:r>
        <w:rPr>
          <w:rFonts w:hint="eastAsia" w:ascii="Times New Roman" w:hAnsi="Times New Roman" w:eastAsia="宋体" w:cs="Times New Roman"/>
          <w:b/>
          <w:bCs/>
          <w:color w:val="auto"/>
          <w:spacing w:val="-4"/>
          <w:sz w:val="28"/>
          <w:szCs w:val="28"/>
          <w:lang w:val="en-US" w:eastAsia="zh-CN"/>
        </w:rPr>
        <w:t>3</w:t>
      </w:r>
      <w:r>
        <w:rPr>
          <w:rFonts w:ascii="Times New Roman" w:hAnsi="Times New Roman" w:eastAsia="Times New Roman" w:cs="Times New Roman"/>
          <w:b/>
          <w:bCs/>
          <w:color w:val="auto"/>
          <w:spacing w:val="-4"/>
          <w:sz w:val="28"/>
          <w:szCs w:val="28"/>
        </w:rPr>
        <w:t>.</w:t>
      </w:r>
      <w:r>
        <w:rPr>
          <w:rFonts w:ascii="Times New Roman" w:hAnsi="Times New Roman" w:eastAsia="Times New Roman" w:cs="Times New Roman"/>
          <w:b/>
          <w:bCs/>
          <w:color w:val="auto"/>
          <w:spacing w:val="-38"/>
          <w:sz w:val="28"/>
          <w:szCs w:val="28"/>
        </w:rPr>
        <w:t xml:space="preserve"> </w:t>
      </w:r>
      <w:r>
        <w:rPr>
          <w:b/>
          <w:bCs/>
          <w:color w:val="auto"/>
          <w:spacing w:val="-4"/>
          <w:sz w:val="28"/>
          <w:szCs w:val="28"/>
        </w:rPr>
        <w:t>固废影响评价结论</w:t>
      </w:r>
    </w:p>
    <w:p w14:paraId="1AE16A8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jc w:val="both"/>
        <w:textAlignment w:val="baseline"/>
        <w:rPr>
          <w:color w:val="auto"/>
          <w:spacing w:val="-2"/>
          <w:sz w:val="24"/>
          <w:szCs w:val="24"/>
        </w:rPr>
      </w:pPr>
      <w:r>
        <w:rPr>
          <w:color w:val="auto"/>
          <w:spacing w:val="-3"/>
          <w:sz w:val="24"/>
          <w:szCs w:val="24"/>
        </w:rPr>
        <w:t>项目运行期各类固体废物去向明确，且均得到有效的处理、处置，</w:t>
      </w:r>
      <w:r>
        <w:rPr>
          <w:color w:val="auto"/>
          <w:spacing w:val="-4"/>
          <w:sz w:val="24"/>
          <w:szCs w:val="24"/>
        </w:rPr>
        <w:t>固废处置</w:t>
      </w:r>
      <w:r>
        <w:rPr>
          <w:color w:val="auto"/>
          <w:spacing w:val="-2"/>
          <w:sz w:val="24"/>
          <w:szCs w:val="24"/>
        </w:rPr>
        <w:t>率达到</w:t>
      </w:r>
      <w:r>
        <w:rPr>
          <w:rFonts w:ascii="Times New Roman" w:hAnsi="Times New Roman" w:eastAsia="Times New Roman" w:cs="Times New Roman"/>
          <w:color w:val="auto"/>
          <w:spacing w:val="-2"/>
          <w:sz w:val="24"/>
          <w:szCs w:val="24"/>
        </w:rPr>
        <w:t>100%</w:t>
      </w:r>
      <w:r>
        <w:rPr>
          <w:color w:val="auto"/>
          <w:spacing w:val="-2"/>
          <w:sz w:val="24"/>
          <w:szCs w:val="24"/>
        </w:rPr>
        <w:t>，总体来看，实现了固体废物的减量化、资源化，不会对当地环境造成不良影响。</w:t>
      </w:r>
    </w:p>
    <w:p w14:paraId="7FA3BA64">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rFonts w:ascii="Times New Roman" w:hAnsi="Times New Roman" w:eastAsia="Times New Roman" w:cs="Times New Roman"/>
          <w:b/>
          <w:bCs/>
          <w:color w:val="auto"/>
          <w:spacing w:val="-3"/>
          <w:sz w:val="30"/>
          <w:szCs w:val="30"/>
        </w:rPr>
      </w:pPr>
      <w:bookmarkStart w:id="168" w:name="_Toc27563"/>
      <w:r>
        <w:rPr>
          <w:rFonts w:hint="eastAsia" w:ascii="Times New Roman" w:hAnsi="Times New Roman" w:eastAsia="Times New Roman" w:cs="Times New Roman"/>
          <w:b/>
          <w:bCs/>
          <w:color w:val="auto"/>
          <w:spacing w:val="-3"/>
          <w:sz w:val="30"/>
          <w:szCs w:val="30"/>
          <w:lang w:val="en-US" w:eastAsia="zh-CN"/>
        </w:rPr>
        <w:t>4.7</w:t>
      </w:r>
      <w:r>
        <w:rPr>
          <w:rFonts w:hint="eastAsia" w:ascii="Times New Roman" w:hAnsi="Times New Roman" w:eastAsia="Times New Roman" w:cs="Times New Roman"/>
          <w:b/>
          <w:bCs/>
          <w:color w:val="auto"/>
          <w:spacing w:val="-3"/>
          <w:sz w:val="30"/>
          <w:szCs w:val="30"/>
        </w:rPr>
        <w:t>环境风险评价</w:t>
      </w:r>
      <w:bookmarkEnd w:id="168"/>
    </w:p>
    <w:p w14:paraId="53C99797">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2"/>
        <w:rPr>
          <w:color w:val="auto"/>
          <w:sz w:val="28"/>
          <w:szCs w:val="28"/>
        </w:rPr>
      </w:pPr>
      <w:bookmarkStart w:id="169" w:name="_Toc3998"/>
      <w:r>
        <w:rPr>
          <w:rFonts w:hint="eastAsia" w:ascii="Times New Roman" w:hAnsi="Times New Roman" w:eastAsia="宋体" w:cs="Times New Roman"/>
          <w:b/>
          <w:bCs/>
          <w:color w:val="auto"/>
          <w:spacing w:val="-2"/>
          <w:sz w:val="24"/>
          <w:szCs w:val="24"/>
          <w:lang w:val="en-US" w:eastAsia="zh-CN"/>
        </w:rPr>
        <w:t>4.7</w:t>
      </w:r>
      <w:r>
        <w:rPr>
          <w:rFonts w:ascii="Times New Roman" w:hAnsi="Times New Roman" w:eastAsia="Times New Roman" w:cs="Times New Roman"/>
          <w:b/>
          <w:bCs/>
          <w:color w:val="auto"/>
          <w:spacing w:val="-2"/>
          <w:sz w:val="24"/>
          <w:szCs w:val="24"/>
        </w:rPr>
        <w:t>.1</w:t>
      </w:r>
      <w:r>
        <w:rPr>
          <w:b/>
          <w:bCs/>
          <w:color w:val="auto"/>
          <w:spacing w:val="-3"/>
          <w:sz w:val="28"/>
          <w:szCs w:val="28"/>
        </w:rPr>
        <w:t>评价目的与重点</w:t>
      </w:r>
      <w:bookmarkEnd w:id="169"/>
    </w:p>
    <w:p w14:paraId="2A11744D">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4.7.1.1</w:t>
      </w:r>
      <w:r>
        <w:rPr>
          <w:b/>
          <w:bCs/>
          <w:color w:val="auto"/>
          <w:spacing w:val="-2"/>
          <w:sz w:val="24"/>
          <w:szCs w:val="24"/>
        </w:rPr>
        <w:t>环境风险评价原则</w:t>
      </w:r>
    </w:p>
    <w:p w14:paraId="5454F40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color w:val="auto"/>
        </w:rPr>
      </w:pPr>
      <w:r>
        <w:rPr>
          <w:color w:val="auto"/>
          <w:spacing w:val="-3"/>
          <w:sz w:val="24"/>
          <w:szCs w:val="24"/>
        </w:rPr>
        <w:t>环境风险评价应以突发性事故导致的危险物质环境应急损害防控为目标，对建设项目的环境风险进行分析、预测和评估，提出环境风险预防、控制、减缓措</w:t>
      </w:r>
      <w:r>
        <w:rPr>
          <w:color w:val="auto"/>
          <w:spacing w:val="-1"/>
          <w:sz w:val="24"/>
          <w:szCs w:val="24"/>
        </w:rPr>
        <w:t>施，明确环境风险监控应急建议要求，为建设</w:t>
      </w:r>
      <w:r>
        <w:rPr>
          <w:color w:val="auto"/>
          <w:spacing w:val="-2"/>
          <w:sz w:val="24"/>
          <w:szCs w:val="24"/>
        </w:rPr>
        <w:t>项目环境风险防控提供科学依据。</w:t>
      </w:r>
    </w:p>
    <w:p w14:paraId="3B9B9655">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4.7.1.2 环境风险评价内容</w:t>
      </w:r>
    </w:p>
    <w:p w14:paraId="0F3577E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textAlignment w:val="baseline"/>
        <w:rPr>
          <w:color w:val="auto"/>
          <w:sz w:val="24"/>
          <w:szCs w:val="24"/>
        </w:rPr>
      </w:pPr>
      <w:r>
        <w:rPr>
          <w:color w:val="auto"/>
          <w:spacing w:val="-3"/>
          <w:sz w:val="24"/>
          <w:szCs w:val="24"/>
        </w:rPr>
        <w:t>环境风险评价基本内容包括风险调查、环境风险潜势初判、风险识别、风险</w:t>
      </w:r>
      <w:r>
        <w:rPr>
          <w:color w:val="auto"/>
          <w:spacing w:val="-1"/>
          <w:sz w:val="24"/>
          <w:szCs w:val="24"/>
        </w:rPr>
        <w:t>事故情形分析、风险预测与评价及环境管理等。</w:t>
      </w:r>
    </w:p>
    <w:p w14:paraId="36C3FFD1">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4.7.1.3 环境风险评价重点</w:t>
      </w:r>
    </w:p>
    <w:p w14:paraId="4584F37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textAlignment w:val="baseline"/>
        <w:rPr>
          <w:color w:val="auto"/>
          <w:spacing w:val="-3"/>
          <w:sz w:val="24"/>
          <w:szCs w:val="24"/>
        </w:rPr>
      </w:pPr>
      <w:r>
        <w:rPr>
          <w:color w:val="auto"/>
          <w:spacing w:val="-3"/>
          <w:sz w:val="24"/>
          <w:szCs w:val="24"/>
        </w:rPr>
        <w:t>环境风险评价应把事故引起厂（场）界外人群伤害、环境质量的恶化及对生态系统影响的预测和防护作为评价工作重点。环境风险评价的关注点是事故对厂（场）界外环境的影响。因此本评价把有毒有害物质的泄漏对厂界外的环境影响作为本评价的重点。</w:t>
      </w:r>
    </w:p>
    <w:p w14:paraId="03920A95">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2"/>
        <w:rPr>
          <w:rFonts w:hint="eastAsia" w:ascii="Times New Roman" w:hAnsi="Times New Roman" w:eastAsia="宋体" w:cs="Times New Roman"/>
          <w:b/>
          <w:bCs/>
          <w:color w:val="auto"/>
          <w:spacing w:val="-2"/>
          <w:sz w:val="24"/>
          <w:szCs w:val="24"/>
          <w:lang w:val="en-US" w:eastAsia="zh-CN"/>
        </w:rPr>
      </w:pPr>
      <w:bookmarkStart w:id="170" w:name="bookmark39"/>
      <w:bookmarkEnd w:id="170"/>
      <w:bookmarkStart w:id="171" w:name="_Toc22631"/>
      <w:r>
        <w:rPr>
          <w:rFonts w:hint="eastAsia" w:ascii="Times New Roman" w:hAnsi="Times New Roman" w:eastAsia="宋体" w:cs="Times New Roman"/>
          <w:b/>
          <w:bCs/>
          <w:color w:val="auto"/>
          <w:spacing w:val="-2"/>
          <w:sz w:val="24"/>
          <w:szCs w:val="24"/>
          <w:lang w:val="en-US" w:eastAsia="zh-CN"/>
        </w:rPr>
        <w:t>4.7.2 环境风险调查</w:t>
      </w:r>
      <w:bookmarkEnd w:id="171"/>
    </w:p>
    <w:p w14:paraId="7FEE50B2">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4.7.2.1</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建设项目风险源调查</w:t>
      </w:r>
    </w:p>
    <w:p w14:paraId="40A245D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z w:val="24"/>
          <w:szCs w:val="24"/>
        </w:rPr>
      </w:pPr>
      <w:r>
        <w:rPr>
          <w:color w:val="auto"/>
          <w:spacing w:val="-3"/>
          <w:sz w:val="24"/>
          <w:szCs w:val="24"/>
        </w:rPr>
        <w:t>项目不涉及危险化学品和原油的运输，运输的产品主要为</w:t>
      </w:r>
      <w:r>
        <w:rPr>
          <w:rFonts w:hint="eastAsia" w:eastAsia="宋体"/>
          <w:color w:val="auto"/>
          <w:spacing w:val="-3"/>
          <w:sz w:val="24"/>
          <w:szCs w:val="24"/>
          <w:lang w:val="en-US" w:eastAsia="zh-CN"/>
        </w:rPr>
        <w:t>煤焦</w:t>
      </w:r>
      <w:r>
        <w:rPr>
          <w:color w:val="auto"/>
          <w:spacing w:val="-9"/>
          <w:sz w:val="24"/>
          <w:szCs w:val="24"/>
        </w:rPr>
        <w:t>，使用内燃机进行牵引；项目运营</w:t>
      </w:r>
      <w:r>
        <w:rPr>
          <w:color w:val="auto"/>
          <w:spacing w:val="-10"/>
          <w:sz w:val="24"/>
          <w:szCs w:val="24"/>
        </w:rPr>
        <w:t>期产生的废气主要是内燃机废气（烟</w:t>
      </w:r>
      <w:r>
        <w:rPr>
          <w:color w:val="auto"/>
          <w:spacing w:val="1"/>
          <w:sz w:val="24"/>
          <w:szCs w:val="24"/>
        </w:rPr>
        <w:t>尘、</w:t>
      </w:r>
      <w:r>
        <w:rPr>
          <w:rFonts w:ascii="Times New Roman" w:hAnsi="Times New Roman" w:eastAsia="Times New Roman" w:cs="Times New Roman"/>
          <w:color w:val="auto"/>
          <w:sz w:val="24"/>
          <w:szCs w:val="24"/>
        </w:rPr>
        <w:t>NOx</w:t>
      </w:r>
      <w:r>
        <w:rPr>
          <w:color w:val="auto"/>
          <w:spacing w:val="1"/>
          <w:sz w:val="24"/>
          <w:szCs w:val="24"/>
        </w:rPr>
        <w:t>、</w:t>
      </w:r>
      <w:r>
        <w:rPr>
          <w:rFonts w:ascii="Times New Roman" w:hAnsi="Times New Roman" w:eastAsia="Times New Roman" w:cs="Times New Roman"/>
          <w:color w:val="auto"/>
          <w:sz w:val="24"/>
          <w:szCs w:val="24"/>
        </w:rPr>
        <w:t>SO</w:t>
      </w:r>
      <w:r>
        <w:rPr>
          <w:rFonts w:ascii="Times New Roman" w:hAnsi="Times New Roman" w:eastAsia="Times New Roman" w:cs="Times New Roman"/>
          <w:color w:val="auto"/>
          <w:spacing w:val="1"/>
          <w:sz w:val="18"/>
          <w:szCs w:val="18"/>
        </w:rPr>
        <w:t>2</w:t>
      </w:r>
      <w:r>
        <w:rPr>
          <w:color w:val="auto"/>
          <w:spacing w:val="1"/>
          <w:sz w:val="24"/>
          <w:szCs w:val="24"/>
        </w:rPr>
        <w:t>）、运输车辆尾气、道路扬尘（</w:t>
      </w:r>
      <w:r>
        <w:rPr>
          <w:rFonts w:ascii="Times New Roman" w:hAnsi="Times New Roman" w:eastAsia="Times New Roman" w:cs="Times New Roman"/>
          <w:color w:val="auto"/>
          <w:sz w:val="24"/>
          <w:szCs w:val="24"/>
        </w:rPr>
        <w:t>TSP</w:t>
      </w:r>
      <w:r>
        <w:rPr>
          <w:color w:val="auto"/>
          <w:spacing w:val="1"/>
          <w:sz w:val="24"/>
          <w:szCs w:val="24"/>
        </w:rPr>
        <w:t>）、装卸扬尘等；废水主要</w:t>
      </w:r>
      <w:r>
        <w:rPr>
          <w:color w:val="auto"/>
          <w:spacing w:val="-3"/>
          <w:sz w:val="24"/>
          <w:szCs w:val="24"/>
        </w:rPr>
        <w:t>为生活污水；固体废物主要是生活垃圾、污泥</w:t>
      </w:r>
      <w:r>
        <w:rPr>
          <w:color w:val="auto"/>
          <w:spacing w:val="-7"/>
          <w:sz w:val="24"/>
          <w:szCs w:val="24"/>
        </w:rPr>
        <w:t>等。根据《建设项目环境风险评价技术导则》</w:t>
      </w:r>
      <w:r>
        <w:rPr>
          <w:color w:val="auto"/>
          <w:spacing w:val="-3"/>
          <w:sz w:val="24"/>
          <w:szCs w:val="24"/>
        </w:rPr>
        <w:t>（</w:t>
      </w:r>
      <w:r>
        <w:rPr>
          <w:rFonts w:ascii="Times New Roman" w:hAnsi="Times New Roman" w:eastAsia="Times New Roman" w:cs="Times New Roman"/>
          <w:color w:val="auto"/>
          <w:spacing w:val="-3"/>
          <w:sz w:val="24"/>
          <w:szCs w:val="24"/>
        </w:rPr>
        <w:t>HJ169-2018</w:t>
      </w:r>
      <w:r>
        <w:rPr>
          <w:color w:val="auto"/>
          <w:spacing w:val="-3"/>
          <w:sz w:val="24"/>
          <w:szCs w:val="24"/>
        </w:rPr>
        <w:t>）附录</w:t>
      </w:r>
      <w:r>
        <w:rPr>
          <w:rFonts w:ascii="Times New Roman" w:hAnsi="Times New Roman" w:eastAsia="Times New Roman" w:cs="Times New Roman"/>
          <w:color w:val="auto"/>
          <w:spacing w:val="-3"/>
          <w:sz w:val="24"/>
          <w:szCs w:val="24"/>
        </w:rPr>
        <w:t>B</w:t>
      </w:r>
      <w:r>
        <w:rPr>
          <w:color w:val="auto"/>
          <w:spacing w:val="-3"/>
          <w:sz w:val="24"/>
          <w:szCs w:val="24"/>
        </w:rPr>
        <w:t>重点关注的危险物质及临界量，本项目环</w:t>
      </w:r>
      <w:r>
        <w:rPr>
          <w:color w:val="auto"/>
          <w:spacing w:val="-4"/>
          <w:sz w:val="24"/>
          <w:szCs w:val="24"/>
        </w:rPr>
        <w:t>境风险物质主要</w:t>
      </w:r>
      <w:r>
        <w:rPr>
          <w:color w:val="auto"/>
          <w:spacing w:val="-3"/>
          <w:sz w:val="24"/>
          <w:szCs w:val="24"/>
        </w:rPr>
        <w:t>为牵引内燃机车所用的柴油和轨道保养过程中产生的废矿物油。风险物质的理化</w:t>
      </w:r>
      <w:r>
        <w:rPr>
          <w:color w:val="auto"/>
          <w:spacing w:val="-1"/>
          <w:sz w:val="24"/>
          <w:szCs w:val="24"/>
        </w:rPr>
        <w:t>特性及危险特征如下：</w:t>
      </w:r>
    </w:p>
    <w:p w14:paraId="7A84C7D7">
      <w:pPr>
        <w:pStyle w:val="9"/>
        <w:spacing w:line="220" w:lineRule="auto"/>
        <w:ind w:left="608"/>
        <w:rPr>
          <w:b/>
          <w:bCs/>
          <w:color w:val="auto"/>
          <w:spacing w:val="-12"/>
          <w:sz w:val="24"/>
          <w:szCs w:val="24"/>
        </w:rPr>
      </w:pPr>
      <w:r>
        <w:rPr>
          <w:rFonts w:ascii="Times New Roman" w:hAnsi="Times New Roman" w:eastAsia="Times New Roman" w:cs="Times New Roman"/>
          <w:b/>
          <w:bCs/>
          <w:color w:val="auto"/>
          <w:spacing w:val="-12"/>
          <w:sz w:val="24"/>
          <w:szCs w:val="24"/>
        </w:rPr>
        <w:t>1</w:t>
      </w:r>
      <w:r>
        <w:rPr>
          <w:b/>
          <w:bCs/>
          <w:color w:val="auto"/>
          <w:spacing w:val="-12"/>
          <w:sz w:val="24"/>
          <w:szCs w:val="24"/>
        </w:rPr>
        <w:t>、柴油</w:t>
      </w:r>
    </w:p>
    <w:p w14:paraId="555CEC57">
      <w:pPr>
        <w:pStyle w:val="9"/>
        <w:keepNext/>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color w:val="auto"/>
        </w:rPr>
      </w:pPr>
      <w:r>
        <w:rPr>
          <w:b/>
          <w:bCs/>
          <w:color w:val="auto"/>
          <w:spacing w:val="-2"/>
        </w:rPr>
        <w:t>表</w:t>
      </w:r>
      <w:r>
        <w:rPr>
          <w:color w:val="auto"/>
          <w:spacing w:val="-42"/>
        </w:rPr>
        <w:t xml:space="preserve"> </w:t>
      </w:r>
      <w:r>
        <w:rPr>
          <w:rFonts w:hint="eastAsia" w:ascii="Times New Roman" w:hAnsi="Times New Roman" w:eastAsia="宋体" w:cs="Times New Roman"/>
          <w:b/>
          <w:bCs/>
          <w:color w:val="auto"/>
          <w:spacing w:val="-2"/>
          <w:lang w:val="en-US" w:eastAsia="zh-CN"/>
        </w:rPr>
        <w:t>4.7-1</w:t>
      </w:r>
      <w:r>
        <w:rPr>
          <w:rFonts w:ascii="Times New Roman" w:hAnsi="Times New Roman" w:eastAsia="Times New Roman" w:cs="Times New Roman"/>
          <w:b/>
          <w:bCs/>
          <w:color w:val="auto"/>
          <w:spacing w:val="-2"/>
        </w:rPr>
        <w:t xml:space="preserve">    </w:t>
      </w:r>
      <w:r>
        <w:rPr>
          <w:b/>
          <w:bCs/>
          <w:color w:val="auto"/>
          <w:spacing w:val="-2"/>
        </w:rPr>
        <w:t>柴油理化性质、危险特性一览表</w:t>
      </w:r>
    </w:p>
    <w:tbl>
      <w:tblPr>
        <w:tblStyle w:val="26"/>
        <w:tblW w:w="8325"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1"/>
        <w:gridCol w:w="2038"/>
        <w:gridCol w:w="462"/>
        <w:gridCol w:w="836"/>
        <w:gridCol w:w="1011"/>
        <w:gridCol w:w="1144"/>
        <w:gridCol w:w="1243"/>
      </w:tblGrid>
      <w:tr w14:paraId="5A7CC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591" w:type="dxa"/>
            <w:vAlign w:val="center"/>
          </w:tcPr>
          <w:p w14:paraId="59ADCA6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2"/>
                <w:sz w:val="21"/>
                <w:szCs w:val="21"/>
              </w:rPr>
              <w:t>中文名称</w:t>
            </w:r>
          </w:p>
        </w:tc>
        <w:tc>
          <w:tcPr>
            <w:tcW w:w="2500" w:type="dxa"/>
            <w:gridSpan w:val="2"/>
            <w:vAlign w:val="center"/>
          </w:tcPr>
          <w:p w14:paraId="2CAD765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柴油</w:t>
            </w:r>
          </w:p>
        </w:tc>
        <w:tc>
          <w:tcPr>
            <w:tcW w:w="1847" w:type="dxa"/>
            <w:gridSpan w:val="2"/>
            <w:vAlign w:val="center"/>
          </w:tcPr>
          <w:p w14:paraId="4E5B5A4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英文名称</w:t>
            </w:r>
          </w:p>
        </w:tc>
        <w:tc>
          <w:tcPr>
            <w:tcW w:w="2387" w:type="dxa"/>
            <w:gridSpan w:val="2"/>
            <w:vAlign w:val="center"/>
          </w:tcPr>
          <w:p w14:paraId="436A522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3"/>
                <w:sz w:val="21"/>
                <w:szCs w:val="21"/>
              </w:rPr>
              <w:t>Diesel oil;Diesel</w:t>
            </w:r>
            <w:r>
              <w:rPr>
                <w:rFonts w:hint="default" w:ascii="Times New Roman" w:hAnsi="Times New Roman" w:eastAsia="Times New Roman" w:cs="Times New Roman"/>
                <w:color w:val="auto"/>
                <w:spacing w:val="16"/>
                <w:sz w:val="21"/>
                <w:szCs w:val="21"/>
              </w:rPr>
              <w:t xml:space="preserve"> </w:t>
            </w:r>
            <w:r>
              <w:rPr>
                <w:rFonts w:hint="default" w:ascii="Times New Roman" w:hAnsi="Times New Roman" w:eastAsia="Times New Roman" w:cs="Times New Roman"/>
                <w:color w:val="auto"/>
                <w:spacing w:val="3"/>
                <w:sz w:val="21"/>
                <w:szCs w:val="21"/>
              </w:rPr>
              <w:t>fuel</w:t>
            </w:r>
          </w:p>
        </w:tc>
      </w:tr>
      <w:tr w14:paraId="04517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591" w:type="dxa"/>
            <w:vAlign w:val="center"/>
          </w:tcPr>
          <w:p w14:paraId="1D5C386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分子式</w:t>
            </w:r>
          </w:p>
        </w:tc>
        <w:tc>
          <w:tcPr>
            <w:tcW w:w="2500" w:type="dxa"/>
            <w:gridSpan w:val="2"/>
            <w:vAlign w:val="center"/>
          </w:tcPr>
          <w:p w14:paraId="5912F04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12"/>
                <w:position w:val="-2"/>
                <w:sz w:val="21"/>
                <w:szCs w:val="21"/>
              </w:rPr>
              <w:t>—</w:t>
            </w:r>
          </w:p>
        </w:tc>
        <w:tc>
          <w:tcPr>
            <w:tcW w:w="1847" w:type="dxa"/>
            <w:gridSpan w:val="2"/>
            <w:vAlign w:val="center"/>
          </w:tcPr>
          <w:p w14:paraId="324DD52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外观与性状</w:t>
            </w:r>
          </w:p>
        </w:tc>
        <w:tc>
          <w:tcPr>
            <w:tcW w:w="2387" w:type="dxa"/>
            <w:gridSpan w:val="2"/>
            <w:vAlign w:val="center"/>
          </w:tcPr>
          <w:p w14:paraId="0C21D2C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稍有黏性的棕色液体</w:t>
            </w:r>
          </w:p>
        </w:tc>
      </w:tr>
      <w:tr w14:paraId="5DCFF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91" w:type="dxa"/>
            <w:vAlign w:val="center"/>
          </w:tcPr>
          <w:p w14:paraId="6FC5C09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危险标记</w:t>
            </w:r>
          </w:p>
        </w:tc>
        <w:tc>
          <w:tcPr>
            <w:tcW w:w="2500" w:type="dxa"/>
            <w:gridSpan w:val="2"/>
            <w:vAlign w:val="center"/>
          </w:tcPr>
          <w:p w14:paraId="4A960BA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eastAsia="Times New Roman" w:cs="Times New Roman"/>
                <w:color w:val="auto"/>
                <w:spacing w:val="6"/>
                <w:sz w:val="21"/>
                <w:szCs w:val="21"/>
              </w:rPr>
              <w:t>7</w:t>
            </w:r>
            <w:r>
              <w:rPr>
                <w:rFonts w:hint="default" w:ascii="Times New Roman" w:hAnsi="Times New Roman" w:cs="Times New Roman"/>
                <w:color w:val="auto"/>
                <w:spacing w:val="6"/>
                <w:sz w:val="21"/>
                <w:szCs w:val="21"/>
              </w:rPr>
              <w:t>（易燃液体）</w:t>
            </w:r>
          </w:p>
        </w:tc>
        <w:tc>
          <w:tcPr>
            <w:tcW w:w="1847" w:type="dxa"/>
            <w:gridSpan w:val="2"/>
            <w:vAlign w:val="center"/>
          </w:tcPr>
          <w:p w14:paraId="5AAF17B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分子量</w:t>
            </w:r>
          </w:p>
        </w:tc>
        <w:tc>
          <w:tcPr>
            <w:tcW w:w="2387" w:type="dxa"/>
            <w:gridSpan w:val="2"/>
            <w:vAlign w:val="center"/>
          </w:tcPr>
          <w:p w14:paraId="4900A3A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12"/>
                <w:position w:val="-2"/>
                <w:sz w:val="21"/>
                <w:szCs w:val="21"/>
              </w:rPr>
              <w:t>—</w:t>
            </w:r>
          </w:p>
        </w:tc>
      </w:tr>
      <w:tr w14:paraId="7C7CB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591" w:type="dxa"/>
            <w:vAlign w:val="center"/>
          </w:tcPr>
          <w:p w14:paraId="544EAD8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熔点</w:t>
            </w:r>
          </w:p>
        </w:tc>
        <w:tc>
          <w:tcPr>
            <w:tcW w:w="2500" w:type="dxa"/>
            <w:gridSpan w:val="2"/>
            <w:vAlign w:val="center"/>
          </w:tcPr>
          <w:p w14:paraId="391AD05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3"/>
                <w:sz w:val="21"/>
                <w:szCs w:val="21"/>
              </w:rPr>
              <w:t>-</w:t>
            </w:r>
            <w:r>
              <w:rPr>
                <w:rFonts w:hint="default" w:ascii="Times New Roman" w:hAnsi="Times New Roman" w:eastAsia="Times New Roman" w:cs="Times New Roman"/>
                <w:color w:val="auto"/>
                <w:spacing w:val="-27"/>
                <w:sz w:val="21"/>
                <w:szCs w:val="21"/>
              </w:rPr>
              <w:t xml:space="preserve"> </w:t>
            </w:r>
            <w:r>
              <w:rPr>
                <w:rFonts w:hint="default" w:ascii="Times New Roman" w:hAnsi="Times New Roman" w:eastAsia="Times New Roman" w:cs="Times New Roman"/>
                <w:color w:val="auto"/>
                <w:spacing w:val="-3"/>
                <w:sz w:val="21"/>
                <w:szCs w:val="21"/>
              </w:rPr>
              <w:t>18℃</w:t>
            </w:r>
          </w:p>
        </w:tc>
        <w:tc>
          <w:tcPr>
            <w:tcW w:w="1847" w:type="dxa"/>
            <w:gridSpan w:val="2"/>
            <w:vAlign w:val="center"/>
          </w:tcPr>
          <w:p w14:paraId="148E480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沸点</w:t>
            </w:r>
          </w:p>
        </w:tc>
        <w:tc>
          <w:tcPr>
            <w:tcW w:w="2387" w:type="dxa"/>
            <w:gridSpan w:val="2"/>
            <w:vAlign w:val="center"/>
          </w:tcPr>
          <w:p w14:paraId="09A9A3D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5"/>
                <w:sz w:val="21"/>
                <w:szCs w:val="21"/>
              </w:rPr>
              <w:t>282—338℃</w:t>
            </w:r>
          </w:p>
        </w:tc>
      </w:tr>
      <w:tr w14:paraId="21710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91" w:type="dxa"/>
            <w:vAlign w:val="center"/>
          </w:tcPr>
          <w:p w14:paraId="194FFB4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溶解性</w:t>
            </w:r>
          </w:p>
        </w:tc>
        <w:tc>
          <w:tcPr>
            <w:tcW w:w="2500" w:type="dxa"/>
            <w:gridSpan w:val="2"/>
            <w:vAlign w:val="center"/>
          </w:tcPr>
          <w:p w14:paraId="7A211A1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不溶于水，溶于多数有机</w:t>
            </w:r>
          </w:p>
          <w:p w14:paraId="63B9DA7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溶剂</w:t>
            </w:r>
          </w:p>
        </w:tc>
        <w:tc>
          <w:tcPr>
            <w:tcW w:w="1847" w:type="dxa"/>
            <w:gridSpan w:val="2"/>
            <w:vAlign w:val="center"/>
          </w:tcPr>
          <w:p w14:paraId="6CA36B2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闪点</w:t>
            </w:r>
          </w:p>
        </w:tc>
        <w:tc>
          <w:tcPr>
            <w:tcW w:w="2387" w:type="dxa"/>
            <w:gridSpan w:val="2"/>
            <w:vAlign w:val="center"/>
          </w:tcPr>
          <w:p w14:paraId="5FF1F1F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p>
          <w:p w14:paraId="6AD6E6E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4"/>
                <w:sz w:val="21"/>
                <w:szCs w:val="21"/>
              </w:rPr>
              <w:t>62—90℃</w:t>
            </w:r>
          </w:p>
        </w:tc>
      </w:tr>
      <w:tr w14:paraId="241EA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591" w:type="dxa"/>
            <w:vAlign w:val="center"/>
          </w:tcPr>
          <w:p w14:paraId="0488929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爆炸极限</w:t>
            </w:r>
          </w:p>
        </w:tc>
        <w:tc>
          <w:tcPr>
            <w:tcW w:w="2500" w:type="dxa"/>
            <w:gridSpan w:val="2"/>
            <w:vAlign w:val="center"/>
          </w:tcPr>
          <w:p w14:paraId="6EBE0B4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4"/>
                <w:position w:val="1"/>
                <w:sz w:val="21"/>
                <w:szCs w:val="21"/>
              </w:rPr>
              <w:t>……</w:t>
            </w:r>
          </w:p>
        </w:tc>
        <w:tc>
          <w:tcPr>
            <w:tcW w:w="1847" w:type="dxa"/>
            <w:gridSpan w:val="2"/>
            <w:vAlign w:val="center"/>
          </w:tcPr>
          <w:p w14:paraId="0C94206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稳定性</w:t>
            </w:r>
          </w:p>
        </w:tc>
        <w:tc>
          <w:tcPr>
            <w:tcW w:w="2387" w:type="dxa"/>
            <w:gridSpan w:val="2"/>
            <w:vAlign w:val="center"/>
          </w:tcPr>
          <w:p w14:paraId="7333A45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稳定</w:t>
            </w:r>
          </w:p>
        </w:tc>
      </w:tr>
      <w:tr w14:paraId="34E0F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591" w:type="dxa"/>
            <w:vAlign w:val="center"/>
          </w:tcPr>
          <w:p w14:paraId="182376D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相对密度</w:t>
            </w:r>
          </w:p>
        </w:tc>
        <w:tc>
          <w:tcPr>
            <w:tcW w:w="2500" w:type="dxa"/>
            <w:gridSpan w:val="2"/>
            <w:vAlign w:val="center"/>
          </w:tcPr>
          <w:p w14:paraId="6C904CE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cs="Times New Roman"/>
                <w:color w:val="auto"/>
                <w:spacing w:val="4"/>
                <w:position w:val="1"/>
                <w:sz w:val="21"/>
                <w:szCs w:val="21"/>
              </w:rPr>
              <w:t>（水</w:t>
            </w:r>
            <w:r>
              <w:rPr>
                <w:rFonts w:hint="default" w:ascii="Times New Roman" w:hAnsi="Times New Roman" w:eastAsia="Times New Roman" w:cs="Times New Roman"/>
                <w:color w:val="auto"/>
                <w:spacing w:val="4"/>
                <w:position w:val="1"/>
                <w:sz w:val="21"/>
                <w:szCs w:val="21"/>
              </w:rPr>
              <w:t>=1</w:t>
            </w:r>
            <w:r>
              <w:rPr>
                <w:rFonts w:hint="default" w:ascii="Times New Roman" w:hAnsi="Times New Roman" w:cs="Times New Roman"/>
                <w:color w:val="auto"/>
                <w:spacing w:val="4"/>
                <w:position w:val="1"/>
                <w:sz w:val="21"/>
                <w:szCs w:val="21"/>
              </w:rPr>
              <w:t>）</w:t>
            </w:r>
            <w:r>
              <w:rPr>
                <w:rFonts w:hint="default" w:ascii="Times New Roman" w:hAnsi="Times New Roman" w:eastAsia="Times New Roman" w:cs="Times New Roman"/>
                <w:color w:val="auto"/>
                <w:spacing w:val="4"/>
                <w:position w:val="1"/>
                <w:sz w:val="21"/>
                <w:szCs w:val="21"/>
              </w:rPr>
              <w:t>0.87—0.9</w:t>
            </w:r>
          </w:p>
        </w:tc>
        <w:tc>
          <w:tcPr>
            <w:tcW w:w="1847" w:type="dxa"/>
            <w:gridSpan w:val="2"/>
            <w:vAlign w:val="center"/>
          </w:tcPr>
          <w:p w14:paraId="7D550B9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燃烧热</w:t>
            </w:r>
          </w:p>
        </w:tc>
        <w:tc>
          <w:tcPr>
            <w:tcW w:w="2387" w:type="dxa"/>
            <w:gridSpan w:val="2"/>
            <w:vAlign w:val="center"/>
          </w:tcPr>
          <w:p w14:paraId="3D6BFD5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12"/>
                <w:position w:val="-2"/>
                <w:sz w:val="21"/>
                <w:szCs w:val="21"/>
              </w:rPr>
              <w:t>—</w:t>
            </w:r>
          </w:p>
        </w:tc>
      </w:tr>
      <w:tr w14:paraId="19234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591" w:type="dxa"/>
            <w:vAlign w:val="center"/>
          </w:tcPr>
          <w:p w14:paraId="42DAC3B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燃烧分解产物</w:t>
            </w:r>
          </w:p>
        </w:tc>
        <w:tc>
          <w:tcPr>
            <w:tcW w:w="2500" w:type="dxa"/>
            <w:gridSpan w:val="2"/>
            <w:vAlign w:val="center"/>
          </w:tcPr>
          <w:p w14:paraId="2C1F9C9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一氧化碳、二氧化碳</w:t>
            </w:r>
          </w:p>
        </w:tc>
        <w:tc>
          <w:tcPr>
            <w:tcW w:w="1847" w:type="dxa"/>
            <w:gridSpan w:val="2"/>
            <w:vAlign w:val="center"/>
          </w:tcPr>
          <w:p w14:paraId="62E05B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cs="Times New Roman"/>
                <w:color w:val="auto"/>
                <w:spacing w:val="10"/>
                <w:sz w:val="21"/>
                <w:szCs w:val="21"/>
              </w:rPr>
              <w:t>蒸汽压</w:t>
            </w:r>
            <w:r>
              <w:rPr>
                <w:rFonts w:hint="default" w:ascii="Times New Roman" w:hAnsi="Times New Roman" w:cs="Times New Roman"/>
                <w:color w:val="auto"/>
                <w:spacing w:val="-46"/>
                <w:sz w:val="21"/>
                <w:szCs w:val="21"/>
              </w:rPr>
              <w:t xml:space="preserve"> </w:t>
            </w:r>
            <w:r>
              <w:rPr>
                <w:rFonts w:hint="default" w:ascii="Times New Roman" w:hAnsi="Times New Roman" w:eastAsia="Times New Roman" w:cs="Times New Roman"/>
                <w:color w:val="auto"/>
                <w:sz w:val="21"/>
                <w:szCs w:val="21"/>
              </w:rPr>
              <w:t>kPa</w:t>
            </w:r>
          </w:p>
        </w:tc>
        <w:tc>
          <w:tcPr>
            <w:tcW w:w="2387" w:type="dxa"/>
            <w:gridSpan w:val="2"/>
            <w:vAlign w:val="center"/>
          </w:tcPr>
          <w:p w14:paraId="3AC3C3E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12"/>
                <w:position w:val="-2"/>
                <w:sz w:val="21"/>
                <w:szCs w:val="21"/>
              </w:rPr>
              <w:t>—</w:t>
            </w:r>
          </w:p>
        </w:tc>
      </w:tr>
      <w:tr w14:paraId="0C2AC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591" w:type="dxa"/>
            <w:vAlign w:val="center"/>
          </w:tcPr>
          <w:p w14:paraId="484E18A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主要用途</w:t>
            </w:r>
          </w:p>
        </w:tc>
        <w:tc>
          <w:tcPr>
            <w:tcW w:w="6734" w:type="dxa"/>
            <w:gridSpan w:val="6"/>
            <w:vAlign w:val="center"/>
          </w:tcPr>
          <w:p w14:paraId="5F544CD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主要用作柴油机的燃料</w:t>
            </w:r>
          </w:p>
        </w:tc>
      </w:tr>
      <w:tr w14:paraId="4870E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91" w:type="dxa"/>
            <w:vAlign w:val="center"/>
          </w:tcPr>
          <w:p w14:paraId="31D4FEC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侵入途径</w:t>
            </w:r>
          </w:p>
        </w:tc>
        <w:tc>
          <w:tcPr>
            <w:tcW w:w="2038" w:type="dxa"/>
            <w:vAlign w:val="center"/>
          </w:tcPr>
          <w:p w14:paraId="3029BD1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吸入、食入、经皮吸</w:t>
            </w:r>
          </w:p>
          <w:p w14:paraId="2D29347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收</w:t>
            </w:r>
          </w:p>
        </w:tc>
        <w:tc>
          <w:tcPr>
            <w:tcW w:w="1298" w:type="dxa"/>
            <w:gridSpan w:val="2"/>
            <w:vAlign w:val="center"/>
          </w:tcPr>
          <w:p w14:paraId="5B5CD98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eastAsia="Times New Roman" w:cs="Times New Roman"/>
                <w:color w:val="auto"/>
                <w:sz w:val="21"/>
                <w:szCs w:val="21"/>
              </w:rPr>
              <w:t>UN</w:t>
            </w:r>
            <w:r>
              <w:rPr>
                <w:rFonts w:hint="default" w:ascii="Times New Roman" w:hAnsi="Times New Roman" w:eastAsia="Times New Roman" w:cs="Times New Roman"/>
                <w:color w:val="auto"/>
                <w:spacing w:val="12"/>
                <w:w w:val="101"/>
                <w:sz w:val="21"/>
                <w:szCs w:val="21"/>
              </w:rPr>
              <w:t xml:space="preserve"> </w:t>
            </w:r>
            <w:r>
              <w:rPr>
                <w:rFonts w:hint="default" w:ascii="Times New Roman" w:hAnsi="Times New Roman" w:cs="Times New Roman"/>
                <w:color w:val="auto"/>
                <w:spacing w:val="10"/>
                <w:sz w:val="21"/>
                <w:szCs w:val="21"/>
              </w:rPr>
              <w:t>编号</w:t>
            </w:r>
          </w:p>
        </w:tc>
        <w:tc>
          <w:tcPr>
            <w:tcW w:w="1011" w:type="dxa"/>
            <w:vAlign w:val="center"/>
          </w:tcPr>
          <w:p w14:paraId="4C7074E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p>
          <w:p w14:paraId="3A2EE45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3"/>
                <w:sz w:val="21"/>
                <w:szCs w:val="21"/>
              </w:rPr>
              <w:t>31001</w:t>
            </w:r>
          </w:p>
        </w:tc>
        <w:tc>
          <w:tcPr>
            <w:tcW w:w="1144" w:type="dxa"/>
            <w:vAlign w:val="center"/>
          </w:tcPr>
          <w:p w14:paraId="3BE5799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p>
          <w:p w14:paraId="275CBBC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4"/>
                <w:sz w:val="21"/>
                <w:szCs w:val="21"/>
              </w:rPr>
              <w:t>CASNO</w:t>
            </w:r>
          </w:p>
        </w:tc>
        <w:tc>
          <w:tcPr>
            <w:tcW w:w="1243" w:type="dxa"/>
            <w:vAlign w:val="center"/>
          </w:tcPr>
          <w:p w14:paraId="116730D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p>
          <w:p w14:paraId="5CE845B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2"/>
                <w:sz w:val="21"/>
                <w:szCs w:val="21"/>
              </w:rPr>
              <w:t>8006-61-9</w:t>
            </w:r>
          </w:p>
        </w:tc>
      </w:tr>
      <w:tr w14:paraId="64D10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591" w:type="dxa"/>
            <w:vAlign w:val="center"/>
          </w:tcPr>
          <w:p w14:paraId="3049284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急性毒性</w:t>
            </w:r>
          </w:p>
        </w:tc>
        <w:tc>
          <w:tcPr>
            <w:tcW w:w="6734" w:type="dxa"/>
            <w:gridSpan w:val="6"/>
            <w:vAlign w:val="center"/>
          </w:tcPr>
          <w:p w14:paraId="1FA311B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cs="Times New Roman"/>
                <w:color w:val="auto"/>
                <w:spacing w:val="7"/>
                <w:sz w:val="21"/>
                <w:szCs w:val="21"/>
              </w:rPr>
              <w:t>小鼠经口</w:t>
            </w:r>
            <w:r>
              <w:rPr>
                <w:rFonts w:hint="default" w:ascii="Times New Roman" w:hAnsi="Times New Roman" w:cs="Times New Roman"/>
                <w:color w:val="auto"/>
                <w:spacing w:val="-42"/>
                <w:sz w:val="21"/>
                <w:szCs w:val="21"/>
              </w:rPr>
              <w:t xml:space="preserve"> </w:t>
            </w:r>
            <w:r>
              <w:rPr>
                <w:rFonts w:hint="default" w:ascii="Times New Roman" w:hAnsi="Times New Roman" w:eastAsia="Times New Roman" w:cs="Times New Roman"/>
                <w:color w:val="auto"/>
                <w:sz w:val="21"/>
                <w:szCs w:val="21"/>
              </w:rPr>
              <w:t>LD</w:t>
            </w:r>
            <w:r>
              <w:rPr>
                <w:rFonts w:hint="default" w:ascii="Times New Roman" w:hAnsi="Times New Roman" w:eastAsia="Times New Roman" w:cs="Times New Roman"/>
                <w:color w:val="auto"/>
                <w:spacing w:val="7"/>
                <w:position w:val="-1"/>
                <w:sz w:val="21"/>
                <w:szCs w:val="21"/>
              </w:rPr>
              <w:t>50:</w:t>
            </w:r>
            <w:r>
              <w:rPr>
                <w:rFonts w:hint="default" w:ascii="Times New Roman" w:hAnsi="Times New Roman" w:eastAsia="Times New Roman" w:cs="Times New Roman"/>
                <w:color w:val="auto"/>
                <w:spacing w:val="7"/>
                <w:sz w:val="21"/>
                <w:szCs w:val="21"/>
              </w:rPr>
              <w:t>7500</w:t>
            </w:r>
            <w:r>
              <w:rPr>
                <w:rFonts w:hint="default" w:ascii="Times New Roman" w:hAnsi="Times New Roman" w:eastAsia="Times New Roman" w:cs="Times New Roman"/>
                <w:color w:val="auto"/>
                <w:sz w:val="21"/>
                <w:szCs w:val="21"/>
              </w:rPr>
              <w:t>mg</w:t>
            </w:r>
            <w:r>
              <w:rPr>
                <w:rFonts w:hint="default" w:ascii="Times New Roman" w:hAnsi="Times New Roman" w:eastAsia="Times New Roman" w:cs="Times New Roman"/>
                <w:color w:val="auto"/>
                <w:spacing w:val="7"/>
                <w:sz w:val="21"/>
                <w:szCs w:val="21"/>
              </w:rPr>
              <w:t>/</w:t>
            </w:r>
            <w:r>
              <w:rPr>
                <w:rFonts w:hint="default" w:ascii="Times New Roman" w:hAnsi="Times New Roman" w:eastAsia="Times New Roman" w:cs="Times New Roman"/>
                <w:color w:val="auto"/>
                <w:sz w:val="21"/>
                <w:szCs w:val="21"/>
              </w:rPr>
              <w:t>kg</w:t>
            </w:r>
            <w:r>
              <w:rPr>
                <w:rFonts w:hint="default" w:ascii="Times New Roman" w:hAnsi="Times New Roman" w:cs="Times New Roman"/>
                <w:color w:val="auto"/>
                <w:spacing w:val="-5"/>
                <w:sz w:val="21"/>
                <w:szCs w:val="21"/>
              </w:rPr>
              <w:t>（）</w:t>
            </w:r>
            <w:r>
              <w:rPr>
                <w:rFonts w:hint="default" w:ascii="Times New Roman" w:hAnsi="Times New Roman" w:cs="Times New Roman"/>
                <w:color w:val="auto"/>
                <w:spacing w:val="-32"/>
                <w:sz w:val="21"/>
                <w:szCs w:val="21"/>
              </w:rPr>
              <w:t xml:space="preserve"> </w:t>
            </w:r>
            <w:r>
              <w:rPr>
                <w:rFonts w:hint="default" w:ascii="Times New Roman" w:hAnsi="Times New Roman" w:cs="Times New Roman"/>
                <w:color w:val="auto"/>
                <w:spacing w:val="-5"/>
                <w:sz w:val="21"/>
                <w:szCs w:val="21"/>
              </w:rPr>
              <w:t>；</w:t>
            </w:r>
            <w:r>
              <w:rPr>
                <w:rFonts w:hint="default" w:ascii="Times New Roman" w:hAnsi="Times New Roman" w:cs="Times New Roman"/>
                <w:color w:val="auto"/>
                <w:spacing w:val="7"/>
                <w:sz w:val="21"/>
                <w:szCs w:val="21"/>
              </w:rPr>
              <w:t>兔经皮</w:t>
            </w:r>
            <w:r>
              <w:rPr>
                <w:rFonts w:hint="default" w:ascii="Times New Roman" w:hAnsi="Times New Roman" w:cs="Times New Roman"/>
                <w:color w:val="auto"/>
                <w:spacing w:val="-41"/>
                <w:sz w:val="21"/>
                <w:szCs w:val="21"/>
              </w:rPr>
              <w:t xml:space="preserve"> </w:t>
            </w:r>
            <w:r>
              <w:rPr>
                <w:rFonts w:hint="default" w:ascii="Times New Roman" w:hAnsi="Times New Roman" w:eastAsia="Times New Roman" w:cs="Times New Roman"/>
                <w:color w:val="auto"/>
                <w:sz w:val="21"/>
                <w:szCs w:val="21"/>
              </w:rPr>
              <w:t>LC</w:t>
            </w:r>
            <w:r>
              <w:rPr>
                <w:rFonts w:hint="default" w:ascii="Times New Roman" w:hAnsi="Times New Roman" w:eastAsia="Times New Roman" w:cs="Times New Roman"/>
                <w:color w:val="auto"/>
                <w:spacing w:val="7"/>
                <w:position w:val="-1"/>
                <w:sz w:val="21"/>
                <w:szCs w:val="21"/>
              </w:rPr>
              <w:t>50</w:t>
            </w:r>
            <w:r>
              <w:rPr>
                <w:rFonts w:hint="default" w:ascii="Times New Roman" w:hAnsi="Times New Roman" w:cs="Times New Roman"/>
                <w:color w:val="auto"/>
                <w:spacing w:val="-5"/>
                <w:sz w:val="21"/>
                <w:szCs w:val="21"/>
              </w:rPr>
              <w:t>：</w:t>
            </w:r>
            <w:r>
              <w:rPr>
                <w:rFonts w:hint="default" w:ascii="Times New Roman" w:hAnsi="Times New Roman" w:cs="Times New Roman"/>
                <w:color w:val="auto"/>
                <w:spacing w:val="-73"/>
                <w:sz w:val="21"/>
                <w:szCs w:val="21"/>
              </w:rPr>
              <w:t xml:space="preserve"> </w:t>
            </w:r>
            <w:r>
              <w:rPr>
                <w:rFonts w:hint="default" w:ascii="Times New Roman" w:hAnsi="Times New Roman" w:cs="Times New Roman"/>
                <w:color w:val="auto"/>
                <w:spacing w:val="-5"/>
                <w:sz w:val="21"/>
                <w:szCs w:val="21"/>
              </w:rPr>
              <w:t>﹤</w:t>
            </w:r>
            <w:r>
              <w:rPr>
                <w:rFonts w:hint="default" w:ascii="Times New Roman" w:hAnsi="Times New Roman" w:eastAsia="Times New Roman" w:cs="Times New Roman"/>
                <w:color w:val="auto"/>
                <w:spacing w:val="7"/>
                <w:sz w:val="21"/>
                <w:szCs w:val="21"/>
              </w:rPr>
              <w:t>5</w:t>
            </w:r>
            <w:r>
              <w:rPr>
                <w:rFonts w:hint="default" w:ascii="Times New Roman" w:hAnsi="Times New Roman" w:eastAsia="Times New Roman" w:cs="Times New Roman"/>
                <w:color w:val="auto"/>
                <w:sz w:val="21"/>
                <w:szCs w:val="21"/>
              </w:rPr>
              <w:t>ml</w:t>
            </w:r>
            <w:r>
              <w:rPr>
                <w:rFonts w:hint="default" w:ascii="Times New Roman" w:hAnsi="Times New Roman" w:eastAsia="Times New Roman" w:cs="Times New Roman"/>
                <w:color w:val="auto"/>
                <w:spacing w:val="7"/>
                <w:sz w:val="21"/>
                <w:szCs w:val="21"/>
              </w:rPr>
              <w:t>/</w:t>
            </w:r>
            <w:r>
              <w:rPr>
                <w:rFonts w:hint="default" w:ascii="Times New Roman" w:hAnsi="Times New Roman" w:eastAsia="Times New Roman" w:cs="Times New Roman"/>
                <w:color w:val="auto"/>
                <w:sz w:val="21"/>
                <w:szCs w:val="21"/>
              </w:rPr>
              <w:t>kg</w:t>
            </w:r>
          </w:p>
        </w:tc>
      </w:tr>
      <w:tr w14:paraId="6E2BF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91" w:type="dxa"/>
            <w:vAlign w:val="center"/>
          </w:tcPr>
          <w:p w14:paraId="7C86B71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危险特性</w:t>
            </w:r>
          </w:p>
        </w:tc>
        <w:tc>
          <w:tcPr>
            <w:tcW w:w="6734" w:type="dxa"/>
            <w:gridSpan w:val="6"/>
            <w:vAlign w:val="center"/>
          </w:tcPr>
          <w:p w14:paraId="23F2F95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10"/>
                <w:sz w:val="21"/>
                <w:szCs w:val="21"/>
              </w:rPr>
              <w:t>遇明火、高热或氧化剂接触，有引起燃烧爆炸的</w:t>
            </w:r>
            <w:r>
              <w:rPr>
                <w:rFonts w:hint="default" w:ascii="Times New Roman" w:hAnsi="Times New Roman" w:cs="Times New Roman"/>
                <w:color w:val="auto"/>
                <w:spacing w:val="9"/>
                <w:sz w:val="21"/>
                <w:szCs w:val="21"/>
              </w:rPr>
              <w:t>危险。若遇高热，容器</w:t>
            </w:r>
            <w:r>
              <w:rPr>
                <w:rFonts w:hint="default" w:ascii="Times New Roman" w:hAnsi="Times New Roman" w:cs="Times New Roman"/>
                <w:color w:val="auto"/>
                <w:spacing w:val="6"/>
                <w:sz w:val="21"/>
                <w:szCs w:val="21"/>
              </w:rPr>
              <w:t>内压增大，有开裂和爆炸的危险。</w:t>
            </w:r>
          </w:p>
        </w:tc>
      </w:tr>
      <w:tr w14:paraId="27FF9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591" w:type="dxa"/>
            <w:vAlign w:val="center"/>
          </w:tcPr>
          <w:p w14:paraId="48784C1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健康危害</w:t>
            </w:r>
          </w:p>
        </w:tc>
        <w:tc>
          <w:tcPr>
            <w:tcW w:w="6734" w:type="dxa"/>
            <w:gridSpan w:val="6"/>
            <w:vAlign w:val="center"/>
          </w:tcPr>
          <w:p w14:paraId="30636CC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9"/>
                <w:sz w:val="21"/>
                <w:szCs w:val="21"/>
              </w:rPr>
              <w:t>皮肤接触柴油可引起接触性皮炎、油性痤疮，吸入可引起吸入性肺炎，</w:t>
            </w:r>
            <w:r>
              <w:rPr>
                <w:rFonts w:hint="default" w:ascii="Times New Roman" w:hAnsi="Times New Roman" w:cs="Times New Roman"/>
                <w:color w:val="auto"/>
                <w:spacing w:val="8"/>
                <w:sz w:val="21"/>
                <w:szCs w:val="21"/>
              </w:rPr>
              <w:t>能经胎盘进入胎儿血中。柴油废气可引起眼、鼻刺激症状，头晕及头痛。</w:t>
            </w:r>
          </w:p>
        </w:tc>
      </w:tr>
    </w:tbl>
    <w:p w14:paraId="06C16515">
      <w:pPr>
        <w:pStyle w:val="9"/>
        <w:spacing w:before="180" w:line="212" w:lineRule="auto"/>
        <w:rPr>
          <w:rFonts w:hint="default" w:ascii="Times New Roman" w:hAnsi="Times New Roman" w:cs="Times New Roman"/>
          <w:b/>
          <w:bCs/>
          <w:color w:val="auto"/>
          <w:spacing w:val="0"/>
          <w:sz w:val="21"/>
        </w:rPr>
      </w:pPr>
    </w:p>
    <w:p w14:paraId="7858AB07">
      <w:pPr>
        <w:pStyle w:val="9"/>
        <w:spacing w:before="37" w:line="219" w:lineRule="auto"/>
        <w:ind w:left="613"/>
        <w:rPr>
          <w:color w:val="auto"/>
          <w:sz w:val="24"/>
          <w:szCs w:val="24"/>
        </w:rPr>
      </w:pPr>
      <w:r>
        <w:rPr>
          <w:rFonts w:ascii="Times New Roman" w:hAnsi="Times New Roman" w:eastAsia="Times New Roman" w:cs="Times New Roman"/>
          <w:b/>
          <w:bCs/>
          <w:color w:val="auto"/>
          <w:spacing w:val="-7"/>
          <w:sz w:val="24"/>
          <w:szCs w:val="24"/>
        </w:rPr>
        <w:t>2</w:t>
      </w:r>
      <w:r>
        <w:rPr>
          <w:rFonts w:ascii="Times New Roman" w:hAnsi="Times New Roman" w:eastAsia="Times New Roman" w:cs="Times New Roman"/>
          <w:b/>
          <w:bCs/>
          <w:color w:val="auto"/>
          <w:spacing w:val="-33"/>
          <w:sz w:val="24"/>
          <w:szCs w:val="24"/>
        </w:rPr>
        <w:t xml:space="preserve"> </w:t>
      </w:r>
      <w:r>
        <w:rPr>
          <w:b/>
          <w:bCs/>
          <w:color w:val="auto"/>
          <w:spacing w:val="-7"/>
          <w:sz w:val="24"/>
          <w:szCs w:val="24"/>
        </w:rPr>
        <w:t>、废矿物油</w:t>
      </w:r>
    </w:p>
    <w:p w14:paraId="6B70EADE">
      <w:pPr>
        <w:pStyle w:val="9"/>
        <w:spacing w:before="180" w:line="212" w:lineRule="auto"/>
        <w:ind w:left="2053"/>
        <w:rPr>
          <w:rFonts w:hint="default" w:ascii="Times New Roman" w:hAnsi="Times New Roman" w:cs="Times New Roman"/>
          <w:color w:val="auto"/>
          <w:spacing w:val="0"/>
          <w:sz w:val="21"/>
        </w:rPr>
      </w:pPr>
      <w:r>
        <w:rPr>
          <w:rFonts w:hint="default" w:ascii="Times New Roman" w:hAnsi="Times New Roman" w:cs="Times New Roman"/>
          <w:b/>
          <w:bCs/>
          <w:color w:val="auto"/>
          <w:spacing w:val="0"/>
          <w:sz w:val="21"/>
        </w:rPr>
        <w:t>表</w:t>
      </w:r>
      <w:r>
        <w:rPr>
          <w:rFonts w:hint="default" w:ascii="Times New Roman" w:hAnsi="Times New Roman" w:eastAsia="宋体" w:cs="Times New Roman"/>
          <w:color w:val="auto"/>
          <w:spacing w:val="0"/>
          <w:sz w:val="21"/>
          <w:lang w:val="en-US" w:eastAsia="zh-CN"/>
        </w:rPr>
        <w:t>4.7</w:t>
      </w:r>
      <w:r>
        <w:rPr>
          <w:rFonts w:hint="default" w:ascii="Times New Roman" w:hAnsi="Times New Roman" w:eastAsia="Times New Roman" w:cs="Times New Roman"/>
          <w:b/>
          <w:bCs/>
          <w:color w:val="auto"/>
          <w:spacing w:val="0"/>
          <w:sz w:val="21"/>
        </w:rPr>
        <w:t xml:space="preserve">-2  </w:t>
      </w:r>
      <w:r>
        <w:rPr>
          <w:rFonts w:hint="default" w:ascii="Times New Roman" w:hAnsi="Times New Roman" w:cs="Times New Roman"/>
          <w:b/>
          <w:bCs/>
          <w:color w:val="auto"/>
          <w:spacing w:val="0"/>
          <w:sz w:val="21"/>
        </w:rPr>
        <w:t>废矿物油理化性质及危险特性表</w:t>
      </w:r>
    </w:p>
    <w:tbl>
      <w:tblPr>
        <w:tblStyle w:val="26"/>
        <w:tblW w:w="856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2"/>
        <w:gridCol w:w="1066"/>
        <w:gridCol w:w="1646"/>
        <w:gridCol w:w="4816"/>
      </w:tblGrid>
      <w:tr w14:paraId="1076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trPr>
        <w:tc>
          <w:tcPr>
            <w:tcW w:w="1032" w:type="dxa"/>
            <w:vMerge w:val="restart"/>
            <w:vAlign w:val="center"/>
          </w:tcPr>
          <w:p w14:paraId="2470E28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标识</w:t>
            </w:r>
          </w:p>
        </w:tc>
        <w:tc>
          <w:tcPr>
            <w:tcW w:w="7528" w:type="dxa"/>
            <w:gridSpan w:val="3"/>
            <w:vAlign w:val="center"/>
          </w:tcPr>
          <w:p w14:paraId="5936175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中文名：矿物油</w:t>
            </w:r>
          </w:p>
        </w:tc>
      </w:tr>
      <w:tr w14:paraId="4A25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032" w:type="dxa"/>
            <w:vMerge w:val="continue"/>
            <w:vAlign w:val="center"/>
          </w:tcPr>
          <w:p w14:paraId="4DC6974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7528" w:type="dxa"/>
            <w:gridSpan w:val="3"/>
            <w:vAlign w:val="center"/>
          </w:tcPr>
          <w:p w14:paraId="426878A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英文名：</w:t>
            </w:r>
            <w:r>
              <w:rPr>
                <w:rFonts w:hint="default" w:ascii="Times New Roman" w:hAnsi="Times New Roman" w:cs="Times New Roman" w:eastAsiaTheme="minorEastAsia"/>
                <w:color w:val="auto"/>
                <w:spacing w:val="0"/>
                <w:w w:val="100"/>
                <w:sz w:val="21"/>
                <w:szCs w:val="21"/>
              </w:rPr>
              <w:fldChar w:fldCharType="begin"/>
            </w:r>
            <w:r>
              <w:rPr>
                <w:rFonts w:hint="default" w:ascii="Times New Roman" w:hAnsi="Times New Roman" w:cs="Times New Roman" w:eastAsiaTheme="minorEastAsia"/>
                <w:color w:val="auto"/>
                <w:spacing w:val="0"/>
                <w:w w:val="100"/>
                <w:sz w:val="21"/>
                <w:szCs w:val="21"/>
              </w:rPr>
              <w:instrText xml:space="preserve"> HYPERLINK "https://www.chemsrc.com/en/cas/8020-83-5_1198972.html" </w:instrText>
            </w:r>
            <w:r>
              <w:rPr>
                <w:rFonts w:hint="default" w:ascii="Times New Roman" w:hAnsi="Times New Roman" w:cs="Times New Roman" w:eastAsiaTheme="minorEastAsia"/>
                <w:color w:val="auto"/>
                <w:spacing w:val="0"/>
                <w:w w:val="100"/>
                <w:sz w:val="21"/>
                <w:szCs w:val="21"/>
              </w:rPr>
              <w:fldChar w:fldCharType="separate"/>
            </w:r>
            <w:r>
              <w:rPr>
                <w:rFonts w:hint="default" w:ascii="Times New Roman" w:hAnsi="Times New Roman" w:cs="Times New Roman" w:eastAsiaTheme="minorEastAsia"/>
                <w:color w:val="auto"/>
                <w:spacing w:val="0"/>
                <w:w w:val="100"/>
                <w:sz w:val="21"/>
                <w:szCs w:val="21"/>
                <w:u w:val="single" w:color="auto"/>
              </w:rPr>
              <w:t>paraffin</w:t>
            </w:r>
            <w:r>
              <w:rPr>
                <w:rFonts w:hint="default" w:ascii="Times New Roman" w:hAnsi="Times New Roman" w:cs="Times New Roman" w:eastAsiaTheme="minorEastAsia"/>
                <w:color w:val="auto"/>
                <w:spacing w:val="0"/>
                <w:w w:val="100"/>
                <w:sz w:val="21"/>
                <w:szCs w:val="21"/>
                <w:u w:val="single" w:color="auto"/>
              </w:rPr>
              <w:fldChar w:fldCharType="end"/>
            </w:r>
          </w:p>
        </w:tc>
      </w:tr>
      <w:tr w14:paraId="32B9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032" w:type="dxa"/>
            <w:vMerge w:val="continue"/>
            <w:vAlign w:val="center"/>
          </w:tcPr>
          <w:p w14:paraId="20DFD88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7528" w:type="dxa"/>
            <w:gridSpan w:val="3"/>
            <w:vAlign w:val="center"/>
          </w:tcPr>
          <w:p w14:paraId="400E758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危险性类别：可燃液体</w:t>
            </w:r>
          </w:p>
        </w:tc>
      </w:tr>
      <w:tr w14:paraId="60CE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4" w:hRule="atLeast"/>
        </w:trPr>
        <w:tc>
          <w:tcPr>
            <w:tcW w:w="1032" w:type="dxa"/>
            <w:vMerge w:val="restart"/>
            <w:vAlign w:val="center"/>
          </w:tcPr>
          <w:p w14:paraId="7E6571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理化性质</w:t>
            </w:r>
          </w:p>
        </w:tc>
        <w:tc>
          <w:tcPr>
            <w:tcW w:w="7528" w:type="dxa"/>
            <w:gridSpan w:val="3"/>
            <w:vAlign w:val="center"/>
          </w:tcPr>
          <w:p w14:paraId="38725BD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外观与性状：无色透明油状黏性液体，室温下无嗅无味或略带异味，对酸、热、光都很稳定。</w:t>
            </w:r>
          </w:p>
        </w:tc>
      </w:tr>
      <w:tr w14:paraId="7907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032" w:type="dxa"/>
            <w:vMerge w:val="continue"/>
            <w:vAlign w:val="center"/>
          </w:tcPr>
          <w:p w14:paraId="1146113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2712" w:type="dxa"/>
            <w:gridSpan w:val="2"/>
            <w:vAlign w:val="center"/>
          </w:tcPr>
          <w:p w14:paraId="1BD8AA6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熔点 (℃) ：-</w:t>
            </w:r>
          </w:p>
        </w:tc>
        <w:tc>
          <w:tcPr>
            <w:tcW w:w="4816" w:type="dxa"/>
            <w:vAlign w:val="center"/>
          </w:tcPr>
          <w:p w14:paraId="0541A86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沸点 (℃) ：-</w:t>
            </w:r>
          </w:p>
        </w:tc>
      </w:tr>
      <w:tr w14:paraId="5126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032" w:type="dxa"/>
            <w:vMerge w:val="continue"/>
            <w:vAlign w:val="center"/>
          </w:tcPr>
          <w:p w14:paraId="3DB4A16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2712" w:type="dxa"/>
            <w:gridSpan w:val="2"/>
            <w:vAlign w:val="center"/>
          </w:tcPr>
          <w:p w14:paraId="290B14E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临界温度 (℃) ：-</w:t>
            </w:r>
          </w:p>
        </w:tc>
        <w:tc>
          <w:tcPr>
            <w:tcW w:w="4816" w:type="dxa"/>
            <w:vAlign w:val="center"/>
          </w:tcPr>
          <w:p w14:paraId="04CE9F6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临界压力（MPa）：-</w:t>
            </w:r>
          </w:p>
        </w:tc>
      </w:tr>
      <w:tr w14:paraId="7A05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032" w:type="dxa"/>
            <w:vMerge w:val="continue"/>
            <w:vAlign w:val="center"/>
          </w:tcPr>
          <w:p w14:paraId="3E6E7B1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2712" w:type="dxa"/>
            <w:gridSpan w:val="2"/>
            <w:vAlign w:val="center"/>
          </w:tcPr>
          <w:p w14:paraId="27AF67D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饱和蒸气压（KPa）：-</w:t>
            </w:r>
          </w:p>
        </w:tc>
        <w:tc>
          <w:tcPr>
            <w:tcW w:w="4816" w:type="dxa"/>
            <w:vAlign w:val="center"/>
          </w:tcPr>
          <w:p w14:paraId="6BF484A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燃烧热 （KJ/mol）：-</w:t>
            </w:r>
          </w:p>
        </w:tc>
      </w:tr>
      <w:tr w14:paraId="11A5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032" w:type="dxa"/>
            <w:vMerge w:val="continue"/>
            <w:vAlign w:val="center"/>
          </w:tcPr>
          <w:p w14:paraId="6CD0AC6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7528" w:type="dxa"/>
            <w:gridSpan w:val="3"/>
            <w:vAlign w:val="center"/>
          </w:tcPr>
          <w:p w14:paraId="0540FF9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密度：0.85 g/mL at 20 C</w:t>
            </w:r>
          </w:p>
        </w:tc>
      </w:tr>
      <w:tr w14:paraId="6E90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4" w:hRule="atLeast"/>
        </w:trPr>
        <w:tc>
          <w:tcPr>
            <w:tcW w:w="1032" w:type="dxa"/>
            <w:vMerge w:val="continue"/>
            <w:vAlign w:val="center"/>
          </w:tcPr>
          <w:p w14:paraId="1DDA974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7528" w:type="dxa"/>
            <w:gridSpan w:val="3"/>
            <w:vAlign w:val="center"/>
          </w:tcPr>
          <w:p w14:paraId="2AB421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溶解性：不溶于水、甘油、冷乙醇。溶于热乙醇、二硫化碳、乙醚、酯、氯仿、</w:t>
            </w:r>
          </w:p>
          <w:p w14:paraId="5B1992C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苯、石油醚。除蓖麻油外，与许多油脂和蜡都能混合。</w:t>
            </w:r>
          </w:p>
        </w:tc>
      </w:tr>
      <w:tr w14:paraId="7A97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1032" w:type="dxa"/>
            <w:vMerge w:val="restart"/>
            <w:vAlign w:val="center"/>
          </w:tcPr>
          <w:p w14:paraId="667D1EC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燃烧爆</w:t>
            </w:r>
          </w:p>
          <w:p w14:paraId="520B4E8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炸危险</w:t>
            </w:r>
          </w:p>
          <w:p w14:paraId="1A9307A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性</w:t>
            </w:r>
          </w:p>
        </w:tc>
        <w:tc>
          <w:tcPr>
            <w:tcW w:w="7528" w:type="dxa"/>
            <w:gridSpan w:val="3"/>
            <w:vAlign w:val="center"/>
          </w:tcPr>
          <w:p w14:paraId="5C4000E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燃烧性：本品可燃，具有窒息性。</w:t>
            </w:r>
          </w:p>
        </w:tc>
      </w:tr>
      <w:tr w14:paraId="4FA7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1032" w:type="dxa"/>
            <w:vMerge w:val="continue"/>
            <w:vAlign w:val="center"/>
          </w:tcPr>
          <w:p w14:paraId="5087873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2712" w:type="dxa"/>
            <w:gridSpan w:val="2"/>
            <w:vAlign w:val="center"/>
          </w:tcPr>
          <w:p w14:paraId="2C94B01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引燃温度 (℃) ：300</w:t>
            </w:r>
          </w:p>
        </w:tc>
        <w:tc>
          <w:tcPr>
            <w:tcW w:w="4816" w:type="dxa"/>
            <w:vAlign w:val="center"/>
          </w:tcPr>
          <w:p w14:paraId="6130901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闪点 (℃) ：220</w:t>
            </w:r>
          </w:p>
        </w:tc>
      </w:tr>
      <w:tr w14:paraId="5050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1032" w:type="dxa"/>
            <w:vMerge w:val="continue"/>
            <w:vAlign w:val="center"/>
          </w:tcPr>
          <w:p w14:paraId="24C6C35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2712" w:type="dxa"/>
            <w:gridSpan w:val="2"/>
            <w:vAlign w:val="center"/>
          </w:tcPr>
          <w:p w14:paraId="3C8C2E4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爆炸下限（%）：-</w:t>
            </w:r>
          </w:p>
        </w:tc>
        <w:tc>
          <w:tcPr>
            <w:tcW w:w="4816" w:type="dxa"/>
            <w:vAlign w:val="center"/>
          </w:tcPr>
          <w:p w14:paraId="5A52F21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爆炸上限（%）：-</w:t>
            </w:r>
          </w:p>
        </w:tc>
      </w:tr>
      <w:tr w14:paraId="60CB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1032" w:type="dxa"/>
            <w:vMerge w:val="continue"/>
            <w:vAlign w:val="center"/>
          </w:tcPr>
          <w:p w14:paraId="53300B2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2712" w:type="dxa"/>
            <w:gridSpan w:val="2"/>
            <w:vAlign w:val="center"/>
          </w:tcPr>
          <w:p w14:paraId="14D576B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最小点火能（mj）：-</w:t>
            </w:r>
          </w:p>
        </w:tc>
        <w:tc>
          <w:tcPr>
            <w:tcW w:w="4816" w:type="dxa"/>
            <w:vAlign w:val="center"/>
          </w:tcPr>
          <w:p w14:paraId="7321A8A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最大爆炸压力（MPa）：-</w:t>
            </w:r>
          </w:p>
        </w:tc>
      </w:tr>
      <w:tr w14:paraId="2D4A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1032" w:type="dxa"/>
            <w:vMerge w:val="continue"/>
            <w:vAlign w:val="center"/>
          </w:tcPr>
          <w:p w14:paraId="50C9B6B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1066" w:type="dxa"/>
            <w:vAlign w:val="center"/>
          </w:tcPr>
          <w:p w14:paraId="5F94439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危险特性</w:t>
            </w:r>
          </w:p>
        </w:tc>
        <w:tc>
          <w:tcPr>
            <w:tcW w:w="6462" w:type="dxa"/>
            <w:gridSpan w:val="2"/>
            <w:vAlign w:val="center"/>
          </w:tcPr>
          <w:p w14:paraId="42ED92A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遇明火、高热可燃</w:t>
            </w:r>
          </w:p>
        </w:tc>
      </w:tr>
      <w:tr w14:paraId="1F8B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1032" w:type="dxa"/>
            <w:vMerge w:val="continue"/>
            <w:vAlign w:val="center"/>
          </w:tcPr>
          <w:p w14:paraId="2558B83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1066" w:type="dxa"/>
            <w:vAlign w:val="center"/>
          </w:tcPr>
          <w:p w14:paraId="7EEC276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禁配物</w:t>
            </w:r>
          </w:p>
        </w:tc>
        <w:tc>
          <w:tcPr>
            <w:tcW w:w="6462" w:type="dxa"/>
            <w:gridSpan w:val="2"/>
            <w:vAlign w:val="center"/>
          </w:tcPr>
          <w:p w14:paraId="32A8C26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w:t>
            </w:r>
          </w:p>
        </w:tc>
      </w:tr>
      <w:tr w14:paraId="1EF7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3" w:hRule="atLeast"/>
        </w:trPr>
        <w:tc>
          <w:tcPr>
            <w:tcW w:w="1032" w:type="dxa"/>
            <w:vMerge w:val="continue"/>
            <w:vAlign w:val="center"/>
          </w:tcPr>
          <w:p w14:paraId="7D02957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1066" w:type="dxa"/>
            <w:vAlign w:val="center"/>
          </w:tcPr>
          <w:p w14:paraId="3B4EE0D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消防措施</w:t>
            </w:r>
          </w:p>
        </w:tc>
        <w:tc>
          <w:tcPr>
            <w:tcW w:w="6462" w:type="dxa"/>
            <w:gridSpan w:val="2"/>
            <w:vAlign w:val="center"/>
          </w:tcPr>
          <w:p w14:paraId="056FE30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消防人员须佩戴防毒面具、身穿全身消防服，在上风险灭火。尽可能将容器从火场移至空旷处。喷水保持火场容器冷却，直至灭火结束。处在火场中的容器若已变色或从安全泄压装置中产生声音，必须马上撤离。灭火剂：雾状水、泡沫、干粉、二氧化碳、砂土。</w:t>
            </w:r>
          </w:p>
        </w:tc>
      </w:tr>
      <w:tr w14:paraId="1EF6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1032" w:type="dxa"/>
            <w:vMerge w:val="restart"/>
            <w:vAlign w:val="center"/>
          </w:tcPr>
          <w:p w14:paraId="2B06AA8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毒性</w:t>
            </w:r>
          </w:p>
        </w:tc>
        <w:tc>
          <w:tcPr>
            <w:tcW w:w="1066" w:type="dxa"/>
            <w:vAlign w:val="center"/>
          </w:tcPr>
          <w:p w14:paraId="130E110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急性毒性</w:t>
            </w:r>
          </w:p>
        </w:tc>
        <w:tc>
          <w:tcPr>
            <w:tcW w:w="6462" w:type="dxa"/>
            <w:gridSpan w:val="2"/>
            <w:vAlign w:val="center"/>
          </w:tcPr>
          <w:p w14:paraId="7E4D4C9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LD50  ：无资料。LC50  ：无资料</w:t>
            </w:r>
          </w:p>
        </w:tc>
      </w:tr>
      <w:tr w14:paraId="08D8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trPr>
        <w:tc>
          <w:tcPr>
            <w:tcW w:w="1032" w:type="dxa"/>
            <w:vMerge w:val="continue"/>
            <w:vAlign w:val="center"/>
          </w:tcPr>
          <w:p w14:paraId="725C494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1066" w:type="dxa"/>
            <w:vAlign w:val="center"/>
          </w:tcPr>
          <w:p w14:paraId="2052E90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毒性</w:t>
            </w:r>
          </w:p>
        </w:tc>
        <w:tc>
          <w:tcPr>
            <w:tcW w:w="6462" w:type="dxa"/>
            <w:gridSpan w:val="2"/>
            <w:vAlign w:val="center"/>
          </w:tcPr>
          <w:p w14:paraId="7626562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无资料</w:t>
            </w:r>
          </w:p>
        </w:tc>
      </w:tr>
      <w:tr w14:paraId="6FFD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4" w:hRule="atLeast"/>
        </w:trPr>
        <w:tc>
          <w:tcPr>
            <w:tcW w:w="1032" w:type="dxa"/>
            <w:vMerge w:val="continue"/>
            <w:vAlign w:val="center"/>
          </w:tcPr>
          <w:p w14:paraId="104A5B6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1066" w:type="dxa"/>
            <w:vAlign w:val="center"/>
          </w:tcPr>
          <w:p w14:paraId="45AF825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健康危害</w:t>
            </w:r>
          </w:p>
        </w:tc>
        <w:tc>
          <w:tcPr>
            <w:tcW w:w="6462" w:type="dxa"/>
            <w:gridSpan w:val="2"/>
            <w:vAlign w:val="center"/>
          </w:tcPr>
          <w:p w14:paraId="78602E4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侵入途径：吸入、食入；急性吸入，可出现乏力、头晕、头痛、恶心，严重者可引起油脂性肺炎。慢接触者，暴露部位可发生油性痤疮和接触性皮炎。可引起神经衰弱综合征，呼吸道和眼刺激症状及慢性油脂性肺炎。有资料报告，接触石油润滑油类的工人，有致癌的病例报告。</w:t>
            </w:r>
          </w:p>
        </w:tc>
      </w:tr>
      <w:tr w14:paraId="1459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1" w:hRule="atLeast"/>
        </w:trPr>
        <w:tc>
          <w:tcPr>
            <w:tcW w:w="1032" w:type="dxa"/>
            <w:vMerge w:val="continue"/>
            <w:vAlign w:val="center"/>
          </w:tcPr>
          <w:p w14:paraId="746C42E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1066" w:type="dxa"/>
            <w:vAlign w:val="center"/>
          </w:tcPr>
          <w:p w14:paraId="67CAD7C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防护</w:t>
            </w:r>
          </w:p>
        </w:tc>
        <w:tc>
          <w:tcPr>
            <w:tcW w:w="6462" w:type="dxa"/>
            <w:gridSpan w:val="2"/>
            <w:vAlign w:val="center"/>
          </w:tcPr>
          <w:p w14:paraId="26E929A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工程控制：密闭操作，注意通风；</w:t>
            </w:r>
          </w:p>
          <w:p w14:paraId="43CE8B9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呼吸系统防护：空气中浓度超标时，建议佩戴自吸过滤式防毒面具（半面罩）。紧急事态抢救或撤离时，应该佩戴空气呼吸器。</w:t>
            </w:r>
          </w:p>
          <w:p w14:paraId="69EEA96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眼睛防护：戴化学安全防护眼镜。</w:t>
            </w:r>
          </w:p>
          <w:p w14:paraId="102BF66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身体防护：穿防毒物渗透工作服；</w:t>
            </w:r>
          </w:p>
          <w:p w14:paraId="0BCC168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手防护：戴橡胶耐油手套；</w:t>
            </w:r>
          </w:p>
          <w:p w14:paraId="1AFF64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其他：工作现场禁止吸烟。避免长期反复接触。</w:t>
            </w:r>
          </w:p>
        </w:tc>
      </w:tr>
      <w:tr w14:paraId="1C22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3" w:hRule="atLeast"/>
        </w:trPr>
        <w:tc>
          <w:tcPr>
            <w:tcW w:w="1032" w:type="dxa"/>
            <w:vMerge w:val="continue"/>
            <w:vAlign w:val="center"/>
          </w:tcPr>
          <w:p w14:paraId="04CA506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1066" w:type="dxa"/>
            <w:vAlign w:val="center"/>
          </w:tcPr>
          <w:p w14:paraId="0BAAD26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急救措施</w:t>
            </w:r>
          </w:p>
        </w:tc>
        <w:tc>
          <w:tcPr>
            <w:tcW w:w="6462" w:type="dxa"/>
            <w:gridSpan w:val="2"/>
            <w:vAlign w:val="center"/>
          </w:tcPr>
          <w:p w14:paraId="1C316DE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皮肤接触：立即脱去被污染的衣着，用大量清水冲洗；</w:t>
            </w:r>
          </w:p>
          <w:p w14:paraId="4D8A1C1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眼睛接触：立即提起眼睑，用大量流动清水或生理盐水冲洗，就医；吸入：迅速脱离现场至空气新鲜处，保持呼吸道通畅，如呼吸困难，给输氧；如呼吸停止，立即进行人工呼吸，就医；</w:t>
            </w:r>
          </w:p>
          <w:p w14:paraId="0E7B5F0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食入：饮足量温水，催吐，就医。</w:t>
            </w:r>
          </w:p>
        </w:tc>
      </w:tr>
      <w:tr w14:paraId="3E2C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3" w:hRule="atLeast"/>
        </w:trPr>
        <w:tc>
          <w:tcPr>
            <w:tcW w:w="1032" w:type="dxa"/>
            <w:vMerge w:val="restart"/>
            <w:vAlign w:val="center"/>
          </w:tcPr>
          <w:p w14:paraId="454DFDB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贮运条件</w:t>
            </w:r>
          </w:p>
        </w:tc>
        <w:tc>
          <w:tcPr>
            <w:tcW w:w="7528" w:type="dxa"/>
            <w:gridSpan w:val="3"/>
            <w:vAlign w:val="center"/>
          </w:tcPr>
          <w:p w14:paraId="6BAFBF7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储存于阴凉、通风的库房。远离火种、热源。应与氧化剂分开存放，切忌混储。配备相应品种和数量的消防器材。出去应备有泄漏应急处理设备和合适的收容材料。</w:t>
            </w:r>
          </w:p>
          <w:p w14:paraId="479D8F0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运输前应先检查包装容器是否完整、密封，运输过程中要确保容器不泄漏、不倒塌、不坠落、不损坏。严禁与氧化剂、食用化学品等混装混运。运输车船必须彻底清洗、消毒，否则不得装运其他物品。</w:t>
            </w:r>
          </w:p>
        </w:tc>
      </w:tr>
      <w:tr w14:paraId="3F01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trPr>
        <w:tc>
          <w:tcPr>
            <w:tcW w:w="1032" w:type="dxa"/>
            <w:vMerge w:val="continue"/>
            <w:vAlign w:val="center"/>
          </w:tcPr>
          <w:p w14:paraId="4B1D8AD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p>
        </w:tc>
        <w:tc>
          <w:tcPr>
            <w:tcW w:w="7528" w:type="dxa"/>
            <w:gridSpan w:val="3"/>
            <w:vAlign w:val="center"/>
          </w:tcPr>
          <w:p w14:paraId="0007D86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位置应远离卧室、厨房，并与电源、火源等部位隔离。公路运输时要按规定路线行驶。</w:t>
            </w:r>
          </w:p>
        </w:tc>
      </w:tr>
      <w:tr w14:paraId="7358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6" w:hRule="atLeast"/>
        </w:trPr>
        <w:tc>
          <w:tcPr>
            <w:tcW w:w="1032" w:type="dxa"/>
            <w:vAlign w:val="center"/>
          </w:tcPr>
          <w:p w14:paraId="038A423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泄漏应急处理</w:t>
            </w:r>
          </w:p>
        </w:tc>
        <w:tc>
          <w:tcPr>
            <w:tcW w:w="7528" w:type="dxa"/>
            <w:gridSpan w:val="3"/>
            <w:vAlign w:val="center"/>
          </w:tcPr>
          <w:p w14:paraId="20F5D06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迅速撤离泄漏污染区人员至安全区，并进行隔离，严格限制出入。切断火源。建议应急处理人员戴自给正压式呼吸器，穿防毒服。尽可能切断泄漏源。防止流入下水道、排洪沟等限制性空间。</w:t>
            </w:r>
          </w:p>
          <w:p w14:paraId="50B3175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小量泄漏：用砂土或其他不燃材料吸附或吸收。</w:t>
            </w:r>
          </w:p>
          <w:p w14:paraId="74DC858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sz w:val="21"/>
                <w:szCs w:val="21"/>
              </w:rPr>
            </w:pPr>
            <w:r>
              <w:rPr>
                <w:rFonts w:hint="default" w:ascii="Times New Roman" w:hAnsi="Times New Roman" w:cs="Times New Roman" w:eastAsiaTheme="minorEastAsia"/>
                <w:color w:val="auto"/>
                <w:spacing w:val="0"/>
                <w:w w:val="100"/>
                <w:sz w:val="21"/>
                <w:szCs w:val="21"/>
              </w:rPr>
              <w:t>大量泄漏：构筑围堤或挖坑收容。用泵转移至槽车或专用收集器内，回收或运至废物处理场所处置。</w:t>
            </w:r>
          </w:p>
        </w:tc>
      </w:tr>
    </w:tbl>
    <w:p w14:paraId="2A7244D4">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2"/>
        <w:rPr>
          <w:rFonts w:hint="eastAsia" w:ascii="Times New Roman" w:hAnsi="Times New Roman" w:eastAsia="宋体" w:cs="Times New Roman"/>
          <w:b/>
          <w:bCs/>
          <w:color w:val="auto"/>
          <w:spacing w:val="-2"/>
          <w:sz w:val="24"/>
          <w:szCs w:val="24"/>
          <w:lang w:val="en-US" w:eastAsia="zh-CN"/>
        </w:rPr>
      </w:pPr>
      <w:bookmarkStart w:id="172" w:name="bookmark40"/>
      <w:bookmarkEnd w:id="172"/>
      <w:bookmarkStart w:id="173" w:name="_Toc2582"/>
      <w:r>
        <w:rPr>
          <w:rFonts w:hint="eastAsia" w:ascii="Times New Roman" w:hAnsi="Times New Roman" w:eastAsia="宋体" w:cs="Times New Roman"/>
          <w:b/>
          <w:bCs/>
          <w:color w:val="auto"/>
          <w:spacing w:val="-2"/>
          <w:sz w:val="24"/>
          <w:szCs w:val="24"/>
          <w:lang w:val="en-US" w:eastAsia="zh-CN"/>
        </w:rPr>
        <w:t>4.7.3 环境风险识别</w:t>
      </w:r>
      <w:bookmarkEnd w:id="173"/>
    </w:p>
    <w:p w14:paraId="66B98B71">
      <w:pPr>
        <w:pStyle w:val="9"/>
        <w:keepNext w:val="0"/>
        <w:keepLines w:val="0"/>
        <w:pageBreakBefore w:val="0"/>
        <w:widowControl/>
        <w:kinsoku/>
        <w:wordWrap/>
        <w:overflowPunct/>
        <w:topLinePunct w:val="0"/>
        <w:autoSpaceDE w:val="0"/>
        <w:autoSpaceDN w:val="0"/>
        <w:bidi w:val="0"/>
        <w:adjustRightInd/>
        <w:snapToGrid/>
        <w:spacing w:line="360" w:lineRule="auto"/>
        <w:ind w:left="0"/>
        <w:textAlignment w:val="baseline"/>
        <w:outlineLvl w:val="3"/>
        <w:rPr>
          <w:color w:val="auto"/>
          <w:sz w:val="24"/>
          <w:szCs w:val="24"/>
        </w:rPr>
      </w:pPr>
      <w:r>
        <w:rPr>
          <w:rFonts w:hint="eastAsia" w:ascii="Times New Roman" w:hAnsi="Times New Roman" w:eastAsia="宋体" w:cs="Times New Roman"/>
          <w:b/>
          <w:bCs/>
          <w:color w:val="auto"/>
          <w:spacing w:val="-6"/>
          <w:sz w:val="24"/>
          <w:szCs w:val="24"/>
          <w:lang w:val="en-US" w:eastAsia="zh-CN"/>
        </w:rPr>
        <w:t>4.7.3.1</w:t>
      </w:r>
      <w:r>
        <w:rPr>
          <w:rFonts w:ascii="Times New Roman" w:hAnsi="Times New Roman" w:eastAsia="Times New Roman" w:cs="Times New Roman"/>
          <w:b/>
          <w:bCs/>
          <w:color w:val="auto"/>
          <w:spacing w:val="-6"/>
          <w:sz w:val="24"/>
          <w:szCs w:val="24"/>
        </w:rPr>
        <w:t xml:space="preserve"> </w:t>
      </w:r>
      <w:r>
        <w:rPr>
          <w:b/>
          <w:bCs/>
          <w:color w:val="auto"/>
          <w:spacing w:val="-6"/>
          <w:sz w:val="24"/>
          <w:szCs w:val="24"/>
        </w:rPr>
        <w:t>物质危险性识别</w:t>
      </w:r>
    </w:p>
    <w:p w14:paraId="1EF7EC9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7"/>
          <w:sz w:val="24"/>
          <w:szCs w:val="24"/>
        </w:rPr>
        <w:t>物质危险性识别，主要包括原辅材料、燃料、中间产品、副产</w:t>
      </w:r>
      <w:r>
        <w:rPr>
          <w:rFonts w:hint="default" w:ascii="Times New Roman" w:hAnsi="Times New Roman" w:cs="Times New Roman"/>
          <w:color w:val="auto"/>
          <w:spacing w:val="-8"/>
          <w:sz w:val="24"/>
          <w:szCs w:val="24"/>
        </w:rPr>
        <w:t>品、最终产品、</w:t>
      </w:r>
      <w:r>
        <w:rPr>
          <w:rFonts w:hint="default" w:ascii="Times New Roman" w:hAnsi="Times New Roman" w:cs="Times New Roman"/>
          <w:color w:val="auto"/>
          <w:spacing w:val="-9"/>
          <w:sz w:val="24"/>
          <w:szCs w:val="24"/>
        </w:rPr>
        <w:t>污染物、火灾和爆炸等伴生</w:t>
      </w:r>
      <w:r>
        <w:rPr>
          <w:rFonts w:hint="default" w:ascii="Times New Roman" w:hAnsi="Times New Roman" w:eastAsia="Times New Roman" w:cs="Times New Roman"/>
          <w:color w:val="auto"/>
          <w:spacing w:val="-9"/>
          <w:sz w:val="24"/>
          <w:szCs w:val="24"/>
        </w:rPr>
        <w:t>/</w:t>
      </w:r>
      <w:r>
        <w:rPr>
          <w:rFonts w:hint="default" w:ascii="Times New Roman" w:hAnsi="Times New Roman" w:cs="Times New Roman"/>
          <w:color w:val="auto"/>
          <w:spacing w:val="-9"/>
          <w:sz w:val="24"/>
          <w:szCs w:val="24"/>
        </w:rPr>
        <w:t>次生污染物等。本项目主要使用的原辅料、中间产物、</w:t>
      </w:r>
      <w:r>
        <w:rPr>
          <w:rFonts w:hint="default" w:ascii="Times New Roman" w:hAnsi="Times New Roman" w:cs="Times New Roman"/>
          <w:color w:val="auto"/>
          <w:spacing w:val="-6"/>
          <w:sz w:val="24"/>
          <w:szCs w:val="24"/>
        </w:rPr>
        <w:t>副产品、产品等种类和理化、毒理特性见上表</w:t>
      </w:r>
      <w:r>
        <w:rPr>
          <w:rFonts w:hint="default" w:ascii="Times New Roman" w:hAnsi="Times New Roman" w:cs="Times New Roman"/>
          <w:color w:val="auto"/>
          <w:spacing w:val="-51"/>
          <w:sz w:val="24"/>
          <w:szCs w:val="24"/>
        </w:rPr>
        <w:t xml:space="preserve"> </w:t>
      </w:r>
      <w:r>
        <w:rPr>
          <w:rFonts w:hint="default" w:ascii="Times New Roman" w:hAnsi="Times New Roman" w:eastAsia="宋体" w:cs="Times New Roman"/>
          <w:color w:val="auto"/>
          <w:spacing w:val="-6"/>
          <w:sz w:val="24"/>
          <w:szCs w:val="24"/>
          <w:lang w:val="en-US" w:eastAsia="zh-CN"/>
        </w:rPr>
        <w:t>.7.2</w:t>
      </w:r>
      <w:r>
        <w:rPr>
          <w:rFonts w:hint="default" w:ascii="Times New Roman" w:hAnsi="Times New Roman" w:eastAsia="Times New Roman" w:cs="Times New Roman"/>
          <w:color w:val="auto"/>
          <w:spacing w:val="-6"/>
          <w:sz w:val="24"/>
          <w:szCs w:val="24"/>
        </w:rPr>
        <w:t>-1~</w:t>
      </w:r>
      <w:r>
        <w:rPr>
          <w:rFonts w:hint="default" w:ascii="Times New Roman" w:hAnsi="Times New Roman" w:eastAsia="宋体" w:cs="Times New Roman"/>
          <w:color w:val="auto"/>
          <w:spacing w:val="-6"/>
          <w:sz w:val="24"/>
          <w:szCs w:val="24"/>
          <w:lang w:val="en-US" w:eastAsia="zh-CN"/>
        </w:rPr>
        <w:t>4.7.2</w:t>
      </w:r>
      <w:r>
        <w:rPr>
          <w:rFonts w:hint="default" w:ascii="Times New Roman" w:hAnsi="Times New Roman" w:eastAsia="Times New Roman" w:cs="Times New Roman"/>
          <w:color w:val="auto"/>
          <w:spacing w:val="-6"/>
          <w:sz w:val="24"/>
          <w:szCs w:val="24"/>
        </w:rPr>
        <w:t>-2</w:t>
      </w:r>
      <w:r>
        <w:rPr>
          <w:rFonts w:hint="default" w:ascii="Times New Roman" w:hAnsi="Times New Roman" w:cs="Times New Roman"/>
          <w:color w:val="auto"/>
          <w:spacing w:val="-6"/>
          <w:sz w:val="24"/>
          <w:szCs w:val="24"/>
        </w:rPr>
        <w:t>。因此，本次评价对</w:t>
      </w:r>
      <w:r>
        <w:rPr>
          <w:rFonts w:hint="default" w:ascii="Times New Roman" w:hAnsi="Times New Roman" w:cs="Times New Roman"/>
          <w:color w:val="auto"/>
          <w:spacing w:val="-8"/>
          <w:sz w:val="24"/>
          <w:szCs w:val="24"/>
        </w:rPr>
        <w:t>上述涉及的危险化学品根据《建设项目环境风险评价技术导则》（</w:t>
      </w:r>
      <w:r>
        <w:rPr>
          <w:rFonts w:hint="default" w:ascii="Times New Roman" w:hAnsi="Times New Roman" w:eastAsia="Times New Roman" w:cs="Times New Roman"/>
          <w:color w:val="auto"/>
          <w:spacing w:val="-8"/>
          <w:sz w:val="24"/>
          <w:szCs w:val="24"/>
        </w:rPr>
        <w:t>HJ169-2018</w:t>
      </w:r>
      <w:r>
        <w:rPr>
          <w:rFonts w:hint="default" w:ascii="Times New Roman" w:hAnsi="Times New Roman" w:cs="Times New Roman"/>
          <w:color w:val="auto"/>
          <w:spacing w:val="-8"/>
          <w:sz w:val="24"/>
          <w:szCs w:val="24"/>
        </w:rPr>
        <w:t>）附录</w:t>
      </w:r>
      <w:r>
        <w:rPr>
          <w:rFonts w:hint="default" w:ascii="Times New Roman" w:hAnsi="Times New Roman" w:cs="Times New Roman"/>
          <w:color w:val="auto"/>
          <w:spacing w:val="-66"/>
          <w:sz w:val="24"/>
          <w:szCs w:val="24"/>
        </w:rPr>
        <w:t xml:space="preserve"> </w:t>
      </w:r>
      <w:r>
        <w:rPr>
          <w:rFonts w:hint="default" w:ascii="Times New Roman" w:hAnsi="Times New Roman" w:eastAsia="Times New Roman" w:cs="Times New Roman"/>
          <w:color w:val="auto"/>
          <w:spacing w:val="-8"/>
          <w:sz w:val="24"/>
          <w:szCs w:val="24"/>
        </w:rPr>
        <w:t>B</w:t>
      </w:r>
      <w:r>
        <w:rPr>
          <w:rFonts w:hint="default" w:ascii="Times New Roman" w:hAnsi="Times New Roman" w:cs="Times New Roman"/>
          <w:color w:val="auto"/>
          <w:spacing w:val="-8"/>
          <w:sz w:val="24"/>
          <w:szCs w:val="24"/>
        </w:rPr>
        <w:t>，并查阅项目所涉及物质中的急性毒性数据</w:t>
      </w:r>
      <w:r>
        <w:rPr>
          <w:rFonts w:hint="default" w:ascii="Times New Roman" w:hAnsi="Times New Roman" w:cs="Times New Roman"/>
          <w:color w:val="auto"/>
          <w:spacing w:val="-9"/>
          <w:sz w:val="24"/>
          <w:szCs w:val="24"/>
        </w:rPr>
        <w:t>，判定其是否属于风险物质。风险</w:t>
      </w:r>
      <w:r>
        <w:rPr>
          <w:rFonts w:hint="default" w:ascii="Times New Roman" w:hAnsi="Times New Roman" w:cs="Times New Roman"/>
          <w:color w:val="auto"/>
          <w:spacing w:val="-6"/>
          <w:sz w:val="24"/>
          <w:szCs w:val="24"/>
        </w:rPr>
        <w:t>物质识别情况具体详见</w:t>
      </w:r>
      <w:r>
        <w:rPr>
          <w:rFonts w:hint="default" w:ascii="Times New Roman" w:hAnsi="Times New Roman" w:cs="Times New Roman"/>
          <w:color w:val="auto"/>
          <w:spacing w:val="0"/>
          <w:sz w:val="24"/>
          <w:szCs w:val="24"/>
        </w:rPr>
        <w:t>表</w:t>
      </w:r>
      <w:r>
        <w:rPr>
          <w:rFonts w:hint="default" w:ascii="Times New Roman" w:hAnsi="Times New Roman" w:eastAsia="宋体" w:cs="Times New Roman"/>
          <w:color w:val="auto"/>
          <w:spacing w:val="0"/>
          <w:sz w:val="24"/>
          <w:szCs w:val="24"/>
          <w:lang w:val="en-US" w:eastAsia="zh-CN"/>
        </w:rPr>
        <w:t>4.7</w:t>
      </w:r>
      <w:r>
        <w:rPr>
          <w:rFonts w:hint="eastAsia" w:ascii="Times New Roman" w:hAnsi="Times New Roman" w:eastAsia="宋体" w:cs="Times New Roman"/>
          <w:color w:val="auto"/>
          <w:spacing w:val="0"/>
          <w:sz w:val="24"/>
          <w:szCs w:val="24"/>
          <w:lang w:val="en-US" w:eastAsia="zh-CN"/>
        </w:rPr>
        <w:t>-3</w:t>
      </w:r>
      <w:r>
        <w:rPr>
          <w:rFonts w:hint="default" w:ascii="Times New Roman" w:hAnsi="Times New Roman" w:cs="Times New Roman"/>
          <w:color w:val="auto"/>
          <w:spacing w:val="0"/>
          <w:sz w:val="24"/>
          <w:szCs w:val="24"/>
        </w:rPr>
        <w:t>。</w:t>
      </w:r>
    </w:p>
    <w:p w14:paraId="06898549">
      <w:pPr>
        <w:pStyle w:val="9"/>
        <w:keepNext w:val="0"/>
        <w:keepLines w:val="0"/>
        <w:pageBreakBefore w:val="0"/>
        <w:widowControl/>
        <w:kinsoku w:val="0"/>
        <w:wordWrap/>
        <w:overflowPunct/>
        <w:topLinePunct w:val="0"/>
        <w:autoSpaceDE w:val="0"/>
        <w:autoSpaceDN w:val="0"/>
        <w:bidi w:val="0"/>
        <w:adjustRightInd w:val="0"/>
        <w:snapToGrid w:val="0"/>
        <w:spacing w:before="180" w:line="214" w:lineRule="auto"/>
        <w:ind w:left="0"/>
        <w:jc w:val="center"/>
        <w:textAlignment w:val="baseline"/>
        <w:rPr>
          <w:color w:val="auto"/>
        </w:rPr>
      </w:pPr>
      <w:r>
        <w:rPr>
          <w:b/>
          <w:bCs/>
          <w:color w:val="auto"/>
          <w:spacing w:val="-3"/>
        </w:rPr>
        <w:t>表</w:t>
      </w:r>
      <w:r>
        <w:rPr>
          <w:color w:val="auto"/>
          <w:spacing w:val="-38"/>
        </w:rPr>
        <w:t xml:space="preserve"> </w:t>
      </w:r>
      <w:r>
        <w:rPr>
          <w:rFonts w:hint="eastAsia" w:ascii="Times New Roman" w:hAnsi="Times New Roman" w:eastAsia="宋体" w:cs="Times New Roman"/>
          <w:b/>
          <w:bCs/>
          <w:color w:val="auto"/>
          <w:spacing w:val="-3"/>
          <w:lang w:val="en-US" w:eastAsia="zh-CN"/>
        </w:rPr>
        <w:t>4.7-3</w:t>
      </w:r>
      <w:r>
        <w:rPr>
          <w:rFonts w:ascii="Times New Roman" w:hAnsi="Times New Roman" w:eastAsia="Times New Roman" w:cs="Times New Roman"/>
          <w:b/>
          <w:bCs/>
          <w:color w:val="auto"/>
          <w:spacing w:val="-3"/>
        </w:rPr>
        <w:t xml:space="preserve">    </w:t>
      </w:r>
      <w:r>
        <w:rPr>
          <w:b/>
          <w:bCs/>
          <w:color w:val="auto"/>
          <w:spacing w:val="-3"/>
        </w:rPr>
        <w:t>本项目风险物质辨识情况一览表</w:t>
      </w:r>
    </w:p>
    <w:tbl>
      <w:tblPr>
        <w:tblStyle w:val="26"/>
        <w:tblpPr w:leftFromText="180" w:rightFromText="180" w:vertAnchor="text" w:horzAnchor="page" w:tblpX="1787" w:tblpY="235"/>
        <w:tblOverlap w:val="never"/>
        <w:tblW w:w="833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0"/>
        <w:gridCol w:w="2907"/>
        <w:gridCol w:w="2266"/>
        <w:gridCol w:w="2470"/>
      </w:tblGrid>
      <w:tr w14:paraId="23D07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90" w:type="dxa"/>
            <w:vAlign w:val="center"/>
          </w:tcPr>
          <w:p w14:paraId="4C85C9D3">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b/>
                <w:bCs/>
                <w:color w:val="auto"/>
                <w:spacing w:val="4"/>
                <w:sz w:val="20"/>
                <w:szCs w:val="20"/>
              </w:rPr>
              <w:t>序号</w:t>
            </w:r>
          </w:p>
        </w:tc>
        <w:tc>
          <w:tcPr>
            <w:tcW w:w="2907" w:type="dxa"/>
            <w:vAlign w:val="center"/>
          </w:tcPr>
          <w:p w14:paraId="19C88BDA">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b/>
                <w:bCs/>
                <w:color w:val="auto"/>
                <w:spacing w:val="6"/>
                <w:sz w:val="20"/>
                <w:szCs w:val="20"/>
              </w:rPr>
              <w:t>物质名称</w:t>
            </w:r>
          </w:p>
        </w:tc>
        <w:tc>
          <w:tcPr>
            <w:tcW w:w="2266" w:type="dxa"/>
            <w:vAlign w:val="center"/>
          </w:tcPr>
          <w:p w14:paraId="7F49110F">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b/>
                <w:bCs/>
                <w:color w:val="auto"/>
                <w:spacing w:val="6"/>
                <w:sz w:val="20"/>
                <w:szCs w:val="20"/>
              </w:rPr>
              <w:t>物料形态</w:t>
            </w:r>
          </w:p>
        </w:tc>
        <w:tc>
          <w:tcPr>
            <w:tcW w:w="2470" w:type="dxa"/>
            <w:vAlign w:val="center"/>
          </w:tcPr>
          <w:p w14:paraId="0D60211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b/>
                <w:bCs/>
                <w:color w:val="auto"/>
                <w:sz w:val="20"/>
                <w:szCs w:val="20"/>
              </w:rPr>
              <w:t>CAS</w:t>
            </w:r>
            <w:r>
              <w:rPr>
                <w:rFonts w:hint="default" w:ascii="Times New Roman" w:hAnsi="Times New Roman" w:cs="Times New Roman" w:eastAsiaTheme="minorEastAsia"/>
                <w:b/>
                <w:bCs/>
                <w:color w:val="auto"/>
                <w:spacing w:val="17"/>
                <w:sz w:val="20"/>
                <w:szCs w:val="20"/>
              </w:rPr>
              <w:t xml:space="preserve"> </w:t>
            </w:r>
            <w:r>
              <w:rPr>
                <w:rFonts w:hint="default" w:ascii="Times New Roman" w:hAnsi="Times New Roman" w:cs="Times New Roman" w:eastAsiaTheme="minorEastAsia"/>
                <w:b/>
                <w:bCs/>
                <w:color w:val="auto"/>
                <w:spacing w:val="8"/>
                <w:sz w:val="20"/>
                <w:szCs w:val="20"/>
              </w:rPr>
              <w:t>号</w:t>
            </w:r>
          </w:p>
        </w:tc>
      </w:tr>
      <w:tr w14:paraId="23BFF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690" w:type="dxa"/>
            <w:vAlign w:val="center"/>
          </w:tcPr>
          <w:p w14:paraId="68B39D0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1</w:t>
            </w:r>
          </w:p>
        </w:tc>
        <w:tc>
          <w:tcPr>
            <w:tcW w:w="2907" w:type="dxa"/>
            <w:vAlign w:val="center"/>
          </w:tcPr>
          <w:p w14:paraId="7708A2FD">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pacing w:val="2"/>
                <w:sz w:val="20"/>
                <w:szCs w:val="20"/>
              </w:rPr>
              <w:t>柴油</w:t>
            </w:r>
          </w:p>
        </w:tc>
        <w:tc>
          <w:tcPr>
            <w:tcW w:w="2266" w:type="dxa"/>
            <w:vAlign w:val="center"/>
          </w:tcPr>
          <w:p w14:paraId="3D9CB548">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pacing w:val="3"/>
                <w:sz w:val="20"/>
                <w:szCs w:val="20"/>
              </w:rPr>
              <w:t>液体</w:t>
            </w:r>
          </w:p>
        </w:tc>
        <w:tc>
          <w:tcPr>
            <w:tcW w:w="2470" w:type="dxa"/>
            <w:vAlign w:val="center"/>
          </w:tcPr>
          <w:p w14:paraId="2AE23F3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pacing w:val="2"/>
                <w:sz w:val="20"/>
                <w:szCs w:val="20"/>
              </w:rPr>
              <w:t>/</w:t>
            </w:r>
          </w:p>
        </w:tc>
      </w:tr>
      <w:tr w14:paraId="6EF45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690" w:type="dxa"/>
            <w:vAlign w:val="center"/>
          </w:tcPr>
          <w:p w14:paraId="7BA7DA0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2</w:t>
            </w:r>
          </w:p>
        </w:tc>
        <w:tc>
          <w:tcPr>
            <w:tcW w:w="2907" w:type="dxa"/>
            <w:vAlign w:val="center"/>
          </w:tcPr>
          <w:p w14:paraId="050FDDA4">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pacing w:val="3"/>
                <w:sz w:val="20"/>
                <w:szCs w:val="20"/>
              </w:rPr>
              <w:t>废机油</w:t>
            </w:r>
          </w:p>
        </w:tc>
        <w:tc>
          <w:tcPr>
            <w:tcW w:w="2266" w:type="dxa"/>
            <w:vAlign w:val="center"/>
          </w:tcPr>
          <w:p w14:paraId="3EE385AB">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pacing w:val="3"/>
                <w:sz w:val="20"/>
                <w:szCs w:val="20"/>
              </w:rPr>
              <w:t>液体</w:t>
            </w:r>
          </w:p>
        </w:tc>
        <w:tc>
          <w:tcPr>
            <w:tcW w:w="2470" w:type="dxa"/>
            <w:vAlign w:val="center"/>
          </w:tcPr>
          <w:p w14:paraId="40B5C16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pacing w:val="2"/>
                <w:sz w:val="20"/>
                <w:szCs w:val="20"/>
              </w:rPr>
              <w:t>/</w:t>
            </w:r>
          </w:p>
        </w:tc>
      </w:tr>
    </w:tbl>
    <w:p w14:paraId="6505F719">
      <w:pPr>
        <w:pStyle w:val="9"/>
        <w:keepNext w:val="0"/>
        <w:keepLines w:val="0"/>
        <w:pageBreakBefore w:val="0"/>
        <w:widowControl/>
        <w:wordWrap/>
        <w:overflowPunct/>
        <w:topLinePunct w:val="0"/>
        <w:autoSpaceDE w:val="0"/>
        <w:autoSpaceDN w:val="0"/>
        <w:bidi w:val="0"/>
        <w:spacing w:before="42" w:line="360" w:lineRule="auto"/>
        <w:ind w:left="27"/>
        <w:textAlignment w:val="baseline"/>
        <w:outlineLvl w:val="3"/>
        <w:rPr>
          <w:color w:val="auto"/>
          <w:sz w:val="24"/>
          <w:szCs w:val="24"/>
        </w:rPr>
      </w:pPr>
      <w:r>
        <w:rPr>
          <w:rFonts w:hint="eastAsia" w:ascii="Times New Roman" w:hAnsi="Times New Roman" w:eastAsia="宋体" w:cs="Times New Roman"/>
          <w:b/>
          <w:bCs/>
          <w:color w:val="auto"/>
          <w:spacing w:val="-6"/>
          <w:sz w:val="24"/>
          <w:szCs w:val="24"/>
          <w:lang w:val="en-US" w:eastAsia="zh-CN"/>
        </w:rPr>
        <w:t>4.7.3.2</w:t>
      </w:r>
      <w:r>
        <w:rPr>
          <w:rFonts w:ascii="Times New Roman" w:hAnsi="Times New Roman" w:eastAsia="Times New Roman" w:cs="Times New Roman"/>
          <w:b/>
          <w:bCs/>
          <w:color w:val="auto"/>
          <w:spacing w:val="-6"/>
          <w:sz w:val="24"/>
          <w:szCs w:val="24"/>
        </w:rPr>
        <w:t xml:space="preserve"> </w:t>
      </w:r>
      <w:r>
        <w:rPr>
          <w:b/>
          <w:bCs/>
          <w:color w:val="auto"/>
          <w:spacing w:val="-6"/>
          <w:sz w:val="24"/>
          <w:szCs w:val="24"/>
        </w:rPr>
        <w:t>生产系统危险性识别</w:t>
      </w:r>
    </w:p>
    <w:p w14:paraId="52A6675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7"/>
          <w:sz w:val="24"/>
          <w:szCs w:val="24"/>
        </w:rPr>
      </w:pPr>
      <w:r>
        <w:rPr>
          <w:rFonts w:hint="default" w:ascii="Times New Roman" w:hAnsi="Times New Roman" w:cs="Times New Roman"/>
          <w:color w:val="auto"/>
          <w:spacing w:val="-7"/>
          <w:sz w:val="24"/>
          <w:szCs w:val="24"/>
        </w:rPr>
        <w:t>生产系统性危险性识别，包括主要生产装置、储运设施、公用工程和辅助生产设施，以及环境保护设施等。生产过程潜在危险性识别的目的是根据建设项目的生产特征，结合物质危险性识别，根据项目生产工艺过程对项目功能系统划分危险单元。</w:t>
      </w:r>
    </w:p>
    <w:p w14:paraId="25C756AD">
      <w:pPr>
        <w:pStyle w:val="9"/>
        <w:spacing w:before="1" w:line="218" w:lineRule="auto"/>
        <w:ind w:left="496"/>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本项目生产过程中涉及的危险单元及风险源见表</w:t>
      </w:r>
      <w:r>
        <w:rPr>
          <w:rFonts w:hint="default" w:ascii="Times New Roman" w:hAnsi="Times New Roman" w:eastAsia="宋体" w:cs="Times New Roman"/>
          <w:color w:val="auto"/>
          <w:spacing w:val="0"/>
          <w:sz w:val="24"/>
          <w:szCs w:val="24"/>
          <w:lang w:val="en-US" w:eastAsia="zh-CN"/>
        </w:rPr>
        <w:t>4.7</w:t>
      </w:r>
      <w:r>
        <w:rPr>
          <w:rFonts w:hint="eastAsia" w:ascii="Times New Roman" w:hAnsi="Times New Roman" w:eastAsia="宋体" w:cs="Times New Roman"/>
          <w:color w:val="auto"/>
          <w:spacing w:val="0"/>
          <w:sz w:val="24"/>
          <w:szCs w:val="24"/>
          <w:lang w:val="en-US" w:eastAsia="zh-CN"/>
        </w:rPr>
        <w:t>-4</w:t>
      </w:r>
      <w:r>
        <w:rPr>
          <w:rFonts w:hint="default" w:ascii="Times New Roman" w:hAnsi="Times New Roman" w:cs="Times New Roman"/>
          <w:color w:val="auto"/>
          <w:spacing w:val="0"/>
          <w:sz w:val="24"/>
          <w:szCs w:val="24"/>
        </w:rPr>
        <w:t>。</w:t>
      </w:r>
    </w:p>
    <w:p w14:paraId="43A2A029">
      <w:pPr>
        <w:pStyle w:val="9"/>
        <w:spacing w:before="134" w:line="194" w:lineRule="auto"/>
        <w:ind w:left="2426"/>
        <w:rPr>
          <w:rFonts w:hint="default" w:ascii="Times New Roman" w:hAnsi="Times New Roman" w:cs="Times New Roman"/>
          <w:b/>
          <w:bCs/>
          <w:color w:val="auto"/>
          <w:spacing w:val="0"/>
        </w:rPr>
      </w:pPr>
      <w:r>
        <w:rPr>
          <w:rFonts w:hint="default" w:ascii="Times New Roman" w:hAnsi="Times New Roman" w:cs="Times New Roman"/>
          <w:b/>
          <w:bCs/>
          <w:color w:val="auto"/>
          <w:spacing w:val="0"/>
        </w:rPr>
        <w:t>表</w:t>
      </w:r>
      <w:r>
        <w:rPr>
          <w:rFonts w:hint="default" w:ascii="Times New Roman" w:hAnsi="Times New Roman" w:eastAsia="宋体" w:cs="Times New Roman"/>
          <w:b/>
          <w:bCs/>
          <w:color w:val="auto"/>
          <w:spacing w:val="0"/>
          <w:lang w:val="en-US" w:eastAsia="zh-CN"/>
        </w:rPr>
        <w:t>4.7</w:t>
      </w:r>
      <w:r>
        <w:rPr>
          <w:rFonts w:hint="eastAsia" w:ascii="Times New Roman" w:hAnsi="Times New Roman" w:eastAsia="宋体" w:cs="Times New Roman"/>
          <w:b/>
          <w:bCs/>
          <w:color w:val="auto"/>
          <w:spacing w:val="0"/>
          <w:lang w:val="en-US" w:eastAsia="zh-CN"/>
        </w:rPr>
        <w:t>-4</w:t>
      </w:r>
      <w:r>
        <w:rPr>
          <w:rFonts w:hint="default" w:ascii="Times New Roman" w:hAnsi="Times New Roman" w:eastAsia="Times New Roman" w:cs="Times New Roman"/>
          <w:b/>
          <w:bCs/>
          <w:color w:val="auto"/>
          <w:spacing w:val="0"/>
        </w:rPr>
        <w:t xml:space="preserve">  </w:t>
      </w:r>
      <w:r>
        <w:rPr>
          <w:rFonts w:hint="default" w:ascii="Times New Roman" w:hAnsi="Times New Roman" w:cs="Times New Roman"/>
          <w:b/>
          <w:bCs/>
          <w:color w:val="auto"/>
          <w:spacing w:val="0"/>
        </w:rPr>
        <w:t>本项目危险单元一览表</w:t>
      </w:r>
    </w:p>
    <w:tbl>
      <w:tblPr>
        <w:tblStyle w:val="26"/>
        <w:tblW w:w="83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1282"/>
        <w:gridCol w:w="1116"/>
        <w:gridCol w:w="1033"/>
        <w:gridCol w:w="1116"/>
        <w:gridCol w:w="667"/>
        <w:gridCol w:w="1182"/>
        <w:gridCol w:w="876"/>
      </w:tblGrid>
      <w:tr w14:paraId="2C64A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070" w:type="dxa"/>
            <w:vAlign w:val="center"/>
          </w:tcPr>
          <w:p w14:paraId="6DA9B1C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危险单元</w:t>
            </w:r>
          </w:p>
        </w:tc>
        <w:tc>
          <w:tcPr>
            <w:tcW w:w="1282" w:type="dxa"/>
            <w:vAlign w:val="center"/>
          </w:tcPr>
          <w:p w14:paraId="5E051B2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风险源</w:t>
            </w:r>
          </w:p>
        </w:tc>
        <w:tc>
          <w:tcPr>
            <w:tcW w:w="1116" w:type="dxa"/>
            <w:vAlign w:val="center"/>
          </w:tcPr>
          <w:p w14:paraId="0A2CC09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危险物质</w:t>
            </w:r>
          </w:p>
        </w:tc>
        <w:tc>
          <w:tcPr>
            <w:tcW w:w="1033" w:type="dxa"/>
            <w:vAlign w:val="center"/>
          </w:tcPr>
          <w:p w14:paraId="1A22718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危险物质最大存量t</w:t>
            </w:r>
          </w:p>
        </w:tc>
        <w:tc>
          <w:tcPr>
            <w:tcW w:w="1116" w:type="dxa"/>
            <w:vAlign w:val="center"/>
          </w:tcPr>
          <w:p w14:paraId="3B0631C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危险性</w:t>
            </w:r>
          </w:p>
        </w:tc>
        <w:tc>
          <w:tcPr>
            <w:tcW w:w="667" w:type="dxa"/>
            <w:vAlign w:val="center"/>
          </w:tcPr>
          <w:p w14:paraId="7787539C">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存在条件</w:t>
            </w:r>
          </w:p>
        </w:tc>
        <w:tc>
          <w:tcPr>
            <w:tcW w:w="1182" w:type="dxa"/>
            <w:vAlign w:val="center"/>
          </w:tcPr>
          <w:p w14:paraId="17B81F1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转化为事故的触发因素</w:t>
            </w:r>
          </w:p>
        </w:tc>
        <w:tc>
          <w:tcPr>
            <w:tcW w:w="876" w:type="dxa"/>
            <w:vAlign w:val="center"/>
          </w:tcPr>
          <w:p w14:paraId="2088A6F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是否为重大风险源</w:t>
            </w:r>
          </w:p>
        </w:tc>
      </w:tr>
      <w:tr w14:paraId="78541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70" w:type="dxa"/>
            <w:vMerge w:val="restart"/>
            <w:tcBorders>
              <w:bottom w:val="nil"/>
            </w:tcBorders>
            <w:vAlign w:val="center"/>
          </w:tcPr>
          <w:p w14:paraId="04CA051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eastAsia" w:ascii="Times New Roman" w:hAnsi="Times New Roman" w:cs="Times New Roman" w:eastAsiaTheme="minorEastAsia"/>
                <w:color w:val="auto"/>
                <w:sz w:val="20"/>
                <w:szCs w:val="20"/>
                <w:lang w:val="en-US" w:eastAsia="zh-CN"/>
              </w:rPr>
              <w:t>储存</w:t>
            </w:r>
            <w:r>
              <w:rPr>
                <w:rFonts w:hint="default" w:ascii="Times New Roman" w:hAnsi="Times New Roman" w:cs="Times New Roman" w:eastAsiaTheme="minorEastAsia"/>
                <w:color w:val="auto"/>
                <w:sz w:val="20"/>
                <w:szCs w:val="20"/>
              </w:rPr>
              <w:t>单元</w:t>
            </w:r>
          </w:p>
        </w:tc>
        <w:tc>
          <w:tcPr>
            <w:tcW w:w="1282" w:type="dxa"/>
            <w:vAlign w:val="center"/>
          </w:tcPr>
          <w:p w14:paraId="596D203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color w:val="auto"/>
                <w:sz w:val="20"/>
                <w:szCs w:val="20"/>
                <w:lang w:val="en-US" w:eastAsia="zh-CN"/>
              </w:rPr>
              <w:t>机车自带柴油箱</w:t>
            </w:r>
          </w:p>
        </w:tc>
        <w:tc>
          <w:tcPr>
            <w:tcW w:w="1116" w:type="dxa"/>
            <w:vAlign w:val="center"/>
          </w:tcPr>
          <w:p w14:paraId="2AB9132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柴油</w:t>
            </w:r>
          </w:p>
        </w:tc>
        <w:tc>
          <w:tcPr>
            <w:tcW w:w="1033" w:type="dxa"/>
            <w:vAlign w:val="center"/>
          </w:tcPr>
          <w:p w14:paraId="4489298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lang w:val="en-US" w:eastAsia="zh-CN"/>
              </w:rPr>
            </w:pPr>
            <w:r>
              <w:rPr>
                <w:rFonts w:hint="eastAsia" w:ascii="Times New Roman" w:hAnsi="Times New Roman" w:cs="Times New Roman" w:eastAsiaTheme="minorEastAsia"/>
                <w:color w:val="auto"/>
                <w:sz w:val="20"/>
                <w:szCs w:val="20"/>
                <w:lang w:val="en-US" w:eastAsia="zh-CN"/>
              </w:rPr>
              <w:t>8.82</w:t>
            </w:r>
          </w:p>
        </w:tc>
        <w:tc>
          <w:tcPr>
            <w:tcW w:w="1116" w:type="dxa"/>
            <w:vAlign w:val="center"/>
          </w:tcPr>
          <w:p w14:paraId="4720B95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易燃物质</w:t>
            </w:r>
          </w:p>
        </w:tc>
        <w:tc>
          <w:tcPr>
            <w:tcW w:w="667" w:type="dxa"/>
            <w:vAlign w:val="center"/>
          </w:tcPr>
          <w:p w14:paraId="487CD31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设备</w:t>
            </w:r>
          </w:p>
        </w:tc>
        <w:tc>
          <w:tcPr>
            <w:tcW w:w="1182" w:type="dxa"/>
            <w:vAlign w:val="center"/>
          </w:tcPr>
          <w:p w14:paraId="57CE27A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泄漏、火灾、爆炸</w:t>
            </w:r>
          </w:p>
        </w:tc>
        <w:tc>
          <w:tcPr>
            <w:tcW w:w="876" w:type="dxa"/>
            <w:vAlign w:val="center"/>
          </w:tcPr>
          <w:p w14:paraId="436D31A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是</w:t>
            </w:r>
          </w:p>
        </w:tc>
      </w:tr>
      <w:tr w14:paraId="2B30E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1070" w:type="dxa"/>
            <w:vMerge w:val="continue"/>
            <w:tcBorders>
              <w:top w:val="nil"/>
            </w:tcBorders>
            <w:vAlign w:val="center"/>
          </w:tcPr>
          <w:p w14:paraId="0AFADBDC">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p>
        </w:tc>
        <w:tc>
          <w:tcPr>
            <w:tcW w:w="1282" w:type="dxa"/>
            <w:vAlign w:val="center"/>
          </w:tcPr>
          <w:p w14:paraId="4C6EA83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color w:val="auto"/>
                <w:sz w:val="20"/>
                <w:szCs w:val="20"/>
                <w:lang w:eastAsia="zh-CN"/>
              </w:rPr>
              <w:t>危废暂存间</w:t>
            </w:r>
          </w:p>
        </w:tc>
        <w:tc>
          <w:tcPr>
            <w:tcW w:w="1116" w:type="dxa"/>
            <w:vAlign w:val="center"/>
          </w:tcPr>
          <w:p w14:paraId="459371E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废矿物油</w:t>
            </w:r>
          </w:p>
        </w:tc>
        <w:tc>
          <w:tcPr>
            <w:tcW w:w="1033" w:type="dxa"/>
            <w:vAlign w:val="center"/>
          </w:tcPr>
          <w:p w14:paraId="52BF3AD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lang w:val="en-US" w:eastAsia="zh-CN"/>
              </w:rPr>
            </w:pPr>
            <w:r>
              <w:rPr>
                <w:rFonts w:hint="eastAsia" w:ascii="Times New Roman" w:hAnsi="Times New Roman" w:cs="Times New Roman" w:eastAsiaTheme="minorEastAsia"/>
                <w:color w:val="auto"/>
                <w:sz w:val="20"/>
                <w:szCs w:val="20"/>
                <w:lang w:val="en-US" w:eastAsia="zh-CN"/>
              </w:rPr>
              <w:t>0.01</w:t>
            </w:r>
          </w:p>
        </w:tc>
        <w:tc>
          <w:tcPr>
            <w:tcW w:w="1116" w:type="dxa"/>
            <w:vAlign w:val="center"/>
          </w:tcPr>
          <w:p w14:paraId="1DF2A43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易燃物质</w:t>
            </w:r>
          </w:p>
        </w:tc>
        <w:tc>
          <w:tcPr>
            <w:tcW w:w="667" w:type="dxa"/>
            <w:vAlign w:val="center"/>
          </w:tcPr>
          <w:p w14:paraId="585CF5B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贮存</w:t>
            </w:r>
          </w:p>
        </w:tc>
        <w:tc>
          <w:tcPr>
            <w:tcW w:w="1182" w:type="dxa"/>
            <w:vAlign w:val="center"/>
          </w:tcPr>
          <w:p w14:paraId="36600B1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泄漏、火灾</w:t>
            </w:r>
          </w:p>
        </w:tc>
        <w:tc>
          <w:tcPr>
            <w:tcW w:w="876" w:type="dxa"/>
            <w:vAlign w:val="center"/>
          </w:tcPr>
          <w:p w14:paraId="0DA4390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是</w:t>
            </w:r>
          </w:p>
        </w:tc>
      </w:tr>
    </w:tbl>
    <w:p w14:paraId="6A7E62F8">
      <w:pPr>
        <w:pStyle w:val="9"/>
        <w:spacing w:before="41" w:line="220" w:lineRule="auto"/>
        <w:ind w:left="27"/>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4.7.3.3</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环境风险类型</w:t>
      </w:r>
    </w:p>
    <w:p w14:paraId="17F2219B">
      <w:pPr>
        <w:pStyle w:val="9"/>
        <w:spacing w:before="205" w:line="219" w:lineRule="auto"/>
        <w:ind w:left="508"/>
        <w:rPr>
          <w:color w:val="auto"/>
          <w:sz w:val="24"/>
          <w:szCs w:val="24"/>
        </w:rPr>
      </w:pPr>
      <w:r>
        <w:rPr>
          <w:color w:val="auto"/>
          <w:spacing w:val="-1"/>
          <w:sz w:val="24"/>
          <w:szCs w:val="24"/>
        </w:rPr>
        <w:t>本项目涉及的物质风险识别如下：</w:t>
      </w:r>
    </w:p>
    <w:p w14:paraId="7F6E8406">
      <w:pPr>
        <w:pStyle w:val="9"/>
        <w:spacing w:before="183" w:line="359" w:lineRule="auto"/>
        <w:ind w:left="30" w:right="61" w:firstLine="476"/>
        <w:rPr>
          <w:color w:val="auto"/>
          <w:sz w:val="24"/>
          <w:szCs w:val="24"/>
        </w:rPr>
      </w:pPr>
      <w:r>
        <w:rPr>
          <w:color w:val="auto"/>
          <w:spacing w:val="-3"/>
          <w:sz w:val="24"/>
          <w:szCs w:val="24"/>
        </w:rPr>
        <w:t>①项目</w:t>
      </w:r>
      <w:r>
        <w:rPr>
          <w:rFonts w:hint="eastAsia"/>
          <w:color w:val="auto"/>
          <w:spacing w:val="-3"/>
          <w:sz w:val="24"/>
          <w:szCs w:val="24"/>
        </w:rPr>
        <w:t>机车自带</w:t>
      </w:r>
      <w:r>
        <w:rPr>
          <w:color w:val="auto"/>
          <w:spacing w:val="-3"/>
          <w:sz w:val="24"/>
          <w:szCs w:val="24"/>
        </w:rPr>
        <w:t>柴油桶由于操作不严谨、管理制度不完善或车辆操作不善、维护保养不及时等原因发生漏油事故，若处理不及时，可能引起火灾爆炸事故以及对附近</w:t>
      </w:r>
      <w:r>
        <w:rPr>
          <w:color w:val="auto"/>
          <w:spacing w:val="-1"/>
          <w:sz w:val="24"/>
          <w:szCs w:val="24"/>
        </w:rPr>
        <w:t>局部地表水体、土壤、地下水环境产生不利影响。</w:t>
      </w:r>
    </w:p>
    <w:p w14:paraId="720A934F">
      <w:pPr>
        <w:pStyle w:val="9"/>
        <w:spacing w:line="359" w:lineRule="auto"/>
        <w:ind w:left="27" w:firstLine="478"/>
        <w:rPr>
          <w:color w:val="auto"/>
          <w:sz w:val="24"/>
          <w:szCs w:val="24"/>
        </w:rPr>
      </w:pPr>
      <w:r>
        <w:rPr>
          <w:color w:val="auto"/>
          <w:spacing w:val="-8"/>
          <w:sz w:val="24"/>
          <w:szCs w:val="24"/>
        </w:rPr>
        <w:t>②危险废物若未按要求规定处置，泄漏至露天外环境中，被雨水冲刷</w:t>
      </w:r>
      <w:r>
        <w:rPr>
          <w:color w:val="auto"/>
          <w:spacing w:val="-9"/>
          <w:sz w:val="24"/>
          <w:szCs w:val="24"/>
        </w:rPr>
        <w:t>浸泡后，</w:t>
      </w:r>
      <w:r>
        <w:rPr>
          <w:color w:val="auto"/>
          <w:spacing w:val="-3"/>
          <w:sz w:val="24"/>
          <w:szCs w:val="24"/>
        </w:rPr>
        <w:t>有毒有害物质进入附近水体，对水体造成污染；其次，危险废物丢弃、遗弃到外环境中，对丢弃、遗弃点的土壤环境造成污染影响；以及发生火灾事故次生污染</w:t>
      </w:r>
      <w:r>
        <w:rPr>
          <w:color w:val="auto"/>
          <w:spacing w:val="-2"/>
          <w:sz w:val="24"/>
          <w:szCs w:val="24"/>
        </w:rPr>
        <w:t>物不完全燃烧产生</w:t>
      </w:r>
      <w:r>
        <w:rPr>
          <w:rFonts w:ascii="Times New Roman" w:hAnsi="Times New Roman" w:eastAsia="Times New Roman" w:cs="Times New Roman"/>
          <w:color w:val="auto"/>
          <w:spacing w:val="-2"/>
          <w:sz w:val="24"/>
          <w:szCs w:val="24"/>
        </w:rPr>
        <w:t>CO</w:t>
      </w:r>
      <w:r>
        <w:rPr>
          <w:color w:val="auto"/>
          <w:spacing w:val="-2"/>
          <w:sz w:val="24"/>
          <w:szCs w:val="24"/>
        </w:rPr>
        <w:t>，对环境空气造成污染以及</w:t>
      </w:r>
      <w:r>
        <w:rPr>
          <w:color w:val="auto"/>
          <w:spacing w:val="-52"/>
          <w:sz w:val="24"/>
          <w:szCs w:val="24"/>
        </w:rPr>
        <w:t xml:space="preserve"> </w:t>
      </w:r>
      <w:r>
        <w:rPr>
          <w:rFonts w:ascii="Times New Roman" w:hAnsi="Times New Roman" w:eastAsia="Times New Roman" w:cs="Times New Roman"/>
          <w:color w:val="auto"/>
          <w:spacing w:val="-2"/>
          <w:sz w:val="24"/>
          <w:szCs w:val="24"/>
        </w:rPr>
        <w:t xml:space="preserve">CO </w:t>
      </w:r>
      <w:r>
        <w:rPr>
          <w:color w:val="auto"/>
          <w:spacing w:val="-2"/>
          <w:sz w:val="24"/>
          <w:szCs w:val="24"/>
        </w:rPr>
        <w:t>扩散造成人员中毒。</w:t>
      </w:r>
    </w:p>
    <w:p w14:paraId="7917BEBE">
      <w:pPr>
        <w:pStyle w:val="9"/>
        <w:spacing w:before="1" w:line="218" w:lineRule="auto"/>
        <w:ind w:left="495"/>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通过以上分析，本项目风险识别结果见下表</w:t>
      </w:r>
      <w:r>
        <w:rPr>
          <w:rFonts w:hint="eastAsia" w:ascii="Times New Roman" w:hAnsi="Times New Roman" w:eastAsia="宋体" w:cs="Times New Roman"/>
          <w:color w:val="auto"/>
          <w:spacing w:val="0"/>
          <w:sz w:val="24"/>
          <w:szCs w:val="24"/>
          <w:lang w:val="en-US" w:eastAsia="zh-CN"/>
        </w:rPr>
        <w:t>4.7-5</w:t>
      </w:r>
      <w:r>
        <w:rPr>
          <w:rFonts w:hint="default" w:ascii="Times New Roman" w:hAnsi="Times New Roman" w:cs="Times New Roman"/>
          <w:color w:val="auto"/>
          <w:spacing w:val="0"/>
          <w:sz w:val="24"/>
          <w:szCs w:val="24"/>
        </w:rPr>
        <w:t>。</w:t>
      </w:r>
    </w:p>
    <w:p w14:paraId="257D17B3">
      <w:pPr>
        <w:pStyle w:val="9"/>
        <w:spacing w:before="193" w:line="212" w:lineRule="auto"/>
        <w:ind w:left="2881"/>
        <w:rPr>
          <w:rFonts w:hint="default" w:ascii="Times New Roman" w:hAnsi="Times New Roman" w:cs="Times New Roman"/>
          <w:color w:val="auto"/>
          <w:spacing w:val="0"/>
        </w:rPr>
      </w:pPr>
      <w:r>
        <w:rPr>
          <w:rFonts w:hint="default" w:ascii="Times New Roman" w:hAnsi="Times New Roman" w:cs="Times New Roman"/>
          <w:b/>
          <w:bCs/>
          <w:color w:val="auto"/>
          <w:spacing w:val="0"/>
        </w:rPr>
        <w:t>表</w:t>
      </w:r>
      <w:r>
        <w:rPr>
          <w:rFonts w:hint="eastAsia" w:ascii="Times New Roman" w:hAnsi="Times New Roman" w:eastAsia="宋体" w:cs="Times New Roman"/>
          <w:color w:val="auto"/>
          <w:spacing w:val="0"/>
          <w:lang w:val="en-US" w:eastAsia="zh-CN"/>
        </w:rPr>
        <w:t>4.7-5</w:t>
      </w:r>
      <w:r>
        <w:rPr>
          <w:rFonts w:hint="default" w:ascii="Times New Roman" w:hAnsi="Times New Roman" w:eastAsia="Times New Roman" w:cs="Times New Roman"/>
          <w:b/>
          <w:bCs/>
          <w:color w:val="auto"/>
          <w:spacing w:val="0"/>
        </w:rPr>
        <w:t xml:space="preserve">  </w:t>
      </w:r>
      <w:r>
        <w:rPr>
          <w:rFonts w:hint="default" w:ascii="Times New Roman" w:hAnsi="Times New Roman" w:cs="Times New Roman"/>
          <w:b/>
          <w:bCs/>
          <w:color w:val="auto"/>
          <w:spacing w:val="0"/>
        </w:rPr>
        <w:t>本项目风险识别结果</w:t>
      </w:r>
    </w:p>
    <w:tbl>
      <w:tblPr>
        <w:tblStyle w:val="26"/>
        <w:tblW w:w="8302" w:type="dxa"/>
        <w:tblInd w:w="1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3"/>
        <w:gridCol w:w="1292"/>
        <w:gridCol w:w="1533"/>
        <w:gridCol w:w="2282"/>
        <w:gridCol w:w="2022"/>
      </w:tblGrid>
      <w:tr w14:paraId="70B78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173" w:type="dxa"/>
            <w:vAlign w:val="center"/>
          </w:tcPr>
          <w:p w14:paraId="09A4041C">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危险单元</w:t>
            </w:r>
          </w:p>
        </w:tc>
        <w:tc>
          <w:tcPr>
            <w:tcW w:w="1292" w:type="dxa"/>
            <w:vAlign w:val="center"/>
          </w:tcPr>
          <w:p w14:paraId="65D612F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风险源</w:t>
            </w:r>
          </w:p>
        </w:tc>
        <w:tc>
          <w:tcPr>
            <w:tcW w:w="1533" w:type="dxa"/>
            <w:vAlign w:val="center"/>
          </w:tcPr>
          <w:p w14:paraId="39857A8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主要危险物质</w:t>
            </w:r>
          </w:p>
        </w:tc>
        <w:tc>
          <w:tcPr>
            <w:tcW w:w="2282" w:type="dxa"/>
            <w:vAlign w:val="center"/>
          </w:tcPr>
          <w:p w14:paraId="0BA473A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环境风险类型</w:t>
            </w:r>
          </w:p>
        </w:tc>
        <w:tc>
          <w:tcPr>
            <w:tcW w:w="2022" w:type="dxa"/>
            <w:vAlign w:val="center"/>
          </w:tcPr>
          <w:p w14:paraId="5605134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环境影响途径</w:t>
            </w:r>
          </w:p>
        </w:tc>
      </w:tr>
      <w:tr w14:paraId="4B3F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173" w:type="dxa"/>
            <w:vMerge w:val="restart"/>
            <w:tcBorders>
              <w:bottom w:val="nil"/>
            </w:tcBorders>
            <w:vAlign w:val="center"/>
          </w:tcPr>
          <w:p w14:paraId="02063AE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储存单元</w:t>
            </w:r>
          </w:p>
        </w:tc>
        <w:tc>
          <w:tcPr>
            <w:tcW w:w="1292" w:type="dxa"/>
            <w:vAlign w:val="center"/>
          </w:tcPr>
          <w:p w14:paraId="11D924B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机车自带柴油箱</w:t>
            </w:r>
          </w:p>
        </w:tc>
        <w:tc>
          <w:tcPr>
            <w:tcW w:w="1533" w:type="dxa"/>
            <w:vAlign w:val="center"/>
          </w:tcPr>
          <w:p w14:paraId="3D3754C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柴油</w:t>
            </w:r>
          </w:p>
        </w:tc>
        <w:tc>
          <w:tcPr>
            <w:tcW w:w="2282" w:type="dxa"/>
            <w:vMerge w:val="restart"/>
            <w:tcBorders>
              <w:bottom w:val="nil"/>
            </w:tcBorders>
            <w:vAlign w:val="center"/>
          </w:tcPr>
          <w:p w14:paraId="0E79ECB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泄漏、火灾爆炸引起的伴生/次生污染物排放。</w:t>
            </w:r>
          </w:p>
        </w:tc>
        <w:tc>
          <w:tcPr>
            <w:tcW w:w="2022" w:type="dxa"/>
            <w:vAlign w:val="center"/>
          </w:tcPr>
          <w:p w14:paraId="4711CB9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大气、地表水、土壤、</w:t>
            </w:r>
          </w:p>
          <w:p w14:paraId="4A97A93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地下水。</w:t>
            </w:r>
          </w:p>
        </w:tc>
      </w:tr>
      <w:tr w14:paraId="558A4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173" w:type="dxa"/>
            <w:vMerge w:val="continue"/>
            <w:tcBorders>
              <w:top w:val="nil"/>
            </w:tcBorders>
            <w:vAlign w:val="center"/>
          </w:tcPr>
          <w:p w14:paraId="24F857F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p>
        </w:tc>
        <w:tc>
          <w:tcPr>
            <w:tcW w:w="1292" w:type="dxa"/>
            <w:vAlign w:val="center"/>
          </w:tcPr>
          <w:p w14:paraId="600C642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color w:val="auto"/>
                <w:sz w:val="20"/>
                <w:szCs w:val="20"/>
                <w:lang w:eastAsia="zh-CN"/>
              </w:rPr>
              <w:t>危废暂存间</w:t>
            </w:r>
          </w:p>
        </w:tc>
        <w:tc>
          <w:tcPr>
            <w:tcW w:w="1533" w:type="dxa"/>
            <w:vAlign w:val="center"/>
          </w:tcPr>
          <w:p w14:paraId="3834B7C8">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废机油</w:t>
            </w:r>
          </w:p>
        </w:tc>
        <w:tc>
          <w:tcPr>
            <w:tcW w:w="2282" w:type="dxa"/>
            <w:vMerge w:val="continue"/>
            <w:tcBorders>
              <w:top w:val="nil"/>
            </w:tcBorders>
            <w:vAlign w:val="center"/>
          </w:tcPr>
          <w:p w14:paraId="6FFA678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p>
        </w:tc>
        <w:tc>
          <w:tcPr>
            <w:tcW w:w="2022" w:type="dxa"/>
            <w:vAlign w:val="center"/>
          </w:tcPr>
          <w:p w14:paraId="16E3129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大气、地表水、土壤、</w:t>
            </w:r>
          </w:p>
          <w:p w14:paraId="7C0C6A8F">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地下水。</w:t>
            </w:r>
          </w:p>
        </w:tc>
      </w:tr>
    </w:tbl>
    <w:p w14:paraId="6964733A">
      <w:pPr>
        <w:pStyle w:val="9"/>
        <w:keepNext w:val="0"/>
        <w:keepLines w:val="0"/>
        <w:pageBreakBefore w:val="0"/>
        <w:widowControl/>
        <w:kinsoku w:val="0"/>
        <w:wordWrap/>
        <w:overflowPunct/>
        <w:topLinePunct w:val="0"/>
        <w:autoSpaceDE w:val="0"/>
        <w:autoSpaceDN w:val="0"/>
        <w:bidi w:val="0"/>
        <w:adjustRightInd w:val="0"/>
        <w:snapToGrid w:val="0"/>
        <w:spacing w:before="97" w:line="219" w:lineRule="auto"/>
        <w:ind w:left="119"/>
        <w:textAlignment w:val="baseline"/>
        <w:outlineLvl w:val="2"/>
        <w:rPr>
          <w:rFonts w:hint="eastAsia" w:ascii="Times New Roman" w:hAnsi="Times New Roman" w:eastAsia="宋体" w:cs="Times New Roman"/>
          <w:b/>
          <w:bCs/>
          <w:color w:val="auto"/>
          <w:spacing w:val="-2"/>
          <w:sz w:val="28"/>
          <w:szCs w:val="28"/>
          <w:lang w:val="en-US" w:eastAsia="zh-CN"/>
        </w:rPr>
      </w:pPr>
      <w:bookmarkStart w:id="174" w:name="bookmark41"/>
      <w:bookmarkEnd w:id="174"/>
      <w:bookmarkStart w:id="175" w:name="_Toc4887"/>
      <w:r>
        <w:rPr>
          <w:rFonts w:hint="eastAsia" w:ascii="Times New Roman" w:hAnsi="Times New Roman" w:eastAsia="宋体" w:cs="Times New Roman"/>
          <w:b/>
          <w:bCs/>
          <w:color w:val="auto"/>
          <w:spacing w:val="-2"/>
          <w:sz w:val="28"/>
          <w:szCs w:val="28"/>
          <w:lang w:val="en-US" w:eastAsia="zh-CN"/>
        </w:rPr>
        <w:t>4.7.4风险评价等级及评价范围</w:t>
      </w:r>
      <w:bookmarkEnd w:id="175"/>
    </w:p>
    <w:p w14:paraId="7B13F8AD">
      <w:pPr>
        <w:pStyle w:val="9"/>
        <w:spacing w:before="226" w:line="220" w:lineRule="auto"/>
        <w:ind w:left="122"/>
        <w:outlineLvl w:val="3"/>
        <w:rPr>
          <w:color w:val="auto"/>
          <w:sz w:val="28"/>
          <w:szCs w:val="28"/>
        </w:rPr>
      </w:pPr>
      <w:r>
        <w:rPr>
          <w:rFonts w:hint="eastAsia" w:ascii="Times New Roman" w:hAnsi="Times New Roman" w:eastAsia="宋体" w:cs="Times New Roman"/>
          <w:b/>
          <w:bCs/>
          <w:color w:val="auto"/>
          <w:spacing w:val="-2"/>
          <w:sz w:val="28"/>
          <w:szCs w:val="28"/>
          <w:lang w:val="en-US" w:eastAsia="zh-CN"/>
        </w:rPr>
        <w:t>4.7.4</w:t>
      </w:r>
      <w:r>
        <w:rPr>
          <w:rFonts w:ascii="Times New Roman" w:hAnsi="Times New Roman" w:eastAsia="Times New Roman" w:cs="Times New Roman"/>
          <w:b/>
          <w:bCs/>
          <w:color w:val="auto"/>
          <w:spacing w:val="-2"/>
          <w:sz w:val="28"/>
          <w:szCs w:val="28"/>
        </w:rPr>
        <w:t xml:space="preserve">.1 </w:t>
      </w:r>
      <w:r>
        <w:rPr>
          <w:b/>
          <w:bCs/>
          <w:color w:val="auto"/>
          <w:spacing w:val="-2"/>
          <w:sz w:val="28"/>
          <w:szCs w:val="28"/>
        </w:rPr>
        <w:t>环境风险潜势初判</w:t>
      </w:r>
    </w:p>
    <w:p w14:paraId="36496338">
      <w:pPr>
        <w:pStyle w:val="9"/>
        <w:keepNext w:val="0"/>
        <w:keepLines w:val="0"/>
        <w:pageBreakBefore w:val="0"/>
        <w:widowControl/>
        <w:kinsoku w:val="0"/>
        <w:wordWrap/>
        <w:overflowPunct/>
        <w:topLinePunct w:val="0"/>
        <w:autoSpaceDE w:val="0"/>
        <w:autoSpaceDN w:val="0"/>
        <w:bidi w:val="0"/>
        <w:adjustRightInd w:val="0"/>
        <w:snapToGrid w:val="0"/>
        <w:spacing w:before="205" w:line="219" w:lineRule="auto"/>
        <w:ind w:left="590"/>
        <w:textAlignment w:val="baseline"/>
        <w:outlineLvl w:val="9"/>
        <w:rPr>
          <w:color w:val="auto"/>
          <w:sz w:val="24"/>
          <w:szCs w:val="24"/>
        </w:rPr>
      </w:pPr>
      <w:r>
        <w:rPr>
          <w:rFonts w:hint="eastAsia" w:ascii="Times New Roman" w:hAnsi="Times New Roman" w:eastAsia="宋体" w:cs="Times New Roman"/>
          <w:b/>
          <w:bCs/>
          <w:color w:val="auto"/>
          <w:spacing w:val="-6"/>
          <w:sz w:val="24"/>
          <w:szCs w:val="24"/>
          <w:lang w:val="en-US" w:eastAsia="zh-CN"/>
        </w:rPr>
        <w:t>1、</w:t>
      </w:r>
      <w:r>
        <w:rPr>
          <w:b/>
          <w:bCs/>
          <w:color w:val="auto"/>
          <w:spacing w:val="-6"/>
          <w:sz w:val="24"/>
          <w:szCs w:val="24"/>
        </w:rPr>
        <w:t>环境风险潜势划分</w:t>
      </w:r>
    </w:p>
    <w:p w14:paraId="4EA9F9E2">
      <w:pPr>
        <w:pStyle w:val="9"/>
        <w:tabs>
          <w:tab w:val="left" w:pos="8622"/>
        </w:tabs>
        <w:spacing w:before="145" w:line="359" w:lineRule="auto"/>
        <w:ind w:left="121" w:firstLine="493"/>
        <w:jc w:val="both"/>
        <w:rPr>
          <w:rFonts w:hint="default" w:ascii="Times New Roman" w:hAnsi="Times New Roman" w:cs="Times New Roman"/>
          <w:color w:val="auto"/>
          <w:spacing w:val="0"/>
          <w:position w:val="0"/>
          <w:sz w:val="24"/>
          <w:szCs w:val="24"/>
        </w:rPr>
      </w:pPr>
      <w:r>
        <w:rPr>
          <w:rFonts w:hint="default" w:ascii="Times New Roman" w:hAnsi="Times New Roman" w:cs="Times New Roman"/>
          <w:color w:val="auto"/>
          <w:spacing w:val="0"/>
          <w:position w:val="0"/>
          <w:sz w:val="24"/>
          <w:szCs w:val="24"/>
        </w:rPr>
        <w:t>建设项目环境风险潜势划分为</w:t>
      </w:r>
      <w:r>
        <w:rPr>
          <w:rFonts w:hint="default" w:ascii="Times New Roman" w:hAnsi="Times New Roman" w:eastAsia="Times New Roman" w:cs="Times New Roman"/>
          <w:color w:val="auto"/>
          <w:spacing w:val="0"/>
          <w:position w:val="0"/>
          <w:sz w:val="24"/>
          <w:szCs w:val="24"/>
        </w:rPr>
        <w:t xml:space="preserve">Ⅰ </w:t>
      </w:r>
      <w:r>
        <w:rPr>
          <w:rFonts w:hint="default" w:ascii="Times New Roman" w:hAnsi="Times New Roman" w:cs="Times New Roman"/>
          <w:color w:val="auto"/>
          <w:spacing w:val="0"/>
          <w:position w:val="0"/>
          <w:sz w:val="24"/>
          <w:szCs w:val="24"/>
        </w:rPr>
        <w:t>、</w:t>
      </w:r>
      <w:r>
        <w:rPr>
          <w:rFonts w:hint="default" w:ascii="Times New Roman" w:hAnsi="Times New Roman" w:eastAsia="Times New Roman" w:cs="Times New Roman"/>
          <w:color w:val="auto"/>
          <w:spacing w:val="0"/>
          <w:position w:val="0"/>
          <w:sz w:val="24"/>
          <w:szCs w:val="24"/>
        </w:rPr>
        <w:t xml:space="preserve">Ⅱ </w:t>
      </w:r>
      <w:r>
        <w:rPr>
          <w:rFonts w:hint="default" w:ascii="Times New Roman" w:hAnsi="Times New Roman" w:cs="Times New Roman"/>
          <w:color w:val="auto"/>
          <w:spacing w:val="0"/>
          <w:position w:val="0"/>
          <w:sz w:val="24"/>
          <w:szCs w:val="24"/>
        </w:rPr>
        <w:t>、</w:t>
      </w:r>
      <w:r>
        <w:rPr>
          <w:rFonts w:hint="default" w:ascii="Times New Roman" w:hAnsi="Times New Roman" w:eastAsia="Times New Roman" w:cs="Times New Roman"/>
          <w:color w:val="auto"/>
          <w:spacing w:val="0"/>
          <w:position w:val="0"/>
          <w:sz w:val="24"/>
          <w:szCs w:val="24"/>
        </w:rPr>
        <w:t xml:space="preserve">Ⅲ </w:t>
      </w:r>
      <w:r>
        <w:rPr>
          <w:rFonts w:hint="default" w:ascii="Times New Roman" w:hAnsi="Times New Roman" w:cs="Times New Roman"/>
          <w:color w:val="auto"/>
          <w:spacing w:val="0"/>
          <w:position w:val="0"/>
          <w:sz w:val="24"/>
          <w:szCs w:val="24"/>
        </w:rPr>
        <w:t>、</w:t>
      </w:r>
      <w:r>
        <w:rPr>
          <w:rFonts w:hint="default" w:ascii="Times New Roman" w:hAnsi="Times New Roman" w:eastAsia="Times New Roman" w:cs="Times New Roman"/>
          <w:color w:val="auto"/>
          <w:spacing w:val="0"/>
          <w:position w:val="0"/>
          <w:sz w:val="24"/>
          <w:szCs w:val="24"/>
        </w:rPr>
        <w:t>Ⅳ/Ⅳ+</w:t>
      </w:r>
      <w:r>
        <w:rPr>
          <w:rFonts w:hint="default" w:ascii="Times New Roman" w:hAnsi="Times New Roman" w:cs="Times New Roman"/>
          <w:color w:val="auto"/>
          <w:spacing w:val="0"/>
          <w:position w:val="0"/>
          <w:sz w:val="24"/>
          <w:szCs w:val="24"/>
        </w:rPr>
        <w:t>级。根据建设项目涉及的物质和工艺系统的危险性及所在地的环境敏感程度，结合事故情形下环境影响途径，对建设项目潜在环境危害程度进行概化分析，按照表</w:t>
      </w:r>
      <w:r>
        <w:rPr>
          <w:rFonts w:hint="default" w:ascii="Times New Roman" w:hAnsi="Times New Roman" w:eastAsia="宋体" w:cs="Times New Roman"/>
          <w:color w:val="auto"/>
          <w:spacing w:val="0"/>
          <w:position w:val="0"/>
          <w:sz w:val="24"/>
          <w:szCs w:val="24"/>
          <w:lang w:val="en-US" w:eastAsia="zh-CN"/>
        </w:rPr>
        <w:t>4.7</w:t>
      </w:r>
      <w:r>
        <w:rPr>
          <w:rFonts w:hint="default" w:ascii="Times New Roman" w:hAnsi="Times New Roman" w:eastAsia="Times New Roman" w:cs="Times New Roman"/>
          <w:color w:val="auto"/>
          <w:spacing w:val="0"/>
          <w:position w:val="0"/>
          <w:sz w:val="24"/>
          <w:szCs w:val="24"/>
        </w:rPr>
        <w:t>-</w:t>
      </w:r>
      <w:r>
        <w:rPr>
          <w:rFonts w:hint="eastAsia" w:ascii="Times New Roman" w:hAnsi="Times New Roman" w:eastAsia="宋体" w:cs="Times New Roman"/>
          <w:color w:val="auto"/>
          <w:spacing w:val="0"/>
          <w:position w:val="0"/>
          <w:sz w:val="24"/>
          <w:szCs w:val="24"/>
          <w:lang w:val="en-US" w:eastAsia="zh-CN"/>
        </w:rPr>
        <w:t>6</w:t>
      </w:r>
      <w:r>
        <w:rPr>
          <w:rFonts w:hint="default" w:ascii="Times New Roman" w:hAnsi="Times New Roman" w:cs="Times New Roman"/>
          <w:color w:val="auto"/>
          <w:spacing w:val="0"/>
          <w:position w:val="0"/>
          <w:sz w:val="24"/>
          <w:szCs w:val="24"/>
        </w:rPr>
        <w:t>确定环境风险潜势。</w:t>
      </w:r>
    </w:p>
    <w:p w14:paraId="0ECEE206">
      <w:pPr>
        <w:pStyle w:val="9"/>
        <w:spacing w:before="1" w:line="212" w:lineRule="auto"/>
        <w:ind w:left="2430"/>
        <w:rPr>
          <w:rFonts w:hint="default" w:ascii="Times New Roman" w:hAnsi="Times New Roman" w:cs="Times New Roman"/>
          <w:color w:val="auto"/>
          <w:spacing w:val="0"/>
          <w:position w:val="0"/>
        </w:rPr>
      </w:pPr>
      <w:r>
        <w:rPr>
          <w:rFonts w:hint="default" w:ascii="Times New Roman" w:hAnsi="Times New Roman" w:cs="Times New Roman"/>
          <w:b/>
          <w:bCs/>
          <w:color w:val="auto"/>
          <w:spacing w:val="0"/>
          <w:position w:val="0"/>
        </w:rPr>
        <w:t>表</w:t>
      </w:r>
      <w:r>
        <w:rPr>
          <w:rFonts w:hint="default" w:ascii="Times New Roman" w:hAnsi="Times New Roman" w:eastAsia="宋体" w:cs="Times New Roman"/>
          <w:color w:val="auto"/>
          <w:spacing w:val="0"/>
          <w:position w:val="0"/>
          <w:lang w:val="en-US" w:eastAsia="zh-CN"/>
        </w:rPr>
        <w:t>4.7</w:t>
      </w:r>
      <w:r>
        <w:rPr>
          <w:rFonts w:hint="default" w:ascii="Times New Roman" w:hAnsi="Times New Roman" w:eastAsia="Times New Roman" w:cs="Times New Roman"/>
          <w:b/>
          <w:bCs/>
          <w:color w:val="auto"/>
          <w:spacing w:val="0"/>
          <w:position w:val="0"/>
        </w:rPr>
        <w:t>-</w:t>
      </w:r>
      <w:r>
        <w:rPr>
          <w:rFonts w:hint="eastAsia" w:ascii="Times New Roman" w:hAnsi="Times New Roman" w:eastAsia="宋体" w:cs="Times New Roman"/>
          <w:b/>
          <w:bCs/>
          <w:color w:val="auto"/>
          <w:spacing w:val="0"/>
          <w:position w:val="0"/>
          <w:lang w:val="en-US" w:eastAsia="zh-CN"/>
        </w:rPr>
        <w:t>6</w:t>
      </w:r>
      <w:r>
        <w:rPr>
          <w:rFonts w:hint="default" w:ascii="Times New Roman" w:hAnsi="Times New Roman" w:eastAsia="Times New Roman" w:cs="Times New Roman"/>
          <w:b/>
          <w:bCs/>
          <w:color w:val="auto"/>
          <w:spacing w:val="0"/>
          <w:position w:val="0"/>
        </w:rPr>
        <w:t xml:space="preserve">  </w:t>
      </w:r>
      <w:r>
        <w:rPr>
          <w:rFonts w:hint="default" w:ascii="Times New Roman" w:hAnsi="Times New Roman" w:cs="Times New Roman"/>
          <w:b/>
          <w:bCs/>
          <w:color w:val="auto"/>
          <w:spacing w:val="0"/>
          <w:position w:val="0"/>
        </w:rPr>
        <w:t>建设项目环境风险潜势划分</w:t>
      </w:r>
    </w:p>
    <w:tbl>
      <w:tblPr>
        <w:tblStyle w:val="26"/>
        <w:tblW w:w="85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9"/>
        <w:gridCol w:w="1503"/>
        <w:gridCol w:w="1704"/>
        <w:gridCol w:w="1705"/>
        <w:gridCol w:w="1711"/>
      </w:tblGrid>
      <w:tr w14:paraId="25EE4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909" w:type="dxa"/>
            <w:vMerge w:val="restart"/>
            <w:tcBorders>
              <w:bottom w:val="nil"/>
            </w:tcBorders>
            <w:vAlign w:val="center"/>
          </w:tcPr>
          <w:p w14:paraId="26CA167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环境敏感程度（E）</w:t>
            </w:r>
          </w:p>
        </w:tc>
        <w:tc>
          <w:tcPr>
            <w:tcW w:w="6623" w:type="dxa"/>
            <w:gridSpan w:val="4"/>
            <w:vAlign w:val="center"/>
          </w:tcPr>
          <w:p w14:paraId="725C2BE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危险物质及工艺系统危险性（P）</w:t>
            </w:r>
          </w:p>
        </w:tc>
      </w:tr>
      <w:tr w14:paraId="782C5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909" w:type="dxa"/>
            <w:vMerge w:val="continue"/>
            <w:tcBorders>
              <w:top w:val="nil"/>
            </w:tcBorders>
            <w:vAlign w:val="center"/>
          </w:tcPr>
          <w:p w14:paraId="7F1C512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p>
        </w:tc>
        <w:tc>
          <w:tcPr>
            <w:tcW w:w="1503" w:type="dxa"/>
            <w:vAlign w:val="center"/>
          </w:tcPr>
          <w:p w14:paraId="1024B26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极高危害（P1）</w:t>
            </w:r>
          </w:p>
        </w:tc>
        <w:tc>
          <w:tcPr>
            <w:tcW w:w="1704" w:type="dxa"/>
            <w:vAlign w:val="center"/>
          </w:tcPr>
          <w:p w14:paraId="06B185C6">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高度危害（P2）</w:t>
            </w:r>
          </w:p>
        </w:tc>
        <w:tc>
          <w:tcPr>
            <w:tcW w:w="1705" w:type="dxa"/>
            <w:vAlign w:val="center"/>
          </w:tcPr>
          <w:p w14:paraId="6C3F308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中度危害（P3）</w:t>
            </w:r>
          </w:p>
        </w:tc>
        <w:tc>
          <w:tcPr>
            <w:tcW w:w="1711" w:type="dxa"/>
            <w:vAlign w:val="center"/>
          </w:tcPr>
          <w:p w14:paraId="2DF0093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轻度危害（P4）</w:t>
            </w:r>
          </w:p>
        </w:tc>
      </w:tr>
      <w:tr w14:paraId="35885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1909" w:type="dxa"/>
            <w:vAlign w:val="center"/>
          </w:tcPr>
          <w:p w14:paraId="1DC71A0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环境高度敏感区</w:t>
            </w:r>
          </w:p>
          <w:p w14:paraId="64B6E901">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（E1）</w:t>
            </w:r>
          </w:p>
        </w:tc>
        <w:tc>
          <w:tcPr>
            <w:tcW w:w="1503" w:type="dxa"/>
            <w:vAlign w:val="center"/>
          </w:tcPr>
          <w:p w14:paraId="25A3D95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Ⅳ+</w:t>
            </w:r>
          </w:p>
        </w:tc>
        <w:tc>
          <w:tcPr>
            <w:tcW w:w="1704" w:type="dxa"/>
            <w:vAlign w:val="center"/>
          </w:tcPr>
          <w:p w14:paraId="5D4CE940">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Ⅳ</w:t>
            </w:r>
          </w:p>
        </w:tc>
        <w:tc>
          <w:tcPr>
            <w:tcW w:w="1705" w:type="dxa"/>
            <w:vAlign w:val="center"/>
          </w:tcPr>
          <w:p w14:paraId="3D282ABD">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Ⅲ</w:t>
            </w:r>
          </w:p>
        </w:tc>
        <w:tc>
          <w:tcPr>
            <w:tcW w:w="1711" w:type="dxa"/>
            <w:vAlign w:val="center"/>
          </w:tcPr>
          <w:p w14:paraId="52EACC7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Ⅲ</w:t>
            </w:r>
          </w:p>
        </w:tc>
      </w:tr>
      <w:tr w14:paraId="63447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09" w:type="dxa"/>
            <w:vAlign w:val="center"/>
          </w:tcPr>
          <w:p w14:paraId="2C3697D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环境中度敏感区</w:t>
            </w:r>
          </w:p>
          <w:p w14:paraId="63B882E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（E2）</w:t>
            </w:r>
          </w:p>
        </w:tc>
        <w:tc>
          <w:tcPr>
            <w:tcW w:w="1503" w:type="dxa"/>
            <w:vAlign w:val="center"/>
          </w:tcPr>
          <w:p w14:paraId="0BF2DD2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Ⅳ</w:t>
            </w:r>
          </w:p>
        </w:tc>
        <w:tc>
          <w:tcPr>
            <w:tcW w:w="1704" w:type="dxa"/>
            <w:vAlign w:val="center"/>
          </w:tcPr>
          <w:p w14:paraId="10106E3B">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Ⅲ</w:t>
            </w:r>
          </w:p>
        </w:tc>
        <w:tc>
          <w:tcPr>
            <w:tcW w:w="1705" w:type="dxa"/>
            <w:vAlign w:val="center"/>
          </w:tcPr>
          <w:p w14:paraId="7A8FF9B4">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Ⅲ</w:t>
            </w:r>
          </w:p>
        </w:tc>
        <w:tc>
          <w:tcPr>
            <w:tcW w:w="1711" w:type="dxa"/>
            <w:vAlign w:val="center"/>
          </w:tcPr>
          <w:p w14:paraId="2A00C71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Ⅱ</w:t>
            </w:r>
          </w:p>
        </w:tc>
      </w:tr>
      <w:tr w14:paraId="4D8FA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909" w:type="dxa"/>
            <w:vAlign w:val="center"/>
          </w:tcPr>
          <w:p w14:paraId="33E3B925">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环境低度敏感区</w:t>
            </w:r>
          </w:p>
          <w:p w14:paraId="0C10321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（E3）</w:t>
            </w:r>
          </w:p>
        </w:tc>
        <w:tc>
          <w:tcPr>
            <w:tcW w:w="1503" w:type="dxa"/>
            <w:vAlign w:val="center"/>
          </w:tcPr>
          <w:p w14:paraId="2FEDD212">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Ⅲ</w:t>
            </w:r>
          </w:p>
        </w:tc>
        <w:tc>
          <w:tcPr>
            <w:tcW w:w="1704" w:type="dxa"/>
            <w:vAlign w:val="center"/>
          </w:tcPr>
          <w:p w14:paraId="53B56557">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Ⅲ</w:t>
            </w:r>
          </w:p>
        </w:tc>
        <w:tc>
          <w:tcPr>
            <w:tcW w:w="1705" w:type="dxa"/>
            <w:vAlign w:val="center"/>
          </w:tcPr>
          <w:p w14:paraId="0CF817FE">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Ⅱ</w:t>
            </w:r>
          </w:p>
        </w:tc>
        <w:tc>
          <w:tcPr>
            <w:tcW w:w="1711" w:type="dxa"/>
            <w:vAlign w:val="center"/>
          </w:tcPr>
          <w:p w14:paraId="2F576A69">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Ⅰ</w:t>
            </w:r>
          </w:p>
        </w:tc>
      </w:tr>
    </w:tbl>
    <w:p w14:paraId="1105B44E">
      <w:pPr>
        <w:pStyle w:val="9"/>
        <w:keepNext w:val="0"/>
        <w:keepLines w:val="0"/>
        <w:pageBreakBefore w:val="0"/>
        <w:widowControl/>
        <w:kinsoku/>
        <w:wordWrap/>
        <w:overflowPunct/>
        <w:topLinePunct w:val="0"/>
        <w:autoSpaceDE w:val="0"/>
        <w:autoSpaceDN w:val="0"/>
        <w:bidi w:val="0"/>
        <w:adjustRightInd w:val="0"/>
        <w:snapToGrid w:val="0"/>
        <w:spacing w:before="36" w:line="360" w:lineRule="auto"/>
        <w:ind w:left="601"/>
        <w:textAlignment w:val="baseline"/>
        <w:outlineLvl w:val="9"/>
        <w:rPr>
          <w:color w:val="auto"/>
          <w:sz w:val="24"/>
          <w:szCs w:val="24"/>
        </w:rPr>
      </w:pPr>
      <w:r>
        <w:rPr>
          <w:rFonts w:hint="eastAsia" w:ascii="Times New Roman" w:hAnsi="Times New Roman" w:eastAsia="宋体" w:cs="Times New Roman"/>
          <w:b/>
          <w:bCs/>
          <w:color w:val="auto"/>
          <w:spacing w:val="-4"/>
          <w:sz w:val="24"/>
          <w:szCs w:val="24"/>
          <w:lang w:val="en-US" w:eastAsia="zh-CN"/>
        </w:rPr>
        <w:t>2、</w:t>
      </w:r>
      <w:r>
        <w:rPr>
          <w:rFonts w:ascii="Times New Roman" w:hAnsi="Times New Roman" w:eastAsia="Times New Roman" w:cs="Times New Roman"/>
          <w:b/>
          <w:bCs/>
          <w:color w:val="auto"/>
          <w:spacing w:val="-4"/>
          <w:sz w:val="24"/>
          <w:szCs w:val="24"/>
        </w:rPr>
        <w:t>P</w:t>
      </w:r>
      <w:r>
        <w:rPr>
          <w:rFonts w:ascii="Times New Roman" w:hAnsi="Times New Roman" w:eastAsia="Times New Roman" w:cs="Times New Roman"/>
          <w:b/>
          <w:bCs/>
          <w:color w:val="auto"/>
          <w:spacing w:val="38"/>
          <w:w w:val="101"/>
          <w:sz w:val="24"/>
          <w:szCs w:val="24"/>
        </w:rPr>
        <w:t xml:space="preserve"> </w:t>
      </w:r>
      <w:r>
        <w:rPr>
          <w:b/>
          <w:bCs/>
          <w:color w:val="auto"/>
          <w:spacing w:val="-4"/>
          <w:sz w:val="24"/>
          <w:szCs w:val="24"/>
        </w:rPr>
        <w:t>的分级确定</w:t>
      </w:r>
    </w:p>
    <w:p w14:paraId="00A2C77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1"/>
        <w:jc w:val="both"/>
        <w:textAlignment w:val="baseline"/>
        <w:rPr>
          <w:color w:val="auto"/>
          <w:sz w:val="24"/>
          <w:szCs w:val="24"/>
        </w:rPr>
      </w:pPr>
      <w:r>
        <w:rPr>
          <w:color w:val="auto"/>
          <w:spacing w:val="-3"/>
          <w:sz w:val="24"/>
          <w:szCs w:val="24"/>
        </w:rPr>
        <w:t>分析建设项目生产、使用、储存过程中涉及的有毒有害物质，参见</w:t>
      </w:r>
      <w:r>
        <w:rPr>
          <w:color w:val="auto"/>
          <w:spacing w:val="-4"/>
          <w:sz w:val="24"/>
          <w:szCs w:val="24"/>
        </w:rPr>
        <w:t>导则中附</w:t>
      </w:r>
      <w:r>
        <w:rPr>
          <w:color w:val="auto"/>
          <w:spacing w:val="-2"/>
          <w:sz w:val="24"/>
          <w:szCs w:val="24"/>
        </w:rPr>
        <w:t>录</w:t>
      </w:r>
      <w:r>
        <w:rPr>
          <w:color w:val="auto"/>
          <w:spacing w:val="-56"/>
          <w:sz w:val="24"/>
          <w:szCs w:val="24"/>
        </w:rPr>
        <w:t xml:space="preserve"> </w:t>
      </w:r>
      <w:r>
        <w:rPr>
          <w:rFonts w:ascii="Times New Roman" w:hAnsi="Times New Roman" w:eastAsia="Times New Roman" w:cs="Times New Roman"/>
          <w:color w:val="auto"/>
          <w:spacing w:val="-2"/>
          <w:sz w:val="24"/>
          <w:szCs w:val="24"/>
        </w:rPr>
        <w:t xml:space="preserve">B </w:t>
      </w:r>
      <w:r>
        <w:rPr>
          <w:color w:val="auto"/>
          <w:spacing w:val="-2"/>
          <w:sz w:val="24"/>
          <w:szCs w:val="24"/>
        </w:rPr>
        <w:t>确定危险物质的临界量。定量分析危险物质数量与临界量的比</w:t>
      </w:r>
      <w:r>
        <w:rPr>
          <w:color w:val="auto"/>
          <w:spacing w:val="-3"/>
          <w:sz w:val="24"/>
          <w:szCs w:val="24"/>
        </w:rPr>
        <w:t>值（</w:t>
      </w:r>
      <w:r>
        <w:rPr>
          <w:rFonts w:ascii="Times New Roman" w:hAnsi="Times New Roman" w:eastAsia="Times New Roman" w:cs="Times New Roman"/>
          <w:color w:val="auto"/>
          <w:spacing w:val="-3"/>
          <w:sz w:val="24"/>
          <w:szCs w:val="24"/>
        </w:rPr>
        <w:t>Q</w:t>
      </w:r>
      <w:r>
        <w:rPr>
          <w:color w:val="auto"/>
          <w:spacing w:val="-3"/>
          <w:sz w:val="24"/>
          <w:szCs w:val="24"/>
        </w:rPr>
        <w:t>）和所</w:t>
      </w:r>
      <w:r>
        <w:rPr>
          <w:color w:val="auto"/>
          <w:spacing w:val="-1"/>
          <w:sz w:val="24"/>
          <w:szCs w:val="24"/>
        </w:rPr>
        <w:t>属行业及生产工艺特点（</w:t>
      </w:r>
      <w:r>
        <w:rPr>
          <w:rFonts w:ascii="Times New Roman" w:hAnsi="Times New Roman" w:eastAsia="Times New Roman" w:cs="Times New Roman"/>
          <w:color w:val="auto"/>
          <w:spacing w:val="-1"/>
          <w:sz w:val="24"/>
          <w:szCs w:val="24"/>
        </w:rPr>
        <w:t>M</w:t>
      </w:r>
      <w:r>
        <w:rPr>
          <w:color w:val="auto"/>
          <w:spacing w:val="9"/>
          <w:sz w:val="24"/>
          <w:szCs w:val="24"/>
        </w:rPr>
        <w:t>），</w:t>
      </w:r>
      <w:r>
        <w:rPr>
          <w:color w:val="auto"/>
          <w:spacing w:val="-1"/>
          <w:sz w:val="24"/>
          <w:szCs w:val="24"/>
        </w:rPr>
        <w:t>按附录</w:t>
      </w:r>
      <w:r>
        <w:rPr>
          <w:color w:val="auto"/>
          <w:spacing w:val="-52"/>
          <w:sz w:val="24"/>
          <w:szCs w:val="24"/>
        </w:rPr>
        <w:t xml:space="preserve"> </w:t>
      </w:r>
      <w:r>
        <w:rPr>
          <w:rFonts w:ascii="Times New Roman" w:hAnsi="Times New Roman" w:eastAsia="Times New Roman" w:cs="Times New Roman"/>
          <w:color w:val="auto"/>
          <w:spacing w:val="-1"/>
          <w:sz w:val="24"/>
          <w:szCs w:val="24"/>
        </w:rPr>
        <w:t xml:space="preserve">C </w:t>
      </w:r>
      <w:r>
        <w:rPr>
          <w:color w:val="auto"/>
          <w:spacing w:val="-1"/>
          <w:sz w:val="24"/>
          <w:szCs w:val="24"/>
        </w:rPr>
        <w:t>对危险物质及工艺系统危险性（</w:t>
      </w:r>
      <w:r>
        <w:rPr>
          <w:rFonts w:ascii="Times New Roman" w:hAnsi="Times New Roman" w:eastAsia="Times New Roman" w:cs="Times New Roman"/>
          <w:color w:val="auto"/>
          <w:spacing w:val="-1"/>
          <w:sz w:val="24"/>
          <w:szCs w:val="24"/>
        </w:rPr>
        <w:t>P</w:t>
      </w:r>
      <w:r>
        <w:rPr>
          <w:color w:val="auto"/>
          <w:spacing w:val="-1"/>
          <w:sz w:val="24"/>
          <w:szCs w:val="24"/>
        </w:rPr>
        <w:t>）进</w:t>
      </w:r>
      <w:r>
        <w:rPr>
          <w:color w:val="auto"/>
          <w:spacing w:val="-3"/>
          <w:sz w:val="24"/>
          <w:szCs w:val="24"/>
        </w:rPr>
        <w:t>行判断。</w:t>
      </w:r>
    </w:p>
    <w:p w14:paraId="66C9C24B">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2"/>
          <w:sz w:val="24"/>
          <w:szCs w:val="24"/>
        </w:rPr>
        <w:t>（</w:t>
      </w:r>
      <w:r>
        <w:rPr>
          <w:rFonts w:ascii="Times New Roman" w:hAnsi="Times New Roman" w:eastAsia="Times New Roman" w:cs="Times New Roman"/>
          <w:color w:val="auto"/>
          <w:spacing w:val="-2"/>
          <w:sz w:val="24"/>
          <w:szCs w:val="24"/>
        </w:rPr>
        <w:t>1</w:t>
      </w:r>
      <w:r>
        <w:rPr>
          <w:color w:val="auto"/>
          <w:spacing w:val="-2"/>
          <w:sz w:val="24"/>
          <w:szCs w:val="24"/>
        </w:rPr>
        <w:t>）危险物质数量与临界量比值（</w:t>
      </w:r>
      <w:r>
        <w:rPr>
          <w:rFonts w:ascii="Times New Roman" w:hAnsi="Times New Roman" w:eastAsia="Times New Roman" w:cs="Times New Roman"/>
          <w:color w:val="auto"/>
          <w:spacing w:val="-2"/>
          <w:sz w:val="24"/>
          <w:szCs w:val="24"/>
        </w:rPr>
        <w:t>Q</w:t>
      </w:r>
      <w:r>
        <w:rPr>
          <w:color w:val="auto"/>
          <w:spacing w:val="-2"/>
          <w:sz w:val="24"/>
          <w:szCs w:val="24"/>
        </w:rPr>
        <w:t>）</w:t>
      </w:r>
    </w:p>
    <w:p w14:paraId="3D3F398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textAlignment w:val="baseline"/>
        <w:rPr>
          <w:color w:val="auto"/>
          <w:sz w:val="24"/>
          <w:szCs w:val="24"/>
        </w:rPr>
      </w:pPr>
      <w:r>
        <w:rPr>
          <w:color w:val="auto"/>
          <w:spacing w:val="2"/>
          <w:sz w:val="24"/>
          <w:szCs w:val="24"/>
        </w:rPr>
        <w:t>计算所涉及的每种环境风险物质在厂界内的最大存在总量与</w:t>
      </w:r>
      <w:r>
        <w:rPr>
          <w:color w:val="auto"/>
          <w:spacing w:val="1"/>
          <w:sz w:val="24"/>
          <w:szCs w:val="24"/>
        </w:rPr>
        <w:t>其在附录</w:t>
      </w:r>
      <w:r>
        <w:rPr>
          <w:color w:val="auto"/>
          <w:spacing w:val="-53"/>
          <w:sz w:val="24"/>
          <w:szCs w:val="24"/>
        </w:rPr>
        <w:t xml:space="preserve"> </w:t>
      </w:r>
      <w:r>
        <w:rPr>
          <w:rFonts w:ascii="Times New Roman" w:hAnsi="Times New Roman" w:eastAsia="Times New Roman" w:cs="Times New Roman"/>
          <w:color w:val="auto"/>
          <w:spacing w:val="1"/>
          <w:sz w:val="24"/>
          <w:szCs w:val="24"/>
        </w:rPr>
        <w:t>B</w:t>
      </w:r>
      <w:r>
        <w:rPr>
          <w:rFonts w:ascii="Times New Roman" w:hAnsi="Times New Roman" w:eastAsia="Times New Roman" w:cs="Times New Roman"/>
          <w:color w:val="auto"/>
          <w:spacing w:val="35"/>
          <w:w w:val="101"/>
          <w:sz w:val="24"/>
          <w:szCs w:val="24"/>
        </w:rPr>
        <w:t xml:space="preserve"> </w:t>
      </w:r>
      <w:r>
        <w:rPr>
          <w:color w:val="auto"/>
          <w:spacing w:val="1"/>
          <w:sz w:val="24"/>
          <w:szCs w:val="24"/>
        </w:rPr>
        <w:t>中</w:t>
      </w:r>
      <w:r>
        <w:rPr>
          <w:color w:val="auto"/>
          <w:spacing w:val="-3"/>
          <w:sz w:val="24"/>
          <w:szCs w:val="24"/>
        </w:rPr>
        <w:t>对应的临界量的比值</w:t>
      </w:r>
      <w:r>
        <w:rPr>
          <w:color w:val="auto"/>
          <w:spacing w:val="-47"/>
          <w:sz w:val="24"/>
          <w:szCs w:val="24"/>
        </w:rPr>
        <w:t xml:space="preserve"> </w:t>
      </w:r>
      <w:r>
        <w:rPr>
          <w:rFonts w:ascii="Times New Roman" w:hAnsi="Times New Roman" w:eastAsia="Times New Roman" w:cs="Times New Roman"/>
          <w:color w:val="auto"/>
          <w:spacing w:val="-3"/>
          <w:sz w:val="24"/>
          <w:szCs w:val="24"/>
        </w:rPr>
        <w:t>Q</w:t>
      </w:r>
      <w:r>
        <w:rPr>
          <w:color w:val="auto"/>
          <w:spacing w:val="-3"/>
          <w:sz w:val="24"/>
          <w:szCs w:val="24"/>
        </w:rPr>
        <w:t>（在不同厂区的同一种物质，按其厂界内最大存在总量计</w:t>
      </w:r>
      <w:r>
        <w:rPr>
          <w:color w:val="auto"/>
          <w:spacing w:val="-9"/>
          <w:sz w:val="24"/>
          <w:szCs w:val="24"/>
        </w:rPr>
        <w:t>算</w:t>
      </w:r>
      <w:r>
        <w:rPr>
          <w:color w:val="auto"/>
          <w:sz w:val="24"/>
          <w:szCs w:val="24"/>
        </w:rPr>
        <w:t>）：</w:t>
      </w:r>
    </w:p>
    <w:p w14:paraId="2B799A6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1"/>
        <w:textAlignment w:val="baseline"/>
        <w:rPr>
          <w:color w:val="auto"/>
          <w:sz w:val="24"/>
          <w:szCs w:val="24"/>
        </w:rPr>
      </w:pPr>
      <w:r>
        <w:rPr>
          <w:color w:val="auto"/>
          <w:spacing w:val="-5"/>
          <w:sz w:val="24"/>
          <w:szCs w:val="24"/>
        </w:rPr>
        <w:t>①当企业只涉及一种环境风险物质时，计算该物质的总数量与其临界量比值，</w:t>
      </w:r>
      <w:r>
        <w:rPr>
          <w:color w:val="auto"/>
          <w:spacing w:val="-9"/>
          <w:sz w:val="24"/>
          <w:szCs w:val="24"/>
        </w:rPr>
        <w:t>即为</w:t>
      </w:r>
      <w:r>
        <w:rPr>
          <w:color w:val="auto"/>
          <w:spacing w:val="-52"/>
          <w:sz w:val="24"/>
          <w:szCs w:val="24"/>
        </w:rPr>
        <w:t xml:space="preserve"> </w:t>
      </w:r>
      <w:r>
        <w:rPr>
          <w:rFonts w:ascii="Times New Roman" w:hAnsi="Times New Roman" w:eastAsia="Times New Roman" w:cs="Times New Roman"/>
          <w:color w:val="auto"/>
          <w:spacing w:val="-9"/>
          <w:sz w:val="24"/>
          <w:szCs w:val="24"/>
        </w:rPr>
        <w:t>Q</w:t>
      </w:r>
      <w:r>
        <w:rPr>
          <w:color w:val="auto"/>
          <w:spacing w:val="-9"/>
          <w:sz w:val="24"/>
          <w:szCs w:val="24"/>
        </w:rPr>
        <w:t>；</w:t>
      </w:r>
    </w:p>
    <w:p w14:paraId="50338CD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6"/>
        <w:textAlignment w:val="baseline"/>
        <w:rPr>
          <w:color w:val="auto"/>
          <w:sz w:val="24"/>
          <w:szCs w:val="24"/>
        </w:rPr>
      </w:pPr>
      <w:r>
        <w:rPr>
          <w:color w:val="auto"/>
          <w:spacing w:val="-3"/>
          <w:sz w:val="24"/>
          <w:szCs w:val="24"/>
        </w:rPr>
        <w:t>②当企业存在多种环境风险物质时，则按下式计算物质数量与其临界量比值</w:t>
      </w:r>
      <w:r>
        <w:rPr>
          <w:color w:val="auto"/>
          <w:spacing w:val="-6"/>
          <w:sz w:val="24"/>
          <w:szCs w:val="24"/>
        </w:rPr>
        <w:t>（</w:t>
      </w:r>
      <w:r>
        <w:rPr>
          <w:rFonts w:ascii="Times New Roman" w:hAnsi="Times New Roman" w:eastAsia="Times New Roman" w:cs="Times New Roman"/>
          <w:color w:val="auto"/>
          <w:spacing w:val="-6"/>
          <w:sz w:val="24"/>
          <w:szCs w:val="24"/>
        </w:rPr>
        <w:t>Q</w:t>
      </w:r>
      <w:r>
        <w:rPr>
          <w:color w:val="auto"/>
          <w:spacing w:val="-6"/>
          <w:sz w:val="24"/>
          <w:szCs w:val="24"/>
        </w:rPr>
        <w:t>）。</w:t>
      </w:r>
    </w:p>
    <w:p w14:paraId="6E0B8272">
      <w:pPr>
        <w:spacing w:before="132" w:line="323" w:lineRule="exact"/>
        <w:ind w:left="3215"/>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1"/>
          <w:position w:val="4"/>
          <w:sz w:val="24"/>
          <w:szCs w:val="24"/>
        </w:rPr>
        <w:t>Q=q</w:t>
      </w:r>
      <w:r>
        <w:rPr>
          <w:rFonts w:ascii="Times New Roman" w:hAnsi="Times New Roman" w:eastAsia="Times New Roman" w:cs="Times New Roman"/>
          <w:color w:val="auto"/>
          <w:spacing w:val="-1"/>
          <w:position w:val="3"/>
          <w:sz w:val="24"/>
          <w:szCs w:val="24"/>
        </w:rPr>
        <w:t>1</w:t>
      </w:r>
      <w:r>
        <w:rPr>
          <w:rFonts w:ascii="Times New Roman" w:hAnsi="Times New Roman" w:eastAsia="Times New Roman" w:cs="Times New Roman"/>
          <w:color w:val="auto"/>
          <w:spacing w:val="-1"/>
          <w:position w:val="4"/>
          <w:sz w:val="24"/>
          <w:szCs w:val="24"/>
        </w:rPr>
        <w:t>/Q</w:t>
      </w:r>
      <w:r>
        <w:rPr>
          <w:rFonts w:ascii="Times New Roman" w:hAnsi="Times New Roman" w:eastAsia="Times New Roman" w:cs="Times New Roman"/>
          <w:color w:val="auto"/>
          <w:spacing w:val="-1"/>
          <w:position w:val="3"/>
          <w:sz w:val="24"/>
          <w:szCs w:val="24"/>
        </w:rPr>
        <w:t>1</w:t>
      </w:r>
      <w:r>
        <w:rPr>
          <w:rFonts w:ascii="Times New Roman" w:hAnsi="Times New Roman" w:eastAsia="Times New Roman" w:cs="Times New Roman"/>
          <w:color w:val="auto"/>
          <w:spacing w:val="-1"/>
          <w:position w:val="4"/>
          <w:sz w:val="24"/>
          <w:szCs w:val="24"/>
        </w:rPr>
        <w:t>+q</w:t>
      </w:r>
      <w:r>
        <w:rPr>
          <w:rFonts w:ascii="Times New Roman" w:hAnsi="Times New Roman" w:eastAsia="Times New Roman" w:cs="Times New Roman"/>
          <w:color w:val="auto"/>
          <w:spacing w:val="-1"/>
          <w:position w:val="3"/>
          <w:sz w:val="24"/>
          <w:szCs w:val="24"/>
        </w:rPr>
        <w:t>2</w:t>
      </w:r>
      <w:r>
        <w:rPr>
          <w:rFonts w:ascii="Times New Roman" w:hAnsi="Times New Roman" w:eastAsia="Times New Roman" w:cs="Times New Roman"/>
          <w:color w:val="auto"/>
          <w:spacing w:val="-1"/>
          <w:position w:val="4"/>
          <w:sz w:val="24"/>
          <w:szCs w:val="24"/>
        </w:rPr>
        <w:t>/Q</w:t>
      </w:r>
      <w:r>
        <w:rPr>
          <w:rFonts w:ascii="Times New Roman" w:hAnsi="Times New Roman" w:eastAsia="Times New Roman" w:cs="Times New Roman"/>
          <w:color w:val="auto"/>
          <w:spacing w:val="-1"/>
          <w:position w:val="3"/>
          <w:sz w:val="24"/>
          <w:szCs w:val="24"/>
        </w:rPr>
        <w:t>2</w:t>
      </w:r>
      <w:r>
        <w:rPr>
          <w:rFonts w:ascii="Times New Roman" w:hAnsi="Times New Roman" w:eastAsia="Times New Roman" w:cs="Times New Roman"/>
          <w:color w:val="auto"/>
          <w:spacing w:val="-1"/>
          <w:position w:val="4"/>
          <w:sz w:val="24"/>
          <w:szCs w:val="24"/>
        </w:rPr>
        <w:t>+</w:t>
      </w:r>
      <w:r>
        <w:rPr>
          <w:rFonts w:ascii="Times New Roman" w:hAnsi="Times New Roman" w:eastAsia="Times New Roman" w:cs="Times New Roman"/>
          <w:color w:val="auto"/>
          <w:spacing w:val="-33"/>
          <w:position w:val="4"/>
          <w:sz w:val="24"/>
          <w:szCs w:val="24"/>
        </w:rPr>
        <w:t xml:space="preserve"> </w:t>
      </w:r>
      <w:r>
        <w:rPr>
          <w:rFonts w:ascii="Times New Roman" w:hAnsi="Times New Roman" w:eastAsia="Times New Roman" w:cs="Times New Roman"/>
          <w:color w:val="auto"/>
          <w:spacing w:val="-1"/>
          <w:position w:val="4"/>
          <w:sz w:val="24"/>
          <w:szCs w:val="24"/>
        </w:rPr>
        <w:t>……qn/</w:t>
      </w:r>
      <w:r>
        <w:rPr>
          <w:rFonts w:ascii="Times New Roman" w:hAnsi="Times New Roman" w:eastAsia="Times New Roman" w:cs="Times New Roman"/>
          <w:color w:val="auto"/>
          <w:spacing w:val="-2"/>
          <w:position w:val="4"/>
          <w:sz w:val="24"/>
          <w:szCs w:val="24"/>
        </w:rPr>
        <w:t>Q</w:t>
      </w:r>
      <w:r>
        <w:rPr>
          <w:rFonts w:ascii="Times New Roman" w:hAnsi="Times New Roman" w:eastAsia="Times New Roman" w:cs="Times New Roman"/>
          <w:color w:val="auto"/>
          <w:spacing w:val="-2"/>
          <w:position w:val="3"/>
          <w:sz w:val="24"/>
          <w:szCs w:val="24"/>
        </w:rPr>
        <w:t>n</w:t>
      </w:r>
    </w:p>
    <w:p w14:paraId="25DA0DDE">
      <w:pPr>
        <w:pStyle w:val="9"/>
        <w:spacing w:before="150" w:line="212" w:lineRule="auto"/>
        <w:ind w:left="607"/>
        <w:rPr>
          <w:color w:val="auto"/>
          <w:sz w:val="24"/>
          <w:szCs w:val="24"/>
        </w:rPr>
      </w:pPr>
      <w:r>
        <w:rPr>
          <w:color w:val="auto"/>
          <w:spacing w:val="-2"/>
          <w:sz w:val="24"/>
          <w:szCs w:val="24"/>
        </w:rPr>
        <w:t>式中：</w:t>
      </w:r>
      <w:r>
        <w:rPr>
          <w:rFonts w:ascii="Times New Roman" w:hAnsi="Times New Roman" w:eastAsia="Times New Roman" w:cs="Times New Roman"/>
          <w:color w:val="auto"/>
          <w:spacing w:val="-2"/>
          <w:sz w:val="24"/>
          <w:szCs w:val="24"/>
        </w:rPr>
        <w:t>q</w:t>
      </w:r>
      <w:r>
        <w:rPr>
          <w:rFonts w:ascii="Times New Roman" w:hAnsi="Times New Roman" w:eastAsia="Times New Roman" w:cs="Times New Roman"/>
          <w:color w:val="auto"/>
          <w:spacing w:val="-2"/>
          <w:position w:val="-1"/>
          <w:sz w:val="24"/>
          <w:szCs w:val="24"/>
        </w:rPr>
        <w:t>1</w:t>
      </w:r>
      <w:r>
        <w:rPr>
          <w:rFonts w:ascii="Times New Roman" w:hAnsi="Times New Roman" w:eastAsia="Times New Roman" w:cs="Times New Roman"/>
          <w:color w:val="auto"/>
          <w:spacing w:val="8"/>
          <w:position w:val="-1"/>
          <w:sz w:val="24"/>
          <w:szCs w:val="24"/>
        </w:rPr>
        <w:t xml:space="preserve"> </w:t>
      </w:r>
      <w:r>
        <w:rPr>
          <w:color w:val="auto"/>
          <w:spacing w:val="-2"/>
          <w:sz w:val="24"/>
          <w:szCs w:val="24"/>
        </w:rPr>
        <w:t>，</w:t>
      </w:r>
      <w:r>
        <w:rPr>
          <w:rFonts w:ascii="Times New Roman" w:hAnsi="Times New Roman" w:eastAsia="Times New Roman" w:cs="Times New Roman"/>
          <w:color w:val="auto"/>
          <w:spacing w:val="-2"/>
          <w:sz w:val="24"/>
          <w:szCs w:val="24"/>
        </w:rPr>
        <w:t>q</w:t>
      </w:r>
      <w:r>
        <w:rPr>
          <w:rFonts w:ascii="Times New Roman" w:hAnsi="Times New Roman" w:eastAsia="Times New Roman" w:cs="Times New Roman"/>
          <w:color w:val="auto"/>
          <w:spacing w:val="-2"/>
          <w:position w:val="-1"/>
          <w:sz w:val="24"/>
          <w:szCs w:val="24"/>
        </w:rPr>
        <w:t>2</w:t>
      </w:r>
      <w:r>
        <w:rPr>
          <w:rFonts w:ascii="Times New Roman" w:hAnsi="Times New Roman" w:eastAsia="Times New Roman" w:cs="Times New Roman"/>
          <w:color w:val="auto"/>
          <w:spacing w:val="-12"/>
          <w:position w:val="-1"/>
          <w:sz w:val="24"/>
          <w:szCs w:val="24"/>
        </w:rPr>
        <w:t xml:space="preserve"> </w:t>
      </w:r>
      <w:r>
        <w:rPr>
          <w:rFonts w:ascii="Times New Roman" w:hAnsi="Times New Roman" w:eastAsia="Times New Roman" w:cs="Times New Roman"/>
          <w:color w:val="auto"/>
          <w:position w:val="-1"/>
          <w:sz w:val="24"/>
          <w:szCs w:val="24"/>
          <w:u w:val="dotted" w:color="auto"/>
        </w:rPr>
        <w:t xml:space="preserve">            </w:t>
      </w:r>
      <w:r>
        <w:rPr>
          <w:rFonts w:ascii="Times New Roman" w:hAnsi="Times New Roman" w:eastAsia="Times New Roman" w:cs="Times New Roman"/>
          <w:color w:val="auto"/>
          <w:spacing w:val="-26"/>
          <w:position w:val="-1"/>
          <w:sz w:val="24"/>
          <w:szCs w:val="24"/>
        </w:rPr>
        <w:t xml:space="preserve"> </w:t>
      </w:r>
      <w:r>
        <w:rPr>
          <w:rFonts w:ascii="Times New Roman" w:hAnsi="Times New Roman" w:eastAsia="Times New Roman" w:cs="Times New Roman"/>
          <w:color w:val="auto"/>
          <w:spacing w:val="-2"/>
          <w:sz w:val="24"/>
          <w:szCs w:val="24"/>
        </w:rPr>
        <w:t>qn−−</w:t>
      </w:r>
      <w:r>
        <w:rPr>
          <w:color w:val="auto"/>
          <w:spacing w:val="-2"/>
          <w:sz w:val="24"/>
          <w:szCs w:val="24"/>
        </w:rPr>
        <w:t>每种环境风险物质的最大存在量，单位为</w:t>
      </w:r>
      <w:r>
        <w:rPr>
          <w:color w:val="auto"/>
          <w:spacing w:val="-58"/>
          <w:sz w:val="24"/>
          <w:szCs w:val="24"/>
        </w:rPr>
        <w:t xml:space="preserve"> </w:t>
      </w:r>
      <w:r>
        <w:rPr>
          <w:rFonts w:ascii="Times New Roman" w:hAnsi="Times New Roman" w:eastAsia="Times New Roman" w:cs="Times New Roman"/>
          <w:color w:val="auto"/>
          <w:spacing w:val="-2"/>
          <w:sz w:val="24"/>
          <w:szCs w:val="24"/>
        </w:rPr>
        <w:t>t</w:t>
      </w:r>
      <w:r>
        <w:rPr>
          <w:color w:val="auto"/>
          <w:spacing w:val="-2"/>
          <w:sz w:val="24"/>
          <w:szCs w:val="24"/>
        </w:rPr>
        <w:t>；</w:t>
      </w:r>
    </w:p>
    <w:p w14:paraId="467BD404">
      <w:pPr>
        <w:pStyle w:val="9"/>
        <w:spacing w:before="192" w:line="212" w:lineRule="auto"/>
        <w:ind w:left="1321"/>
        <w:rPr>
          <w:color w:val="auto"/>
          <w:sz w:val="24"/>
          <w:szCs w:val="24"/>
        </w:rPr>
      </w:pPr>
      <w:r>
        <w:rPr>
          <w:rFonts w:ascii="Times New Roman" w:hAnsi="Times New Roman" w:eastAsia="Times New Roman" w:cs="Times New Roman"/>
          <w:color w:val="auto"/>
          <w:spacing w:val="-3"/>
          <w:sz w:val="24"/>
          <w:szCs w:val="24"/>
        </w:rPr>
        <w:t>Q</w:t>
      </w:r>
      <w:r>
        <w:rPr>
          <w:rFonts w:ascii="Times New Roman" w:hAnsi="Times New Roman" w:eastAsia="Times New Roman" w:cs="Times New Roman"/>
          <w:color w:val="auto"/>
          <w:spacing w:val="-3"/>
          <w:position w:val="-1"/>
          <w:sz w:val="24"/>
          <w:szCs w:val="24"/>
        </w:rPr>
        <w:t>1</w:t>
      </w:r>
      <w:r>
        <w:rPr>
          <w:rFonts w:ascii="Times New Roman" w:hAnsi="Times New Roman" w:eastAsia="Times New Roman" w:cs="Times New Roman"/>
          <w:color w:val="auto"/>
          <w:spacing w:val="7"/>
          <w:position w:val="-1"/>
          <w:sz w:val="24"/>
          <w:szCs w:val="24"/>
        </w:rPr>
        <w:t xml:space="preserve"> </w:t>
      </w:r>
      <w:r>
        <w:rPr>
          <w:color w:val="auto"/>
          <w:spacing w:val="-15"/>
          <w:sz w:val="24"/>
          <w:szCs w:val="24"/>
        </w:rPr>
        <w:t>，</w:t>
      </w:r>
      <w:r>
        <w:rPr>
          <w:rFonts w:ascii="Times New Roman" w:hAnsi="Times New Roman" w:eastAsia="Times New Roman" w:cs="Times New Roman"/>
          <w:color w:val="auto"/>
          <w:spacing w:val="-15"/>
          <w:sz w:val="24"/>
          <w:szCs w:val="24"/>
        </w:rPr>
        <w:t>Q</w:t>
      </w:r>
      <w:r>
        <w:rPr>
          <w:rFonts w:ascii="Times New Roman" w:hAnsi="Times New Roman" w:eastAsia="Times New Roman" w:cs="Times New Roman"/>
          <w:color w:val="auto"/>
          <w:spacing w:val="-1"/>
          <w:position w:val="-1"/>
          <w:sz w:val="24"/>
          <w:szCs w:val="24"/>
        </w:rPr>
        <w:t>2</w:t>
      </w:r>
      <w:r>
        <w:rPr>
          <w:rFonts w:ascii="Times New Roman" w:hAnsi="Times New Roman" w:eastAsia="Times New Roman" w:cs="Times New Roman"/>
          <w:color w:val="auto"/>
          <w:spacing w:val="-11"/>
          <w:position w:val="-1"/>
          <w:sz w:val="24"/>
          <w:szCs w:val="24"/>
        </w:rPr>
        <w:t xml:space="preserve"> </w:t>
      </w:r>
      <w:r>
        <w:rPr>
          <w:rFonts w:ascii="Times New Roman" w:hAnsi="Times New Roman" w:eastAsia="Times New Roman" w:cs="Times New Roman"/>
          <w:color w:val="auto"/>
          <w:position w:val="-1"/>
          <w:sz w:val="24"/>
          <w:szCs w:val="24"/>
          <w:u w:val="dotted" w:color="auto"/>
        </w:rPr>
        <w:t xml:space="preserve">            </w:t>
      </w:r>
      <w:r>
        <w:rPr>
          <w:rFonts w:ascii="Times New Roman" w:hAnsi="Times New Roman" w:eastAsia="Times New Roman" w:cs="Times New Roman"/>
          <w:color w:val="auto"/>
          <w:spacing w:val="-30"/>
          <w:position w:val="-1"/>
          <w:sz w:val="24"/>
          <w:szCs w:val="24"/>
        </w:rPr>
        <w:t xml:space="preserve"> </w:t>
      </w:r>
      <w:r>
        <w:rPr>
          <w:rFonts w:ascii="Times New Roman" w:hAnsi="Times New Roman" w:eastAsia="Times New Roman" w:cs="Times New Roman"/>
          <w:color w:val="auto"/>
          <w:spacing w:val="-1"/>
          <w:sz w:val="24"/>
          <w:szCs w:val="24"/>
        </w:rPr>
        <w:t>−−</w:t>
      </w:r>
      <w:r>
        <w:rPr>
          <w:color w:val="auto"/>
          <w:spacing w:val="-1"/>
          <w:sz w:val="24"/>
          <w:szCs w:val="24"/>
        </w:rPr>
        <w:t>每种环境风险物质的临界量，单位为</w:t>
      </w:r>
      <w:r>
        <w:rPr>
          <w:color w:val="auto"/>
          <w:spacing w:val="-58"/>
          <w:sz w:val="24"/>
          <w:szCs w:val="24"/>
        </w:rPr>
        <w:t xml:space="preserve"> </w:t>
      </w:r>
      <w:r>
        <w:rPr>
          <w:rFonts w:ascii="Times New Roman" w:hAnsi="Times New Roman" w:eastAsia="Times New Roman" w:cs="Times New Roman"/>
          <w:color w:val="auto"/>
          <w:spacing w:val="-1"/>
          <w:sz w:val="24"/>
          <w:szCs w:val="24"/>
        </w:rPr>
        <w:t>t</w:t>
      </w:r>
      <w:r>
        <w:rPr>
          <w:color w:val="auto"/>
          <w:spacing w:val="-1"/>
          <w:sz w:val="24"/>
          <w:szCs w:val="24"/>
        </w:rPr>
        <w:t>。</w:t>
      </w:r>
    </w:p>
    <w:p w14:paraId="2DEB22B4">
      <w:pPr>
        <w:pStyle w:val="9"/>
        <w:spacing w:before="192" w:line="352" w:lineRule="auto"/>
        <w:ind w:left="141" w:right="51" w:firstLine="476"/>
        <w:rPr>
          <w:color w:val="auto"/>
          <w:sz w:val="24"/>
          <w:szCs w:val="24"/>
        </w:rPr>
      </w:pPr>
      <w:r>
        <w:rPr>
          <w:color w:val="auto"/>
          <w:spacing w:val="-7"/>
          <w:sz w:val="24"/>
          <w:szCs w:val="24"/>
        </w:rPr>
        <w:t>当</w:t>
      </w:r>
      <w:r>
        <w:rPr>
          <w:color w:val="auto"/>
          <w:spacing w:val="-41"/>
          <w:sz w:val="24"/>
          <w:szCs w:val="24"/>
        </w:rPr>
        <w:t xml:space="preserve"> </w:t>
      </w:r>
      <w:r>
        <w:rPr>
          <w:rFonts w:ascii="Times New Roman" w:hAnsi="Times New Roman" w:eastAsia="Times New Roman" w:cs="Times New Roman"/>
          <w:color w:val="auto"/>
          <w:spacing w:val="-7"/>
          <w:sz w:val="24"/>
          <w:szCs w:val="24"/>
        </w:rPr>
        <w:t>Q&lt;1</w:t>
      </w:r>
      <w:r>
        <w:rPr>
          <w:rFonts w:ascii="Times New Roman" w:hAnsi="Times New Roman" w:eastAsia="Times New Roman" w:cs="Times New Roman"/>
          <w:color w:val="auto"/>
          <w:spacing w:val="21"/>
          <w:w w:val="101"/>
          <w:sz w:val="24"/>
          <w:szCs w:val="24"/>
        </w:rPr>
        <w:t xml:space="preserve"> </w:t>
      </w:r>
      <w:r>
        <w:rPr>
          <w:color w:val="auto"/>
          <w:spacing w:val="-7"/>
          <w:sz w:val="24"/>
          <w:szCs w:val="24"/>
        </w:rPr>
        <w:t>时，该项目环境风险潜势为</w:t>
      </w:r>
      <w:r>
        <w:rPr>
          <w:rFonts w:ascii="Times New Roman" w:hAnsi="Times New Roman" w:eastAsia="Times New Roman" w:cs="Times New Roman"/>
          <w:color w:val="auto"/>
          <w:spacing w:val="-7"/>
          <w:sz w:val="24"/>
          <w:szCs w:val="24"/>
        </w:rPr>
        <w:t>Ⅰ</w:t>
      </w:r>
      <w:r>
        <w:rPr>
          <w:rFonts w:ascii="Times New Roman" w:hAnsi="Times New Roman" w:eastAsia="Times New Roman" w:cs="Times New Roman"/>
          <w:color w:val="auto"/>
          <w:spacing w:val="-28"/>
          <w:sz w:val="24"/>
          <w:szCs w:val="24"/>
        </w:rPr>
        <w:t xml:space="preserve"> </w:t>
      </w:r>
      <w:r>
        <w:rPr>
          <w:color w:val="auto"/>
          <w:spacing w:val="-7"/>
          <w:sz w:val="24"/>
          <w:szCs w:val="24"/>
        </w:rPr>
        <w:t>。当</w:t>
      </w:r>
      <w:r>
        <w:rPr>
          <w:color w:val="auto"/>
          <w:spacing w:val="-52"/>
          <w:sz w:val="24"/>
          <w:szCs w:val="24"/>
        </w:rPr>
        <w:t xml:space="preserve"> </w:t>
      </w:r>
      <w:r>
        <w:rPr>
          <w:rFonts w:ascii="Times New Roman" w:hAnsi="Times New Roman" w:eastAsia="Times New Roman" w:cs="Times New Roman"/>
          <w:color w:val="auto"/>
          <w:spacing w:val="-7"/>
          <w:sz w:val="24"/>
          <w:szCs w:val="24"/>
        </w:rPr>
        <w:t>Q≥1</w:t>
      </w:r>
      <w:r>
        <w:rPr>
          <w:rFonts w:ascii="Times New Roman" w:hAnsi="Times New Roman" w:eastAsia="Times New Roman" w:cs="Times New Roman"/>
          <w:color w:val="auto"/>
          <w:spacing w:val="21"/>
          <w:sz w:val="24"/>
          <w:szCs w:val="24"/>
        </w:rPr>
        <w:t xml:space="preserve"> </w:t>
      </w:r>
      <w:r>
        <w:rPr>
          <w:color w:val="auto"/>
          <w:spacing w:val="-7"/>
          <w:sz w:val="24"/>
          <w:szCs w:val="24"/>
        </w:rPr>
        <w:t>时，将</w:t>
      </w:r>
      <w:r>
        <w:rPr>
          <w:color w:val="auto"/>
          <w:spacing w:val="-52"/>
          <w:sz w:val="24"/>
          <w:szCs w:val="24"/>
        </w:rPr>
        <w:t xml:space="preserve"> </w:t>
      </w:r>
      <w:r>
        <w:rPr>
          <w:rFonts w:ascii="Times New Roman" w:hAnsi="Times New Roman" w:eastAsia="Times New Roman" w:cs="Times New Roman"/>
          <w:color w:val="auto"/>
          <w:spacing w:val="-7"/>
          <w:sz w:val="24"/>
          <w:szCs w:val="24"/>
        </w:rPr>
        <w:t xml:space="preserve">Q </w:t>
      </w:r>
      <w:r>
        <w:rPr>
          <w:color w:val="auto"/>
          <w:spacing w:val="-7"/>
          <w:sz w:val="24"/>
          <w:szCs w:val="24"/>
        </w:rPr>
        <w:t>值划分为：</w:t>
      </w:r>
      <w:r>
        <w:rPr>
          <w:rFonts w:ascii="Times New Roman" w:hAnsi="Times New Roman" w:eastAsia="Times New Roman" w:cs="Times New Roman"/>
          <w:color w:val="auto"/>
          <w:spacing w:val="-7"/>
          <w:sz w:val="24"/>
          <w:szCs w:val="24"/>
        </w:rPr>
        <w:t>1≤Q&lt;10</w:t>
      </w:r>
      <w:r>
        <w:rPr>
          <w:color w:val="auto"/>
          <w:spacing w:val="-7"/>
          <w:sz w:val="24"/>
          <w:szCs w:val="24"/>
        </w:rPr>
        <w:t>；</w:t>
      </w:r>
      <w:r>
        <w:rPr>
          <w:color w:val="auto"/>
          <w:sz w:val="24"/>
          <w:szCs w:val="24"/>
        </w:rPr>
        <w:t xml:space="preserve"> </w:t>
      </w:r>
      <w:r>
        <w:rPr>
          <w:rFonts w:ascii="Times New Roman" w:hAnsi="Times New Roman" w:eastAsia="Times New Roman" w:cs="Times New Roman"/>
          <w:color w:val="auto"/>
          <w:spacing w:val="-2"/>
          <w:sz w:val="24"/>
          <w:szCs w:val="24"/>
        </w:rPr>
        <w:t>10≤Q&lt;100</w:t>
      </w:r>
      <w:r>
        <w:rPr>
          <w:color w:val="auto"/>
          <w:spacing w:val="-2"/>
          <w:sz w:val="24"/>
          <w:szCs w:val="24"/>
        </w:rPr>
        <w:t>；</w:t>
      </w:r>
      <w:r>
        <w:rPr>
          <w:rFonts w:ascii="Times New Roman" w:hAnsi="Times New Roman" w:eastAsia="Times New Roman" w:cs="Times New Roman"/>
          <w:color w:val="auto"/>
          <w:spacing w:val="-2"/>
          <w:sz w:val="24"/>
          <w:szCs w:val="24"/>
        </w:rPr>
        <w:t>Q≥100</w:t>
      </w:r>
      <w:r>
        <w:rPr>
          <w:color w:val="auto"/>
          <w:spacing w:val="-2"/>
          <w:sz w:val="24"/>
          <w:szCs w:val="24"/>
        </w:rPr>
        <w:t>。</w:t>
      </w:r>
    </w:p>
    <w:p w14:paraId="3B8A85D6">
      <w:pPr>
        <w:pStyle w:val="9"/>
        <w:spacing w:before="18" w:line="359" w:lineRule="auto"/>
        <w:ind w:left="123" w:right="110" w:firstLine="479"/>
        <w:rPr>
          <w:color w:val="auto"/>
          <w:spacing w:val="-3"/>
          <w:sz w:val="24"/>
          <w:szCs w:val="24"/>
        </w:rPr>
      </w:pPr>
      <w:r>
        <w:rPr>
          <w:color w:val="auto"/>
          <w:spacing w:val="-3"/>
          <w:sz w:val="24"/>
          <w:szCs w:val="24"/>
        </w:rPr>
        <w:t>根据化学品储存的具体情况，本项目涉及的部分化学品列入了突发环境事件风险物质名单之内，具体如表</w:t>
      </w:r>
      <w:r>
        <w:rPr>
          <w:rFonts w:hint="default" w:ascii="Times New Roman" w:hAnsi="Times New Roman" w:eastAsia="宋体" w:cs="Times New Roman"/>
          <w:color w:val="auto"/>
          <w:spacing w:val="0"/>
          <w:position w:val="0"/>
          <w:sz w:val="24"/>
          <w:szCs w:val="24"/>
          <w:lang w:val="en-US" w:eastAsia="zh-CN"/>
        </w:rPr>
        <w:t>4.7</w:t>
      </w:r>
      <w:r>
        <w:rPr>
          <w:rFonts w:ascii="Times New Roman" w:hAnsi="Times New Roman" w:eastAsia="Times New Roman" w:cs="Times New Roman"/>
          <w:color w:val="auto"/>
          <w:spacing w:val="-3"/>
          <w:sz w:val="24"/>
          <w:szCs w:val="24"/>
        </w:rPr>
        <w:t>-</w:t>
      </w:r>
      <w:r>
        <w:rPr>
          <w:rFonts w:ascii="Times New Roman" w:hAnsi="Times New Roman" w:eastAsia="Times New Roman" w:cs="Times New Roman"/>
          <w:color w:val="auto"/>
          <w:spacing w:val="-33"/>
          <w:sz w:val="24"/>
          <w:szCs w:val="24"/>
        </w:rPr>
        <w:t xml:space="preserve"> </w:t>
      </w:r>
      <w:r>
        <w:rPr>
          <w:rFonts w:hint="eastAsia" w:ascii="Times New Roman" w:hAnsi="Times New Roman" w:eastAsia="宋体" w:cs="Times New Roman"/>
          <w:color w:val="auto"/>
          <w:spacing w:val="-3"/>
          <w:sz w:val="24"/>
          <w:szCs w:val="24"/>
          <w:lang w:val="en-US" w:eastAsia="zh-CN"/>
        </w:rPr>
        <w:t>7</w:t>
      </w:r>
      <w:r>
        <w:rPr>
          <w:color w:val="auto"/>
          <w:spacing w:val="-3"/>
          <w:sz w:val="24"/>
          <w:szCs w:val="24"/>
        </w:rPr>
        <w:t>。</w:t>
      </w:r>
    </w:p>
    <w:p w14:paraId="04730D65">
      <w:pPr>
        <w:rPr>
          <w:color w:val="auto"/>
        </w:rPr>
      </w:pPr>
    </w:p>
    <w:p w14:paraId="47396BC1">
      <w:pPr>
        <w:pStyle w:val="9"/>
        <w:keepNext w:val="0"/>
        <w:keepLines w:val="0"/>
        <w:pageBreakBefore w:val="0"/>
        <w:widowControl/>
        <w:kinsoku w:val="0"/>
        <w:wordWrap/>
        <w:overflowPunct/>
        <w:topLinePunct w:val="0"/>
        <w:autoSpaceDE w:val="0"/>
        <w:autoSpaceDN w:val="0"/>
        <w:bidi w:val="0"/>
        <w:adjustRightInd w:val="0"/>
        <w:snapToGrid w:val="0"/>
        <w:spacing w:line="212" w:lineRule="auto"/>
        <w:ind w:left="0"/>
        <w:jc w:val="center"/>
        <w:textAlignment w:val="baseline"/>
        <w:rPr>
          <w:color w:val="auto"/>
        </w:rPr>
      </w:pPr>
      <w:r>
        <w:rPr>
          <w:b/>
          <w:bCs/>
          <w:color w:val="auto"/>
          <w:spacing w:val="-2"/>
        </w:rPr>
        <w:t>表</w:t>
      </w:r>
      <w:r>
        <w:rPr>
          <w:color w:val="auto"/>
          <w:spacing w:val="-35"/>
        </w:rPr>
        <w:t xml:space="preserve"> </w:t>
      </w:r>
      <w:r>
        <w:rPr>
          <w:rFonts w:hint="eastAsia" w:ascii="Times New Roman" w:hAnsi="Times New Roman" w:eastAsia="Times New Roman" w:cs="Times New Roman"/>
          <w:b/>
          <w:bCs/>
          <w:color w:val="auto"/>
          <w:spacing w:val="-2"/>
        </w:rPr>
        <w:t>4.7</w:t>
      </w:r>
      <w:r>
        <w:rPr>
          <w:rFonts w:ascii="Times New Roman" w:hAnsi="Times New Roman" w:eastAsia="Times New Roman" w:cs="Times New Roman"/>
          <w:b/>
          <w:bCs/>
          <w:color w:val="auto"/>
          <w:spacing w:val="-2"/>
        </w:rPr>
        <w:t>-</w:t>
      </w:r>
      <w:r>
        <w:rPr>
          <w:rFonts w:hint="eastAsia" w:ascii="Times New Roman" w:hAnsi="Times New Roman" w:eastAsia="宋体" w:cs="Times New Roman"/>
          <w:b/>
          <w:bCs/>
          <w:color w:val="auto"/>
          <w:spacing w:val="-2"/>
          <w:lang w:val="en-US" w:eastAsia="zh-CN"/>
        </w:rPr>
        <w:t>7</w:t>
      </w:r>
      <w:r>
        <w:rPr>
          <w:rFonts w:ascii="Times New Roman" w:hAnsi="Times New Roman" w:eastAsia="Times New Roman" w:cs="Times New Roman"/>
          <w:b/>
          <w:bCs/>
          <w:color w:val="auto"/>
          <w:spacing w:val="-2"/>
        </w:rPr>
        <w:t xml:space="preserve">    </w:t>
      </w:r>
      <w:r>
        <w:rPr>
          <w:b/>
          <w:bCs/>
          <w:color w:val="auto"/>
          <w:spacing w:val="-2"/>
        </w:rPr>
        <w:t>环境风险物质数量与其临界量比值（</w:t>
      </w:r>
      <w:r>
        <w:rPr>
          <w:rFonts w:ascii="Times New Roman" w:hAnsi="Times New Roman" w:eastAsia="Times New Roman" w:cs="Times New Roman"/>
          <w:b/>
          <w:bCs/>
          <w:color w:val="auto"/>
          <w:spacing w:val="-2"/>
        </w:rPr>
        <w:t>Q</w:t>
      </w:r>
      <w:r>
        <w:rPr>
          <w:b/>
          <w:bCs/>
          <w:color w:val="auto"/>
          <w:spacing w:val="-2"/>
        </w:rPr>
        <w:t>）</w:t>
      </w:r>
    </w:p>
    <w:p w14:paraId="309253AB">
      <w:pPr>
        <w:spacing w:line="21" w:lineRule="auto"/>
        <w:rPr>
          <w:rFonts w:ascii="Arial"/>
          <w:color w:val="auto"/>
          <w:sz w:val="2"/>
        </w:rPr>
      </w:pPr>
    </w:p>
    <w:tbl>
      <w:tblPr>
        <w:tblStyle w:val="26"/>
        <w:tblW w:w="85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1"/>
        <w:gridCol w:w="1295"/>
        <w:gridCol w:w="2482"/>
        <w:gridCol w:w="1701"/>
        <w:gridCol w:w="1201"/>
        <w:gridCol w:w="1189"/>
      </w:tblGrid>
      <w:tr w14:paraId="35DB9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661" w:type="dxa"/>
            <w:vAlign w:val="top"/>
          </w:tcPr>
          <w:p w14:paraId="7AB90585">
            <w:pPr>
              <w:pStyle w:val="27"/>
              <w:spacing w:before="97" w:line="222" w:lineRule="auto"/>
              <w:ind w:left="122"/>
              <w:rPr>
                <w:color w:val="auto"/>
                <w:sz w:val="20"/>
                <w:szCs w:val="20"/>
              </w:rPr>
            </w:pPr>
            <w:r>
              <w:rPr>
                <w:b/>
                <w:bCs/>
                <w:color w:val="auto"/>
                <w:spacing w:val="4"/>
                <w:sz w:val="20"/>
                <w:szCs w:val="20"/>
              </w:rPr>
              <w:t>序号</w:t>
            </w:r>
          </w:p>
        </w:tc>
        <w:tc>
          <w:tcPr>
            <w:tcW w:w="1295" w:type="dxa"/>
            <w:vAlign w:val="top"/>
          </w:tcPr>
          <w:p w14:paraId="6313E006">
            <w:pPr>
              <w:pStyle w:val="27"/>
              <w:spacing w:before="97" w:line="222" w:lineRule="auto"/>
              <w:ind w:left="230"/>
              <w:rPr>
                <w:color w:val="auto"/>
                <w:sz w:val="20"/>
                <w:szCs w:val="20"/>
              </w:rPr>
            </w:pPr>
            <w:r>
              <w:rPr>
                <w:b/>
                <w:bCs/>
                <w:color w:val="auto"/>
                <w:spacing w:val="6"/>
                <w:sz w:val="20"/>
                <w:szCs w:val="20"/>
              </w:rPr>
              <w:t>物质名称</w:t>
            </w:r>
          </w:p>
        </w:tc>
        <w:tc>
          <w:tcPr>
            <w:tcW w:w="2482" w:type="dxa"/>
            <w:vAlign w:val="top"/>
          </w:tcPr>
          <w:p w14:paraId="25AFEEBC">
            <w:pPr>
              <w:pStyle w:val="27"/>
              <w:spacing w:before="97" w:line="222" w:lineRule="auto"/>
              <w:ind w:left="177"/>
              <w:rPr>
                <w:color w:val="auto"/>
                <w:sz w:val="20"/>
                <w:szCs w:val="20"/>
              </w:rPr>
            </w:pPr>
            <w:r>
              <w:rPr>
                <w:b/>
                <w:bCs/>
                <w:color w:val="auto"/>
                <w:spacing w:val="6"/>
                <w:sz w:val="20"/>
                <w:szCs w:val="20"/>
              </w:rPr>
              <w:t>是否为附录</w:t>
            </w:r>
            <w:r>
              <w:rPr>
                <w:color w:val="auto"/>
                <w:spacing w:val="-38"/>
                <w:sz w:val="20"/>
                <w:szCs w:val="20"/>
              </w:rPr>
              <w:t xml:space="preserve"> </w:t>
            </w:r>
            <w:r>
              <w:rPr>
                <w:rFonts w:ascii="Times New Roman" w:hAnsi="Times New Roman" w:eastAsia="Times New Roman" w:cs="Times New Roman"/>
                <w:b/>
                <w:bCs/>
                <w:color w:val="auto"/>
                <w:spacing w:val="6"/>
                <w:sz w:val="20"/>
                <w:szCs w:val="20"/>
              </w:rPr>
              <w:t xml:space="preserve">B </w:t>
            </w:r>
            <w:r>
              <w:rPr>
                <w:b/>
                <w:bCs/>
                <w:color w:val="auto"/>
                <w:spacing w:val="6"/>
                <w:sz w:val="20"/>
                <w:szCs w:val="20"/>
              </w:rPr>
              <w:t>风险物质</w:t>
            </w:r>
          </w:p>
        </w:tc>
        <w:tc>
          <w:tcPr>
            <w:tcW w:w="1701" w:type="dxa"/>
            <w:vAlign w:val="top"/>
          </w:tcPr>
          <w:p w14:paraId="0FF634A2">
            <w:pPr>
              <w:pStyle w:val="27"/>
              <w:spacing w:before="97" w:line="222" w:lineRule="auto"/>
              <w:ind w:left="116"/>
              <w:rPr>
                <w:color w:val="auto"/>
                <w:sz w:val="20"/>
                <w:szCs w:val="20"/>
              </w:rPr>
            </w:pPr>
            <w:r>
              <w:rPr>
                <w:b/>
                <w:bCs/>
                <w:color w:val="auto"/>
                <w:spacing w:val="5"/>
                <w:sz w:val="20"/>
                <w:szCs w:val="20"/>
              </w:rPr>
              <w:t>最大贮存量（</w:t>
            </w:r>
            <w:r>
              <w:rPr>
                <w:rFonts w:ascii="Times New Roman" w:hAnsi="Times New Roman" w:eastAsia="Times New Roman" w:cs="Times New Roman"/>
                <w:b/>
                <w:bCs/>
                <w:color w:val="auto"/>
                <w:spacing w:val="5"/>
                <w:sz w:val="20"/>
                <w:szCs w:val="20"/>
              </w:rPr>
              <w:t>t</w:t>
            </w:r>
            <w:r>
              <w:rPr>
                <w:b/>
                <w:bCs/>
                <w:color w:val="auto"/>
                <w:spacing w:val="5"/>
                <w:sz w:val="20"/>
                <w:szCs w:val="20"/>
              </w:rPr>
              <w:t>）</w:t>
            </w:r>
          </w:p>
        </w:tc>
        <w:tc>
          <w:tcPr>
            <w:tcW w:w="1201" w:type="dxa"/>
            <w:vAlign w:val="top"/>
          </w:tcPr>
          <w:p w14:paraId="4639F233">
            <w:pPr>
              <w:pStyle w:val="27"/>
              <w:spacing w:before="97" w:line="222" w:lineRule="auto"/>
              <w:ind w:right="9"/>
              <w:jc w:val="right"/>
              <w:rPr>
                <w:color w:val="auto"/>
                <w:sz w:val="20"/>
                <w:szCs w:val="20"/>
              </w:rPr>
            </w:pPr>
            <w:r>
              <w:rPr>
                <w:b/>
                <w:bCs/>
                <w:color w:val="auto"/>
                <w:spacing w:val="-3"/>
                <w:sz w:val="20"/>
                <w:szCs w:val="20"/>
              </w:rPr>
              <w:t>临界量（</w:t>
            </w:r>
            <w:r>
              <w:rPr>
                <w:rFonts w:ascii="Times New Roman" w:hAnsi="Times New Roman" w:eastAsia="Times New Roman" w:cs="Times New Roman"/>
                <w:b/>
                <w:bCs/>
                <w:color w:val="auto"/>
                <w:spacing w:val="-3"/>
                <w:sz w:val="20"/>
                <w:szCs w:val="20"/>
              </w:rPr>
              <w:t>t</w:t>
            </w:r>
            <w:r>
              <w:rPr>
                <w:b/>
                <w:bCs/>
                <w:color w:val="auto"/>
                <w:spacing w:val="-3"/>
                <w:sz w:val="20"/>
                <w:szCs w:val="20"/>
              </w:rPr>
              <w:t>）</w:t>
            </w:r>
          </w:p>
        </w:tc>
        <w:tc>
          <w:tcPr>
            <w:tcW w:w="1189" w:type="dxa"/>
            <w:vAlign w:val="top"/>
          </w:tcPr>
          <w:p w14:paraId="353A63B5">
            <w:pPr>
              <w:spacing w:before="132" w:line="197" w:lineRule="auto"/>
              <w:ind w:left="333"/>
              <w:rPr>
                <w:rFonts w:ascii="Times New Roman" w:hAnsi="Times New Roman" w:eastAsia="Times New Roman" w:cs="Times New Roman"/>
                <w:color w:val="auto"/>
                <w:sz w:val="20"/>
                <w:szCs w:val="20"/>
              </w:rPr>
            </w:pPr>
            <w:r>
              <w:rPr>
                <w:rFonts w:ascii="Times New Roman" w:hAnsi="Times New Roman" w:eastAsia="Times New Roman" w:cs="Times New Roman"/>
                <w:b/>
                <w:bCs/>
                <w:color w:val="auto"/>
                <w:sz w:val="20"/>
                <w:szCs w:val="20"/>
              </w:rPr>
              <w:t>q</w:t>
            </w:r>
            <w:r>
              <w:rPr>
                <w:rFonts w:ascii="Times New Roman" w:hAnsi="Times New Roman" w:eastAsia="Times New Roman" w:cs="Times New Roman"/>
                <w:b/>
                <w:bCs/>
                <w:color w:val="auto"/>
                <w:position w:val="-1"/>
                <w:sz w:val="13"/>
                <w:szCs w:val="13"/>
              </w:rPr>
              <w:t>n</w:t>
            </w:r>
            <w:r>
              <w:rPr>
                <w:rFonts w:ascii="Times New Roman" w:hAnsi="Times New Roman" w:eastAsia="Times New Roman" w:cs="Times New Roman"/>
                <w:b/>
                <w:bCs/>
                <w:color w:val="auto"/>
                <w:spacing w:val="15"/>
                <w:sz w:val="20"/>
                <w:szCs w:val="20"/>
              </w:rPr>
              <w:t>/</w:t>
            </w:r>
            <w:r>
              <w:rPr>
                <w:rFonts w:ascii="Times New Roman" w:hAnsi="Times New Roman" w:eastAsia="Times New Roman" w:cs="Times New Roman"/>
                <w:b/>
                <w:bCs/>
                <w:color w:val="auto"/>
                <w:sz w:val="20"/>
                <w:szCs w:val="20"/>
              </w:rPr>
              <w:t>Qn</w:t>
            </w:r>
          </w:p>
        </w:tc>
      </w:tr>
      <w:tr w14:paraId="57FA5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61" w:type="dxa"/>
            <w:vAlign w:val="center"/>
          </w:tcPr>
          <w:p w14:paraId="53065AB3">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1</w:t>
            </w:r>
          </w:p>
        </w:tc>
        <w:tc>
          <w:tcPr>
            <w:tcW w:w="1295" w:type="dxa"/>
            <w:vAlign w:val="center"/>
          </w:tcPr>
          <w:p w14:paraId="045C5E97">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4"/>
                <w:sz w:val="20"/>
                <w:szCs w:val="20"/>
              </w:rPr>
              <w:t>柴油</w:t>
            </w:r>
          </w:p>
        </w:tc>
        <w:tc>
          <w:tcPr>
            <w:tcW w:w="2482" w:type="dxa"/>
            <w:vAlign w:val="center"/>
          </w:tcPr>
          <w:p w14:paraId="68ADC58C">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z w:val="20"/>
                <w:szCs w:val="20"/>
              </w:rPr>
              <w:t>是</w:t>
            </w:r>
          </w:p>
        </w:tc>
        <w:tc>
          <w:tcPr>
            <w:tcW w:w="1701" w:type="dxa"/>
            <w:vAlign w:val="center"/>
          </w:tcPr>
          <w:p w14:paraId="3DDB3188">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pacing w:val="2"/>
                <w:sz w:val="20"/>
                <w:szCs w:val="20"/>
                <w:lang w:val="en-US" w:eastAsia="zh-CN"/>
              </w:rPr>
              <w:t>8.82</w:t>
            </w:r>
          </w:p>
        </w:tc>
        <w:tc>
          <w:tcPr>
            <w:tcW w:w="1201" w:type="dxa"/>
            <w:vAlign w:val="center"/>
          </w:tcPr>
          <w:p w14:paraId="257B52A9">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4"/>
                <w:sz w:val="20"/>
                <w:szCs w:val="20"/>
              </w:rPr>
              <w:t>2500</w:t>
            </w:r>
          </w:p>
        </w:tc>
        <w:tc>
          <w:tcPr>
            <w:tcW w:w="1189" w:type="dxa"/>
            <w:vAlign w:val="center"/>
          </w:tcPr>
          <w:p w14:paraId="09A1620F">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13"/>
                <w:szCs w:val="13"/>
                <w:lang w:val="en-US" w:eastAsia="zh-CN"/>
              </w:rPr>
            </w:pPr>
            <w:r>
              <w:rPr>
                <w:rFonts w:hint="eastAsia" w:ascii="Times New Roman" w:hAnsi="Times New Roman" w:cs="Times New Roman"/>
                <w:color w:val="auto"/>
                <w:spacing w:val="4"/>
                <w:sz w:val="20"/>
                <w:szCs w:val="20"/>
                <w:lang w:val="en-US" w:eastAsia="zh-CN"/>
              </w:rPr>
              <w:t>0.003528</w:t>
            </w:r>
          </w:p>
        </w:tc>
      </w:tr>
      <w:tr w14:paraId="3EE04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61" w:type="dxa"/>
            <w:vAlign w:val="center"/>
          </w:tcPr>
          <w:p w14:paraId="6927ECEA">
            <w:pPr>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2</w:t>
            </w:r>
          </w:p>
        </w:tc>
        <w:tc>
          <w:tcPr>
            <w:tcW w:w="1295" w:type="dxa"/>
            <w:vAlign w:val="center"/>
          </w:tcPr>
          <w:p w14:paraId="14D9B93E">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pacing w:val="7"/>
                <w:sz w:val="20"/>
                <w:szCs w:val="20"/>
              </w:rPr>
              <w:t>废机油</w:t>
            </w:r>
          </w:p>
        </w:tc>
        <w:tc>
          <w:tcPr>
            <w:tcW w:w="2482" w:type="dxa"/>
            <w:vAlign w:val="center"/>
          </w:tcPr>
          <w:p w14:paraId="72929470">
            <w:pPr>
              <w:pStyle w:val="27"/>
              <w:keepNext w:val="0"/>
              <w:keepLines w:val="0"/>
              <w:pageBreakBefore w:val="0"/>
              <w:widowControl/>
              <w:kinsoku/>
              <w:wordWrap/>
              <w:overflowPunct/>
              <w:topLinePunct w:val="0"/>
              <w:autoSpaceDE w:val="0"/>
              <w:autoSpaceDN w:val="0"/>
              <w:bidi w:val="0"/>
              <w:adjustRightInd/>
              <w:snapToGrid/>
              <w:spacing w:line="240" w:lineRule="auto"/>
              <w:ind w:left="0"/>
              <w:jc w:val="center"/>
              <w:textAlignment w:val="baseline"/>
              <w:rPr>
                <w:color w:val="auto"/>
                <w:sz w:val="20"/>
                <w:szCs w:val="20"/>
              </w:rPr>
            </w:pPr>
            <w:r>
              <w:rPr>
                <w:color w:val="auto"/>
                <w:sz w:val="20"/>
                <w:szCs w:val="20"/>
              </w:rPr>
              <w:t>是</w:t>
            </w:r>
          </w:p>
        </w:tc>
        <w:tc>
          <w:tcPr>
            <w:tcW w:w="1701" w:type="dxa"/>
            <w:vAlign w:val="center"/>
          </w:tcPr>
          <w:p w14:paraId="31AF73DD">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Times New Roman" w:hAnsi="Times New Roman" w:eastAsia="Times New Roman" w:cs="Times New Roman"/>
                <w:color w:val="auto"/>
                <w:sz w:val="20"/>
                <w:szCs w:val="20"/>
              </w:rPr>
            </w:pPr>
            <w:r>
              <w:rPr>
                <w:rFonts w:hint="eastAsia" w:ascii="Times New Roman" w:hAnsi="Times New Roman" w:eastAsia="宋体" w:cs="Times New Roman"/>
                <w:color w:val="auto"/>
                <w:spacing w:val="1"/>
                <w:sz w:val="20"/>
                <w:szCs w:val="20"/>
                <w:lang w:val="en-US" w:eastAsia="zh-CN"/>
              </w:rPr>
              <w:t>0.01</w:t>
            </w:r>
          </w:p>
        </w:tc>
        <w:tc>
          <w:tcPr>
            <w:tcW w:w="1201" w:type="dxa"/>
            <w:vAlign w:val="center"/>
          </w:tcPr>
          <w:p w14:paraId="789B2639">
            <w:pPr>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ascii="Times New Roman" w:hAnsi="Times New Roman" w:eastAsia="Times New Roman" w:cs="Times New Roman"/>
                <w:color w:val="auto"/>
                <w:sz w:val="20"/>
                <w:szCs w:val="20"/>
              </w:rPr>
            </w:pPr>
            <w:r>
              <w:rPr>
                <w:rFonts w:ascii="Times New Roman" w:hAnsi="Times New Roman" w:eastAsia="Times New Roman" w:cs="Times New Roman"/>
                <w:color w:val="auto"/>
                <w:spacing w:val="4"/>
                <w:sz w:val="20"/>
                <w:szCs w:val="20"/>
              </w:rPr>
              <w:t>2500</w:t>
            </w:r>
          </w:p>
        </w:tc>
        <w:tc>
          <w:tcPr>
            <w:tcW w:w="1189" w:type="dxa"/>
            <w:vAlign w:val="center"/>
          </w:tcPr>
          <w:p w14:paraId="3193056F">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13"/>
                <w:szCs w:val="13"/>
                <w:lang w:val="en-US" w:eastAsia="zh-CN"/>
              </w:rPr>
            </w:pPr>
            <w:r>
              <w:rPr>
                <w:rFonts w:hint="eastAsia" w:ascii="Times New Roman" w:hAnsi="Times New Roman" w:eastAsia="宋体" w:cs="Times New Roman"/>
                <w:color w:val="auto"/>
                <w:spacing w:val="2"/>
                <w:sz w:val="20"/>
                <w:szCs w:val="20"/>
                <w:lang w:val="en-US" w:eastAsia="zh-CN"/>
              </w:rPr>
              <w:t>0.000004</w:t>
            </w:r>
          </w:p>
        </w:tc>
      </w:tr>
      <w:tr w14:paraId="25DA7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7340" w:type="dxa"/>
            <w:gridSpan w:val="5"/>
            <w:vAlign w:val="top"/>
          </w:tcPr>
          <w:p w14:paraId="77665C85">
            <w:pPr>
              <w:pStyle w:val="27"/>
              <w:spacing w:before="69" w:line="206" w:lineRule="auto"/>
              <w:ind w:left="152" w:leftChars="0"/>
              <w:jc w:val="center"/>
              <w:rPr>
                <w:color w:val="auto"/>
              </w:rPr>
            </w:pPr>
            <w:r>
              <w:rPr>
                <w:color w:val="auto"/>
                <w:spacing w:val="4"/>
                <w:sz w:val="20"/>
                <w:szCs w:val="20"/>
              </w:rPr>
              <w:t>合计</w:t>
            </w:r>
          </w:p>
        </w:tc>
        <w:tc>
          <w:tcPr>
            <w:tcW w:w="1189" w:type="dxa"/>
            <w:vAlign w:val="top"/>
          </w:tcPr>
          <w:p w14:paraId="0BE74E86">
            <w:pPr>
              <w:pStyle w:val="27"/>
              <w:spacing w:before="95" w:line="223" w:lineRule="auto"/>
              <w:rPr>
                <w:rFonts w:hint="default" w:ascii="Times New Roman" w:hAnsi="Times New Roman" w:eastAsia="宋体" w:cs="Times New Roman"/>
                <w:color w:val="auto"/>
                <w:sz w:val="13"/>
                <w:szCs w:val="13"/>
                <w:lang w:val="en-US" w:eastAsia="zh-CN"/>
              </w:rPr>
            </w:pPr>
            <w:r>
              <w:rPr>
                <w:rFonts w:hint="eastAsia" w:ascii="Times New Roman" w:hAnsi="Times New Roman" w:eastAsia="宋体" w:cs="Times New Roman"/>
                <w:color w:val="auto"/>
                <w:spacing w:val="-2"/>
                <w:lang w:eastAsia="zh-CN"/>
              </w:rPr>
              <w:t>0.00</w:t>
            </w:r>
            <w:r>
              <w:rPr>
                <w:rFonts w:hint="eastAsia" w:ascii="Times New Roman" w:hAnsi="Times New Roman" w:cs="Times New Roman"/>
                <w:color w:val="auto"/>
                <w:spacing w:val="-2"/>
                <w:lang w:val="en-US" w:eastAsia="zh-CN"/>
              </w:rPr>
              <w:t>03532</w:t>
            </w:r>
          </w:p>
        </w:tc>
      </w:tr>
    </w:tbl>
    <w:p w14:paraId="6636768C">
      <w:pPr>
        <w:pStyle w:val="9"/>
        <w:keepNext w:val="0"/>
        <w:keepLines w:val="0"/>
        <w:pageBreakBefore w:val="0"/>
        <w:widowControl/>
        <w:kinsoku/>
        <w:wordWrap/>
        <w:overflowPunct/>
        <w:topLinePunct w:val="0"/>
        <w:autoSpaceDE w:val="0"/>
        <w:autoSpaceDN w:val="0"/>
        <w:bidi w:val="0"/>
        <w:adjustRightInd w:val="0"/>
        <w:snapToGrid/>
        <w:spacing w:line="360" w:lineRule="auto"/>
        <w:ind w:left="0" w:firstLine="544"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16"/>
          <w:sz w:val="24"/>
          <w:szCs w:val="24"/>
        </w:rPr>
        <w:t>根据上表可知</w:t>
      </w:r>
      <w:r>
        <w:rPr>
          <w:rFonts w:hint="default" w:ascii="Times New Roman" w:hAnsi="Times New Roman" w:cs="Times New Roman"/>
          <w:color w:val="auto"/>
          <w:spacing w:val="-56"/>
          <w:sz w:val="24"/>
          <w:szCs w:val="24"/>
        </w:rPr>
        <w:t xml:space="preserve"> </w:t>
      </w:r>
      <w:r>
        <w:rPr>
          <w:rFonts w:hint="default" w:ascii="Times New Roman" w:hAnsi="Times New Roman" w:cs="Times New Roman"/>
          <w:color w:val="auto"/>
          <w:spacing w:val="16"/>
          <w:sz w:val="24"/>
          <w:szCs w:val="24"/>
        </w:rPr>
        <w:t>，本项</w:t>
      </w:r>
      <w:r>
        <w:rPr>
          <w:rFonts w:hint="default" w:ascii="Times New Roman" w:hAnsi="Times New Roman" w:cs="Times New Roman"/>
          <w:color w:val="auto"/>
          <w:spacing w:val="-44"/>
          <w:sz w:val="24"/>
          <w:szCs w:val="24"/>
        </w:rPr>
        <w:t xml:space="preserve"> </w:t>
      </w:r>
      <w:r>
        <w:rPr>
          <w:rFonts w:hint="default" w:ascii="Times New Roman" w:hAnsi="Times New Roman" w:cs="Times New Roman"/>
          <w:color w:val="auto"/>
          <w:spacing w:val="16"/>
          <w:sz w:val="24"/>
          <w:szCs w:val="24"/>
        </w:rPr>
        <w:t>目涉及的风险物质最大储量与临界量比值的和为</w:t>
      </w:r>
      <w:r>
        <w:rPr>
          <w:rFonts w:hint="eastAsia" w:ascii="Times New Roman" w:hAnsi="Times New Roman" w:eastAsia="宋体" w:cs="Times New Roman"/>
          <w:color w:val="auto"/>
          <w:spacing w:val="-3"/>
          <w:sz w:val="24"/>
          <w:szCs w:val="24"/>
          <w:lang w:eastAsia="zh-CN"/>
        </w:rPr>
        <w:t>0.000</w:t>
      </w:r>
      <w:r>
        <w:rPr>
          <w:rFonts w:hint="eastAsia" w:ascii="Times New Roman" w:hAnsi="Times New Roman" w:eastAsia="宋体" w:cs="Times New Roman"/>
          <w:color w:val="auto"/>
          <w:spacing w:val="-3"/>
          <w:sz w:val="24"/>
          <w:szCs w:val="24"/>
          <w:lang w:val="en-US" w:eastAsia="zh-CN"/>
        </w:rPr>
        <w:t>3532</w:t>
      </w:r>
      <w:r>
        <w:rPr>
          <w:rFonts w:hint="default" w:ascii="Times New Roman" w:hAnsi="Times New Roman" w:cs="Times New Roman"/>
          <w:color w:val="auto"/>
          <w:spacing w:val="-3"/>
          <w:sz w:val="24"/>
          <w:szCs w:val="24"/>
        </w:rPr>
        <w:t>，</w:t>
      </w:r>
      <w:r>
        <w:rPr>
          <w:rFonts w:hint="default" w:ascii="Times New Roman" w:hAnsi="Times New Roman" w:eastAsia="Times New Roman" w:cs="Times New Roman"/>
          <w:color w:val="auto"/>
          <w:spacing w:val="-3"/>
          <w:sz w:val="24"/>
          <w:szCs w:val="24"/>
        </w:rPr>
        <w:t>Q&lt;1</w:t>
      </w:r>
      <w:r>
        <w:rPr>
          <w:rFonts w:hint="default" w:ascii="Times New Roman" w:hAnsi="Times New Roman" w:cs="Times New Roman"/>
          <w:color w:val="auto"/>
          <w:spacing w:val="-3"/>
          <w:sz w:val="24"/>
          <w:szCs w:val="24"/>
        </w:rPr>
        <w:t>，可直接判定项目环境风险潜势为</w:t>
      </w:r>
      <w:r>
        <w:rPr>
          <w:rFonts w:hint="default" w:ascii="Times New Roman" w:hAnsi="Times New Roman" w:eastAsia="Times New Roman" w:cs="Times New Roman"/>
          <w:color w:val="auto"/>
          <w:spacing w:val="-3"/>
          <w:sz w:val="24"/>
          <w:szCs w:val="24"/>
        </w:rPr>
        <w:t>Ⅰ</w:t>
      </w:r>
      <w:r>
        <w:rPr>
          <w:rFonts w:hint="eastAsia" w:ascii="Times New Roman" w:hAnsi="Times New Roman" w:eastAsia="宋体" w:cs="Times New Roman"/>
          <w:color w:val="auto"/>
          <w:spacing w:val="-29"/>
          <w:sz w:val="24"/>
          <w:szCs w:val="24"/>
          <w:lang w:eastAsia="zh-CN"/>
        </w:rPr>
        <w:t>，</w:t>
      </w:r>
      <w:r>
        <w:rPr>
          <w:rFonts w:hint="default" w:ascii="Times New Roman" w:hAnsi="Times New Roman" w:cs="Times New Roman"/>
          <w:color w:val="auto"/>
          <w:spacing w:val="-3"/>
          <w:sz w:val="24"/>
          <w:szCs w:val="24"/>
        </w:rPr>
        <w:t>据《建设项</w:t>
      </w:r>
      <w:r>
        <w:rPr>
          <w:rFonts w:hint="default" w:ascii="Times New Roman" w:hAnsi="Times New Roman" w:cs="Times New Roman"/>
          <w:color w:val="auto"/>
          <w:spacing w:val="-4"/>
          <w:sz w:val="24"/>
          <w:szCs w:val="24"/>
        </w:rPr>
        <w:t>目环境风险评价</w:t>
      </w:r>
      <w:r>
        <w:rPr>
          <w:rFonts w:hint="default" w:ascii="Times New Roman" w:hAnsi="Times New Roman" w:cs="Times New Roman"/>
          <w:color w:val="auto"/>
          <w:sz w:val="24"/>
          <w:szCs w:val="24"/>
        </w:rPr>
        <w:t>技术导则》（</w:t>
      </w:r>
      <w:r>
        <w:rPr>
          <w:rFonts w:hint="default" w:ascii="Times New Roman" w:hAnsi="Times New Roman" w:eastAsia="Times New Roman" w:cs="Times New Roman"/>
          <w:color w:val="auto"/>
          <w:sz w:val="24"/>
          <w:szCs w:val="24"/>
        </w:rPr>
        <w:t>H169-2018</w:t>
      </w:r>
      <w:r>
        <w:rPr>
          <w:rFonts w:hint="default" w:ascii="Times New Roman" w:hAnsi="Times New Roman" w:cs="Times New Roman"/>
          <w:color w:val="auto"/>
          <w:sz w:val="24"/>
          <w:szCs w:val="24"/>
        </w:rPr>
        <w:t>）评价工作等级划分要求，确定本项目环境风险评价等</w:t>
      </w:r>
      <w:r>
        <w:rPr>
          <w:rFonts w:hint="default" w:ascii="Times New Roman" w:hAnsi="Times New Roman" w:cs="Times New Roman"/>
          <w:color w:val="auto"/>
          <w:spacing w:val="-3"/>
          <w:sz w:val="24"/>
          <w:szCs w:val="24"/>
        </w:rPr>
        <w:t>级为简单分析。环境风险简单分析应定性分析说明环境影响后果。因此，本次评</w:t>
      </w:r>
      <w:r>
        <w:rPr>
          <w:rFonts w:hint="default" w:ascii="Times New Roman" w:hAnsi="Times New Roman" w:cs="Times New Roman"/>
          <w:color w:val="auto"/>
          <w:spacing w:val="-1"/>
          <w:sz w:val="24"/>
          <w:szCs w:val="24"/>
        </w:rPr>
        <w:t>价仅定性分析，不做预测分析。</w:t>
      </w:r>
    </w:p>
    <w:p w14:paraId="6502F5B0">
      <w:pPr>
        <w:pStyle w:val="9"/>
        <w:keepNext w:val="0"/>
        <w:keepLines w:val="0"/>
        <w:pageBreakBefore w:val="0"/>
        <w:widowControl/>
        <w:kinsoku w:val="0"/>
        <w:wordWrap/>
        <w:overflowPunct/>
        <w:topLinePunct w:val="0"/>
        <w:autoSpaceDE w:val="0"/>
        <w:autoSpaceDN w:val="0"/>
        <w:bidi w:val="0"/>
        <w:adjustRightInd w:val="0"/>
        <w:snapToGrid w:val="0"/>
        <w:spacing w:before="97" w:line="219" w:lineRule="auto"/>
        <w:ind w:left="119"/>
        <w:textAlignment w:val="baseline"/>
        <w:outlineLvl w:val="2"/>
        <w:rPr>
          <w:rFonts w:hint="eastAsia" w:ascii="Times New Roman" w:hAnsi="Times New Roman" w:eastAsia="宋体" w:cs="Times New Roman"/>
          <w:b/>
          <w:bCs/>
          <w:color w:val="auto"/>
          <w:spacing w:val="-2"/>
          <w:sz w:val="24"/>
          <w:szCs w:val="24"/>
          <w:lang w:val="en-US" w:eastAsia="zh-CN"/>
        </w:rPr>
      </w:pPr>
      <w:bookmarkStart w:id="176" w:name="bookmark42"/>
      <w:bookmarkEnd w:id="176"/>
      <w:bookmarkStart w:id="177" w:name="_Toc5974"/>
      <w:r>
        <w:rPr>
          <w:rFonts w:hint="eastAsia" w:ascii="Times New Roman" w:hAnsi="Times New Roman" w:eastAsia="宋体" w:cs="Times New Roman"/>
          <w:b/>
          <w:bCs/>
          <w:color w:val="auto"/>
          <w:spacing w:val="-2"/>
          <w:sz w:val="24"/>
          <w:szCs w:val="24"/>
          <w:lang w:val="en-US" w:eastAsia="zh-CN"/>
        </w:rPr>
        <w:t>4.7.5 风险评价</w:t>
      </w:r>
      <w:bookmarkEnd w:id="177"/>
    </w:p>
    <w:p w14:paraId="7358E7E8">
      <w:pPr>
        <w:pStyle w:val="9"/>
        <w:spacing w:before="226" w:line="221" w:lineRule="auto"/>
        <w:ind w:left="122"/>
        <w:outlineLvl w:val="3"/>
        <w:rPr>
          <w:color w:val="auto"/>
          <w:sz w:val="28"/>
          <w:szCs w:val="28"/>
        </w:rPr>
      </w:pPr>
      <w:r>
        <w:rPr>
          <w:rFonts w:hint="eastAsia" w:ascii="Times New Roman" w:hAnsi="Times New Roman" w:eastAsia="宋体" w:cs="Times New Roman"/>
          <w:b/>
          <w:bCs/>
          <w:color w:val="auto"/>
          <w:spacing w:val="-2"/>
          <w:sz w:val="24"/>
          <w:szCs w:val="24"/>
          <w:lang w:val="en-US" w:eastAsia="zh-CN"/>
        </w:rPr>
        <w:t>4.7.5</w:t>
      </w:r>
      <w:r>
        <w:rPr>
          <w:rFonts w:ascii="Times New Roman" w:hAnsi="Times New Roman" w:eastAsia="Times New Roman" w:cs="Times New Roman"/>
          <w:b/>
          <w:bCs/>
          <w:color w:val="auto"/>
          <w:spacing w:val="-2"/>
          <w:sz w:val="24"/>
          <w:szCs w:val="24"/>
        </w:rPr>
        <w:t xml:space="preserve">.1 </w:t>
      </w:r>
      <w:r>
        <w:rPr>
          <w:b/>
          <w:bCs/>
          <w:color w:val="auto"/>
          <w:spacing w:val="-2"/>
          <w:sz w:val="24"/>
          <w:szCs w:val="24"/>
        </w:rPr>
        <w:t>大气环境风险影响分析</w:t>
      </w:r>
    </w:p>
    <w:p w14:paraId="44D2C62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z w:val="24"/>
          <w:szCs w:val="24"/>
        </w:rPr>
      </w:pPr>
      <w:r>
        <w:rPr>
          <w:color w:val="auto"/>
          <w:spacing w:val="-2"/>
          <w:sz w:val="24"/>
          <w:szCs w:val="24"/>
        </w:rPr>
        <w:t>根据《建设项目环境风险评价技术导则》（</w:t>
      </w:r>
      <w:r>
        <w:rPr>
          <w:rFonts w:ascii="Times New Roman" w:hAnsi="Times New Roman" w:eastAsia="Times New Roman" w:cs="Times New Roman"/>
          <w:color w:val="auto"/>
          <w:spacing w:val="-2"/>
          <w:sz w:val="24"/>
          <w:szCs w:val="24"/>
        </w:rPr>
        <w:t>HJ169-201</w:t>
      </w:r>
      <w:r>
        <w:rPr>
          <w:rFonts w:ascii="Times New Roman" w:hAnsi="Times New Roman" w:eastAsia="Times New Roman" w:cs="Times New Roman"/>
          <w:color w:val="auto"/>
          <w:spacing w:val="-3"/>
          <w:sz w:val="24"/>
          <w:szCs w:val="24"/>
        </w:rPr>
        <w:t>8</w:t>
      </w:r>
      <w:r>
        <w:rPr>
          <w:color w:val="auto"/>
          <w:spacing w:val="-3"/>
          <w:sz w:val="24"/>
          <w:szCs w:val="24"/>
        </w:rPr>
        <w:t>）中要求，大气环境</w:t>
      </w:r>
      <w:r>
        <w:rPr>
          <w:color w:val="auto"/>
          <w:spacing w:val="-2"/>
          <w:sz w:val="24"/>
          <w:szCs w:val="24"/>
        </w:rPr>
        <w:t>风险简单分析应定性分析说明大气环境影响后果。因此，本次评价仅定性分析，</w:t>
      </w:r>
      <w:r>
        <w:rPr>
          <w:color w:val="auto"/>
          <w:spacing w:val="-3"/>
          <w:sz w:val="24"/>
          <w:szCs w:val="24"/>
        </w:rPr>
        <w:t>不做预测分析。项目大气环境风险主要考虑到柴油、废矿物油等泄漏时引发火灾</w:t>
      </w:r>
      <w:r>
        <w:rPr>
          <w:color w:val="auto"/>
          <w:spacing w:val="-1"/>
          <w:sz w:val="24"/>
          <w:szCs w:val="24"/>
        </w:rPr>
        <w:t>造成的次生污染对周边环境的影响。</w:t>
      </w:r>
    </w:p>
    <w:p w14:paraId="213F464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柴油、废矿物油属于易燃、易爆物质，柴油、废矿物油泄漏到环境中遇明火、高热易燃烧爆炸。火灾事故时会产生CO、CO</w:t>
      </w:r>
      <w:r>
        <w:rPr>
          <w:rFonts w:hint="default" w:ascii="Times New Roman" w:hAnsi="Times New Roman" w:cs="Times New Roman"/>
          <w:color w:val="auto"/>
          <w:spacing w:val="-2"/>
          <w:sz w:val="24"/>
          <w:szCs w:val="24"/>
          <w:vertAlign w:val="subscript"/>
        </w:rPr>
        <w:t>2</w:t>
      </w:r>
      <w:r>
        <w:rPr>
          <w:rFonts w:hint="default" w:ascii="Times New Roman" w:hAnsi="Times New Roman" w:cs="Times New Roman"/>
          <w:color w:val="auto"/>
          <w:spacing w:val="-2"/>
          <w:sz w:val="24"/>
          <w:szCs w:val="24"/>
        </w:rPr>
        <w:t>，将对大气环境造成影响，项目区</w:t>
      </w:r>
      <w:r>
        <w:rPr>
          <w:rFonts w:hint="eastAsia" w:ascii="Times New Roman" w:hAnsi="Times New Roman" w:eastAsia="宋体" w:cs="Times New Roman"/>
          <w:color w:val="auto"/>
          <w:spacing w:val="-2"/>
          <w:sz w:val="24"/>
          <w:szCs w:val="24"/>
          <w:lang w:val="en-US" w:eastAsia="zh-CN"/>
        </w:rPr>
        <w:t>内燃机车自带邮箱</w:t>
      </w:r>
      <w:r>
        <w:rPr>
          <w:rFonts w:hint="default" w:ascii="Times New Roman" w:hAnsi="Times New Roman" w:cs="Times New Roman"/>
          <w:color w:val="auto"/>
          <w:spacing w:val="-2"/>
          <w:sz w:val="24"/>
          <w:szCs w:val="24"/>
        </w:rPr>
        <w:t>储存量为</w:t>
      </w:r>
      <w:r>
        <w:rPr>
          <w:rFonts w:hint="eastAsia" w:ascii="Times New Roman" w:hAnsi="Times New Roman" w:eastAsia="宋体" w:cs="Times New Roman"/>
          <w:color w:val="auto"/>
          <w:spacing w:val="-2"/>
          <w:sz w:val="24"/>
          <w:szCs w:val="24"/>
          <w:lang w:val="en-US" w:eastAsia="zh-CN"/>
        </w:rPr>
        <w:t>10500</w:t>
      </w:r>
      <w:r>
        <w:rPr>
          <w:rFonts w:hint="default" w:ascii="Times New Roman" w:hAnsi="Times New Roman" w:cs="Times New Roman"/>
          <w:color w:val="auto"/>
          <w:spacing w:val="-2"/>
          <w:sz w:val="24"/>
          <w:szCs w:val="24"/>
        </w:rPr>
        <w:t>L，仅作为内燃机工作时使用，泄漏柴油可控在项目区内，同时运营过程中应严格遵守运输的规章制度，加强车辆管理，及时维修保养，内燃调机油箱泄漏的概率较小；项目</w:t>
      </w:r>
      <w:r>
        <w:rPr>
          <w:rFonts w:hint="default" w:ascii="Times New Roman" w:hAnsi="Times New Roman" w:cs="Times New Roman"/>
          <w:color w:val="auto"/>
          <w:spacing w:val="-2"/>
          <w:sz w:val="24"/>
          <w:szCs w:val="24"/>
          <w:lang w:eastAsia="zh-CN"/>
        </w:rPr>
        <w:t>危废暂存间</w:t>
      </w:r>
      <w:r>
        <w:rPr>
          <w:rFonts w:hint="default" w:ascii="Times New Roman" w:hAnsi="Times New Roman" w:cs="Times New Roman"/>
          <w:color w:val="auto"/>
          <w:spacing w:val="-2"/>
          <w:sz w:val="24"/>
          <w:szCs w:val="24"/>
        </w:rPr>
        <w:t>设专人管理，一旦发生泄漏能及时发现并处理。企业应设置禁止吸烟、禁止明火等标志，加强员工安全防火意识，按照消防要求设置灭火器等相应防火应急措施后，发生风险概率很小。</w:t>
      </w:r>
    </w:p>
    <w:p w14:paraId="313F710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建设单位同时建立突发事故报告与应急响应制度与规程，一旦发生意外，在采取应急处理的同时，迅速报告公安、交通运输部门和环保等有关部门，必要时在 3 分钟内疏散群众，防止事态进一步扩大和恶化。企业应在厂区设置明显的风向标，应在厂区不同方向分设 2 个以上人流、物流大门，并结合厂区主要风险单位分布、应急救护场所位置、厂区道路及与厂外交通道路情况，安排企业事故应急疏散线路，在厂区明显位置设图示意，保证事故状态下人员可根据当时风向、自动选择安全、合理的应急疏散撤离线路，保证应急疏散的快捷、有序、高效。</w:t>
      </w:r>
    </w:p>
    <w:p w14:paraId="41E37A8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综上所述，项目在采取措施后，大气环境风险影响是可接受的。</w:t>
      </w:r>
    </w:p>
    <w:p w14:paraId="4DE55826">
      <w:pPr>
        <w:pStyle w:val="9"/>
        <w:spacing w:before="189" w:line="220" w:lineRule="auto"/>
        <w:ind w:left="21"/>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4.7.5.2</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地表水环境风险影响分析</w:t>
      </w:r>
    </w:p>
    <w:p w14:paraId="26A10892">
      <w:pPr>
        <w:pStyle w:val="9"/>
        <w:spacing w:before="200" w:line="360" w:lineRule="auto"/>
        <w:ind w:left="21" w:right="48" w:firstLine="480"/>
        <w:jc w:val="both"/>
        <w:rPr>
          <w:color w:val="auto"/>
          <w:sz w:val="24"/>
          <w:szCs w:val="24"/>
        </w:rPr>
      </w:pPr>
      <w:r>
        <w:rPr>
          <w:color w:val="auto"/>
          <w:spacing w:val="-2"/>
          <w:sz w:val="24"/>
          <w:szCs w:val="24"/>
        </w:rPr>
        <w:t>根据《建设项目环境风险评价技术导则》（</w:t>
      </w:r>
      <w:r>
        <w:rPr>
          <w:rFonts w:ascii="Times New Roman" w:hAnsi="Times New Roman" w:eastAsia="Times New Roman" w:cs="Times New Roman"/>
          <w:color w:val="auto"/>
          <w:spacing w:val="-2"/>
          <w:sz w:val="24"/>
          <w:szCs w:val="24"/>
        </w:rPr>
        <w:t>HJ169-201</w:t>
      </w:r>
      <w:r>
        <w:rPr>
          <w:rFonts w:ascii="Times New Roman" w:hAnsi="Times New Roman" w:eastAsia="Times New Roman" w:cs="Times New Roman"/>
          <w:color w:val="auto"/>
          <w:spacing w:val="-3"/>
          <w:sz w:val="24"/>
          <w:szCs w:val="24"/>
        </w:rPr>
        <w:t>8</w:t>
      </w:r>
      <w:r>
        <w:rPr>
          <w:color w:val="auto"/>
          <w:spacing w:val="-3"/>
          <w:sz w:val="24"/>
          <w:szCs w:val="24"/>
        </w:rPr>
        <w:t>）中要求，本次地表水环境风险评价仅定性分析，不做预测分析。项目地表水环境风险主要考虑项目柴油、废矿物油泄漏对周边地表水环境的影响。根据现场调查，项目区最近地表</w:t>
      </w:r>
      <w:r>
        <w:rPr>
          <w:color w:val="auto"/>
          <w:spacing w:val="-2"/>
          <w:sz w:val="24"/>
          <w:szCs w:val="24"/>
        </w:rPr>
        <w:t>水体为项目</w:t>
      </w:r>
      <w:r>
        <w:rPr>
          <w:rFonts w:hint="default" w:ascii="Times New Roman" w:hAnsi="Times New Roman" w:eastAsia="宋体" w:cs="Times New Roman"/>
          <w:color w:val="auto"/>
          <w:spacing w:val="0"/>
          <w:sz w:val="24"/>
          <w:szCs w:val="24"/>
          <w:highlight w:val="none"/>
          <w:lang w:val="en-US" w:eastAsia="zh-CN"/>
        </w:rPr>
        <w:t>西北</w:t>
      </w:r>
      <w:r>
        <w:rPr>
          <w:rFonts w:hint="default" w:ascii="Times New Roman" w:hAnsi="Times New Roman" w:cs="Times New Roman"/>
          <w:color w:val="auto"/>
          <w:spacing w:val="0"/>
          <w:sz w:val="24"/>
          <w:szCs w:val="24"/>
          <w:highlight w:val="none"/>
        </w:rPr>
        <w:t>侧约</w:t>
      </w:r>
      <w:r>
        <w:rPr>
          <w:rFonts w:hint="default" w:ascii="Times New Roman" w:hAnsi="Times New Roman" w:eastAsia="宋体" w:cs="Times New Roman"/>
          <w:color w:val="auto"/>
          <w:spacing w:val="0"/>
          <w:sz w:val="24"/>
          <w:szCs w:val="24"/>
          <w:highlight w:val="none"/>
          <w:lang w:val="en-US" w:eastAsia="zh-CN"/>
        </w:rPr>
        <w:t>90</w:t>
      </w:r>
      <w:r>
        <w:rPr>
          <w:rFonts w:hint="default" w:ascii="Times New Roman" w:hAnsi="Times New Roman" w:eastAsia="Times New Roman" w:cs="Times New Roman"/>
          <w:color w:val="auto"/>
          <w:spacing w:val="0"/>
          <w:sz w:val="24"/>
          <w:szCs w:val="24"/>
          <w:highlight w:val="none"/>
        </w:rPr>
        <w:t>m</w:t>
      </w:r>
      <w:r>
        <w:rPr>
          <w:rFonts w:hint="default" w:ascii="Times New Roman" w:hAnsi="Times New Roman" w:cs="Times New Roman"/>
          <w:color w:val="auto"/>
          <w:spacing w:val="0"/>
          <w:sz w:val="24"/>
          <w:szCs w:val="24"/>
          <w:highlight w:val="none"/>
        </w:rPr>
        <w:t>处的</w:t>
      </w:r>
      <w:r>
        <w:rPr>
          <w:rFonts w:hint="default" w:ascii="Times New Roman" w:hAnsi="Times New Roman" w:eastAsia="宋体" w:cs="Times New Roman"/>
          <w:color w:val="auto"/>
          <w:spacing w:val="0"/>
          <w:sz w:val="24"/>
          <w:szCs w:val="24"/>
          <w:highlight w:val="none"/>
          <w:lang w:val="en-US" w:eastAsia="zh-CN"/>
        </w:rPr>
        <w:t>东干渠</w:t>
      </w:r>
      <w:r>
        <w:rPr>
          <w:rFonts w:hint="default" w:ascii="Times New Roman" w:hAnsi="Times New Roman" w:cs="Times New Roman"/>
          <w:color w:val="auto"/>
          <w:spacing w:val="0"/>
          <w:sz w:val="24"/>
          <w:szCs w:val="24"/>
          <w:highlight w:val="none"/>
        </w:rPr>
        <w:t>。</w:t>
      </w:r>
    </w:p>
    <w:p w14:paraId="4AD6C5D6">
      <w:pPr>
        <w:pStyle w:val="9"/>
        <w:spacing w:before="3" w:line="358" w:lineRule="auto"/>
        <w:ind w:left="21" w:firstLine="483"/>
        <w:jc w:val="both"/>
        <w:rPr>
          <w:color w:val="auto"/>
          <w:sz w:val="24"/>
          <w:szCs w:val="24"/>
        </w:rPr>
      </w:pPr>
      <w:r>
        <w:rPr>
          <w:color w:val="auto"/>
          <w:spacing w:val="-3"/>
          <w:sz w:val="24"/>
          <w:szCs w:val="24"/>
        </w:rPr>
        <w:t>项目不设置备用柴油发电机室，仅内燃机工作时使用柴油，经与建</w:t>
      </w:r>
      <w:r>
        <w:rPr>
          <w:color w:val="auto"/>
          <w:spacing w:val="-4"/>
          <w:sz w:val="24"/>
          <w:szCs w:val="24"/>
        </w:rPr>
        <w:t>设单位核</w:t>
      </w:r>
      <w:r>
        <w:rPr>
          <w:color w:val="auto"/>
          <w:spacing w:val="-3"/>
          <w:sz w:val="24"/>
          <w:szCs w:val="24"/>
        </w:rPr>
        <w:t>实，项目区不设置油罐，</w:t>
      </w:r>
      <w:r>
        <w:rPr>
          <w:rFonts w:hint="eastAsia" w:eastAsia="宋体"/>
          <w:color w:val="auto"/>
          <w:spacing w:val="-3"/>
          <w:sz w:val="24"/>
          <w:szCs w:val="24"/>
          <w:lang w:val="en-US" w:eastAsia="zh-CN"/>
        </w:rPr>
        <w:t>内燃机车加柴油时到曲煤焦化内部柴油区加</w:t>
      </w:r>
      <w:r>
        <w:rPr>
          <w:color w:val="auto"/>
          <w:spacing w:val="-3"/>
          <w:sz w:val="24"/>
          <w:szCs w:val="24"/>
        </w:rPr>
        <w:t>。若</w:t>
      </w:r>
      <w:r>
        <w:rPr>
          <w:rFonts w:hint="eastAsia" w:eastAsia="宋体"/>
          <w:color w:val="auto"/>
          <w:spacing w:val="-3"/>
          <w:sz w:val="24"/>
          <w:szCs w:val="24"/>
          <w:lang w:val="en-US" w:eastAsia="zh-CN"/>
        </w:rPr>
        <w:t>内燃机油箱</w:t>
      </w:r>
      <w:r>
        <w:rPr>
          <w:color w:val="auto"/>
          <w:spacing w:val="-3"/>
          <w:sz w:val="24"/>
          <w:szCs w:val="24"/>
        </w:rPr>
        <w:t>泄漏、储存不当或车辆使用不当导致油品一旦发生泄漏进入水体，将会对水</w:t>
      </w:r>
      <w:r>
        <w:rPr>
          <w:color w:val="auto"/>
          <w:spacing w:val="-1"/>
          <w:sz w:val="24"/>
          <w:szCs w:val="24"/>
        </w:rPr>
        <w:t>质造成一定的影响，浓度较高时会导致水体</w:t>
      </w:r>
      <w:r>
        <w:rPr>
          <w:color w:val="auto"/>
          <w:spacing w:val="-2"/>
          <w:sz w:val="24"/>
          <w:szCs w:val="24"/>
        </w:rPr>
        <w:t>中动植物死亡，造成地表水体污染。</w:t>
      </w:r>
    </w:p>
    <w:p w14:paraId="2CE9C968">
      <w:pPr>
        <w:pStyle w:val="9"/>
        <w:spacing w:before="2" w:line="359" w:lineRule="auto"/>
        <w:ind w:left="21" w:right="48" w:firstLine="483"/>
        <w:jc w:val="both"/>
        <w:rPr>
          <w:color w:val="auto"/>
          <w:sz w:val="24"/>
          <w:szCs w:val="24"/>
        </w:rPr>
      </w:pPr>
      <w:r>
        <w:rPr>
          <w:color w:val="auto"/>
          <w:spacing w:val="-1"/>
          <w:sz w:val="24"/>
          <w:szCs w:val="24"/>
        </w:rPr>
        <w:t>项目区存放的柴油为</w:t>
      </w:r>
      <w:r>
        <w:rPr>
          <w:rFonts w:hint="eastAsia" w:eastAsia="宋体"/>
          <w:color w:val="auto"/>
          <w:spacing w:val="-1"/>
          <w:sz w:val="24"/>
          <w:szCs w:val="24"/>
          <w:lang w:val="en-US" w:eastAsia="zh-CN"/>
        </w:rPr>
        <w:t>油箱</w:t>
      </w:r>
      <w:r>
        <w:rPr>
          <w:color w:val="auto"/>
          <w:spacing w:val="-1"/>
          <w:sz w:val="24"/>
          <w:szCs w:val="24"/>
        </w:rPr>
        <w:t>，储存量为</w:t>
      </w:r>
      <w:r>
        <w:rPr>
          <w:rFonts w:ascii="Times New Roman" w:hAnsi="Times New Roman" w:eastAsia="Times New Roman" w:cs="Times New Roman"/>
          <w:color w:val="auto"/>
          <w:spacing w:val="-1"/>
          <w:sz w:val="24"/>
          <w:szCs w:val="24"/>
        </w:rPr>
        <w:t>10</w:t>
      </w:r>
      <w:r>
        <w:rPr>
          <w:rFonts w:hint="eastAsia" w:ascii="Times New Roman" w:hAnsi="Times New Roman" w:eastAsia="宋体" w:cs="Times New Roman"/>
          <w:color w:val="auto"/>
          <w:spacing w:val="-1"/>
          <w:sz w:val="24"/>
          <w:szCs w:val="24"/>
          <w:lang w:val="en-US" w:eastAsia="zh-CN"/>
        </w:rPr>
        <w:t>500</w:t>
      </w:r>
      <w:r>
        <w:rPr>
          <w:rFonts w:ascii="Times New Roman" w:hAnsi="Times New Roman" w:eastAsia="Times New Roman" w:cs="Times New Roman"/>
          <w:color w:val="auto"/>
          <w:spacing w:val="-1"/>
          <w:sz w:val="24"/>
          <w:szCs w:val="24"/>
        </w:rPr>
        <w:t>L</w:t>
      </w:r>
      <w:r>
        <w:rPr>
          <w:color w:val="auto"/>
          <w:spacing w:val="-1"/>
          <w:sz w:val="24"/>
          <w:szCs w:val="24"/>
        </w:rPr>
        <w:t>，仅作为内</w:t>
      </w:r>
      <w:r>
        <w:rPr>
          <w:color w:val="auto"/>
          <w:spacing w:val="-2"/>
          <w:sz w:val="24"/>
          <w:szCs w:val="24"/>
        </w:rPr>
        <w:t>燃机工作时使用，泄漏</w:t>
      </w:r>
      <w:r>
        <w:rPr>
          <w:color w:val="auto"/>
          <w:spacing w:val="-3"/>
          <w:sz w:val="24"/>
          <w:szCs w:val="24"/>
        </w:rPr>
        <w:t>柴油可控制在项目区内，泄漏废机油可控制在</w:t>
      </w:r>
      <w:r>
        <w:rPr>
          <w:rFonts w:hint="eastAsia" w:eastAsia="宋体"/>
          <w:color w:val="auto"/>
          <w:spacing w:val="-3"/>
          <w:sz w:val="24"/>
          <w:szCs w:val="24"/>
          <w:lang w:eastAsia="zh-CN"/>
        </w:rPr>
        <w:t>危废暂存间</w:t>
      </w:r>
      <w:r>
        <w:rPr>
          <w:color w:val="auto"/>
          <w:spacing w:val="-3"/>
          <w:sz w:val="24"/>
          <w:szCs w:val="24"/>
        </w:rPr>
        <w:t>。环境风险可控，不会</w:t>
      </w:r>
      <w:r>
        <w:rPr>
          <w:color w:val="auto"/>
          <w:spacing w:val="-1"/>
          <w:sz w:val="24"/>
          <w:szCs w:val="24"/>
        </w:rPr>
        <w:t>径流至地表水中，因此，项目地表水环境风险是可控的。</w:t>
      </w:r>
    </w:p>
    <w:p w14:paraId="6A7F5EF3">
      <w:pPr>
        <w:pStyle w:val="9"/>
        <w:spacing w:before="1" w:line="218" w:lineRule="auto"/>
        <w:ind w:left="503"/>
        <w:rPr>
          <w:color w:val="auto"/>
        </w:rPr>
      </w:pPr>
      <w:r>
        <w:rPr>
          <w:color w:val="auto"/>
          <w:spacing w:val="-1"/>
          <w:sz w:val="24"/>
          <w:szCs w:val="24"/>
        </w:rPr>
        <w:t>综上所述，项目在采取措施后，地表水环境风险影响是可接受的。</w:t>
      </w:r>
    </w:p>
    <w:p w14:paraId="104A35D1">
      <w:pPr>
        <w:pStyle w:val="9"/>
        <w:keepNext w:val="0"/>
        <w:keepLines w:val="0"/>
        <w:pageBreakBefore w:val="0"/>
        <w:widowControl/>
        <w:kinsoku/>
        <w:wordWrap/>
        <w:overflowPunct/>
        <w:topLinePunct w:val="0"/>
        <w:autoSpaceDE w:val="0"/>
        <w:autoSpaceDN w:val="0"/>
        <w:bidi w:val="0"/>
        <w:spacing w:before="189" w:line="360" w:lineRule="auto"/>
        <w:ind w:left="21"/>
        <w:textAlignment w:val="baseline"/>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4.7.5.3</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地下水环境风险影响分析</w:t>
      </w:r>
    </w:p>
    <w:p w14:paraId="1C7E3746">
      <w:pPr>
        <w:pStyle w:val="9"/>
        <w:keepNext w:val="0"/>
        <w:keepLines w:val="0"/>
        <w:pageBreakBefore w:val="0"/>
        <w:widowControl/>
        <w:kinsoku/>
        <w:wordWrap/>
        <w:overflowPunct/>
        <w:topLinePunct w:val="0"/>
        <w:autoSpaceDE w:val="0"/>
        <w:autoSpaceDN w:val="0"/>
        <w:bidi w:val="0"/>
        <w:adjustRightInd/>
        <w:snapToGrid/>
        <w:spacing w:line="360" w:lineRule="auto"/>
        <w:ind w:left="0" w:firstLine="468" w:firstLineChars="200"/>
        <w:jc w:val="both"/>
        <w:textAlignment w:val="baseline"/>
        <w:rPr>
          <w:color w:val="auto"/>
          <w:spacing w:val="-1"/>
          <w:sz w:val="24"/>
          <w:szCs w:val="24"/>
        </w:rPr>
      </w:pPr>
      <w:r>
        <w:rPr>
          <w:color w:val="auto"/>
          <w:spacing w:val="-3"/>
          <w:sz w:val="24"/>
          <w:szCs w:val="24"/>
        </w:rPr>
        <w:t>项目为铁路专用线项目，项目的主体运输设施和装置基本置于地面</w:t>
      </w:r>
      <w:r>
        <w:rPr>
          <w:color w:val="auto"/>
          <w:spacing w:val="-4"/>
          <w:sz w:val="24"/>
          <w:szCs w:val="24"/>
        </w:rPr>
        <w:t>上，属于</w:t>
      </w:r>
      <w:r>
        <w:rPr>
          <w:color w:val="auto"/>
          <w:spacing w:val="-1"/>
          <w:sz w:val="24"/>
          <w:szCs w:val="24"/>
        </w:rPr>
        <w:t>污废水渗漏或泄漏相对易于发现和易处理的</w:t>
      </w:r>
      <w:r>
        <w:rPr>
          <w:color w:val="auto"/>
          <w:spacing w:val="-2"/>
          <w:sz w:val="24"/>
          <w:szCs w:val="24"/>
        </w:rPr>
        <w:t>区域，且项目</w:t>
      </w:r>
      <w:r>
        <w:rPr>
          <w:rFonts w:hint="eastAsia" w:eastAsia="宋体"/>
          <w:color w:val="auto"/>
          <w:spacing w:val="-2"/>
          <w:sz w:val="24"/>
          <w:szCs w:val="24"/>
          <w:lang w:val="en-US" w:eastAsia="zh-CN"/>
        </w:rPr>
        <w:t>维修区</w:t>
      </w:r>
      <w:r>
        <w:rPr>
          <w:color w:val="auto"/>
          <w:spacing w:val="-2"/>
          <w:sz w:val="24"/>
          <w:szCs w:val="24"/>
        </w:rPr>
        <w:t>、</w:t>
      </w:r>
      <w:r>
        <w:rPr>
          <w:rFonts w:hint="eastAsia" w:eastAsia="宋体"/>
          <w:color w:val="auto"/>
          <w:spacing w:val="-2"/>
          <w:sz w:val="24"/>
          <w:szCs w:val="24"/>
          <w:lang w:eastAsia="zh-CN"/>
        </w:rPr>
        <w:t>危废暂存间</w:t>
      </w:r>
      <w:r>
        <w:rPr>
          <w:color w:val="auto"/>
          <w:spacing w:val="-2"/>
          <w:sz w:val="24"/>
          <w:szCs w:val="24"/>
        </w:rPr>
        <w:t>、</w:t>
      </w:r>
      <w:r>
        <w:rPr>
          <w:color w:val="auto"/>
          <w:sz w:val="24"/>
          <w:szCs w:val="24"/>
        </w:rPr>
        <w:t>化粪池、</w:t>
      </w:r>
      <w:r>
        <w:rPr>
          <w:rFonts w:hint="eastAsia" w:eastAsia="宋体"/>
          <w:color w:val="auto"/>
          <w:sz w:val="24"/>
          <w:szCs w:val="24"/>
          <w:lang w:val="en-US" w:eastAsia="zh-CN"/>
        </w:rPr>
        <w:t>初期雨水收集池</w:t>
      </w:r>
      <w:r>
        <w:rPr>
          <w:color w:val="auto"/>
          <w:sz w:val="24"/>
          <w:szCs w:val="24"/>
        </w:rPr>
        <w:t>等区域按照《环境影响评价技术导则 地下水环境》</w:t>
      </w:r>
      <w:r>
        <w:rPr>
          <w:color w:val="auto"/>
          <w:spacing w:val="-2"/>
          <w:sz w:val="24"/>
          <w:szCs w:val="24"/>
        </w:rPr>
        <w:t>（</w:t>
      </w:r>
      <w:r>
        <w:rPr>
          <w:rFonts w:ascii="Times New Roman" w:hAnsi="Times New Roman" w:eastAsia="Times New Roman" w:cs="Times New Roman"/>
          <w:color w:val="auto"/>
          <w:spacing w:val="-2"/>
          <w:sz w:val="24"/>
          <w:szCs w:val="24"/>
        </w:rPr>
        <w:t>HJ610-2016</w:t>
      </w:r>
      <w:r>
        <w:rPr>
          <w:color w:val="auto"/>
          <w:spacing w:val="-2"/>
          <w:sz w:val="24"/>
          <w:szCs w:val="24"/>
        </w:rPr>
        <w:t>）中的防渗要求进行防渗设计，厂区采取防渗措施的</w:t>
      </w:r>
      <w:r>
        <w:rPr>
          <w:color w:val="auto"/>
          <w:spacing w:val="-3"/>
          <w:sz w:val="24"/>
          <w:szCs w:val="24"/>
        </w:rPr>
        <w:t>情况下，项目正常运行过程中产生的废水发生渗漏的可能性较小，同时在运行期加强维护和管理情况下，废水发生渗漏造成地下水污染的可能性较小，项目建设运营对地下水</w:t>
      </w:r>
      <w:r>
        <w:rPr>
          <w:color w:val="auto"/>
          <w:spacing w:val="-1"/>
          <w:sz w:val="24"/>
          <w:szCs w:val="24"/>
        </w:rPr>
        <w:t>环境的影响是可控的。</w:t>
      </w:r>
    </w:p>
    <w:p w14:paraId="6AE86F30">
      <w:pPr>
        <w:pStyle w:val="9"/>
        <w:spacing w:before="2" w:line="221" w:lineRule="auto"/>
        <w:ind w:left="21"/>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4.7.5.4</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土壤环境风险影响分析</w:t>
      </w:r>
    </w:p>
    <w:p w14:paraId="2450191E">
      <w:pPr>
        <w:pStyle w:val="9"/>
        <w:spacing w:before="202" w:line="360" w:lineRule="auto"/>
        <w:ind w:left="20" w:right="61" w:firstLine="484"/>
        <w:jc w:val="both"/>
        <w:rPr>
          <w:color w:val="auto"/>
          <w:sz w:val="24"/>
          <w:szCs w:val="24"/>
        </w:rPr>
      </w:pPr>
      <w:r>
        <w:rPr>
          <w:color w:val="auto"/>
          <w:spacing w:val="-3"/>
          <w:sz w:val="24"/>
          <w:szCs w:val="24"/>
        </w:rPr>
        <w:t>项目建设用地属于铁路用地及仓储物流用地，项目针对各类污染物</w:t>
      </w:r>
      <w:r>
        <w:rPr>
          <w:color w:val="auto"/>
          <w:spacing w:val="-4"/>
          <w:sz w:val="24"/>
          <w:szCs w:val="24"/>
        </w:rPr>
        <w:t>均采取了</w:t>
      </w:r>
      <w:r>
        <w:rPr>
          <w:color w:val="auto"/>
          <w:spacing w:val="-3"/>
          <w:sz w:val="24"/>
          <w:szCs w:val="24"/>
        </w:rPr>
        <w:t>对应的污染治理措施，可确保污染物的达标排放，可从源头上控制项目对区域土壤环境的污染源强，确保项目对区域土壤环境的影响处于可接受水平。其次，项目</w:t>
      </w:r>
      <w:r>
        <w:rPr>
          <w:rFonts w:hint="eastAsia" w:eastAsia="宋体"/>
          <w:color w:val="auto"/>
          <w:spacing w:val="-2"/>
          <w:sz w:val="24"/>
          <w:szCs w:val="24"/>
          <w:lang w:val="en-US" w:eastAsia="zh-CN"/>
        </w:rPr>
        <w:t>维修区</w:t>
      </w:r>
      <w:r>
        <w:rPr>
          <w:color w:val="auto"/>
          <w:spacing w:val="-2"/>
          <w:sz w:val="24"/>
          <w:szCs w:val="24"/>
        </w:rPr>
        <w:t>、</w:t>
      </w:r>
      <w:r>
        <w:rPr>
          <w:rFonts w:hint="eastAsia" w:eastAsia="宋体"/>
          <w:color w:val="auto"/>
          <w:spacing w:val="-2"/>
          <w:sz w:val="24"/>
          <w:szCs w:val="24"/>
          <w:lang w:eastAsia="zh-CN"/>
        </w:rPr>
        <w:t>危废暂存间</w:t>
      </w:r>
      <w:r>
        <w:rPr>
          <w:color w:val="auto"/>
          <w:spacing w:val="-2"/>
          <w:sz w:val="24"/>
          <w:szCs w:val="24"/>
        </w:rPr>
        <w:t>、</w:t>
      </w:r>
      <w:r>
        <w:rPr>
          <w:color w:val="auto"/>
          <w:sz w:val="24"/>
          <w:szCs w:val="24"/>
        </w:rPr>
        <w:t>化粪池、</w:t>
      </w:r>
      <w:r>
        <w:rPr>
          <w:rFonts w:hint="eastAsia" w:eastAsia="宋体"/>
          <w:color w:val="auto"/>
          <w:sz w:val="24"/>
          <w:szCs w:val="24"/>
          <w:lang w:val="en-US" w:eastAsia="zh-CN"/>
        </w:rPr>
        <w:t>初期雨水收集池</w:t>
      </w:r>
      <w:r>
        <w:rPr>
          <w:color w:val="auto"/>
          <w:sz w:val="24"/>
          <w:szCs w:val="24"/>
        </w:rPr>
        <w:t>等</w:t>
      </w:r>
      <w:r>
        <w:rPr>
          <w:color w:val="auto"/>
          <w:spacing w:val="-3"/>
          <w:sz w:val="24"/>
          <w:szCs w:val="24"/>
        </w:rPr>
        <w:t>等区域按照《环境影响评</w:t>
      </w:r>
      <w:r>
        <w:rPr>
          <w:color w:val="auto"/>
          <w:spacing w:val="1"/>
          <w:sz w:val="24"/>
          <w:szCs w:val="24"/>
        </w:rPr>
        <w:t>价技术导则 地下水环境》（</w:t>
      </w:r>
      <w:r>
        <w:rPr>
          <w:rFonts w:ascii="Times New Roman" w:hAnsi="Times New Roman" w:eastAsia="Times New Roman" w:cs="Times New Roman"/>
          <w:color w:val="auto"/>
          <w:sz w:val="24"/>
          <w:szCs w:val="24"/>
        </w:rPr>
        <w:t>HJ</w:t>
      </w:r>
      <w:r>
        <w:rPr>
          <w:rFonts w:ascii="Times New Roman" w:hAnsi="Times New Roman" w:eastAsia="Times New Roman" w:cs="Times New Roman"/>
          <w:color w:val="auto"/>
          <w:spacing w:val="1"/>
          <w:sz w:val="24"/>
          <w:szCs w:val="24"/>
        </w:rPr>
        <w:t>610-2016</w:t>
      </w:r>
      <w:r>
        <w:rPr>
          <w:color w:val="auto"/>
          <w:spacing w:val="1"/>
          <w:sz w:val="24"/>
          <w:szCs w:val="24"/>
        </w:rPr>
        <w:t>）的防渗要求进行建设，加之落</w:t>
      </w:r>
      <w:r>
        <w:rPr>
          <w:color w:val="auto"/>
          <w:sz w:val="24"/>
          <w:szCs w:val="24"/>
        </w:rPr>
        <w:t>实污染</w:t>
      </w:r>
      <w:r>
        <w:rPr>
          <w:color w:val="auto"/>
          <w:spacing w:val="-3"/>
          <w:sz w:val="24"/>
          <w:szCs w:val="24"/>
        </w:rPr>
        <w:t>防治措施和环境风险应急预案防止泄漏发生，可以有效防止跑、冒、滴、漏对厂</w:t>
      </w:r>
      <w:r>
        <w:rPr>
          <w:color w:val="auto"/>
          <w:spacing w:val="-1"/>
          <w:sz w:val="24"/>
          <w:szCs w:val="24"/>
        </w:rPr>
        <w:t>区土壤环境造成的不利影响。</w:t>
      </w:r>
    </w:p>
    <w:p w14:paraId="732F4329">
      <w:pPr>
        <w:pStyle w:val="9"/>
        <w:spacing w:line="220" w:lineRule="auto"/>
        <w:ind w:left="21"/>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4.7.5.5</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铁路交通事故风险分析</w:t>
      </w:r>
    </w:p>
    <w:p w14:paraId="5B32BBA6">
      <w:pPr>
        <w:pStyle w:val="9"/>
        <w:spacing w:before="203" w:line="360" w:lineRule="auto"/>
        <w:ind w:left="20" w:right="61" w:firstLine="485"/>
        <w:jc w:val="both"/>
        <w:rPr>
          <w:color w:val="auto"/>
        </w:rPr>
      </w:pPr>
      <w:r>
        <w:rPr>
          <w:color w:val="auto"/>
          <w:spacing w:val="-3"/>
          <w:sz w:val="24"/>
          <w:szCs w:val="24"/>
        </w:rPr>
        <w:t>货物野蛮装卸造成包装损坏，导致货物泄漏，运营设备的损坏，货物包装不按照规定等，导致货物泄漏，同样诱发环境风险。根据对既有铁路运营</w:t>
      </w:r>
      <w:r>
        <w:rPr>
          <w:color w:val="auto"/>
          <w:spacing w:val="-2"/>
          <w:sz w:val="24"/>
          <w:szCs w:val="24"/>
        </w:rPr>
        <w:t>行车事故的调查，因技术设备不良或故障而诱</w:t>
      </w:r>
      <w:r>
        <w:rPr>
          <w:color w:val="auto"/>
          <w:spacing w:val="-3"/>
          <w:sz w:val="24"/>
          <w:szCs w:val="24"/>
        </w:rPr>
        <w:t>发的重大行车事故占</w:t>
      </w:r>
      <w:r>
        <w:rPr>
          <w:color w:val="auto"/>
          <w:spacing w:val="-56"/>
          <w:sz w:val="24"/>
          <w:szCs w:val="24"/>
        </w:rPr>
        <w:t xml:space="preserve"> </w:t>
      </w:r>
      <w:r>
        <w:rPr>
          <w:rFonts w:ascii="Times New Roman" w:hAnsi="Times New Roman" w:eastAsia="Times New Roman" w:cs="Times New Roman"/>
          <w:color w:val="auto"/>
          <w:spacing w:val="-3"/>
          <w:sz w:val="24"/>
          <w:szCs w:val="24"/>
        </w:rPr>
        <w:t>43.7%</w:t>
      </w:r>
      <w:r>
        <w:rPr>
          <w:rFonts w:ascii="Times New Roman" w:hAnsi="Times New Roman" w:eastAsia="Times New Roman" w:cs="Times New Roman"/>
          <w:color w:val="auto"/>
          <w:spacing w:val="-32"/>
          <w:sz w:val="24"/>
          <w:szCs w:val="24"/>
        </w:rPr>
        <w:t xml:space="preserve"> </w:t>
      </w:r>
      <w:r>
        <w:rPr>
          <w:color w:val="auto"/>
          <w:spacing w:val="-3"/>
          <w:sz w:val="24"/>
          <w:szCs w:val="24"/>
        </w:rPr>
        <w:t>，由于</w:t>
      </w:r>
      <w:r>
        <w:rPr>
          <w:color w:val="auto"/>
          <w:spacing w:val="-2"/>
          <w:sz w:val="24"/>
          <w:szCs w:val="24"/>
        </w:rPr>
        <w:t>工作人员人为过失造成重大行车事故占</w:t>
      </w:r>
      <w:r>
        <w:rPr>
          <w:color w:val="auto"/>
          <w:spacing w:val="-45"/>
          <w:sz w:val="24"/>
          <w:szCs w:val="24"/>
        </w:rPr>
        <w:t xml:space="preserve"> </w:t>
      </w:r>
      <w:r>
        <w:rPr>
          <w:rFonts w:ascii="Times New Roman" w:hAnsi="Times New Roman" w:eastAsia="Times New Roman" w:cs="Times New Roman"/>
          <w:color w:val="auto"/>
          <w:spacing w:val="-2"/>
          <w:sz w:val="24"/>
          <w:szCs w:val="24"/>
        </w:rPr>
        <w:t>49.0%</w:t>
      </w:r>
      <w:r>
        <w:rPr>
          <w:color w:val="auto"/>
          <w:spacing w:val="-2"/>
          <w:sz w:val="24"/>
          <w:szCs w:val="24"/>
        </w:rPr>
        <w:t>，而由于自然和其他不可预见因素</w:t>
      </w:r>
      <w:r>
        <w:rPr>
          <w:color w:val="auto"/>
          <w:spacing w:val="1"/>
          <w:sz w:val="24"/>
          <w:szCs w:val="24"/>
        </w:rPr>
        <w:t>造成重大行车事故仅占</w:t>
      </w:r>
      <w:r>
        <w:rPr>
          <w:color w:val="auto"/>
          <w:spacing w:val="-49"/>
          <w:sz w:val="24"/>
          <w:szCs w:val="24"/>
        </w:rPr>
        <w:t xml:space="preserve"> </w:t>
      </w:r>
      <w:r>
        <w:rPr>
          <w:rFonts w:ascii="Times New Roman" w:hAnsi="Times New Roman" w:eastAsia="Times New Roman" w:cs="Times New Roman"/>
          <w:color w:val="auto"/>
          <w:spacing w:val="1"/>
          <w:sz w:val="24"/>
          <w:szCs w:val="24"/>
        </w:rPr>
        <w:t>7.3%</w:t>
      </w:r>
      <w:r>
        <w:rPr>
          <w:rFonts w:ascii="Times New Roman" w:hAnsi="Times New Roman" w:eastAsia="Times New Roman" w:cs="Times New Roman"/>
          <w:color w:val="auto"/>
          <w:spacing w:val="-29"/>
          <w:sz w:val="24"/>
          <w:szCs w:val="24"/>
        </w:rPr>
        <w:t xml:space="preserve"> </w:t>
      </w:r>
      <w:r>
        <w:rPr>
          <w:color w:val="auto"/>
          <w:spacing w:val="1"/>
          <w:sz w:val="24"/>
          <w:szCs w:val="24"/>
        </w:rPr>
        <w:t>，可见加强</w:t>
      </w:r>
      <w:r>
        <w:rPr>
          <w:color w:val="auto"/>
          <w:sz w:val="24"/>
          <w:szCs w:val="24"/>
        </w:rPr>
        <w:t>管理，尽可能消除人为不安定因素，加</w:t>
      </w:r>
      <w:r>
        <w:rPr>
          <w:color w:val="auto"/>
          <w:spacing w:val="-3"/>
          <w:sz w:val="24"/>
          <w:szCs w:val="24"/>
        </w:rPr>
        <w:t>强运营设备检修及维护工作，减少不良设备的隐患，可大大减少货物运输中对环</w:t>
      </w:r>
      <w:r>
        <w:rPr>
          <w:color w:val="auto"/>
          <w:spacing w:val="-1"/>
          <w:sz w:val="24"/>
          <w:szCs w:val="24"/>
        </w:rPr>
        <w:t>境造成污染的潜在风险。</w:t>
      </w:r>
    </w:p>
    <w:p w14:paraId="72F8B44B">
      <w:pPr>
        <w:pStyle w:val="9"/>
        <w:keepNext w:val="0"/>
        <w:keepLines w:val="0"/>
        <w:pageBreakBefore w:val="0"/>
        <w:widowControl/>
        <w:kinsoku w:val="0"/>
        <w:wordWrap/>
        <w:overflowPunct/>
        <w:topLinePunct w:val="0"/>
        <w:autoSpaceDE w:val="0"/>
        <w:autoSpaceDN w:val="0"/>
        <w:bidi w:val="0"/>
        <w:adjustRightInd w:val="0"/>
        <w:snapToGrid w:val="0"/>
        <w:spacing w:before="97" w:line="219" w:lineRule="auto"/>
        <w:ind w:left="119"/>
        <w:textAlignment w:val="baseline"/>
        <w:outlineLvl w:val="2"/>
        <w:rPr>
          <w:rFonts w:hint="eastAsia" w:ascii="Times New Roman" w:hAnsi="Times New Roman" w:eastAsia="宋体" w:cs="Times New Roman"/>
          <w:b/>
          <w:bCs/>
          <w:color w:val="auto"/>
          <w:spacing w:val="-2"/>
          <w:sz w:val="24"/>
          <w:szCs w:val="24"/>
          <w:lang w:val="en-US" w:eastAsia="zh-CN"/>
        </w:rPr>
      </w:pPr>
      <w:bookmarkStart w:id="178" w:name="bookmark43"/>
      <w:bookmarkEnd w:id="178"/>
      <w:bookmarkStart w:id="179" w:name="_Toc133"/>
      <w:r>
        <w:rPr>
          <w:rFonts w:hint="eastAsia" w:ascii="Times New Roman" w:hAnsi="Times New Roman" w:eastAsia="宋体" w:cs="Times New Roman"/>
          <w:b/>
          <w:bCs/>
          <w:color w:val="auto"/>
          <w:spacing w:val="-2"/>
          <w:sz w:val="24"/>
          <w:szCs w:val="24"/>
          <w:lang w:val="en-US" w:eastAsia="zh-CN"/>
        </w:rPr>
        <w:t>4.7.6 环境风险防范及管理措施</w:t>
      </w:r>
      <w:bookmarkEnd w:id="179"/>
    </w:p>
    <w:p w14:paraId="4A6565EC">
      <w:pPr>
        <w:pStyle w:val="9"/>
        <w:spacing w:before="218" w:line="360" w:lineRule="auto"/>
        <w:ind w:left="22" w:firstLine="479"/>
        <w:jc w:val="both"/>
        <w:rPr>
          <w:color w:val="auto"/>
          <w:sz w:val="24"/>
          <w:szCs w:val="24"/>
        </w:rPr>
      </w:pPr>
      <w:r>
        <w:rPr>
          <w:color w:val="auto"/>
          <w:spacing w:val="-8"/>
          <w:sz w:val="24"/>
          <w:szCs w:val="24"/>
        </w:rPr>
        <w:t>尽管环境风险的客观存在无法改变，但通过科学的设计、施工</w:t>
      </w:r>
      <w:r>
        <w:rPr>
          <w:color w:val="auto"/>
          <w:spacing w:val="-9"/>
          <w:sz w:val="24"/>
          <w:szCs w:val="24"/>
        </w:rPr>
        <w:t>、操作和管理，</w:t>
      </w:r>
      <w:r>
        <w:rPr>
          <w:color w:val="auto"/>
          <w:spacing w:val="-3"/>
          <w:sz w:val="24"/>
          <w:szCs w:val="24"/>
        </w:rPr>
        <w:t>可将风险事故发生的可能性和危害性降低到最低程度，真正做到防患于未然，达</w:t>
      </w:r>
      <w:r>
        <w:rPr>
          <w:color w:val="auto"/>
          <w:spacing w:val="-1"/>
          <w:sz w:val="24"/>
          <w:szCs w:val="24"/>
        </w:rPr>
        <w:t>到预防事故发生的目的。风险管理的重点在于减缓、防范措施。</w:t>
      </w:r>
    </w:p>
    <w:p w14:paraId="7C1CF14B">
      <w:pPr>
        <w:pStyle w:val="9"/>
        <w:spacing w:before="1" w:line="221" w:lineRule="auto"/>
        <w:ind w:left="21"/>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4.7.6.1</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大气环境风险防范措施</w:t>
      </w:r>
    </w:p>
    <w:p w14:paraId="36279D2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w:t>
      </w:r>
      <w:r>
        <w:rPr>
          <w:rFonts w:ascii="Times New Roman" w:hAnsi="Times New Roman" w:eastAsia="Times New Roman" w:cs="Times New Roman"/>
          <w:color w:val="auto"/>
          <w:sz w:val="24"/>
          <w:szCs w:val="24"/>
        </w:rPr>
        <w:t>1</w:t>
      </w:r>
      <w:r>
        <w:rPr>
          <w:color w:val="auto"/>
          <w:sz w:val="24"/>
          <w:szCs w:val="24"/>
        </w:rPr>
        <w:t>）项目柴油、</w:t>
      </w:r>
      <w:r>
        <w:rPr>
          <w:rFonts w:hint="eastAsia" w:eastAsia="宋体"/>
          <w:color w:val="auto"/>
          <w:sz w:val="24"/>
          <w:szCs w:val="24"/>
          <w:lang w:val="en-US" w:eastAsia="zh-CN"/>
        </w:rPr>
        <w:t>废机油</w:t>
      </w:r>
      <w:r>
        <w:rPr>
          <w:color w:val="auto"/>
          <w:sz w:val="24"/>
          <w:szCs w:val="24"/>
        </w:rPr>
        <w:t>根据生产需求量少量存储，不在项目内大量存放。</w:t>
      </w:r>
      <w:r>
        <w:rPr>
          <w:rFonts w:hint="eastAsia" w:eastAsia="宋体"/>
          <w:color w:val="auto"/>
          <w:sz w:val="24"/>
          <w:szCs w:val="24"/>
          <w:lang w:val="en-US" w:eastAsia="zh-CN"/>
        </w:rPr>
        <w:t>废</w:t>
      </w:r>
      <w:r>
        <w:rPr>
          <w:color w:val="auto"/>
          <w:spacing w:val="-2"/>
          <w:sz w:val="24"/>
          <w:szCs w:val="24"/>
        </w:rPr>
        <w:t>机油储油设施的材料符合要求，对其进行防腐保护，防止因腐蚀产生跑、冒、滴、漏等现象发生。</w:t>
      </w:r>
    </w:p>
    <w:p w14:paraId="73EE8B0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w:t>
      </w:r>
      <w:r>
        <w:rPr>
          <w:rFonts w:ascii="Times New Roman" w:hAnsi="Times New Roman" w:eastAsia="Times New Roman" w:cs="Times New Roman"/>
          <w:color w:val="auto"/>
          <w:sz w:val="24"/>
          <w:szCs w:val="24"/>
        </w:rPr>
        <w:t>2</w:t>
      </w:r>
      <w:r>
        <w:rPr>
          <w:color w:val="auto"/>
          <w:sz w:val="24"/>
          <w:szCs w:val="24"/>
        </w:rPr>
        <w:t>）在柴油使用过程中，应该严格参照《危险化学品安全管理条例》（国务院令第</w:t>
      </w:r>
      <w:r>
        <w:rPr>
          <w:rFonts w:ascii="Times New Roman" w:hAnsi="Times New Roman" w:eastAsia="Times New Roman" w:cs="Times New Roman"/>
          <w:color w:val="auto"/>
          <w:sz w:val="24"/>
          <w:szCs w:val="24"/>
        </w:rPr>
        <w:t>344</w:t>
      </w:r>
      <w:r>
        <w:rPr>
          <w:color w:val="auto"/>
          <w:sz w:val="24"/>
          <w:szCs w:val="24"/>
        </w:rPr>
        <w:t>号）要求，要做好柴油的贮存、使用</w:t>
      </w:r>
      <w:r>
        <w:rPr>
          <w:color w:val="auto"/>
          <w:spacing w:val="-1"/>
          <w:sz w:val="24"/>
          <w:szCs w:val="24"/>
        </w:rPr>
        <w:t>，防止火灾风险事故的发生。</w:t>
      </w:r>
    </w:p>
    <w:p w14:paraId="0FDBD07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w:t>
      </w:r>
      <w:r>
        <w:rPr>
          <w:rFonts w:ascii="Times New Roman" w:hAnsi="Times New Roman" w:eastAsia="Times New Roman" w:cs="Times New Roman"/>
          <w:color w:val="auto"/>
          <w:sz w:val="24"/>
          <w:szCs w:val="24"/>
        </w:rPr>
        <w:t>3</w:t>
      </w:r>
      <w:r>
        <w:rPr>
          <w:color w:val="auto"/>
          <w:sz w:val="24"/>
          <w:szCs w:val="24"/>
        </w:rPr>
        <w:t>）柴油、</w:t>
      </w:r>
      <w:r>
        <w:rPr>
          <w:rFonts w:hint="eastAsia" w:eastAsia="宋体"/>
          <w:color w:val="auto"/>
          <w:sz w:val="24"/>
          <w:szCs w:val="24"/>
          <w:lang w:val="en-US" w:eastAsia="zh-CN"/>
        </w:rPr>
        <w:t>废机油</w:t>
      </w:r>
      <w:r>
        <w:rPr>
          <w:color w:val="auto"/>
          <w:sz w:val="24"/>
          <w:szCs w:val="24"/>
        </w:rPr>
        <w:t>储存区域配备应急桶、铲子、沙子等应急物资，当发现油</w:t>
      </w:r>
      <w:r>
        <w:rPr>
          <w:color w:val="auto"/>
          <w:spacing w:val="-3"/>
          <w:sz w:val="24"/>
          <w:szCs w:val="24"/>
        </w:rPr>
        <w:t>品泄漏时，先进行溢流围堵，用沙子吸收泄漏的液体，然后用铲子铲装含油沙至</w:t>
      </w:r>
      <w:r>
        <w:rPr>
          <w:color w:val="auto"/>
          <w:spacing w:val="-1"/>
          <w:sz w:val="24"/>
          <w:szCs w:val="24"/>
        </w:rPr>
        <w:t>应急桶，妥善处置；尽快找出泄漏源并进行封堵处理。</w:t>
      </w:r>
    </w:p>
    <w:p w14:paraId="5E778CC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0" w:firstLineChars="200"/>
        <w:textAlignment w:val="baseline"/>
        <w:rPr>
          <w:color w:val="auto"/>
          <w:sz w:val="24"/>
          <w:szCs w:val="24"/>
        </w:rPr>
      </w:pPr>
      <w:r>
        <w:rPr>
          <w:color w:val="auto"/>
          <w:spacing w:val="-5"/>
          <w:sz w:val="24"/>
          <w:szCs w:val="24"/>
        </w:rPr>
        <w:t>（</w:t>
      </w:r>
      <w:r>
        <w:rPr>
          <w:rFonts w:ascii="Times New Roman" w:hAnsi="Times New Roman" w:eastAsia="Times New Roman" w:cs="Times New Roman"/>
          <w:color w:val="auto"/>
          <w:spacing w:val="-5"/>
          <w:sz w:val="24"/>
          <w:szCs w:val="24"/>
        </w:rPr>
        <w:t>4</w:t>
      </w:r>
      <w:r>
        <w:rPr>
          <w:color w:val="auto"/>
          <w:spacing w:val="-5"/>
          <w:sz w:val="24"/>
          <w:szCs w:val="24"/>
        </w:rPr>
        <w:t>）加强车辆管理，制定严格的运输规章制度，及时对内燃调机进行保养，</w:t>
      </w:r>
      <w:r>
        <w:rPr>
          <w:color w:val="auto"/>
          <w:spacing w:val="-4"/>
          <w:sz w:val="24"/>
          <w:szCs w:val="24"/>
        </w:rPr>
        <w:t>防止油箱泄漏。</w:t>
      </w:r>
    </w:p>
    <w:p w14:paraId="2027F9F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w:t>
      </w:r>
      <w:r>
        <w:rPr>
          <w:rFonts w:hint="eastAsia" w:ascii="Times New Roman" w:hAnsi="Times New Roman" w:eastAsia="宋体" w:cs="Times New Roman"/>
          <w:color w:val="auto"/>
          <w:sz w:val="24"/>
          <w:szCs w:val="24"/>
          <w:lang w:val="en-US" w:eastAsia="zh-CN"/>
        </w:rPr>
        <w:t>5</w:t>
      </w:r>
      <w:r>
        <w:rPr>
          <w:color w:val="auto"/>
          <w:sz w:val="24"/>
          <w:szCs w:val="24"/>
        </w:rPr>
        <w:t>）在项目总平面布置方面，严格执行国家的相关规范要求，所有建、构</w:t>
      </w:r>
      <w:r>
        <w:rPr>
          <w:color w:val="auto"/>
          <w:spacing w:val="-4"/>
          <w:sz w:val="24"/>
          <w:szCs w:val="24"/>
        </w:rPr>
        <w:t>筑物之前或与其他场所之间留有足够的防火间距，防止在火灾或爆炸时相互影响。</w:t>
      </w:r>
    </w:p>
    <w:p w14:paraId="6C75053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z w:val="24"/>
          <w:szCs w:val="24"/>
        </w:rPr>
      </w:pPr>
      <w:r>
        <w:rPr>
          <w:color w:val="auto"/>
          <w:sz w:val="24"/>
          <w:szCs w:val="24"/>
        </w:rPr>
        <w:t>（</w:t>
      </w:r>
      <w:r>
        <w:rPr>
          <w:rFonts w:hint="eastAsia" w:ascii="Times New Roman" w:hAnsi="Times New Roman" w:eastAsia="宋体" w:cs="Times New Roman"/>
          <w:color w:val="auto"/>
          <w:sz w:val="24"/>
          <w:szCs w:val="24"/>
          <w:lang w:val="en-US" w:eastAsia="zh-CN"/>
        </w:rPr>
        <w:t>6</w:t>
      </w:r>
      <w:r>
        <w:rPr>
          <w:color w:val="auto"/>
          <w:sz w:val="24"/>
          <w:szCs w:val="24"/>
        </w:rPr>
        <w:t>）在厂区配套建设应急救援设施、救援通道、应急疏散路线、应急疏散避难所等防护设施，按《安全标志》规定在装置区设</w:t>
      </w:r>
      <w:r>
        <w:rPr>
          <w:color w:val="auto"/>
          <w:spacing w:val="-1"/>
          <w:sz w:val="24"/>
          <w:szCs w:val="24"/>
        </w:rPr>
        <w:t>置有关的安全标志。</w:t>
      </w:r>
    </w:p>
    <w:p w14:paraId="01A691B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0" w:firstLineChars="200"/>
        <w:textAlignment w:val="baseline"/>
        <w:rPr>
          <w:color w:val="auto"/>
          <w:sz w:val="24"/>
          <w:szCs w:val="24"/>
        </w:rPr>
      </w:pPr>
      <w:r>
        <w:rPr>
          <w:color w:val="auto"/>
          <w:spacing w:val="-5"/>
          <w:sz w:val="24"/>
          <w:szCs w:val="24"/>
        </w:rPr>
        <w:t>（</w:t>
      </w:r>
      <w:r>
        <w:rPr>
          <w:rFonts w:hint="eastAsia" w:ascii="Times New Roman" w:hAnsi="Times New Roman" w:eastAsia="宋体" w:cs="Times New Roman"/>
          <w:color w:val="auto"/>
          <w:spacing w:val="-5"/>
          <w:sz w:val="24"/>
          <w:szCs w:val="24"/>
          <w:lang w:val="en-US" w:eastAsia="zh-CN"/>
        </w:rPr>
        <w:t>7</w:t>
      </w:r>
      <w:r>
        <w:rPr>
          <w:color w:val="auto"/>
          <w:spacing w:val="-5"/>
          <w:sz w:val="24"/>
          <w:szCs w:val="24"/>
        </w:rPr>
        <w:t>）发生突发环境风险事故时，应远离事故区，向当天风向的上风向疏散，</w:t>
      </w:r>
      <w:r>
        <w:rPr>
          <w:color w:val="auto"/>
          <w:spacing w:val="-1"/>
          <w:sz w:val="24"/>
          <w:szCs w:val="24"/>
        </w:rPr>
        <w:t>优先沿厂区外道路向西疏散。</w:t>
      </w:r>
    </w:p>
    <w:p w14:paraId="0D1AA9C3">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outlineLvl w:val="3"/>
        <w:rPr>
          <w:rFonts w:hint="default" w:ascii="Times New Roman" w:hAnsi="Times New Roman" w:cs="Times New Roman"/>
          <w:color w:val="auto"/>
          <w:sz w:val="24"/>
          <w:szCs w:val="24"/>
        </w:rPr>
      </w:pPr>
      <w:r>
        <w:rPr>
          <w:rFonts w:hint="default" w:ascii="Times New Roman" w:hAnsi="Times New Roman" w:eastAsia="宋体" w:cs="Times New Roman"/>
          <w:b/>
          <w:bCs/>
          <w:color w:val="auto"/>
          <w:spacing w:val="-2"/>
          <w:sz w:val="24"/>
          <w:szCs w:val="24"/>
          <w:lang w:val="en-US" w:eastAsia="zh-CN"/>
        </w:rPr>
        <w:t>4.7.6.</w:t>
      </w:r>
      <w:r>
        <w:rPr>
          <w:rFonts w:hint="default" w:ascii="Times New Roman" w:hAnsi="Times New Roman" w:eastAsia="Times New Roman" w:cs="Times New Roman"/>
          <w:b/>
          <w:bCs/>
          <w:color w:val="auto"/>
          <w:spacing w:val="-2"/>
          <w:sz w:val="24"/>
          <w:szCs w:val="24"/>
        </w:rPr>
        <w:t xml:space="preserve">2 </w:t>
      </w:r>
      <w:r>
        <w:rPr>
          <w:rFonts w:hint="default" w:ascii="Times New Roman" w:hAnsi="Times New Roman" w:cs="Times New Roman"/>
          <w:b/>
          <w:bCs/>
          <w:color w:val="auto"/>
          <w:spacing w:val="-2"/>
          <w:sz w:val="24"/>
          <w:szCs w:val="24"/>
        </w:rPr>
        <w:t>地表水风险防范措施</w:t>
      </w:r>
    </w:p>
    <w:p w14:paraId="680900D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（1）项目区设置1间独立的、建筑面积为</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的</w:t>
      </w:r>
      <w:r>
        <w:rPr>
          <w:rFonts w:hint="default" w:ascii="Times New Roman" w:hAnsi="Times New Roman" w:cs="Times New Roman"/>
          <w:color w:val="auto"/>
          <w:sz w:val="24"/>
          <w:szCs w:val="24"/>
          <w:lang w:eastAsia="zh-CN"/>
        </w:rPr>
        <w:t>危废暂存间</w:t>
      </w:r>
      <w:r>
        <w:rPr>
          <w:rFonts w:hint="default" w:ascii="Times New Roman" w:hAnsi="Times New Roman" w:cs="Times New Roman"/>
          <w:color w:val="auto"/>
          <w:sz w:val="24"/>
          <w:szCs w:val="24"/>
        </w:rPr>
        <w:t>，设立明显标牌标识，地面硬化并采取防渗措施，危险废物经分类收集后统一暂存于</w:t>
      </w:r>
      <w:r>
        <w:rPr>
          <w:rFonts w:hint="default" w:ascii="Times New Roman" w:hAnsi="Times New Roman" w:cs="Times New Roman"/>
          <w:color w:val="auto"/>
          <w:sz w:val="24"/>
          <w:szCs w:val="24"/>
          <w:lang w:eastAsia="zh-CN"/>
        </w:rPr>
        <w:t>危废暂存间</w:t>
      </w:r>
      <w:r>
        <w:rPr>
          <w:rFonts w:hint="default" w:ascii="Times New Roman" w:hAnsi="Times New Roman" w:cs="Times New Roman"/>
          <w:color w:val="auto"/>
          <w:sz w:val="24"/>
          <w:szCs w:val="24"/>
        </w:rPr>
        <w:t>，严禁随意堆放、处置。</w:t>
      </w:r>
    </w:p>
    <w:p w14:paraId="314130F0">
      <w:pPr>
        <w:pStyle w:val="9"/>
        <w:keepNext w:val="0"/>
        <w:keepLines w:val="0"/>
        <w:pageBreakBefore w:val="0"/>
        <w:widowControl/>
        <w:wordWrap/>
        <w:overflowPunct/>
        <w:topLinePunct w:val="0"/>
        <w:autoSpaceDE w:val="0"/>
        <w:autoSpaceDN w:val="0"/>
        <w:bidi w:val="0"/>
        <w:adjustRightInd/>
        <w:snapToGrid/>
        <w:spacing w:line="360" w:lineRule="auto"/>
        <w:ind w:left="0" w:right="0" w:firstLine="491"/>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r>
        <w:rPr>
          <w:rFonts w:hint="default" w:ascii="Times New Roman" w:hAnsi="Times New Roman" w:eastAsia="Times New Roman" w:cs="Times New Roman"/>
          <w:color w:val="auto"/>
          <w:sz w:val="24"/>
          <w:szCs w:val="24"/>
        </w:rPr>
        <w:t>2</w:t>
      </w:r>
      <w:r>
        <w:rPr>
          <w:rFonts w:hint="default" w:ascii="Times New Roman" w:hAnsi="Times New Roman" w:cs="Times New Roman"/>
          <w:color w:val="auto"/>
          <w:sz w:val="24"/>
          <w:szCs w:val="24"/>
        </w:rPr>
        <w:t>）定期对柴</w:t>
      </w:r>
      <w:r>
        <w:rPr>
          <w:rFonts w:hint="default" w:ascii="Times New Roman" w:hAnsi="Times New Roman" w:eastAsia="宋体" w:cs="Times New Roman"/>
          <w:color w:val="auto"/>
          <w:sz w:val="24"/>
          <w:szCs w:val="24"/>
          <w:lang w:val="en-US" w:eastAsia="zh-CN"/>
        </w:rPr>
        <w:t>油箱</w:t>
      </w:r>
      <w:r>
        <w:rPr>
          <w:rFonts w:hint="default" w:ascii="Times New Roman" w:hAnsi="Times New Roman" w:cs="Times New Roman"/>
          <w:color w:val="auto"/>
          <w:sz w:val="24"/>
          <w:szCs w:val="24"/>
        </w:rPr>
        <w:t>及机油桶进行巡查，定期进行设备维护和保养，若有容</w:t>
      </w:r>
      <w:r>
        <w:rPr>
          <w:rFonts w:hint="default" w:ascii="Times New Roman" w:hAnsi="Times New Roman" w:cs="Times New Roman"/>
          <w:color w:val="auto"/>
          <w:spacing w:val="-3"/>
          <w:sz w:val="24"/>
          <w:szCs w:val="24"/>
        </w:rPr>
        <w:t>器破损，及时更换，杜绝油品渗漏事故，防止对地表水、地下水、土壤环境造成</w:t>
      </w:r>
      <w:r>
        <w:rPr>
          <w:rFonts w:hint="default" w:ascii="Times New Roman" w:hAnsi="Times New Roman" w:cs="Times New Roman"/>
          <w:color w:val="auto"/>
          <w:spacing w:val="-4"/>
          <w:sz w:val="24"/>
          <w:szCs w:val="24"/>
        </w:rPr>
        <w:t>影响。</w:t>
      </w:r>
    </w:p>
    <w:p w14:paraId="5951225E">
      <w:pPr>
        <w:pStyle w:val="9"/>
        <w:spacing w:line="359" w:lineRule="auto"/>
        <w:ind w:left="20" w:right="200" w:firstLine="492"/>
        <w:rPr>
          <w:color w:val="auto"/>
          <w:sz w:val="24"/>
          <w:szCs w:val="24"/>
        </w:rPr>
      </w:pPr>
      <w:r>
        <w:rPr>
          <w:color w:val="auto"/>
          <w:sz w:val="24"/>
          <w:szCs w:val="24"/>
        </w:rPr>
        <w:t>（</w:t>
      </w:r>
      <w:r>
        <w:rPr>
          <w:rFonts w:ascii="Times New Roman" w:hAnsi="Times New Roman" w:eastAsia="Times New Roman" w:cs="Times New Roman"/>
          <w:color w:val="auto"/>
          <w:sz w:val="24"/>
          <w:szCs w:val="24"/>
        </w:rPr>
        <w:t>3</w:t>
      </w:r>
      <w:r>
        <w:rPr>
          <w:color w:val="auto"/>
          <w:sz w:val="24"/>
          <w:szCs w:val="24"/>
        </w:rPr>
        <w:t>）危险废物及时交由有资质的单位进行处置，同时设置相关台账，严格</w:t>
      </w:r>
      <w:r>
        <w:rPr>
          <w:color w:val="auto"/>
          <w:spacing w:val="-1"/>
          <w:sz w:val="24"/>
          <w:szCs w:val="24"/>
        </w:rPr>
        <w:t>记录危险废物的产生及处置情况。禁止在项目内大量堆存。</w:t>
      </w:r>
    </w:p>
    <w:p w14:paraId="02EC5BF6">
      <w:pPr>
        <w:pStyle w:val="9"/>
        <w:spacing w:before="1" w:line="361" w:lineRule="auto"/>
        <w:ind w:left="23" w:right="200" w:firstLine="488"/>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4</w:t>
      </w:r>
      <w:r>
        <w:rPr>
          <w:color w:val="auto"/>
          <w:spacing w:val="-1"/>
          <w:sz w:val="24"/>
          <w:szCs w:val="24"/>
        </w:rPr>
        <w:t>）按照《危险废物贮存污染控制标准》（</w:t>
      </w:r>
      <w:r>
        <w:rPr>
          <w:rFonts w:ascii="Times New Roman" w:hAnsi="Times New Roman" w:eastAsia="Times New Roman" w:cs="Times New Roman"/>
          <w:color w:val="auto"/>
          <w:spacing w:val="-1"/>
          <w:sz w:val="24"/>
          <w:szCs w:val="24"/>
        </w:rPr>
        <w:t>GB</w:t>
      </w:r>
      <w:r>
        <w:rPr>
          <w:rFonts w:ascii="Times New Roman" w:hAnsi="Times New Roman" w:eastAsia="Times New Roman" w:cs="Times New Roman"/>
          <w:color w:val="auto"/>
          <w:spacing w:val="29"/>
          <w:w w:val="101"/>
          <w:sz w:val="24"/>
          <w:szCs w:val="24"/>
        </w:rPr>
        <w:t xml:space="preserve"> </w:t>
      </w:r>
      <w:r>
        <w:rPr>
          <w:rFonts w:ascii="Times New Roman" w:hAnsi="Times New Roman" w:eastAsia="Times New Roman" w:cs="Times New Roman"/>
          <w:color w:val="auto"/>
          <w:spacing w:val="-2"/>
          <w:sz w:val="24"/>
          <w:szCs w:val="24"/>
        </w:rPr>
        <w:t>18597</w:t>
      </w:r>
      <w:r>
        <w:rPr>
          <w:color w:val="auto"/>
          <w:spacing w:val="-2"/>
          <w:sz w:val="24"/>
          <w:szCs w:val="24"/>
        </w:rPr>
        <w:t>—</w:t>
      </w:r>
      <w:r>
        <w:rPr>
          <w:rFonts w:ascii="Times New Roman" w:hAnsi="Times New Roman" w:eastAsia="Times New Roman" w:cs="Times New Roman"/>
          <w:color w:val="auto"/>
          <w:spacing w:val="-2"/>
          <w:sz w:val="24"/>
          <w:szCs w:val="24"/>
        </w:rPr>
        <w:t>2023</w:t>
      </w:r>
      <w:r>
        <w:rPr>
          <w:color w:val="auto"/>
          <w:spacing w:val="-2"/>
          <w:sz w:val="24"/>
          <w:szCs w:val="24"/>
        </w:rPr>
        <w:t>）中相关要求</w:t>
      </w:r>
      <w:r>
        <w:rPr>
          <w:rFonts w:hint="eastAsia" w:eastAsia="宋体"/>
          <w:color w:val="auto"/>
          <w:spacing w:val="-1"/>
          <w:sz w:val="24"/>
          <w:szCs w:val="24"/>
          <w:lang w:eastAsia="zh-CN"/>
        </w:rPr>
        <w:t>危废暂存间</w:t>
      </w:r>
      <w:r>
        <w:rPr>
          <w:color w:val="auto"/>
          <w:spacing w:val="-1"/>
          <w:sz w:val="24"/>
          <w:szCs w:val="24"/>
        </w:rPr>
        <w:t>采取防渗、防腐、防雨和防流失措施。</w:t>
      </w:r>
    </w:p>
    <w:p w14:paraId="696CFD65">
      <w:pPr>
        <w:pStyle w:val="9"/>
        <w:spacing w:before="1" w:line="219" w:lineRule="auto"/>
        <w:ind w:left="21"/>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4.7.6.</w:t>
      </w:r>
      <w:r>
        <w:rPr>
          <w:rFonts w:ascii="Times New Roman" w:hAnsi="Times New Roman" w:eastAsia="Times New Roman" w:cs="Times New Roman"/>
          <w:b/>
          <w:bCs/>
          <w:color w:val="auto"/>
          <w:spacing w:val="-2"/>
          <w:sz w:val="24"/>
          <w:szCs w:val="24"/>
        </w:rPr>
        <w:t xml:space="preserve">3 </w:t>
      </w:r>
      <w:r>
        <w:rPr>
          <w:b/>
          <w:bCs/>
          <w:color w:val="auto"/>
          <w:spacing w:val="-2"/>
          <w:sz w:val="24"/>
          <w:szCs w:val="24"/>
        </w:rPr>
        <w:t>铁路安全风险防范措施</w:t>
      </w:r>
    </w:p>
    <w:p w14:paraId="4386B126">
      <w:pPr>
        <w:pStyle w:val="9"/>
        <w:spacing w:before="206" w:line="359" w:lineRule="auto"/>
        <w:ind w:left="24" w:right="120" w:firstLine="487"/>
        <w:rPr>
          <w:color w:val="auto"/>
          <w:sz w:val="24"/>
          <w:szCs w:val="24"/>
        </w:rPr>
      </w:pPr>
      <w:r>
        <w:rPr>
          <w:color w:val="auto"/>
          <w:spacing w:val="-4"/>
          <w:sz w:val="24"/>
          <w:szCs w:val="24"/>
        </w:rPr>
        <w:t>（</w:t>
      </w:r>
      <w:r>
        <w:rPr>
          <w:rFonts w:ascii="Times New Roman" w:hAnsi="Times New Roman" w:eastAsia="Times New Roman" w:cs="Times New Roman"/>
          <w:color w:val="auto"/>
          <w:spacing w:val="-4"/>
          <w:sz w:val="24"/>
          <w:szCs w:val="24"/>
        </w:rPr>
        <w:t>1</w:t>
      </w:r>
      <w:r>
        <w:rPr>
          <w:color w:val="auto"/>
          <w:spacing w:val="-4"/>
          <w:sz w:val="24"/>
          <w:szCs w:val="24"/>
        </w:rPr>
        <w:t>）加强沿线路基、轨道构筑物等设施、</w:t>
      </w:r>
      <w:r>
        <w:rPr>
          <w:color w:val="auto"/>
          <w:spacing w:val="-5"/>
          <w:sz w:val="24"/>
          <w:szCs w:val="24"/>
        </w:rPr>
        <w:t>信号设备以及机车、车辆的检查、</w:t>
      </w:r>
      <w:r>
        <w:rPr>
          <w:color w:val="auto"/>
          <w:spacing w:val="-1"/>
          <w:sz w:val="24"/>
          <w:szCs w:val="24"/>
        </w:rPr>
        <w:t>维护工作，以保证其经常处于安全、完好状态。</w:t>
      </w:r>
    </w:p>
    <w:p w14:paraId="20E5584F">
      <w:pPr>
        <w:pStyle w:val="9"/>
        <w:spacing w:before="2" w:line="361" w:lineRule="auto"/>
        <w:ind w:left="22" w:right="200" w:firstLine="490"/>
        <w:rPr>
          <w:color w:val="auto"/>
          <w:sz w:val="24"/>
          <w:szCs w:val="24"/>
        </w:rPr>
      </w:pPr>
      <w:r>
        <w:rPr>
          <w:color w:val="auto"/>
          <w:sz w:val="24"/>
          <w:szCs w:val="24"/>
        </w:rPr>
        <w:t>（</w:t>
      </w:r>
      <w:r>
        <w:rPr>
          <w:rFonts w:ascii="Times New Roman" w:hAnsi="Times New Roman" w:eastAsia="Times New Roman" w:cs="Times New Roman"/>
          <w:color w:val="auto"/>
          <w:sz w:val="24"/>
          <w:szCs w:val="24"/>
        </w:rPr>
        <w:t>2</w:t>
      </w:r>
      <w:r>
        <w:rPr>
          <w:color w:val="auto"/>
          <w:sz w:val="24"/>
          <w:szCs w:val="24"/>
        </w:rPr>
        <w:t>）加强员工管理和培训，避免野蛮装卸货物，员工操作不当造成列车脱</w:t>
      </w:r>
      <w:r>
        <w:rPr>
          <w:color w:val="auto"/>
          <w:spacing w:val="-1"/>
          <w:sz w:val="24"/>
          <w:szCs w:val="24"/>
        </w:rPr>
        <w:t>轨、翻车事故的发生，以免货物落入水体造成污染。</w:t>
      </w:r>
    </w:p>
    <w:p w14:paraId="69861727">
      <w:pPr>
        <w:pStyle w:val="9"/>
        <w:spacing w:before="198" w:line="221" w:lineRule="auto"/>
        <w:ind w:left="21"/>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4.7.6.</w:t>
      </w:r>
      <w:r>
        <w:rPr>
          <w:rFonts w:ascii="Times New Roman" w:hAnsi="Times New Roman" w:eastAsia="Times New Roman" w:cs="Times New Roman"/>
          <w:b/>
          <w:bCs/>
          <w:color w:val="auto"/>
          <w:spacing w:val="-2"/>
          <w:sz w:val="24"/>
          <w:szCs w:val="24"/>
        </w:rPr>
        <w:t xml:space="preserve">4 </w:t>
      </w:r>
      <w:r>
        <w:rPr>
          <w:b/>
          <w:bCs/>
          <w:color w:val="auto"/>
          <w:spacing w:val="-2"/>
          <w:sz w:val="24"/>
          <w:szCs w:val="24"/>
        </w:rPr>
        <w:t>其他风险防范措施</w:t>
      </w:r>
    </w:p>
    <w:p w14:paraId="18BE089F">
      <w:pPr>
        <w:pStyle w:val="9"/>
        <w:spacing w:before="204" w:line="359" w:lineRule="auto"/>
        <w:ind w:left="33" w:right="11" w:firstLine="479"/>
        <w:rPr>
          <w:color w:val="auto"/>
          <w:sz w:val="24"/>
          <w:szCs w:val="24"/>
        </w:rPr>
      </w:pPr>
      <w:r>
        <w:rPr>
          <w:color w:val="auto"/>
          <w:sz w:val="24"/>
          <w:szCs w:val="24"/>
        </w:rPr>
        <w:t>（</w:t>
      </w:r>
      <w:r>
        <w:rPr>
          <w:rFonts w:ascii="Times New Roman" w:hAnsi="Times New Roman" w:eastAsia="Times New Roman" w:cs="Times New Roman"/>
          <w:color w:val="auto"/>
          <w:sz w:val="24"/>
          <w:szCs w:val="24"/>
        </w:rPr>
        <w:t>1</w:t>
      </w:r>
      <w:r>
        <w:rPr>
          <w:color w:val="auto"/>
          <w:sz w:val="24"/>
          <w:szCs w:val="24"/>
        </w:rPr>
        <w:t>）厂区内的环境风险应急物资有专人管理，设置在明显和便于取用的地</w:t>
      </w:r>
      <w:r>
        <w:rPr>
          <w:color w:val="auto"/>
          <w:spacing w:val="-2"/>
          <w:sz w:val="24"/>
          <w:szCs w:val="24"/>
        </w:rPr>
        <w:t>点，周围不准存放其他物品。</w:t>
      </w:r>
    </w:p>
    <w:p w14:paraId="1A883D20">
      <w:pPr>
        <w:pStyle w:val="9"/>
        <w:spacing w:line="359" w:lineRule="auto"/>
        <w:ind w:left="23" w:right="11" w:firstLine="488"/>
        <w:rPr>
          <w:color w:val="auto"/>
          <w:sz w:val="24"/>
          <w:szCs w:val="24"/>
        </w:rPr>
      </w:pPr>
      <w:r>
        <w:rPr>
          <w:color w:val="auto"/>
          <w:sz w:val="24"/>
          <w:szCs w:val="24"/>
        </w:rPr>
        <w:t>（</w:t>
      </w:r>
      <w:r>
        <w:rPr>
          <w:rFonts w:ascii="Times New Roman" w:hAnsi="Times New Roman" w:eastAsia="Times New Roman" w:cs="Times New Roman"/>
          <w:color w:val="auto"/>
          <w:sz w:val="24"/>
          <w:szCs w:val="24"/>
        </w:rPr>
        <w:t>2</w:t>
      </w:r>
      <w:r>
        <w:rPr>
          <w:color w:val="auto"/>
          <w:sz w:val="24"/>
          <w:szCs w:val="24"/>
        </w:rPr>
        <w:t>）消防通道始终保持畅通无阻。厂内的消防栓定期检修，防止堵塞，保</w:t>
      </w:r>
      <w:r>
        <w:rPr>
          <w:color w:val="auto"/>
          <w:spacing w:val="-1"/>
          <w:sz w:val="24"/>
          <w:szCs w:val="24"/>
        </w:rPr>
        <w:t>持其处于正常的可使用的状态。</w:t>
      </w:r>
    </w:p>
    <w:p w14:paraId="65C37902">
      <w:pPr>
        <w:pStyle w:val="9"/>
        <w:spacing w:before="1" w:line="361" w:lineRule="auto"/>
        <w:ind w:left="22" w:right="11" w:firstLine="490"/>
        <w:rPr>
          <w:color w:val="auto"/>
          <w:sz w:val="24"/>
          <w:szCs w:val="24"/>
        </w:rPr>
      </w:pPr>
      <w:r>
        <w:rPr>
          <w:color w:val="auto"/>
          <w:sz w:val="24"/>
          <w:szCs w:val="24"/>
        </w:rPr>
        <w:t>（</w:t>
      </w:r>
      <w:r>
        <w:rPr>
          <w:rFonts w:ascii="Times New Roman" w:hAnsi="Times New Roman" w:eastAsia="Times New Roman" w:cs="Times New Roman"/>
          <w:color w:val="auto"/>
          <w:sz w:val="24"/>
          <w:szCs w:val="24"/>
        </w:rPr>
        <w:t>3</w:t>
      </w:r>
      <w:r>
        <w:rPr>
          <w:color w:val="auto"/>
          <w:sz w:val="24"/>
          <w:szCs w:val="24"/>
        </w:rPr>
        <w:t>）加强环境风险应急救援、消防灭火知识的教育，使每位职工都会正确</w:t>
      </w:r>
      <w:r>
        <w:rPr>
          <w:color w:val="auto"/>
          <w:spacing w:val="-1"/>
          <w:sz w:val="24"/>
          <w:szCs w:val="24"/>
        </w:rPr>
        <w:t>使用应急救援物资、消防器材等。</w:t>
      </w:r>
    </w:p>
    <w:p w14:paraId="6CC89FE5">
      <w:pPr>
        <w:pStyle w:val="9"/>
        <w:keepNext w:val="0"/>
        <w:keepLines w:val="0"/>
        <w:pageBreakBefore w:val="0"/>
        <w:widowControl/>
        <w:kinsoku w:val="0"/>
        <w:wordWrap/>
        <w:overflowPunct/>
        <w:topLinePunct w:val="0"/>
        <w:autoSpaceDE w:val="0"/>
        <w:autoSpaceDN w:val="0"/>
        <w:bidi w:val="0"/>
        <w:adjustRightInd w:val="0"/>
        <w:snapToGrid w:val="0"/>
        <w:spacing w:before="97" w:line="219" w:lineRule="auto"/>
        <w:ind w:left="119"/>
        <w:textAlignment w:val="baseline"/>
        <w:outlineLvl w:val="2"/>
        <w:rPr>
          <w:rFonts w:hint="eastAsia" w:ascii="Times New Roman" w:hAnsi="Times New Roman" w:eastAsia="宋体" w:cs="Times New Roman"/>
          <w:b/>
          <w:bCs/>
          <w:color w:val="auto"/>
          <w:spacing w:val="-2"/>
          <w:sz w:val="24"/>
          <w:szCs w:val="24"/>
          <w:lang w:val="en-US" w:eastAsia="zh-CN"/>
        </w:rPr>
      </w:pPr>
      <w:bookmarkStart w:id="180" w:name="bookmark44"/>
      <w:bookmarkEnd w:id="180"/>
      <w:bookmarkStart w:id="181" w:name="_Toc10275"/>
      <w:r>
        <w:rPr>
          <w:rFonts w:hint="eastAsia" w:ascii="Times New Roman" w:hAnsi="Times New Roman" w:eastAsia="宋体" w:cs="Times New Roman"/>
          <w:b/>
          <w:bCs/>
          <w:color w:val="auto"/>
          <w:spacing w:val="-2"/>
          <w:sz w:val="24"/>
          <w:szCs w:val="24"/>
          <w:lang w:val="en-US" w:eastAsia="zh-CN"/>
        </w:rPr>
        <w:t>4.7.7 风险发生后的措施</w:t>
      </w:r>
      <w:bookmarkEnd w:id="181"/>
    </w:p>
    <w:p w14:paraId="2CFD7247">
      <w:pPr>
        <w:pStyle w:val="9"/>
        <w:keepNext w:val="0"/>
        <w:keepLines w:val="0"/>
        <w:pageBreakBefore w:val="0"/>
        <w:widowControl/>
        <w:kinsoku w:val="0"/>
        <w:wordWrap/>
        <w:overflowPunct/>
        <w:topLinePunct w:val="0"/>
        <w:autoSpaceDE w:val="0"/>
        <w:autoSpaceDN w:val="0"/>
        <w:bidi w:val="0"/>
        <w:adjustRightInd/>
        <w:snapToGrid/>
        <w:spacing w:line="360" w:lineRule="auto"/>
        <w:ind w:left="504" w:right="0"/>
        <w:textAlignment w:val="baseline"/>
        <w:rPr>
          <w:color w:val="auto"/>
          <w:sz w:val="24"/>
          <w:szCs w:val="24"/>
        </w:rPr>
      </w:pPr>
      <w:r>
        <w:rPr>
          <w:color w:val="auto"/>
          <w:spacing w:val="-1"/>
          <w:sz w:val="24"/>
          <w:szCs w:val="24"/>
        </w:rPr>
        <w:t>发生泄漏时可参照下述应急措施。</w:t>
      </w:r>
    </w:p>
    <w:p w14:paraId="5FC75749">
      <w:pPr>
        <w:pStyle w:val="9"/>
        <w:keepNext w:val="0"/>
        <w:keepLines w:val="0"/>
        <w:pageBreakBefore w:val="0"/>
        <w:widowControl/>
        <w:kinsoku w:val="0"/>
        <w:wordWrap/>
        <w:overflowPunct/>
        <w:topLinePunct w:val="0"/>
        <w:autoSpaceDE w:val="0"/>
        <w:autoSpaceDN w:val="0"/>
        <w:bidi w:val="0"/>
        <w:adjustRightInd/>
        <w:snapToGrid/>
        <w:spacing w:line="360" w:lineRule="auto"/>
        <w:ind w:left="22" w:right="0" w:firstLine="489"/>
        <w:textAlignment w:val="baseline"/>
        <w:rPr>
          <w:color w:val="auto"/>
          <w:sz w:val="24"/>
          <w:szCs w:val="24"/>
        </w:rPr>
      </w:pPr>
      <w:r>
        <w:rPr>
          <w:color w:val="auto"/>
          <w:sz w:val="24"/>
          <w:szCs w:val="24"/>
        </w:rPr>
        <w:t>（</w:t>
      </w:r>
      <w:r>
        <w:rPr>
          <w:rFonts w:ascii="Times New Roman" w:hAnsi="Times New Roman" w:eastAsia="Times New Roman" w:cs="Times New Roman"/>
          <w:color w:val="auto"/>
          <w:sz w:val="24"/>
          <w:szCs w:val="24"/>
        </w:rPr>
        <w:t>1</w:t>
      </w:r>
      <w:r>
        <w:rPr>
          <w:color w:val="auto"/>
          <w:sz w:val="24"/>
          <w:szCs w:val="24"/>
        </w:rPr>
        <w:t>）发现泄漏事故者应立即向生产调度室，说明事故发</w:t>
      </w:r>
      <w:r>
        <w:rPr>
          <w:color w:val="auto"/>
          <w:spacing w:val="-3"/>
          <w:sz w:val="24"/>
          <w:szCs w:val="24"/>
        </w:rPr>
        <w:t>生地点及部位，并积极采取一切有效措施减少泄漏或想办法切断泄漏源；启动应急预案。</w:t>
      </w:r>
    </w:p>
    <w:p w14:paraId="345528DF">
      <w:pPr>
        <w:pStyle w:val="9"/>
        <w:keepNext w:val="0"/>
        <w:keepLines w:val="0"/>
        <w:pageBreakBefore w:val="0"/>
        <w:widowControl/>
        <w:kinsoku w:val="0"/>
        <w:wordWrap/>
        <w:overflowPunct/>
        <w:topLinePunct w:val="0"/>
        <w:autoSpaceDE w:val="0"/>
        <w:autoSpaceDN w:val="0"/>
        <w:bidi w:val="0"/>
        <w:adjustRightInd/>
        <w:snapToGrid/>
        <w:spacing w:line="360" w:lineRule="auto"/>
        <w:ind w:left="21" w:right="0" w:firstLine="491"/>
        <w:textAlignment w:val="baseline"/>
        <w:rPr>
          <w:color w:val="auto"/>
          <w:sz w:val="24"/>
          <w:szCs w:val="24"/>
        </w:rPr>
      </w:pPr>
      <w:r>
        <w:rPr>
          <w:color w:val="auto"/>
          <w:sz w:val="24"/>
          <w:szCs w:val="24"/>
        </w:rPr>
        <w:t>（</w:t>
      </w:r>
      <w:r>
        <w:rPr>
          <w:rFonts w:ascii="Times New Roman" w:hAnsi="Times New Roman" w:eastAsia="Times New Roman" w:cs="Times New Roman"/>
          <w:color w:val="auto"/>
          <w:sz w:val="24"/>
          <w:szCs w:val="24"/>
        </w:rPr>
        <w:t>2</w:t>
      </w:r>
      <w:r>
        <w:rPr>
          <w:color w:val="auto"/>
          <w:sz w:val="24"/>
          <w:szCs w:val="24"/>
        </w:rPr>
        <w:t>）生产调度室在接到报警后，应根据事故大小迅速通知指挥部成员及各</w:t>
      </w:r>
      <w:r>
        <w:rPr>
          <w:color w:val="auto"/>
          <w:spacing w:val="-3"/>
          <w:sz w:val="24"/>
          <w:szCs w:val="24"/>
        </w:rPr>
        <w:t>救援专业队伍前往事故现场。应迅速查明泄漏部位，立即向救援指挥部报告，并</w:t>
      </w:r>
      <w:r>
        <w:rPr>
          <w:color w:val="auto"/>
          <w:spacing w:val="-1"/>
          <w:sz w:val="24"/>
          <w:szCs w:val="24"/>
        </w:rPr>
        <w:t>做好抢险抢修及紧急停车的准备工作。</w:t>
      </w:r>
    </w:p>
    <w:p w14:paraId="00A0A085">
      <w:pPr>
        <w:pStyle w:val="9"/>
        <w:keepNext w:val="0"/>
        <w:keepLines w:val="0"/>
        <w:pageBreakBefore w:val="0"/>
        <w:widowControl/>
        <w:kinsoku w:val="0"/>
        <w:wordWrap/>
        <w:overflowPunct/>
        <w:topLinePunct w:val="0"/>
        <w:autoSpaceDE w:val="0"/>
        <w:autoSpaceDN w:val="0"/>
        <w:bidi w:val="0"/>
        <w:adjustRightInd/>
        <w:snapToGrid/>
        <w:spacing w:line="360" w:lineRule="auto"/>
        <w:ind w:left="22" w:right="0" w:firstLine="489"/>
        <w:textAlignment w:val="baseline"/>
        <w:rPr>
          <w:color w:val="auto"/>
          <w:sz w:val="24"/>
          <w:szCs w:val="24"/>
        </w:rPr>
      </w:pPr>
      <w:r>
        <w:rPr>
          <w:color w:val="auto"/>
          <w:sz w:val="24"/>
          <w:szCs w:val="24"/>
        </w:rPr>
        <w:t>（</w:t>
      </w:r>
      <w:r>
        <w:rPr>
          <w:rFonts w:hint="eastAsia" w:ascii="Times New Roman" w:hAnsi="Times New Roman" w:eastAsia="宋体" w:cs="Times New Roman"/>
          <w:color w:val="auto"/>
          <w:sz w:val="24"/>
          <w:szCs w:val="24"/>
          <w:lang w:val="en-US" w:eastAsia="zh-CN"/>
        </w:rPr>
        <w:t>3</w:t>
      </w:r>
      <w:r>
        <w:rPr>
          <w:color w:val="auto"/>
          <w:sz w:val="24"/>
          <w:szCs w:val="24"/>
        </w:rPr>
        <w:t>）指挥部成员到达现场后，根据事故状况及危害程度、下达相应的应急</w:t>
      </w:r>
      <w:r>
        <w:rPr>
          <w:color w:val="auto"/>
          <w:spacing w:val="-3"/>
          <w:sz w:val="24"/>
          <w:szCs w:val="24"/>
        </w:rPr>
        <w:t>救援命令。如大量泄漏，一时难以控制，迅速通过广播或其他方式有序地疏散处于危险区的员工及群众，或指导其采取简易有效的保护措施。如扩散危及厂外人员安全时，应迅速组织有关人员协助地方政府，疏散污染范围内的居民及其他人员。并按专业分工向主管部门报告，如持续时间长，应随时将事故变化及处理情</w:t>
      </w:r>
      <w:r>
        <w:rPr>
          <w:color w:val="auto"/>
          <w:spacing w:val="-1"/>
          <w:sz w:val="24"/>
          <w:szCs w:val="24"/>
        </w:rPr>
        <w:t>况简要报告上级部门，必要时应请求支援。</w:t>
      </w:r>
    </w:p>
    <w:p w14:paraId="33893E6D">
      <w:pPr>
        <w:pStyle w:val="9"/>
        <w:keepNext w:val="0"/>
        <w:keepLines w:val="0"/>
        <w:pageBreakBefore w:val="0"/>
        <w:widowControl/>
        <w:kinsoku w:val="0"/>
        <w:wordWrap/>
        <w:overflowPunct/>
        <w:topLinePunct w:val="0"/>
        <w:autoSpaceDE w:val="0"/>
        <w:autoSpaceDN w:val="0"/>
        <w:bidi w:val="0"/>
        <w:adjustRightInd/>
        <w:snapToGrid/>
        <w:spacing w:line="360" w:lineRule="auto"/>
        <w:ind w:left="22" w:right="0" w:firstLine="490"/>
        <w:textAlignment w:val="baseline"/>
        <w:rPr>
          <w:color w:val="auto"/>
          <w:sz w:val="24"/>
          <w:szCs w:val="24"/>
        </w:rPr>
      </w:pPr>
      <w:r>
        <w:rPr>
          <w:color w:val="auto"/>
          <w:spacing w:val="-3"/>
          <w:sz w:val="24"/>
          <w:szCs w:val="24"/>
        </w:rPr>
        <w:t>（</w:t>
      </w:r>
      <w:r>
        <w:rPr>
          <w:rFonts w:hint="eastAsia" w:ascii="Times New Roman" w:hAnsi="Times New Roman" w:eastAsia="宋体" w:cs="Times New Roman"/>
          <w:color w:val="auto"/>
          <w:spacing w:val="-3"/>
          <w:sz w:val="24"/>
          <w:szCs w:val="24"/>
          <w:lang w:val="en-US" w:eastAsia="zh-CN"/>
        </w:rPr>
        <w:t>4</w:t>
      </w:r>
      <w:r>
        <w:rPr>
          <w:color w:val="auto"/>
          <w:spacing w:val="-3"/>
          <w:sz w:val="24"/>
          <w:szCs w:val="24"/>
        </w:rPr>
        <w:t>）环保人员到达事故现场后，查明泄漏浓度和扩散</w:t>
      </w:r>
      <w:r>
        <w:rPr>
          <w:color w:val="auto"/>
          <w:spacing w:val="-4"/>
          <w:sz w:val="24"/>
          <w:szCs w:val="24"/>
        </w:rPr>
        <w:t>情况，必要时报告地</w:t>
      </w:r>
      <w:r>
        <w:rPr>
          <w:color w:val="auto"/>
          <w:spacing w:val="-2"/>
          <w:sz w:val="24"/>
          <w:szCs w:val="24"/>
        </w:rPr>
        <w:t>方</w:t>
      </w:r>
      <w:r>
        <w:rPr>
          <w:rFonts w:hint="eastAsia" w:eastAsia="宋体"/>
          <w:color w:val="auto"/>
          <w:spacing w:val="-2"/>
          <w:sz w:val="24"/>
          <w:szCs w:val="24"/>
          <w:lang w:eastAsia="zh-CN"/>
        </w:rPr>
        <w:t>生态环境部门</w:t>
      </w:r>
      <w:r>
        <w:rPr>
          <w:color w:val="auto"/>
          <w:spacing w:val="-2"/>
          <w:sz w:val="24"/>
          <w:szCs w:val="24"/>
        </w:rPr>
        <w:t>。</w:t>
      </w:r>
    </w:p>
    <w:p w14:paraId="15D5557F">
      <w:pPr>
        <w:pStyle w:val="9"/>
        <w:keepNext w:val="0"/>
        <w:keepLines w:val="0"/>
        <w:pageBreakBefore w:val="0"/>
        <w:widowControl/>
        <w:kinsoku w:val="0"/>
        <w:wordWrap/>
        <w:overflowPunct/>
        <w:topLinePunct w:val="0"/>
        <w:autoSpaceDE w:val="0"/>
        <w:autoSpaceDN w:val="0"/>
        <w:bidi w:val="0"/>
        <w:adjustRightInd/>
        <w:snapToGrid/>
        <w:spacing w:line="360" w:lineRule="auto"/>
        <w:ind w:left="21" w:right="0" w:firstLine="491"/>
        <w:textAlignment w:val="baseline"/>
        <w:rPr>
          <w:color w:val="auto"/>
          <w:sz w:val="24"/>
          <w:szCs w:val="24"/>
        </w:rPr>
      </w:pPr>
      <w:r>
        <w:rPr>
          <w:color w:val="auto"/>
          <w:spacing w:val="-3"/>
          <w:sz w:val="24"/>
          <w:szCs w:val="24"/>
        </w:rPr>
        <w:t>（</w:t>
      </w:r>
      <w:r>
        <w:rPr>
          <w:rFonts w:hint="eastAsia" w:ascii="Times New Roman" w:hAnsi="Times New Roman" w:eastAsia="宋体" w:cs="Times New Roman"/>
          <w:color w:val="auto"/>
          <w:spacing w:val="-3"/>
          <w:sz w:val="24"/>
          <w:szCs w:val="24"/>
          <w:lang w:val="en-US" w:eastAsia="zh-CN"/>
        </w:rPr>
        <w:t>5</w:t>
      </w:r>
      <w:r>
        <w:rPr>
          <w:color w:val="auto"/>
          <w:spacing w:val="-3"/>
          <w:sz w:val="24"/>
          <w:szCs w:val="24"/>
        </w:rPr>
        <w:t>）当事故得到控制后，应迅速开展如下工作：成立</w:t>
      </w:r>
      <w:r>
        <w:rPr>
          <w:color w:val="auto"/>
          <w:spacing w:val="-4"/>
          <w:sz w:val="24"/>
          <w:szCs w:val="24"/>
        </w:rPr>
        <w:t>由总经理或公司分管</w:t>
      </w:r>
      <w:r>
        <w:rPr>
          <w:color w:val="auto"/>
          <w:spacing w:val="-3"/>
          <w:sz w:val="24"/>
          <w:szCs w:val="24"/>
        </w:rPr>
        <w:t>领导任组长，安全、环保、保卫生产技术部门和发生事故的车间组成的事故调查小组，查明事故原因，总结经验教训，落实防范措施，尽快恢复生产。成立由公司分管领导任组长，由设备部、技术部门组成的抢修小组，研究抢修方案，尽快</w:t>
      </w:r>
      <w:r>
        <w:rPr>
          <w:color w:val="auto"/>
          <w:spacing w:val="-8"/>
          <w:sz w:val="24"/>
          <w:szCs w:val="24"/>
        </w:rPr>
        <w:t>组织抢险抢修，防止事故扩大，减少损失，总结抢险抢修经验。按事故报告程序，</w:t>
      </w:r>
      <w:r>
        <w:rPr>
          <w:color w:val="auto"/>
          <w:sz w:val="24"/>
          <w:szCs w:val="24"/>
        </w:rPr>
        <w:t>逐级向上级主管部门报告，协助上级部门开展事故</w:t>
      </w:r>
      <w:r>
        <w:rPr>
          <w:color w:val="auto"/>
          <w:spacing w:val="-1"/>
          <w:sz w:val="24"/>
          <w:szCs w:val="24"/>
        </w:rPr>
        <w:t>调查，并做好善后工作。</w:t>
      </w:r>
    </w:p>
    <w:p w14:paraId="46606689">
      <w:pPr>
        <w:pStyle w:val="9"/>
        <w:keepNext w:val="0"/>
        <w:keepLines w:val="0"/>
        <w:pageBreakBefore w:val="0"/>
        <w:widowControl/>
        <w:kinsoku w:val="0"/>
        <w:wordWrap/>
        <w:overflowPunct/>
        <w:topLinePunct w:val="0"/>
        <w:autoSpaceDE w:val="0"/>
        <w:autoSpaceDN w:val="0"/>
        <w:bidi w:val="0"/>
        <w:adjustRightInd w:val="0"/>
        <w:snapToGrid w:val="0"/>
        <w:spacing w:before="97" w:line="219" w:lineRule="auto"/>
        <w:ind w:left="119"/>
        <w:textAlignment w:val="baseline"/>
        <w:outlineLvl w:val="2"/>
        <w:rPr>
          <w:rFonts w:hint="eastAsia" w:ascii="Times New Roman" w:hAnsi="Times New Roman" w:eastAsia="宋体" w:cs="Times New Roman"/>
          <w:b/>
          <w:bCs/>
          <w:color w:val="auto"/>
          <w:spacing w:val="-2"/>
          <w:sz w:val="24"/>
          <w:szCs w:val="24"/>
          <w:lang w:val="en-US" w:eastAsia="zh-CN"/>
        </w:rPr>
      </w:pPr>
      <w:bookmarkStart w:id="182" w:name="bookmark45"/>
      <w:bookmarkEnd w:id="182"/>
      <w:bookmarkStart w:id="183" w:name="_Toc30969"/>
      <w:r>
        <w:rPr>
          <w:rFonts w:hint="eastAsia" w:ascii="Times New Roman" w:hAnsi="Times New Roman" w:eastAsia="宋体" w:cs="Times New Roman"/>
          <w:b/>
          <w:bCs/>
          <w:color w:val="auto"/>
          <w:spacing w:val="-2"/>
          <w:sz w:val="24"/>
          <w:szCs w:val="24"/>
          <w:lang w:val="en-US" w:eastAsia="zh-CN"/>
        </w:rPr>
        <w:t>4.7.8 应急预案</w:t>
      </w:r>
      <w:bookmarkEnd w:id="183"/>
    </w:p>
    <w:p w14:paraId="3DA0704A">
      <w:pPr>
        <w:pStyle w:val="9"/>
        <w:keepNext w:val="0"/>
        <w:keepLines w:val="0"/>
        <w:pageBreakBefore w:val="0"/>
        <w:widowControl/>
        <w:kinsoku w:val="0"/>
        <w:wordWrap/>
        <w:overflowPunct/>
        <w:topLinePunct w:val="0"/>
        <w:autoSpaceDE w:val="0"/>
        <w:autoSpaceDN w:val="0"/>
        <w:bidi w:val="0"/>
        <w:adjustRightInd/>
        <w:snapToGrid/>
        <w:spacing w:before="214" w:line="360" w:lineRule="auto"/>
        <w:ind w:left="21" w:firstLine="482"/>
        <w:jc w:val="both"/>
        <w:textAlignment w:val="baseline"/>
        <w:rPr>
          <w:color w:val="auto"/>
          <w:sz w:val="24"/>
          <w:szCs w:val="24"/>
        </w:rPr>
      </w:pPr>
      <w:r>
        <w:rPr>
          <w:color w:val="auto"/>
          <w:spacing w:val="-8"/>
          <w:sz w:val="24"/>
          <w:szCs w:val="24"/>
        </w:rPr>
        <w:t>为预防和减少事故发生，规范灾难应急管理和应急响应程序，建立统一指挥、</w:t>
      </w:r>
      <w:r>
        <w:rPr>
          <w:color w:val="auto"/>
          <w:spacing w:val="-3"/>
          <w:sz w:val="24"/>
          <w:szCs w:val="24"/>
        </w:rPr>
        <w:t>分级负责、反应快捷的应急工作机制，及时有效地开展应急救援工作，</w:t>
      </w:r>
      <w:r>
        <w:rPr>
          <w:rFonts w:hint="eastAsia" w:eastAsia="宋体"/>
          <w:color w:val="auto"/>
          <w:spacing w:val="-3"/>
          <w:sz w:val="24"/>
          <w:szCs w:val="24"/>
          <w:lang w:eastAsia="zh-CN"/>
        </w:rPr>
        <w:t>最大限度减少人员伤亡</w:t>
      </w:r>
      <w:r>
        <w:rPr>
          <w:color w:val="auto"/>
          <w:spacing w:val="-1"/>
          <w:sz w:val="24"/>
          <w:szCs w:val="24"/>
        </w:rPr>
        <w:t>和财产损失，项目应根据《突发环境事件应急预案管理办法》、</w:t>
      </w:r>
      <w:r>
        <w:rPr>
          <w:color w:val="auto"/>
          <w:spacing w:val="-3"/>
          <w:sz w:val="24"/>
          <w:szCs w:val="24"/>
        </w:rPr>
        <w:t>《企业事业单位突发环境事件应急预案备案管理办法（试行）》及《企业突发环</w:t>
      </w:r>
      <w:r>
        <w:rPr>
          <w:color w:val="auto"/>
          <w:spacing w:val="-2"/>
          <w:sz w:val="24"/>
          <w:szCs w:val="24"/>
        </w:rPr>
        <w:t>境事件风险分级方法》（</w:t>
      </w:r>
      <w:r>
        <w:rPr>
          <w:rFonts w:ascii="Times New Roman" w:hAnsi="Times New Roman" w:eastAsia="Times New Roman" w:cs="Times New Roman"/>
          <w:color w:val="auto"/>
          <w:spacing w:val="-2"/>
          <w:sz w:val="24"/>
          <w:szCs w:val="24"/>
        </w:rPr>
        <w:t>HJ941-2018</w:t>
      </w:r>
      <w:r>
        <w:rPr>
          <w:color w:val="auto"/>
          <w:spacing w:val="-2"/>
          <w:sz w:val="24"/>
          <w:szCs w:val="24"/>
        </w:rPr>
        <w:t>）中相关要求，并根据实际情</w:t>
      </w:r>
      <w:r>
        <w:rPr>
          <w:color w:val="auto"/>
          <w:spacing w:val="-3"/>
          <w:sz w:val="24"/>
          <w:szCs w:val="24"/>
        </w:rPr>
        <w:t>况，编制本项</w:t>
      </w:r>
      <w:r>
        <w:rPr>
          <w:color w:val="auto"/>
          <w:spacing w:val="-1"/>
          <w:sz w:val="24"/>
          <w:szCs w:val="24"/>
        </w:rPr>
        <w:t>目《突发环境事件应急预案》，报当地行政主管部门进行备案。</w:t>
      </w:r>
    </w:p>
    <w:p w14:paraId="6CAA4A76">
      <w:pPr>
        <w:pStyle w:val="9"/>
        <w:keepNext w:val="0"/>
        <w:keepLines w:val="0"/>
        <w:pageBreakBefore w:val="0"/>
        <w:widowControl/>
        <w:kinsoku w:val="0"/>
        <w:wordWrap/>
        <w:overflowPunct/>
        <w:topLinePunct w:val="0"/>
        <w:autoSpaceDE w:val="0"/>
        <w:autoSpaceDN w:val="0"/>
        <w:bidi w:val="0"/>
        <w:adjustRightInd/>
        <w:snapToGrid/>
        <w:spacing w:before="97" w:line="360" w:lineRule="auto"/>
        <w:ind w:left="119"/>
        <w:textAlignment w:val="baseline"/>
        <w:outlineLvl w:val="2"/>
        <w:rPr>
          <w:rFonts w:hint="eastAsia" w:ascii="Times New Roman" w:hAnsi="Times New Roman" w:eastAsia="宋体" w:cs="Times New Roman"/>
          <w:b/>
          <w:bCs/>
          <w:color w:val="auto"/>
          <w:spacing w:val="-2"/>
          <w:sz w:val="24"/>
          <w:szCs w:val="24"/>
          <w:lang w:val="en-US" w:eastAsia="zh-CN"/>
        </w:rPr>
      </w:pPr>
      <w:bookmarkStart w:id="184" w:name="bookmark46"/>
      <w:bookmarkEnd w:id="184"/>
      <w:bookmarkStart w:id="185" w:name="_Toc7126"/>
      <w:r>
        <w:rPr>
          <w:rFonts w:hint="eastAsia" w:ascii="Times New Roman" w:hAnsi="Times New Roman" w:eastAsia="宋体" w:cs="Times New Roman"/>
          <w:b/>
          <w:bCs/>
          <w:color w:val="auto"/>
          <w:spacing w:val="-2"/>
          <w:sz w:val="24"/>
          <w:szCs w:val="24"/>
          <w:lang w:val="en-US" w:eastAsia="zh-CN"/>
        </w:rPr>
        <w:t>4.7.9 环境风险评价结论</w:t>
      </w:r>
      <w:bookmarkEnd w:id="185"/>
    </w:p>
    <w:p w14:paraId="514A91B7">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76" w:firstLineChars="200"/>
        <w:textAlignment w:val="baseline"/>
        <w:rPr>
          <w:color w:val="auto"/>
          <w:sz w:val="24"/>
          <w:szCs w:val="24"/>
        </w:rPr>
      </w:pPr>
      <w:r>
        <w:rPr>
          <w:color w:val="auto"/>
          <w:spacing w:val="-1"/>
          <w:sz w:val="24"/>
          <w:szCs w:val="24"/>
        </w:rPr>
        <w:t>本项目环境风险潜势为</w:t>
      </w:r>
      <w:r>
        <w:rPr>
          <w:rFonts w:ascii="Times New Roman" w:hAnsi="Times New Roman" w:eastAsia="Times New Roman" w:cs="Times New Roman"/>
          <w:color w:val="auto"/>
          <w:spacing w:val="-1"/>
          <w:sz w:val="24"/>
          <w:szCs w:val="24"/>
        </w:rPr>
        <w:t>Ⅰ</w:t>
      </w:r>
      <w:r>
        <w:rPr>
          <w:rFonts w:hint="eastAsia" w:eastAsia="宋体"/>
          <w:color w:val="auto"/>
          <w:spacing w:val="-1"/>
          <w:sz w:val="24"/>
          <w:szCs w:val="24"/>
          <w:lang w:eastAsia="zh-CN"/>
        </w:rPr>
        <w:t>，</w:t>
      </w:r>
      <w:r>
        <w:rPr>
          <w:color w:val="auto"/>
          <w:spacing w:val="-1"/>
          <w:sz w:val="24"/>
          <w:szCs w:val="24"/>
        </w:rPr>
        <w:t>本评价认为在科学管理和完善的预防</w:t>
      </w:r>
      <w:r>
        <w:rPr>
          <w:color w:val="auto"/>
          <w:spacing w:val="-2"/>
          <w:sz w:val="24"/>
          <w:szCs w:val="24"/>
        </w:rPr>
        <w:t>应急措施处</w:t>
      </w:r>
      <w:r>
        <w:rPr>
          <w:color w:val="auto"/>
          <w:spacing w:val="-3"/>
          <w:sz w:val="24"/>
          <w:szCs w:val="24"/>
        </w:rPr>
        <w:t>置机制保障下，本项目发生风险事故的可能性是比较低的。企业严格按照有关规</w:t>
      </w:r>
      <w:r>
        <w:rPr>
          <w:color w:val="auto"/>
          <w:spacing w:val="-8"/>
          <w:sz w:val="24"/>
          <w:szCs w:val="24"/>
        </w:rPr>
        <w:t>范标准、规范及条例的要求，认真落实环境风险防范措施，编制完善的应急预案，</w:t>
      </w:r>
      <w:r>
        <w:rPr>
          <w:color w:val="auto"/>
          <w:spacing w:val="-3"/>
          <w:sz w:val="24"/>
          <w:szCs w:val="24"/>
        </w:rPr>
        <w:t>并在相关部门备案的前提下，项目环境风险是可控的，事故的影响是短暂的，在</w:t>
      </w:r>
      <w:r>
        <w:rPr>
          <w:color w:val="auto"/>
          <w:spacing w:val="-1"/>
          <w:sz w:val="24"/>
          <w:szCs w:val="24"/>
        </w:rPr>
        <w:t>事故妥善处理后，周围环境质量可以恢复原状水平。</w:t>
      </w:r>
    </w:p>
    <w:p w14:paraId="6ABF180F">
      <w:pPr>
        <w:pStyle w:val="9"/>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项目风险简单分析见表</w:t>
      </w:r>
      <w:r>
        <w:rPr>
          <w:rFonts w:hint="default" w:ascii="Times New Roman" w:hAnsi="Times New Roman" w:eastAsia="宋体" w:cs="Times New Roman"/>
          <w:color w:val="auto"/>
          <w:spacing w:val="0"/>
          <w:sz w:val="24"/>
          <w:szCs w:val="24"/>
          <w:lang w:val="en-US" w:eastAsia="zh-CN"/>
        </w:rPr>
        <w:t>4.7</w:t>
      </w:r>
      <w:r>
        <w:rPr>
          <w:rFonts w:hint="eastAsia" w:ascii="Times New Roman" w:hAnsi="Times New Roman" w:eastAsia="宋体" w:cs="Times New Roman"/>
          <w:color w:val="auto"/>
          <w:spacing w:val="0"/>
          <w:sz w:val="24"/>
          <w:szCs w:val="24"/>
          <w:lang w:val="en-US" w:eastAsia="zh-CN"/>
        </w:rPr>
        <w:t>-8</w:t>
      </w:r>
      <w:r>
        <w:rPr>
          <w:rFonts w:hint="default" w:ascii="Times New Roman" w:hAnsi="Times New Roman" w:cs="Times New Roman"/>
          <w:color w:val="auto"/>
          <w:spacing w:val="0"/>
          <w:sz w:val="24"/>
          <w:szCs w:val="24"/>
        </w:rPr>
        <w:t>。</w:t>
      </w:r>
    </w:p>
    <w:p w14:paraId="7E0216D8">
      <w:pPr>
        <w:rPr>
          <w:rFonts w:hint="default" w:ascii="Times New Roman" w:hAnsi="Times New Roman" w:cs="Times New Roman"/>
          <w:color w:val="auto"/>
          <w:spacing w:val="0"/>
          <w:sz w:val="24"/>
          <w:szCs w:val="24"/>
        </w:rPr>
      </w:pPr>
    </w:p>
    <w:p w14:paraId="08AF0ADA">
      <w:pPr>
        <w:rPr>
          <w:rFonts w:hint="default" w:ascii="Times New Roman" w:hAnsi="Times New Roman" w:cs="Times New Roman"/>
          <w:color w:val="auto"/>
          <w:spacing w:val="0"/>
          <w:sz w:val="24"/>
          <w:szCs w:val="24"/>
        </w:rPr>
      </w:pPr>
    </w:p>
    <w:p w14:paraId="7AB635B4">
      <w:pPr>
        <w:rPr>
          <w:rFonts w:hint="default" w:ascii="Times New Roman" w:hAnsi="Times New Roman" w:cs="Times New Roman"/>
          <w:color w:val="auto"/>
          <w:spacing w:val="0"/>
          <w:sz w:val="24"/>
          <w:szCs w:val="24"/>
        </w:rPr>
      </w:pPr>
    </w:p>
    <w:p w14:paraId="3701A320">
      <w:pPr>
        <w:rPr>
          <w:rFonts w:hint="default" w:ascii="Times New Roman" w:hAnsi="Times New Roman" w:cs="Times New Roman"/>
          <w:color w:val="auto"/>
          <w:spacing w:val="0"/>
          <w:sz w:val="24"/>
          <w:szCs w:val="24"/>
        </w:rPr>
      </w:pPr>
    </w:p>
    <w:p w14:paraId="0588640F">
      <w:pPr>
        <w:pStyle w:val="9"/>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rFonts w:hint="default" w:ascii="Times New Roman" w:hAnsi="Times New Roman" w:cs="Times New Roman"/>
          <w:color w:val="auto"/>
          <w:spacing w:val="0"/>
        </w:rPr>
      </w:pPr>
      <w:r>
        <w:rPr>
          <w:rFonts w:hint="default" w:ascii="Times New Roman" w:hAnsi="Times New Roman" w:cs="Times New Roman"/>
          <w:b/>
          <w:bCs/>
          <w:color w:val="auto"/>
          <w:spacing w:val="0"/>
        </w:rPr>
        <w:t>表</w:t>
      </w:r>
      <w:r>
        <w:rPr>
          <w:rFonts w:hint="default" w:ascii="Times New Roman" w:hAnsi="Times New Roman" w:eastAsia="宋体" w:cs="Times New Roman"/>
          <w:color w:val="auto"/>
          <w:spacing w:val="0"/>
          <w:lang w:val="en-US" w:eastAsia="zh-CN"/>
        </w:rPr>
        <w:t>4.7</w:t>
      </w:r>
      <w:r>
        <w:rPr>
          <w:rFonts w:hint="eastAsia" w:ascii="Times New Roman" w:hAnsi="Times New Roman" w:eastAsia="宋体" w:cs="Times New Roman"/>
          <w:b/>
          <w:bCs/>
          <w:color w:val="auto"/>
          <w:spacing w:val="0"/>
          <w:lang w:val="en-US" w:eastAsia="zh-CN"/>
        </w:rPr>
        <w:t>-8</w:t>
      </w:r>
      <w:r>
        <w:rPr>
          <w:rFonts w:hint="default" w:ascii="Times New Roman" w:hAnsi="Times New Roman" w:eastAsia="Times New Roman" w:cs="Times New Roman"/>
          <w:b/>
          <w:bCs/>
          <w:color w:val="auto"/>
          <w:spacing w:val="0"/>
        </w:rPr>
        <w:t xml:space="preserve">  </w:t>
      </w:r>
      <w:r>
        <w:rPr>
          <w:rFonts w:hint="default" w:ascii="Times New Roman" w:hAnsi="Times New Roman" w:cs="Times New Roman"/>
          <w:b/>
          <w:bCs/>
          <w:color w:val="auto"/>
          <w:spacing w:val="0"/>
        </w:rPr>
        <w:t>建设项目环境风险简单分析内容表</w:t>
      </w:r>
    </w:p>
    <w:tbl>
      <w:tblPr>
        <w:tblStyle w:val="21"/>
        <w:tblW w:w="8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8"/>
        <w:gridCol w:w="6311"/>
      </w:tblGrid>
      <w:tr w14:paraId="51FB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948" w:type="dxa"/>
            <w:tcBorders>
              <w:top w:val="single" w:color="auto" w:sz="4" w:space="0"/>
              <w:left w:val="single" w:color="auto" w:sz="4" w:space="0"/>
              <w:bottom w:val="single" w:color="auto" w:sz="4" w:space="0"/>
              <w:right w:val="single" w:color="auto" w:sz="4" w:space="0"/>
            </w:tcBorders>
            <w:noWrap w:val="0"/>
            <w:vAlign w:val="center"/>
          </w:tcPr>
          <w:p w14:paraId="3A7DBFED">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建设项目名称</w:t>
            </w:r>
          </w:p>
        </w:tc>
        <w:tc>
          <w:tcPr>
            <w:tcW w:w="6311" w:type="dxa"/>
            <w:tcBorders>
              <w:top w:val="single" w:color="auto" w:sz="4" w:space="0"/>
              <w:left w:val="single" w:color="auto" w:sz="4" w:space="0"/>
              <w:bottom w:val="single" w:color="auto" w:sz="4" w:space="0"/>
              <w:right w:val="single" w:color="auto" w:sz="4" w:space="0"/>
            </w:tcBorders>
            <w:noWrap w:val="0"/>
            <w:vAlign w:val="center"/>
          </w:tcPr>
          <w:p w14:paraId="62C725D7">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云南曲煤焦化实业发展有限公司集装箱堆场提质改造项目</w:t>
            </w:r>
          </w:p>
        </w:tc>
      </w:tr>
      <w:tr w14:paraId="69D2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948" w:type="dxa"/>
            <w:tcBorders>
              <w:top w:val="single" w:color="auto" w:sz="4" w:space="0"/>
              <w:left w:val="single" w:color="auto" w:sz="4" w:space="0"/>
              <w:bottom w:val="single" w:color="auto" w:sz="4" w:space="0"/>
              <w:right w:val="single" w:color="auto" w:sz="4" w:space="0"/>
            </w:tcBorders>
            <w:noWrap w:val="0"/>
            <w:vAlign w:val="center"/>
          </w:tcPr>
          <w:p w14:paraId="60A0A881">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建设地点</w:t>
            </w:r>
          </w:p>
        </w:tc>
        <w:tc>
          <w:tcPr>
            <w:tcW w:w="6311" w:type="dxa"/>
            <w:tcBorders>
              <w:top w:val="single" w:color="auto" w:sz="4" w:space="0"/>
              <w:left w:val="single" w:color="auto" w:sz="4" w:space="0"/>
              <w:bottom w:val="single" w:color="auto" w:sz="4" w:space="0"/>
              <w:right w:val="single" w:color="auto" w:sz="4" w:space="0"/>
            </w:tcBorders>
            <w:noWrap w:val="0"/>
            <w:vAlign w:val="center"/>
          </w:tcPr>
          <w:p w14:paraId="30759A40">
            <w:pPr>
              <w:widowControl/>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云南省曲靖市沾益区曲靖高新技术产业开发区花山片区</w:t>
            </w:r>
          </w:p>
        </w:tc>
      </w:tr>
      <w:tr w14:paraId="7775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948" w:type="dxa"/>
            <w:tcBorders>
              <w:top w:val="single" w:color="auto" w:sz="4" w:space="0"/>
              <w:left w:val="single" w:color="auto" w:sz="4" w:space="0"/>
              <w:bottom w:val="single" w:color="auto" w:sz="4" w:space="0"/>
              <w:right w:val="single" w:color="auto" w:sz="4" w:space="0"/>
            </w:tcBorders>
            <w:noWrap w:val="0"/>
            <w:vAlign w:val="center"/>
          </w:tcPr>
          <w:p w14:paraId="5FA80049">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地理坐标</w:t>
            </w:r>
          </w:p>
        </w:tc>
        <w:tc>
          <w:tcPr>
            <w:tcW w:w="6311" w:type="dxa"/>
            <w:tcBorders>
              <w:top w:val="single" w:color="auto" w:sz="4" w:space="0"/>
              <w:left w:val="single" w:color="auto" w:sz="4" w:space="0"/>
              <w:bottom w:val="single" w:color="auto" w:sz="4" w:space="0"/>
              <w:right w:val="single" w:color="auto" w:sz="4" w:space="0"/>
            </w:tcBorders>
            <w:noWrap w:val="0"/>
            <w:vAlign w:val="center"/>
          </w:tcPr>
          <w:p w14:paraId="40604D21">
            <w:pPr>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103度52分41.803秒，25度45分9.067秒</w:t>
            </w:r>
          </w:p>
        </w:tc>
      </w:tr>
      <w:tr w14:paraId="58E7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48" w:type="dxa"/>
            <w:tcBorders>
              <w:top w:val="single" w:color="auto" w:sz="4" w:space="0"/>
              <w:left w:val="single" w:color="auto" w:sz="4" w:space="0"/>
              <w:bottom w:val="single" w:color="auto" w:sz="4" w:space="0"/>
              <w:right w:val="single" w:color="auto" w:sz="4" w:space="0"/>
            </w:tcBorders>
            <w:noWrap w:val="0"/>
            <w:vAlign w:val="center"/>
          </w:tcPr>
          <w:p w14:paraId="1BBB4EAD">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主要危险物质及分布</w:t>
            </w:r>
          </w:p>
        </w:tc>
        <w:tc>
          <w:tcPr>
            <w:tcW w:w="6311" w:type="dxa"/>
            <w:tcBorders>
              <w:top w:val="single" w:color="auto" w:sz="4" w:space="0"/>
              <w:left w:val="single" w:color="auto" w:sz="4" w:space="0"/>
              <w:bottom w:val="single" w:color="auto" w:sz="4" w:space="0"/>
              <w:right w:val="single" w:color="auto" w:sz="4" w:space="0"/>
            </w:tcBorders>
            <w:noWrap w:val="0"/>
            <w:vAlign w:val="center"/>
          </w:tcPr>
          <w:p w14:paraId="1029D925">
            <w:pPr>
              <w:spacing w:line="240" w:lineRule="auto"/>
              <w:ind w:left="0" w:leftChars="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本项目涉及的危险物质为</w:t>
            </w:r>
            <w:r>
              <w:rPr>
                <w:rFonts w:hint="eastAsia" w:ascii="Times New Roman" w:hAnsi="Times New Roman" w:eastAsia="宋体" w:cs="Times New Roman"/>
                <w:color w:val="auto"/>
                <w:sz w:val="21"/>
                <w:szCs w:val="21"/>
                <w:lang w:val="en-US" w:eastAsia="zh-CN"/>
              </w:rPr>
              <w:t>柴油和</w:t>
            </w:r>
            <w:r>
              <w:rPr>
                <w:rFonts w:hint="default" w:ascii="Times New Roman" w:hAnsi="Times New Roman" w:eastAsia="宋体" w:cs="Times New Roman"/>
                <w:color w:val="auto"/>
                <w:sz w:val="21"/>
                <w:szCs w:val="21"/>
                <w:lang w:eastAsia="zh-CN"/>
              </w:rPr>
              <w:t>废矿物油</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废矿物油</w:t>
            </w:r>
            <w:r>
              <w:rPr>
                <w:rFonts w:hint="default" w:ascii="Times New Roman" w:hAnsi="Times New Roman" w:eastAsia="宋体" w:cs="Times New Roman"/>
                <w:color w:val="auto"/>
                <w:sz w:val="21"/>
                <w:szCs w:val="21"/>
              </w:rPr>
              <w:t>最大存在总量为</w:t>
            </w:r>
            <w:r>
              <w:rPr>
                <w:rFonts w:hint="eastAsia" w:ascii="Times New Roman" w:hAnsi="Times New Roman" w:eastAsia="宋体" w:cs="Times New Roman"/>
                <w:color w:val="auto"/>
                <w:sz w:val="21"/>
                <w:szCs w:val="21"/>
                <w:lang w:val="en-US" w:eastAsia="zh-CN"/>
              </w:rPr>
              <w:t>0.01</w:t>
            </w:r>
            <w:r>
              <w:rPr>
                <w:rFonts w:hint="default" w:ascii="Times New Roman" w:hAnsi="Times New Roman" w:eastAsia="宋体" w:cs="Times New Roman"/>
                <w:color w:val="auto"/>
                <w:sz w:val="21"/>
                <w:szCs w:val="21"/>
              </w:rPr>
              <w:t>t，暂存于</w:t>
            </w:r>
            <w:r>
              <w:rPr>
                <w:rFonts w:hint="default" w:ascii="Times New Roman" w:hAnsi="Times New Roman" w:eastAsia="宋体" w:cs="Times New Roman"/>
                <w:color w:val="auto"/>
                <w:sz w:val="21"/>
                <w:szCs w:val="21"/>
                <w:lang w:eastAsia="zh-CN"/>
              </w:rPr>
              <w:t>危废暂存间</w:t>
            </w:r>
            <w:r>
              <w:rPr>
                <w:rFonts w:hint="default" w:ascii="Times New Roman" w:hAnsi="Times New Roman" w:eastAsia="宋体" w:cs="Times New Roman"/>
                <w:color w:val="auto"/>
                <w:sz w:val="21"/>
                <w:szCs w:val="21"/>
              </w:rPr>
              <w:t>内</w:t>
            </w:r>
            <w:r>
              <w:rPr>
                <w:rFonts w:hint="default"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柴油</w:t>
            </w:r>
            <w:r>
              <w:rPr>
                <w:rFonts w:hint="default" w:ascii="Times New Roman" w:hAnsi="Times New Roman" w:eastAsia="宋体" w:cs="Times New Roman"/>
                <w:color w:val="auto"/>
                <w:sz w:val="21"/>
                <w:szCs w:val="21"/>
              </w:rPr>
              <w:t>最大存在总量为</w:t>
            </w:r>
            <w:r>
              <w:rPr>
                <w:rFonts w:hint="eastAsia" w:ascii="Times New Roman" w:hAnsi="Times New Roman" w:eastAsia="宋体" w:cs="Times New Roman"/>
                <w:color w:val="auto"/>
                <w:sz w:val="21"/>
                <w:szCs w:val="21"/>
                <w:lang w:val="en-US" w:eastAsia="zh-CN"/>
              </w:rPr>
              <w:t>8.82</w:t>
            </w:r>
            <w:r>
              <w:rPr>
                <w:rFonts w:hint="default" w:ascii="Times New Roman" w:hAnsi="Times New Roman" w:eastAsia="宋体" w:cs="Times New Roman"/>
                <w:color w:val="auto"/>
                <w:sz w:val="21"/>
                <w:szCs w:val="21"/>
              </w:rPr>
              <w:t>t，</w:t>
            </w:r>
            <w:r>
              <w:rPr>
                <w:rFonts w:hint="eastAsia" w:ascii="Times New Roman" w:hAnsi="Times New Roman" w:eastAsia="宋体" w:cs="Times New Roman"/>
                <w:color w:val="auto"/>
                <w:sz w:val="21"/>
                <w:szCs w:val="21"/>
                <w:lang w:val="en-US" w:eastAsia="zh-CN"/>
              </w:rPr>
              <w:t>存于内燃机车柴油箱内</w:t>
            </w:r>
          </w:p>
        </w:tc>
      </w:tr>
      <w:tr w14:paraId="099B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48" w:type="dxa"/>
            <w:tcBorders>
              <w:top w:val="single" w:color="auto" w:sz="4" w:space="0"/>
              <w:left w:val="single" w:color="auto" w:sz="4" w:space="0"/>
              <w:bottom w:val="single" w:color="auto" w:sz="4" w:space="0"/>
              <w:right w:val="single" w:color="auto" w:sz="4" w:space="0"/>
            </w:tcBorders>
            <w:noWrap w:val="0"/>
            <w:vAlign w:val="center"/>
          </w:tcPr>
          <w:p w14:paraId="7E883CD8">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环境影响途径及危险后果</w:t>
            </w:r>
          </w:p>
        </w:tc>
        <w:tc>
          <w:tcPr>
            <w:tcW w:w="6311" w:type="dxa"/>
            <w:tcBorders>
              <w:top w:val="single" w:color="auto" w:sz="4" w:space="0"/>
              <w:left w:val="single" w:color="auto" w:sz="4" w:space="0"/>
              <w:bottom w:val="single" w:color="auto" w:sz="4" w:space="0"/>
              <w:right w:val="single" w:color="auto" w:sz="4" w:space="0"/>
            </w:tcBorders>
            <w:noWrap w:val="0"/>
            <w:vAlign w:val="center"/>
          </w:tcPr>
          <w:p w14:paraId="19095101">
            <w:pPr>
              <w:spacing w:line="240" w:lineRule="auto"/>
              <w:ind w:firstLine="0" w:firstLine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柴油和</w:t>
            </w:r>
            <w:r>
              <w:rPr>
                <w:rFonts w:hint="default" w:ascii="Times New Roman" w:hAnsi="Times New Roman" w:eastAsia="宋体" w:cs="Times New Roman"/>
                <w:color w:val="auto"/>
                <w:sz w:val="21"/>
                <w:szCs w:val="21"/>
                <w:lang w:eastAsia="zh-CN"/>
              </w:rPr>
              <w:t>废矿物油</w:t>
            </w:r>
            <w:r>
              <w:rPr>
                <w:rFonts w:hint="default" w:ascii="Times New Roman" w:hAnsi="Times New Roman" w:eastAsia="宋体" w:cs="Times New Roman"/>
                <w:color w:val="auto"/>
                <w:sz w:val="21"/>
                <w:szCs w:val="21"/>
              </w:rPr>
              <w:t>泄漏后，将会下渗污染所处区域的潜水含水层。若遇到降雨天气，将会随着雨水进入附近地表水造成污染。</w:t>
            </w:r>
          </w:p>
        </w:tc>
      </w:tr>
      <w:tr w14:paraId="25DD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48" w:type="dxa"/>
            <w:tcBorders>
              <w:top w:val="single" w:color="auto" w:sz="4" w:space="0"/>
              <w:left w:val="single" w:color="auto" w:sz="4" w:space="0"/>
              <w:bottom w:val="single" w:color="auto" w:sz="4" w:space="0"/>
              <w:right w:val="single" w:color="auto" w:sz="4" w:space="0"/>
            </w:tcBorders>
            <w:noWrap w:val="0"/>
            <w:vAlign w:val="center"/>
          </w:tcPr>
          <w:p w14:paraId="20D34D6C">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风险防范措施要求</w:t>
            </w:r>
          </w:p>
        </w:tc>
        <w:tc>
          <w:tcPr>
            <w:tcW w:w="6311" w:type="dxa"/>
            <w:tcBorders>
              <w:top w:val="single" w:color="auto" w:sz="4" w:space="0"/>
              <w:left w:val="single" w:color="auto" w:sz="4" w:space="0"/>
              <w:bottom w:val="single" w:color="auto" w:sz="4" w:space="0"/>
              <w:right w:val="single" w:color="auto" w:sz="4" w:space="0"/>
            </w:tcBorders>
            <w:noWrap w:val="0"/>
            <w:vAlign w:val="center"/>
          </w:tcPr>
          <w:p w14:paraId="5542ABD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left"/>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规范设置</w:t>
            </w:r>
            <w:r>
              <w:rPr>
                <w:rFonts w:hint="default" w:ascii="Times New Roman" w:hAnsi="Times New Roman" w:eastAsia="宋体" w:cs="Times New Roman"/>
                <w:color w:val="auto"/>
                <w:sz w:val="21"/>
                <w:szCs w:val="21"/>
                <w:lang w:eastAsia="zh-CN"/>
              </w:rPr>
              <w:t>危废暂存间</w:t>
            </w:r>
            <w:r>
              <w:rPr>
                <w:rFonts w:hint="default" w:ascii="Times New Roman" w:hAnsi="Times New Roman" w:eastAsia="宋体" w:cs="Times New Roman"/>
                <w:color w:val="auto"/>
                <w:sz w:val="21"/>
                <w:szCs w:val="21"/>
              </w:rPr>
              <w:t>，地面进行防渗，</w:t>
            </w:r>
            <w:r>
              <w:rPr>
                <w:rFonts w:hint="default" w:ascii="Times New Roman" w:hAnsi="Times New Roman" w:eastAsia="宋体" w:cs="Times New Roman"/>
                <w:color w:val="auto"/>
                <w:sz w:val="21"/>
                <w:szCs w:val="21"/>
                <w:lang w:eastAsia="zh-CN"/>
              </w:rPr>
              <w:t>废矿物油</w:t>
            </w:r>
            <w:r>
              <w:rPr>
                <w:rFonts w:hint="default" w:ascii="Times New Roman" w:hAnsi="Times New Roman" w:eastAsia="宋体" w:cs="Times New Roman"/>
                <w:color w:val="auto"/>
                <w:sz w:val="21"/>
                <w:szCs w:val="21"/>
              </w:rPr>
              <w:t>收集送至暂存间由专职人员负责，</w:t>
            </w:r>
            <w:r>
              <w:rPr>
                <w:rFonts w:hint="default" w:ascii="Times New Roman" w:hAnsi="Times New Roman" w:eastAsia="宋体" w:cs="Times New Roman"/>
                <w:color w:val="auto"/>
                <w:sz w:val="21"/>
                <w:szCs w:val="21"/>
                <w:lang w:eastAsia="zh-CN"/>
              </w:rPr>
              <w:t>废矿物油</w:t>
            </w:r>
            <w:r>
              <w:rPr>
                <w:rFonts w:hint="default" w:ascii="Times New Roman" w:hAnsi="Times New Roman" w:eastAsia="宋体" w:cs="Times New Roman"/>
                <w:color w:val="auto"/>
                <w:sz w:val="21"/>
                <w:szCs w:val="21"/>
              </w:rPr>
              <w:t>产生及处置须记录有台账，定时进行</w:t>
            </w:r>
            <w:r>
              <w:rPr>
                <w:rFonts w:hint="default" w:ascii="Times New Roman" w:hAnsi="Times New Roman" w:eastAsia="宋体" w:cs="Times New Roman"/>
                <w:color w:val="auto"/>
                <w:sz w:val="21"/>
                <w:szCs w:val="21"/>
                <w:lang w:eastAsia="zh-CN"/>
              </w:rPr>
              <w:t>危废暂存间</w:t>
            </w:r>
            <w:r>
              <w:rPr>
                <w:rFonts w:hint="default" w:ascii="Times New Roman" w:hAnsi="Times New Roman" w:eastAsia="宋体" w:cs="Times New Roman"/>
                <w:color w:val="auto"/>
                <w:sz w:val="21"/>
                <w:szCs w:val="21"/>
              </w:rPr>
              <w:t>的检查巡视</w:t>
            </w:r>
            <w:r>
              <w:rPr>
                <w:rFonts w:hint="eastAsia" w:cs="Times New Roman"/>
                <w:color w:val="auto"/>
                <w:sz w:val="21"/>
                <w:szCs w:val="21"/>
                <w:lang w:eastAsia="zh-CN"/>
              </w:rPr>
              <w:t>，危废收集桶设置托盘防止废机油泄漏到外环境</w:t>
            </w:r>
            <w:r>
              <w:rPr>
                <w:rFonts w:hint="default" w:ascii="Times New Roman" w:hAnsi="Times New Roman" w:eastAsia="宋体" w:cs="Times New Roman"/>
                <w:color w:val="auto"/>
                <w:sz w:val="21"/>
                <w:szCs w:val="21"/>
              </w:rPr>
              <w:t>。须配备有应急桶、铲子、沙子等应急物资。发现</w:t>
            </w:r>
            <w:r>
              <w:rPr>
                <w:rFonts w:hint="default" w:ascii="Times New Roman" w:hAnsi="Times New Roman" w:eastAsia="宋体" w:cs="Times New Roman"/>
                <w:color w:val="auto"/>
                <w:sz w:val="21"/>
                <w:szCs w:val="21"/>
                <w:lang w:eastAsia="zh-CN"/>
              </w:rPr>
              <w:t>废矿物油</w:t>
            </w:r>
            <w:r>
              <w:rPr>
                <w:rFonts w:hint="default" w:ascii="Times New Roman" w:hAnsi="Times New Roman" w:eastAsia="宋体" w:cs="Times New Roman"/>
                <w:color w:val="auto"/>
                <w:sz w:val="21"/>
                <w:szCs w:val="21"/>
              </w:rPr>
              <w:t>泄漏应先进行溢流围堵，用沙子吸收溢出的液体，然后用铲子铲装含油沙至应急桶，妥善处置。尽快找出泄漏源并进行封堵处理，避免持续泄漏。</w:t>
            </w:r>
          </w:p>
        </w:tc>
      </w:tr>
      <w:tr w14:paraId="4CE3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59" w:type="dxa"/>
            <w:gridSpan w:val="2"/>
            <w:tcBorders>
              <w:top w:val="single" w:color="auto" w:sz="4" w:space="0"/>
              <w:left w:val="single" w:color="auto" w:sz="4" w:space="0"/>
              <w:bottom w:val="single" w:color="auto" w:sz="4" w:space="0"/>
              <w:right w:val="single" w:color="auto" w:sz="4" w:space="0"/>
            </w:tcBorders>
            <w:noWrap w:val="0"/>
            <w:vAlign w:val="center"/>
          </w:tcPr>
          <w:p w14:paraId="383D5AA9">
            <w:pPr>
              <w:spacing w:line="240" w:lineRule="auto"/>
              <w:ind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填表说明（列出项目相关信息及评价说明）：</w:t>
            </w:r>
          </w:p>
          <w:p w14:paraId="4A022609">
            <w:pPr>
              <w:spacing w:line="240" w:lineRule="auto"/>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本项目拟采取的环境风险防范措施有效可行。项目环境风险可防控，总体环境风险小，根据项目Q值计算，判定环境风险潜势为I，项目环境风险为简单分析。</w:t>
            </w:r>
          </w:p>
        </w:tc>
      </w:tr>
    </w:tbl>
    <w:p w14:paraId="124F510E">
      <w:pPr>
        <w:pStyle w:val="9"/>
        <w:keepNext w:val="0"/>
        <w:keepLines w:val="0"/>
        <w:pageBreakBefore w:val="0"/>
        <w:widowControl/>
        <w:kinsoku w:val="0"/>
        <w:wordWrap/>
        <w:overflowPunct/>
        <w:topLinePunct w:val="0"/>
        <w:autoSpaceDE w:val="0"/>
        <w:autoSpaceDN w:val="0"/>
        <w:bidi w:val="0"/>
        <w:adjustRightInd/>
        <w:snapToGrid/>
        <w:spacing w:line="360" w:lineRule="auto"/>
        <w:ind w:left="238"/>
        <w:textAlignment w:val="baseline"/>
        <w:outlineLvl w:val="1"/>
        <w:rPr>
          <w:rFonts w:hint="default" w:ascii="Times New Roman" w:hAnsi="Times New Roman" w:eastAsia="Times New Roman" w:cs="Times New Roman"/>
          <w:b/>
          <w:bCs/>
          <w:color w:val="auto"/>
          <w:spacing w:val="-3"/>
          <w:sz w:val="30"/>
          <w:szCs w:val="30"/>
          <w:lang w:val="en-US" w:eastAsia="zh-CN"/>
        </w:rPr>
      </w:pPr>
      <w:bookmarkStart w:id="186" w:name="bookmark33"/>
      <w:bookmarkEnd w:id="186"/>
      <w:bookmarkStart w:id="187" w:name="_Toc28115"/>
      <w:r>
        <w:rPr>
          <w:rFonts w:hint="default" w:ascii="Times New Roman" w:hAnsi="Times New Roman" w:eastAsia="Times New Roman" w:cs="Times New Roman"/>
          <w:b/>
          <w:bCs/>
          <w:color w:val="auto"/>
          <w:spacing w:val="-3"/>
          <w:sz w:val="30"/>
          <w:szCs w:val="30"/>
          <w:lang w:val="en-US" w:eastAsia="zh-CN"/>
        </w:rPr>
        <w:t>4.8.运营期地下水影响分析</w:t>
      </w:r>
      <w:bookmarkEnd w:id="187"/>
    </w:p>
    <w:p w14:paraId="6158D636">
      <w:pPr>
        <w:keepNext w:val="0"/>
        <w:keepLines w:val="0"/>
        <w:pageBreakBefore w:val="0"/>
        <w:widowControl/>
        <w:kinsoku/>
        <w:wordWrap/>
        <w:overflowPunct/>
        <w:topLinePunct w:val="0"/>
        <w:autoSpaceDE/>
        <w:autoSpaceDN/>
        <w:bidi w:val="0"/>
        <w:adjustRightInd/>
        <w:snapToGrid/>
        <w:spacing w:after="0" w:line="360" w:lineRule="auto"/>
        <w:textAlignment w:val="auto"/>
        <w:outlineLvl w:val="2"/>
        <w:rPr>
          <w:rFonts w:hint="default" w:ascii="Times New Roman" w:hAnsi="Times New Roman" w:eastAsia="宋体" w:cs="Times New Roman"/>
          <w:b/>
          <w:color w:val="auto"/>
          <w:sz w:val="24"/>
          <w:szCs w:val="24"/>
        </w:rPr>
      </w:pPr>
      <w:bookmarkStart w:id="188" w:name="_Toc6162"/>
      <w:r>
        <w:rPr>
          <w:rFonts w:hint="default" w:ascii="Times New Roman" w:hAnsi="Times New Roman" w:eastAsia="宋体" w:cs="Times New Roman"/>
          <w:b/>
          <w:color w:val="auto"/>
          <w:sz w:val="24"/>
          <w:szCs w:val="24"/>
          <w:lang w:val="en-US" w:eastAsia="zh-CN"/>
        </w:rPr>
        <w:t>4.8.1</w:t>
      </w:r>
      <w:r>
        <w:rPr>
          <w:rFonts w:hint="eastAsia" w:ascii="Times New Roman" w:hAnsi="Times New Roman" w:eastAsia="宋体" w:cs="Times New Roman"/>
          <w:b/>
          <w:color w:val="auto"/>
          <w:sz w:val="24"/>
          <w:szCs w:val="24"/>
          <w:lang w:val="en-US" w:eastAsia="zh-CN"/>
        </w:rPr>
        <w:t>场地</w:t>
      </w:r>
      <w:r>
        <w:rPr>
          <w:rFonts w:hint="default" w:ascii="Times New Roman" w:hAnsi="Times New Roman" w:eastAsia="宋体" w:cs="Times New Roman"/>
          <w:b/>
          <w:color w:val="auto"/>
          <w:sz w:val="24"/>
          <w:szCs w:val="24"/>
        </w:rPr>
        <w:t>地质概况及区域水文地质条件</w:t>
      </w:r>
      <w:bookmarkEnd w:id="188"/>
    </w:p>
    <w:p w14:paraId="527674DD">
      <w:pPr>
        <w:keepNext w:val="0"/>
        <w:keepLines w:val="0"/>
        <w:pageBreakBefore w:val="0"/>
        <w:wordWrap/>
        <w:overflowPunct/>
        <w:topLinePunct w:val="0"/>
        <w:bidi w:val="0"/>
        <w:adjustRightInd/>
        <w:snapToGrid/>
        <w:spacing w:line="360" w:lineRule="auto"/>
        <w:rPr>
          <w:rFonts w:hint="default" w:ascii="Times New Roman" w:hAnsi="Times New Roman" w:cs="Times New Roman"/>
          <w:b/>
          <w:color w:val="auto"/>
        </w:rPr>
      </w:pPr>
      <w:r>
        <w:rPr>
          <w:rFonts w:hint="default" w:ascii="Times New Roman" w:hAnsi="Times New Roman" w:cs="Times New Roman"/>
          <w:b/>
          <w:color w:val="auto"/>
          <w:lang w:val="en-US" w:eastAsia="zh-CN"/>
        </w:rPr>
        <w:t>4.8.1.</w:t>
      </w:r>
      <w:r>
        <w:rPr>
          <w:rFonts w:hint="default" w:ascii="Times New Roman" w:hAnsi="Times New Roman" w:cs="Times New Roman"/>
          <w:b/>
          <w:color w:val="auto"/>
        </w:rPr>
        <w:t>1</w:t>
      </w:r>
      <w:r>
        <w:rPr>
          <w:rFonts w:hint="eastAsia" w:ascii="Times New Roman" w:hAnsi="Times New Roman" w:eastAsia="宋体" w:cs="Times New Roman"/>
          <w:b/>
          <w:color w:val="auto"/>
          <w:lang w:val="en-US" w:eastAsia="zh-CN"/>
        </w:rPr>
        <w:t>场地</w:t>
      </w:r>
      <w:r>
        <w:rPr>
          <w:rFonts w:hint="default" w:ascii="Times New Roman" w:hAnsi="Times New Roman" w:cs="Times New Roman"/>
          <w:b/>
          <w:color w:val="auto"/>
        </w:rPr>
        <w:t>地质概况</w:t>
      </w:r>
    </w:p>
    <w:p w14:paraId="734BE9AA">
      <w:pPr>
        <w:keepNext w:val="0"/>
        <w:keepLines w:val="0"/>
        <w:pageBreakBefore w:val="0"/>
        <w:widowControl/>
        <w:kinsoku w:val="0"/>
        <w:wordWrap/>
        <w:overflowPunct/>
        <w:topLinePunct w:val="0"/>
        <w:autoSpaceDE w:val="0"/>
        <w:autoSpaceDN w:val="0"/>
        <w:bidi w:val="0"/>
        <w:adjustRightInd w:val="0"/>
        <w:snapToGrid w:val="0"/>
        <w:spacing w:line="360" w:lineRule="auto"/>
        <w:ind w:firstLine="482"/>
        <w:jc w:val="left"/>
        <w:textAlignment w:val="baseline"/>
        <w:rPr>
          <w:rFonts w:hint="default" w:ascii="Times New Roman" w:hAnsi="Times New Roman" w:cs="Times New Roman"/>
          <w:color w:val="auto"/>
        </w:rPr>
      </w:pPr>
      <w:r>
        <w:rPr>
          <w:rFonts w:hint="eastAsia" w:ascii="Times New Roman" w:hAnsi="Times New Roman" w:eastAsia="宋体" w:cs="Times New Roman"/>
          <w:color w:val="auto"/>
          <w:sz w:val="24"/>
          <w:szCs w:val="24"/>
          <w:lang w:val="en-US" w:eastAsia="zh-CN"/>
        </w:rPr>
        <w:t>场地</w:t>
      </w:r>
      <w:r>
        <w:rPr>
          <w:rFonts w:hint="default" w:ascii="Times New Roman" w:hAnsi="Times New Roman" w:cs="Times New Roman"/>
          <w:color w:val="auto"/>
          <w:sz w:val="24"/>
          <w:szCs w:val="24"/>
        </w:rPr>
        <w:t>内地层出露</w:t>
      </w:r>
      <w:r>
        <w:rPr>
          <w:rFonts w:hint="default" w:ascii="Times New Roman" w:hAnsi="Times New Roman" w:cs="Times New Roman"/>
          <w:color w:val="auto"/>
          <w:sz w:val="24"/>
          <w:szCs w:val="24"/>
          <w:lang w:val="en-US" w:eastAsia="zh-CN"/>
        </w:rPr>
        <w:t>较少</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主要为</w:t>
      </w:r>
      <w:r>
        <w:rPr>
          <w:rFonts w:hint="default" w:ascii="Times New Roman" w:hAnsi="Times New Roman" w:cs="Times New Roman"/>
          <w:color w:val="auto"/>
          <w:sz w:val="24"/>
          <w:szCs w:val="24"/>
        </w:rPr>
        <w:t>第四系</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石炭系</w:t>
      </w:r>
      <w:r>
        <w:rPr>
          <w:rFonts w:hint="default" w:ascii="Times New Roman" w:hAnsi="Times New Roman" w:cs="Times New Roman"/>
          <w:color w:val="auto"/>
          <w:sz w:val="24"/>
          <w:szCs w:val="24"/>
          <w:lang w:val="en-US" w:eastAsia="zh-CN"/>
        </w:rPr>
        <w:t>和</w:t>
      </w:r>
      <w:r>
        <w:rPr>
          <w:rFonts w:hint="default" w:ascii="Times New Roman" w:hAnsi="Times New Roman" w:cs="Times New Roman"/>
          <w:color w:val="auto"/>
          <w:sz w:val="24"/>
          <w:szCs w:val="24"/>
        </w:rPr>
        <w:t>二叠系，出露的地层由老至新分述见表</w:t>
      </w:r>
      <w:r>
        <w:rPr>
          <w:rFonts w:hint="default" w:ascii="Times New Roman" w:hAnsi="Times New Roman" w:cs="Times New Roman"/>
          <w:color w:val="auto"/>
          <w:sz w:val="24"/>
          <w:szCs w:val="24"/>
          <w:lang w:val="en-US" w:eastAsia="zh-CN"/>
        </w:rPr>
        <w:t>4.8</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w:t>
      </w:r>
    </w:p>
    <w:p w14:paraId="798CC528">
      <w:pPr>
        <w:keepNext w:val="0"/>
        <w:keepLines w:val="0"/>
        <w:pageBreakBefore w:val="0"/>
        <w:widowControl/>
        <w:kinsoku w:val="0"/>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表</w:t>
      </w:r>
      <w:r>
        <w:rPr>
          <w:rFonts w:hint="default" w:ascii="Times New Roman" w:hAnsi="Times New Roman" w:cs="Times New Roman"/>
          <w:b/>
          <w:color w:val="auto"/>
          <w:sz w:val="21"/>
          <w:szCs w:val="21"/>
          <w:lang w:val="en-US" w:eastAsia="zh-CN"/>
        </w:rPr>
        <w:t>4.8</w:t>
      </w:r>
      <w:r>
        <w:rPr>
          <w:rFonts w:hint="default" w:ascii="Times New Roman" w:hAnsi="Times New Roman" w:cs="Times New Roman"/>
          <w:b/>
          <w:color w:val="auto"/>
          <w:sz w:val="21"/>
          <w:szCs w:val="21"/>
        </w:rPr>
        <w:t>-</w:t>
      </w:r>
      <w:r>
        <w:rPr>
          <w:rFonts w:hint="default" w:ascii="Times New Roman" w:hAnsi="Times New Roman" w:cs="Times New Roman"/>
          <w:b/>
          <w:color w:val="auto"/>
          <w:sz w:val="21"/>
          <w:szCs w:val="21"/>
          <w:lang w:val="en-US" w:eastAsia="zh-CN"/>
        </w:rPr>
        <w:t>1</w:t>
      </w:r>
      <w:r>
        <w:rPr>
          <w:rFonts w:hint="default" w:ascii="Times New Roman" w:hAnsi="Times New Roman" w:cs="Times New Roman"/>
          <w:b/>
          <w:color w:val="auto"/>
          <w:sz w:val="21"/>
          <w:szCs w:val="21"/>
        </w:rPr>
        <w:t xml:space="preserve"> 区域内地层简表</w:t>
      </w:r>
    </w:p>
    <w:tbl>
      <w:tblPr>
        <w:tblStyle w:val="21"/>
        <w:tblW w:w="8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708"/>
        <w:gridCol w:w="808"/>
        <w:gridCol w:w="1019"/>
        <w:gridCol w:w="1019"/>
        <w:gridCol w:w="850"/>
        <w:gridCol w:w="3061"/>
      </w:tblGrid>
      <w:tr w14:paraId="7F4F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tblHeader/>
        </w:trPr>
        <w:tc>
          <w:tcPr>
            <w:tcW w:w="651" w:type="dxa"/>
            <w:vAlign w:val="center"/>
          </w:tcPr>
          <w:p w14:paraId="57CEF3D8">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界</w:t>
            </w:r>
          </w:p>
        </w:tc>
        <w:tc>
          <w:tcPr>
            <w:tcW w:w="708" w:type="dxa"/>
            <w:vAlign w:val="center"/>
          </w:tcPr>
          <w:p w14:paraId="135F1DB4">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系</w:t>
            </w:r>
          </w:p>
        </w:tc>
        <w:tc>
          <w:tcPr>
            <w:tcW w:w="808" w:type="dxa"/>
            <w:vAlign w:val="center"/>
          </w:tcPr>
          <w:p w14:paraId="42158AD7">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统</w:t>
            </w:r>
          </w:p>
        </w:tc>
        <w:tc>
          <w:tcPr>
            <w:tcW w:w="1019" w:type="dxa"/>
            <w:vAlign w:val="center"/>
          </w:tcPr>
          <w:p w14:paraId="5F6E5C10">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组</w:t>
            </w:r>
          </w:p>
        </w:tc>
        <w:tc>
          <w:tcPr>
            <w:tcW w:w="1019" w:type="dxa"/>
            <w:vAlign w:val="center"/>
          </w:tcPr>
          <w:p w14:paraId="1FF7EEC8">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代号</w:t>
            </w:r>
          </w:p>
        </w:tc>
        <w:tc>
          <w:tcPr>
            <w:tcW w:w="850" w:type="dxa"/>
            <w:vAlign w:val="center"/>
          </w:tcPr>
          <w:p w14:paraId="5BAD4088">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厚度(m)</w:t>
            </w:r>
          </w:p>
        </w:tc>
        <w:tc>
          <w:tcPr>
            <w:tcW w:w="3061" w:type="dxa"/>
            <w:vAlign w:val="center"/>
          </w:tcPr>
          <w:p w14:paraId="510FB5D5">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主要岩性</w:t>
            </w:r>
          </w:p>
        </w:tc>
      </w:tr>
      <w:tr w14:paraId="7DAB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trPr>
        <w:tc>
          <w:tcPr>
            <w:tcW w:w="651" w:type="dxa"/>
            <w:vAlign w:val="center"/>
          </w:tcPr>
          <w:p w14:paraId="0A4F8349">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新</w:t>
            </w:r>
            <w:r>
              <w:rPr>
                <w:rFonts w:hint="default" w:ascii="Times New Roman" w:hAnsi="Times New Roman" w:cs="Times New Roman"/>
                <w:color w:val="auto"/>
                <w:sz w:val="21"/>
                <w:szCs w:val="21"/>
              </w:rPr>
              <w:t>生界</w:t>
            </w:r>
          </w:p>
        </w:tc>
        <w:tc>
          <w:tcPr>
            <w:tcW w:w="708" w:type="dxa"/>
            <w:vAlign w:val="center"/>
          </w:tcPr>
          <w:p w14:paraId="5794DD22">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第四系</w:t>
            </w:r>
          </w:p>
        </w:tc>
        <w:tc>
          <w:tcPr>
            <w:tcW w:w="808" w:type="dxa"/>
            <w:vAlign w:val="center"/>
          </w:tcPr>
          <w:p w14:paraId="2B0A61DA">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w:t>
            </w:r>
          </w:p>
        </w:tc>
        <w:tc>
          <w:tcPr>
            <w:tcW w:w="1019" w:type="dxa"/>
            <w:vAlign w:val="center"/>
          </w:tcPr>
          <w:p w14:paraId="6430AEE6">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w:t>
            </w:r>
          </w:p>
        </w:tc>
        <w:tc>
          <w:tcPr>
            <w:tcW w:w="1019" w:type="dxa"/>
            <w:vAlign w:val="center"/>
          </w:tcPr>
          <w:p w14:paraId="5D37882E">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Q</w:t>
            </w:r>
            <w:r>
              <w:rPr>
                <w:rFonts w:hint="default" w:ascii="Times New Roman" w:hAnsi="Times New Roman" w:cs="Times New Roman"/>
                <w:color w:val="auto"/>
                <w:sz w:val="21"/>
                <w:szCs w:val="21"/>
                <w:vertAlign w:val="subscript"/>
                <w:lang w:val="en-US" w:eastAsia="zh-CN"/>
              </w:rPr>
              <w:t>4</w:t>
            </w:r>
          </w:p>
        </w:tc>
        <w:tc>
          <w:tcPr>
            <w:tcW w:w="850" w:type="dxa"/>
            <w:vAlign w:val="center"/>
          </w:tcPr>
          <w:p w14:paraId="0CB08F71">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8</w:t>
            </w:r>
          </w:p>
        </w:tc>
        <w:tc>
          <w:tcPr>
            <w:tcW w:w="3061" w:type="dxa"/>
            <w:vAlign w:val="center"/>
          </w:tcPr>
          <w:p w14:paraId="28A3FED5">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杂色冲洪积、残坡积粉质粘土、砂及卵砾石</w:t>
            </w:r>
          </w:p>
        </w:tc>
      </w:tr>
      <w:tr w14:paraId="10E4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7" w:hRule="atLeast"/>
        </w:trPr>
        <w:tc>
          <w:tcPr>
            <w:tcW w:w="651" w:type="dxa"/>
            <w:shd w:val="clear" w:color="auto" w:fill="auto"/>
            <w:vAlign w:val="center"/>
          </w:tcPr>
          <w:p w14:paraId="5859A626">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上古生界</w:t>
            </w:r>
          </w:p>
        </w:tc>
        <w:tc>
          <w:tcPr>
            <w:tcW w:w="708" w:type="dxa"/>
            <w:shd w:val="clear" w:color="auto" w:fill="auto"/>
            <w:vAlign w:val="center"/>
          </w:tcPr>
          <w:p w14:paraId="6843881C">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二叠系</w:t>
            </w:r>
          </w:p>
        </w:tc>
        <w:tc>
          <w:tcPr>
            <w:tcW w:w="808" w:type="dxa"/>
            <w:shd w:val="clear" w:color="auto" w:fill="auto"/>
            <w:vAlign w:val="center"/>
          </w:tcPr>
          <w:p w14:paraId="6670A16A">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下统</w:t>
            </w:r>
          </w:p>
        </w:tc>
        <w:tc>
          <w:tcPr>
            <w:tcW w:w="1019" w:type="dxa"/>
            <w:shd w:val="clear" w:color="auto" w:fill="auto"/>
            <w:vAlign w:val="center"/>
          </w:tcPr>
          <w:p w14:paraId="5A38F34B">
            <w:pPr>
              <w:spacing w:line="240" w:lineRule="auto"/>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栖霞茅口</w:t>
            </w:r>
          </w:p>
          <w:p w14:paraId="1AF481E7">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组</w:t>
            </w:r>
          </w:p>
        </w:tc>
        <w:tc>
          <w:tcPr>
            <w:tcW w:w="1019" w:type="dxa"/>
            <w:shd w:val="clear" w:color="auto" w:fill="auto"/>
            <w:vAlign w:val="center"/>
          </w:tcPr>
          <w:p w14:paraId="2C137B09">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P</w:t>
            </w:r>
            <w:r>
              <w:rPr>
                <w:rFonts w:hint="default" w:ascii="Times New Roman" w:hAnsi="Times New Roman" w:eastAsia="宋体" w:cs="Times New Roman"/>
                <w:color w:val="auto"/>
                <w:sz w:val="21"/>
                <w:szCs w:val="21"/>
                <w:vertAlign w:val="subscript"/>
              </w:rPr>
              <w:t>1</w:t>
            </w:r>
            <w:r>
              <w:rPr>
                <w:rFonts w:hint="default" w:ascii="Times New Roman" w:hAnsi="Times New Roman" w:eastAsia="宋体" w:cs="Times New Roman"/>
                <w:color w:val="auto"/>
                <w:sz w:val="21"/>
                <w:szCs w:val="21"/>
              </w:rPr>
              <w:t>q+m</w:t>
            </w:r>
          </w:p>
        </w:tc>
        <w:tc>
          <w:tcPr>
            <w:tcW w:w="850" w:type="dxa"/>
            <w:shd w:val="clear" w:color="auto" w:fill="auto"/>
            <w:vAlign w:val="center"/>
          </w:tcPr>
          <w:p w14:paraId="39DD66E8">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237-645</w:t>
            </w:r>
          </w:p>
        </w:tc>
        <w:tc>
          <w:tcPr>
            <w:tcW w:w="3061" w:type="dxa"/>
            <w:shd w:val="clear" w:color="auto" w:fill="auto"/>
            <w:vAlign w:val="center"/>
          </w:tcPr>
          <w:p w14:paraId="7D2221A2">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灰一深灰色粉晶骨屑灰岩，虎斑状白云质灰岩夹白云岩</w:t>
            </w:r>
          </w:p>
        </w:tc>
      </w:tr>
      <w:tr w14:paraId="0B60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7" w:hRule="atLeast"/>
        </w:trPr>
        <w:tc>
          <w:tcPr>
            <w:tcW w:w="651" w:type="dxa"/>
            <w:shd w:val="clear" w:color="auto" w:fill="auto"/>
            <w:vAlign w:val="center"/>
          </w:tcPr>
          <w:p w14:paraId="687F5B33">
            <w:pPr>
              <w:spacing w:line="240" w:lineRule="auto"/>
              <w:jc w:val="center"/>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cs="Times New Roman"/>
                <w:color w:val="auto"/>
                <w:sz w:val="21"/>
                <w:szCs w:val="21"/>
                <w:lang w:val="en-US" w:eastAsia="zh-CN"/>
              </w:rPr>
              <w:t>古生界</w:t>
            </w:r>
          </w:p>
        </w:tc>
        <w:tc>
          <w:tcPr>
            <w:tcW w:w="708" w:type="dxa"/>
            <w:shd w:val="clear" w:color="auto" w:fill="auto"/>
            <w:vAlign w:val="center"/>
          </w:tcPr>
          <w:p w14:paraId="42020FEF">
            <w:pPr>
              <w:spacing w:line="240" w:lineRule="auto"/>
              <w:jc w:val="center"/>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color w:val="auto"/>
                <w:spacing w:val="0"/>
                <w:sz w:val="21"/>
                <w:szCs w:val="21"/>
                <w:highlight w:val="none"/>
                <w:lang w:val="en-US" w:eastAsia="zh-CN"/>
              </w:rPr>
              <w:t>石炭系</w:t>
            </w:r>
          </w:p>
        </w:tc>
        <w:tc>
          <w:tcPr>
            <w:tcW w:w="808" w:type="dxa"/>
            <w:shd w:val="clear" w:color="auto" w:fill="auto"/>
            <w:vAlign w:val="center"/>
          </w:tcPr>
          <w:p w14:paraId="4FB6BEAF">
            <w:pPr>
              <w:spacing w:line="240" w:lineRule="auto"/>
              <w:jc w:val="center"/>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color w:val="auto"/>
                <w:spacing w:val="0"/>
                <w:sz w:val="21"/>
                <w:szCs w:val="21"/>
                <w:highlight w:val="none"/>
                <w:lang w:val="en-US" w:eastAsia="zh-CN"/>
              </w:rPr>
              <w:t>中上统灰</w:t>
            </w:r>
          </w:p>
        </w:tc>
        <w:tc>
          <w:tcPr>
            <w:tcW w:w="1019" w:type="dxa"/>
            <w:shd w:val="clear" w:color="auto" w:fill="auto"/>
            <w:vAlign w:val="center"/>
          </w:tcPr>
          <w:p w14:paraId="4A83E17C">
            <w:pPr>
              <w:spacing w:line="240" w:lineRule="auto"/>
              <w:jc w:val="center"/>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color w:val="auto"/>
                <w:spacing w:val="0"/>
                <w:sz w:val="21"/>
                <w:szCs w:val="21"/>
                <w:highlight w:val="none"/>
                <w:lang w:val="en-US" w:eastAsia="zh-CN"/>
              </w:rPr>
              <w:t>/</w:t>
            </w:r>
          </w:p>
        </w:tc>
        <w:tc>
          <w:tcPr>
            <w:tcW w:w="1019" w:type="dxa"/>
            <w:shd w:val="clear" w:color="auto" w:fill="auto"/>
            <w:vAlign w:val="center"/>
          </w:tcPr>
          <w:p w14:paraId="026B1928">
            <w:pPr>
              <w:spacing w:line="240" w:lineRule="auto"/>
              <w:jc w:val="center"/>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color w:val="auto"/>
                <w:spacing w:val="0"/>
                <w:sz w:val="21"/>
                <w:szCs w:val="21"/>
                <w:highlight w:val="none"/>
                <w:lang w:val="en-US" w:eastAsia="zh-CN"/>
              </w:rPr>
              <w:t>C</w:t>
            </w:r>
          </w:p>
        </w:tc>
        <w:tc>
          <w:tcPr>
            <w:tcW w:w="850" w:type="dxa"/>
            <w:shd w:val="clear" w:color="auto" w:fill="auto"/>
            <w:vAlign w:val="center"/>
          </w:tcPr>
          <w:p w14:paraId="4868EF41">
            <w:pPr>
              <w:spacing w:line="240" w:lineRule="auto"/>
              <w:jc w:val="center"/>
              <w:rPr>
                <w:rFonts w:hint="default" w:ascii="Times New Roman" w:hAnsi="Times New Roman" w:eastAsia="宋体" w:cs="Times New Roman"/>
                <w:snapToGrid w:val="0"/>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8-20</w:t>
            </w:r>
          </w:p>
        </w:tc>
        <w:tc>
          <w:tcPr>
            <w:tcW w:w="3061" w:type="dxa"/>
            <w:shd w:val="clear" w:color="auto" w:fill="auto"/>
            <w:vAlign w:val="center"/>
          </w:tcPr>
          <w:p w14:paraId="3E6FA6EB">
            <w:pPr>
              <w:spacing w:line="240" w:lineRule="auto"/>
              <w:jc w:val="center"/>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石炭系未分层：</w:t>
            </w:r>
            <w:r>
              <w:rPr>
                <w:rFonts w:hint="eastAsia" w:ascii="Times New Roman" w:hAnsi="Times New Roman" w:eastAsia="宋体" w:cs="Times New Roman"/>
                <w:b w:val="0"/>
                <w:bCs w:val="0"/>
                <w:color w:val="auto"/>
                <w:kern w:val="2"/>
                <w:sz w:val="21"/>
                <w:szCs w:val="21"/>
                <w:lang w:val="en-US" w:eastAsia="zh-CN" w:bidi="ar-SA"/>
              </w:rPr>
              <w:t>褐红、褐黄色</w:t>
            </w:r>
            <w:r>
              <w:rPr>
                <w:rFonts w:hint="default" w:ascii="Times New Roman" w:hAnsi="Times New Roman" w:eastAsia="宋体" w:cs="Times New Roman"/>
                <w:b w:val="0"/>
                <w:bCs w:val="0"/>
                <w:color w:val="auto"/>
                <w:kern w:val="2"/>
                <w:sz w:val="21"/>
                <w:szCs w:val="21"/>
                <w:lang w:val="en-US" w:eastAsia="zh-CN" w:bidi="ar-SA"/>
              </w:rPr>
              <w:t>灰岩，</w:t>
            </w:r>
            <w:r>
              <w:rPr>
                <w:rFonts w:hint="eastAsia" w:ascii="Times New Roman" w:hAnsi="Times New Roman" w:eastAsia="宋体" w:cs="Times New Roman"/>
                <w:b w:val="0"/>
                <w:bCs w:val="0"/>
                <w:color w:val="auto"/>
                <w:kern w:val="2"/>
                <w:sz w:val="21"/>
                <w:szCs w:val="21"/>
                <w:lang w:val="en-US" w:eastAsia="zh-CN" w:bidi="ar-SA"/>
              </w:rPr>
              <w:t>灰色，浅灰色</w:t>
            </w:r>
            <w:r>
              <w:rPr>
                <w:rFonts w:hint="default" w:ascii="Times New Roman" w:hAnsi="Times New Roman" w:eastAsia="宋体" w:cs="Times New Roman"/>
                <w:b w:val="0"/>
                <w:bCs w:val="0"/>
                <w:color w:val="auto"/>
                <w:kern w:val="2"/>
                <w:sz w:val="21"/>
                <w:szCs w:val="21"/>
                <w:lang w:val="en-US" w:eastAsia="zh-CN" w:bidi="ar-SA"/>
              </w:rPr>
              <w:t>灰岩夹白云质条纹灰岩</w:t>
            </w:r>
          </w:p>
        </w:tc>
      </w:tr>
    </w:tbl>
    <w:p w14:paraId="3D8502A5">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据钻孔揭露地层资料，场地勘探深度范围内岩土结构由杂填土（Q</w:t>
      </w:r>
      <w:r>
        <w:rPr>
          <w:rFonts w:hint="default" w:ascii="Times New Roman" w:hAnsi="Times New Roman" w:eastAsia="宋体" w:cs="Times New Roman"/>
          <w:color w:val="auto"/>
          <w:spacing w:val="0"/>
          <w:sz w:val="24"/>
          <w:szCs w:val="24"/>
          <w:highlight w:val="none"/>
          <w:vertAlign w:val="subscript"/>
          <w:lang w:val="en-US" w:eastAsia="zh-CN"/>
        </w:rPr>
        <w:t>4</w:t>
      </w:r>
      <w:r>
        <w:rPr>
          <w:rFonts w:hint="default" w:ascii="Times New Roman" w:hAnsi="Times New Roman" w:eastAsia="宋体" w:cs="Times New Roman"/>
          <w:color w:val="auto"/>
          <w:spacing w:val="0"/>
          <w:sz w:val="24"/>
          <w:szCs w:val="24"/>
          <w:highlight w:val="none"/>
          <w:vertAlign w:val="superscript"/>
          <w:lang w:val="en-US" w:eastAsia="zh-CN"/>
        </w:rPr>
        <w:t>ml</w:t>
      </w:r>
      <w:r>
        <w:rPr>
          <w:rFonts w:hint="default" w:ascii="Times New Roman" w:hAnsi="Times New Roman" w:eastAsia="宋体" w:cs="Times New Roman"/>
          <w:color w:val="auto"/>
          <w:spacing w:val="0"/>
          <w:sz w:val="24"/>
          <w:szCs w:val="24"/>
          <w:highlight w:val="none"/>
          <w:lang w:val="en-US" w:eastAsia="zh-CN"/>
        </w:rPr>
        <w:t>）、红黏土（Q</w:t>
      </w:r>
      <w:r>
        <w:rPr>
          <w:rFonts w:hint="default" w:ascii="Times New Roman" w:hAnsi="Times New Roman" w:eastAsia="宋体" w:cs="Times New Roman"/>
          <w:color w:val="auto"/>
          <w:spacing w:val="0"/>
          <w:sz w:val="24"/>
          <w:szCs w:val="24"/>
          <w:highlight w:val="none"/>
          <w:vertAlign w:val="subscript"/>
          <w:lang w:val="en-US" w:eastAsia="zh-CN"/>
        </w:rPr>
        <w:t>4</w:t>
      </w:r>
      <w:r>
        <w:rPr>
          <w:rFonts w:hint="default" w:ascii="Times New Roman" w:hAnsi="Times New Roman" w:eastAsia="宋体" w:cs="Times New Roman"/>
          <w:color w:val="auto"/>
          <w:spacing w:val="0"/>
          <w:sz w:val="24"/>
          <w:szCs w:val="24"/>
          <w:highlight w:val="none"/>
          <w:vertAlign w:val="superscript"/>
          <w:lang w:val="en-US" w:eastAsia="zh-CN"/>
        </w:rPr>
        <w:t>el</w:t>
      </w:r>
      <w:r>
        <w:rPr>
          <w:rFonts w:hint="default" w:ascii="Times New Roman" w:hAnsi="Times New Roman" w:eastAsia="宋体" w:cs="Times New Roman"/>
          <w:color w:val="auto"/>
          <w:spacing w:val="0"/>
          <w:sz w:val="24"/>
          <w:szCs w:val="24"/>
          <w:highlight w:val="none"/>
          <w:lang w:val="en-US" w:eastAsia="zh-CN"/>
        </w:rPr>
        <w:t>）、石炭系中上统灰岩（C</w:t>
      </w:r>
      <w:r>
        <w:rPr>
          <w:rFonts w:hint="default" w:ascii="Times New Roman" w:hAnsi="Times New Roman" w:eastAsia="宋体" w:cs="Times New Roman"/>
          <w:color w:val="auto"/>
          <w:spacing w:val="0"/>
          <w:sz w:val="24"/>
          <w:szCs w:val="24"/>
          <w:highlight w:val="none"/>
          <w:vertAlign w:val="subscript"/>
          <w:lang w:val="en-US" w:eastAsia="zh-CN"/>
        </w:rPr>
        <w:t>2-3</w:t>
      </w:r>
      <w:r>
        <w:rPr>
          <w:rFonts w:hint="default" w:ascii="Times New Roman" w:hAnsi="Times New Roman" w:eastAsia="宋体" w:cs="Times New Roman"/>
          <w:color w:val="auto"/>
          <w:spacing w:val="0"/>
          <w:sz w:val="24"/>
          <w:szCs w:val="24"/>
          <w:highlight w:val="none"/>
          <w:lang w:val="en-US" w:eastAsia="zh-CN"/>
        </w:rPr>
        <w:t>）组成。根据土的物理力学特征及其分布形态，将场地地基土详细划分为5个主层，现从上至下分别描述如下：依据《岩土工程勘察规范》（GB50021－2001）（2009年版）第3.3条分类原则，根据将场地地基土划分为6个主层1个亚层，现从上至下分别描述如下：</w:t>
      </w:r>
    </w:p>
    <w:p w14:paraId="561BC17E">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第①层：杂填土（</w:t>
      </w:r>
      <w:r>
        <w:rPr>
          <w:rFonts w:hint="default" w:ascii="Times New Roman" w:hAnsi="Times New Roman" w:eastAsia="宋体" w:cs="Times New Roman"/>
          <w:color w:val="auto"/>
          <w:spacing w:val="0"/>
          <w:sz w:val="24"/>
          <w:highlight w:val="none"/>
          <w:lang w:val="en-US" w:eastAsia="zh-CN"/>
        </w:rPr>
        <w:t>Q</w:t>
      </w:r>
      <w:r>
        <w:rPr>
          <w:rFonts w:hint="default" w:ascii="Times New Roman" w:hAnsi="Times New Roman" w:eastAsia="宋体" w:cs="Times New Roman"/>
          <w:color w:val="auto"/>
          <w:spacing w:val="0"/>
          <w:sz w:val="24"/>
          <w:highlight w:val="none"/>
          <w:vertAlign w:val="subscript"/>
          <w:lang w:val="en-US" w:eastAsia="zh-CN"/>
        </w:rPr>
        <w:t>4</w:t>
      </w:r>
      <w:r>
        <w:rPr>
          <w:rFonts w:hint="default" w:ascii="Times New Roman" w:hAnsi="Times New Roman" w:eastAsia="宋体" w:cs="Times New Roman"/>
          <w:color w:val="auto"/>
          <w:spacing w:val="0"/>
          <w:sz w:val="24"/>
          <w:highlight w:val="none"/>
          <w:vertAlign w:val="superscript"/>
          <w:lang w:val="en-US" w:eastAsia="zh-CN"/>
        </w:rPr>
        <w:t>ml</w:t>
      </w:r>
      <w:r>
        <w:rPr>
          <w:rFonts w:hint="eastAsia" w:ascii="Times New Roman" w:hAnsi="Times New Roman" w:eastAsia="宋体" w:cs="Times New Roman"/>
          <w:color w:val="auto"/>
          <w:spacing w:val="0"/>
          <w:sz w:val="24"/>
          <w:highlight w:val="none"/>
          <w:lang w:val="en-US" w:eastAsia="zh-CN"/>
        </w:rPr>
        <w:t>）</w:t>
      </w:r>
    </w:p>
    <w:p w14:paraId="4FEC680D">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杂色、褐红、灰褐色，稍湿，松散，主要成分为建筑垃圾、黏土，含少量碎石、角砾，局部含生活垃圾。堆填时间＞</w:t>
      </w:r>
      <w:r>
        <w:rPr>
          <w:rFonts w:hint="default" w:ascii="Times New Roman" w:hAnsi="Times New Roman" w:eastAsia="宋体" w:cs="Times New Roman"/>
          <w:color w:val="auto"/>
          <w:spacing w:val="0"/>
          <w:sz w:val="24"/>
          <w:highlight w:val="none"/>
          <w:lang w:val="en-US" w:eastAsia="zh-CN"/>
        </w:rPr>
        <w:t>5</w:t>
      </w:r>
      <w:r>
        <w:rPr>
          <w:rFonts w:hint="eastAsia" w:ascii="Times New Roman" w:hAnsi="Times New Roman" w:eastAsia="宋体" w:cs="Times New Roman"/>
          <w:color w:val="auto"/>
          <w:spacing w:val="0"/>
          <w:sz w:val="24"/>
          <w:highlight w:val="none"/>
          <w:lang w:val="en-US" w:eastAsia="zh-CN"/>
        </w:rPr>
        <w:t>年，结构松散，场区连续分布，层顶埋深</w:t>
      </w:r>
      <w:r>
        <w:rPr>
          <w:rFonts w:hint="default" w:ascii="Times New Roman" w:hAnsi="Times New Roman" w:eastAsia="宋体" w:cs="Times New Roman"/>
          <w:color w:val="auto"/>
          <w:spacing w:val="0"/>
          <w:sz w:val="24"/>
          <w:highlight w:val="none"/>
          <w:lang w:val="en-US" w:eastAsia="zh-CN"/>
        </w:rPr>
        <w:t>0.00</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0.60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8.50m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2.23m</w:t>
      </w:r>
      <w:r>
        <w:rPr>
          <w:rFonts w:hint="eastAsia" w:ascii="Times New Roman" w:hAnsi="Times New Roman" w:eastAsia="宋体" w:cs="Times New Roman"/>
          <w:color w:val="auto"/>
          <w:spacing w:val="0"/>
          <w:sz w:val="24"/>
          <w:highlight w:val="none"/>
          <w:lang w:val="en-US" w:eastAsia="zh-CN"/>
        </w:rPr>
        <w:t>。</w:t>
      </w:r>
    </w:p>
    <w:p w14:paraId="51E5F706">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第②层：红黏土（</w:t>
      </w:r>
      <w:r>
        <w:rPr>
          <w:rFonts w:hint="default" w:ascii="Times New Roman" w:hAnsi="Times New Roman" w:eastAsia="宋体" w:cs="Times New Roman"/>
          <w:color w:val="auto"/>
          <w:spacing w:val="0"/>
          <w:sz w:val="24"/>
          <w:highlight w:val="none"/>
          <w:lang w:val="en-US" w:eastAsia="zh-CN"/>
        </w:rPr>
        <w:t>Q</w:t>
      </w:r>
      <w:r>
        <w:rPr>
          <w:rFonts w:hint="default" w:ascii="Times New Roman" w:hAnsi="Times New Roman" w:eastAsia="宋体" w:cs="Times New Roman"/>
          <w:color w:val="auto"/>
          <w:spacing w:val="0"/>
          <w:sz w:val="24"/>
          <w:highlight w:val="none"/>
          <w:vertAlign w:val="subscript"/>
          <w:lang w:val="en-US" w:eastAsia="zh-CN"/>
        </w:rPr>
        <w:t>4</w:t>
      </w:r>
      <w:r>
        <w:rPr>
          <w:rFonts w:hint="default" w:ascii="Times New Roman" w:hAnsi="Times New Roman" w:eastAsia="宋体" w:cs="Times New Roman"/>
          <w:color w:val="auto"/>
          <w:spacing w:val="0"/>
          <w:sz w:val="24"/>
          <w:highlight w:val="none"/>
          <w:vertAlign w:val="superscript"/>
          <w:lang w:val="en-US" w:eastAsia="zh-CN"/>
        </w:rPr>
        <w:t>el</w:t>
      </w:r>
      <w:r>
        <w:rPr>
          <w:rFonts w:hint="eastAsia" w:ascii="Times New Roman" w:hAnsi="Times New Roman" w:eastAsia="宋体" w:cs="Times New Roman"/>
          <w:color w:val="auto"/>
          <w:spacing w:val="0"/>
          <w:sz w:val="24"/>
          <w:highlight w:val="none"/>
          <w:lang w:val="en-US" w:eastAsia="zh-CN"/>
        </w:rPr>
        <w:t>）</w:t>
      </w:r>
    </w:p>
    <w:p w14:paraId="504E2A2C">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褐红、褐黄色，可塑状，稍湿，切面稍光滑，韧性中等，干强度高，红黏土裂隙发育特征为较多裂隙（</w:t>
      </w:r>
      <w:r>
        <w:rPr>
          <w:rFonts w:hint="default" w:ascii="Times New Roman" w:hAnsi="Times New Roman" w:eastAsia="宋体" w:cs="Times New Roman"/>
          <w:color w:val="auto"/>
          <w:spacing w:val="0"/>
          <w:sz w:val="24"/>
          <w:highlight w:val="none"/>
          <w:lang w:val="en-US" w:eastAsia="zh-CN"/>
        </w:rPr>
        <w:t>1~2</w:t>
      </w:r>
      <w:r>
        <w:rPr>
          <w:rFonts w:hint="eastAsia" w:ascii="Times New Roman" w:hAnsi="Times New Roman" w:eastAsia="宋体" w:cs="Times New Roman"/>
          <w:color w:val="auto"/>
          <w:spacing w:val="0"/>
          <w:sz w:val="24"/>
          <w:highlight w:val="none"/>
          <w:lang w:val="en-US" w:eastAsia="zh-CN"/>
        </w:rPr>
        <w:t>条），土体结构为巨块状的，干易开裂，遇水易软化，自由膨胀率为</w:t>
      </w:r>
      <w:r>
        <w:rPr>
          <w:rFonts w:hint="default" w:ascii="Times New Roman" w:hAnsi="Times New Roman" w:eastAsia="宋体" w:cs="Times New Roman"/>
          <w:color w:val="auto"/>
          <w:spacing w:val="0"/>
          <w:sz w:val="24"/>
          <w:highlight w:val="none"/>
          <w:lang w:val="en-US" w:eastAsia="zh-CN"/>
        </w:rPr>
        <w:t>19%~75%</w:t>
      </w:r>
      <w:r>
        <w:rPr>
          <w:rFonts w:hint="eastAsia" w:ascii="Times New Roman" w:hAnsi="Times New Roman" w:eastAsia="宋体" w:cs="Times New Roman"/>
          <w:color w:val="auto"/>
          <w:spacing w:val="0"/>
          <w:sz w:val="24"/>
          <w:highlight w:val="none"/>
          <w:lang w:val="en-US" w:eastAsia="zh-CN"/>
        </w:rPr>
        <w:t>，具弱</w:t>
      </w:r>
      <w:r>
        <w:rPr>
          <w:rFonts w:hint="default" w:ascii="Times New Roman" w:hAnsi="Times New Roman" w:eastAsia="宋体" w:cs="Times New Roman"/>
          <w:color w:val="auto"/>
          <w:spacing w:val="0"/>
          <w:sz w:val="24"/>
          <w:highlight w:val="none"/>
          <w:lang w:val="en-US" w:eastAsia="zh-CN"/>
        </w:rPr>
        <w:t>~</w:t>
      </w:r>
      <w:r>
        <w:rPr>
          <w:rFonts w:hint="eastAsia" w:ascii="Times New Roman" w:hAnsi="Times New Roman" w:eastAsia="宋体" w:cs="Times New Roman"/>
          <w:color w:val="auto"/>
          <w:spacing w:val="0"/>
          <w:sz w:val="24"/>
          <w:highlight w:val="none"/>
          <w:lang w:val="en-US" w:eastAsia="zh-CN"/>
        </w:rPr>
        <w:t xml:space="preserve">中膨胀潜势，全区连续分布层顶埋深 </w:t>
      </w:r>
      <w:r>
        <w:rPr>
          <w:rFonts w:hint="default" w:ascii="Times New Roman" w:hAnsi="Times New Roman" w:eastAsia="宋体" w:cs="Times New Roman"/>
          <w:color w:val="auto"/>
          <w:spacing w:val="0"/>
          <w:sz w:val="24"/>
          <w:highlight w:val="none"/>
          <w:lang w:val="en-US" w:eastAsia="zh-CN"/>
        </w:rPr>
        <w:t>0.60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8.50m</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1.50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14.10m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7.89m</w:t>
      </w:r>
      <w:r>
        <w:rPr>
          <w:rFonts w:hint="eastAsia" w:ascii="Times New Roman" w:hAnsi="Times New Roman" w:eastAsia="宋体" w:cs="Times New Roman"/>
          <w:color w:val="auto"/>
          <w:spacing w:val="0"/>
          <w:sz w:val="24"/>
          <w:highlight w:val="none"/>
          <w:lang w:val="en-US" w:eastAsia="zh-CN"/>
        </w:rPr>
        <w:t>。</w:t>
      </w:r>
    </w:p>
    <w:p w14:paraId="03AEC28E">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第③层：红黏土（</w:t>
      </w:r>
      <w:r>
        <w:rPr>
          <w:rFonts w:hint="default" w:ascii="Times New Roman" w:hAnsi="Times New Roman" w:eastAsia="宋体" w:cs="Times New Roman"/>
          <w:color w:val="auto"/>
          <w:spacing w:val="0"/>
          <w:sz w:val="24"/>
          <w:highlight w:val="none"/>
          <w:lang w:val="en-US" w:eastAsia="zh-CN"/>
        </w:rPr>
        <w:t>C</w:t>
      </w:r>
      <w:r>
        <w:rPr>
          <w:rFonts w:hint="default" w:ascii="Times New Roman" w:hAnsi="Times New Roman" w:eastAsia="宋体" w:cs="Times New Roman"/>
          <w:color w:val="auto"/>
          <w:spacing w:val="0"/>
          <w:sz w:val="24"/>
          <w:highlight w:val="none"/>
          <w:vertAlign w:val="subscript"/>
          <w:lang w:val="en-US" w:eastAsia="zh-CN"/>
        </w:rPr>
        <w:t>2-3</w:t>
      </w:r>
      <w:r>
        <w:rPr>
          <w:rFonts w:hint="eastAsia" w:ascii="Times New Roman" w:hAnsi="Times New Roman" w:eastAsia="宋体" w:cs="Times New Roman"/>
          <w:color w:val="auto"/>
          <w:spacing w:val="0"/>
          <w:sz w:val="24"/>
          <w:highlight w:val="none"/>
          <w:lang w:val="en-US" w:eastAsia="zh-CN"/>
        </w:rPr>
        <w:t>）</w:t>
      </w:r>
    </w:p>
    <w:p w14:paraId="47A67C64">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褐红、褐黄色，软塑状，稍湿，切面光滑，韧性中等，干强度中等，红黏土裂隙发育特征为较多裂隙（</w:t>
      </w:r>
      <w:r>
        <w:rPr>
          <w:rFonts w:hint="default" w:ascii="Times New Roman" w:hAnsi="Times New Roman" w:eastAsia="宋体" w:cs="Times New Roman"/>
          <w:color w:val="auto"/>
          <w:spacing w:val="0"/>
          <w:sz w:val="24"/>
          <w:highlight w:val="none"/>
          <w:lang w:val="en-US" w:eastAsia="zh-CN"/>
        </w:rPr>
        <w:t>1~2</w:t>
      </w:r>
      <w:r>
        <w:rPr>
          <w:rFonts w:hint="eastAsia" w:ascii="Times New Roman" w:hAnsi="Times New Roman" w:eastAsia="宋体" w:cs="Times New Roman"/>
          <w:color w:val="auto"/>
          <w:spacing w:val="0"/>
          <w:sz w:val="24"/>
          <w:highlight w:val="none"/>
          <w:lang w:val="en-US" w:eastAsia="zh-CN"/>
        </w:rPr>
        <w:t>条），土体结构为巨块状的，干易开裂，遇水易软化，自由膨胀率为</w:t>
      </w:r>
      <w:r>
        <w:rPr>
          <w:rFonts w:hint="default" w:ascii="Times New Roman" w:hAnsi="Times New Roman" w:eastAsia="宋体" w:cs="Times New Roman"/>
          <w:color w:val="auto"/>
          <w:spacing w:val="0"/>
          <w:sz w:val="24"/>
          <w:highlight w:val="none"/>
          <w:lang w:val="en-US" w:eastAsia="zh-CN"/>
        </w:rPr>
        <w:t>21%~33%</w:t>
      </w:r>
      <w:r>
        <w:rPr>
          <w:rFonts w:hint="eastAsia" w:ascii="Times New Roman" w:hAnsi="Times New Roman" w:eastAsia="宋体" w:cs="Times New Roman"/>
          <w:color w:val="auto"/>
          <w:spacing w:val="0"/>
          <w:sz w:val="24"/>
          <w:highlight w:val="none"/>
          <w:lang w:val="en-US" w:eastAsia="zh-CN"/>
        </w:rPr>
        <w:t>，属非膨胀土，场地大部分区域分布，层顶埋深</w:t>
      </w:r>
      <w:r>
        <w:rPr>
          <w:rFonts w:hint="default" w:ascii="Times New Roman" w:hAnsi="Times New Roman" w:eastAsia="宋体" w:cs="Times New Roman"/>
          <w:color w:val="auto"/>
          <w:spacing w:val="0"/>
          <w:sz w:val="24"/>
          <w:highlight w:val="none"/>
          <w:lang w:val="en-US" w:eastAsia="zh-CN"/>
        </w:rPr>
        <w:t>4.00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15.00m</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0.90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6.70m</w:t>
      </w:r>
      <w:r>
        <w:rPr>
          <w:rFonts w:hint="eastAsia" w:ascii="Times New Roman" w:hAnsi="Times New Roman" w:eastAsia="宋体" w:cs="Times New Roman"/>
          <w:color w:val="auto"/>
          <w:spacing w:val="0"/>
          <w:sz w:val="24"/>
          <w:highlight w:val="none"/>
          <w:lang w:val="en-US" w:eastAsia="zh-CN"/>
        </w:rPr>
        <w:t xml:space="preserve">，平均厚度 </w:t>
      </w:r>
      <w:r>
        <w:rPr>
          <w:rFonts w:hint="default" w:ascii="Times New Roman" w:hAnsi="Times New Roman" w:eastAsia="宋体" w:cs="Times New Roman"/>
          <w:color w:val="auto"/>
          <w:spacing w:val="0"/>
          <w:sz w:val="24"/>
          <w:highlight w:val="none"/>
          <w:lang w:val="en-US" w:eastAsia="zh-CN"/>
        </w:rPr>
        <w:t>2.68m</w:t>
      </w:r>
      <w:r>
        <w:rPr>
          <w:rFonts w:hint="eastAsia" w:ascii="Times New Roman" w:hAnsi="Times New Roman" w:eastAsia="宋体" w:cs="Times New Roman"/>
          <w:color w:val="auto"/>
          <w:spacing w:val="0"/>
          <w:sz w:val="24"/>
          <w:highlight w:val="none"/>
          <w:lang w:val="en-US" w:eastAsia="zh-CN"/>
        </w:rPr>
        <w:t>。</w:t>
      </w:r>
    </w:p>
    <w:p w14:paraId="12D8449D">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第④层：强风化灰岩（</w:t>
      </w:r>
      <w:r>
        <w:rPr>
          <w:rFonts w:hint="default" w:ascii="Times New Roman" w:hAnsi="Times New Roman" w:eastAsia="宋体" w:cs="Times New Roman"/>
          <w:color w:val="auto"/>
          <w:spacing w:val="0"/>
          <w:sz w:val="24"/>
          <w:highlight w:val="none"/>
          <w:lang w:val="en-US" w:eastAsia="zh-CN"/>
        </w:rPr>
        <w:t>C</w:t>
      </w:r>
      <w:r>
        <w:rPr>
          <w:rFonts w:hint="default" w:ascii="Times New Roman" w:hAnsi="Times New Roman" w:eastAsia="宋体" w:cs="Times New Roman"/>
          <w:color w:val="auto"/>
          <w:spacing w:val="0"/>
          <w:sz w:val="24"/>
          <w:highlight w:val="none"/>
          <w:vertAlign w:val="subscript"/>
          <w:lang w:val="en-US" w:eastAsia="zh-CN"/>
        </w:rPr>
        <w:t>2-3</w:t>
      </w:r>
      <w:r>
        <w:rPr>
          <w:rFonts w:hint="eastAsia" w:ascii="Times New Roman" w:hAnsi="Times New Roman" w:eastAsia="宋体" w:cs="Times New Roman"/>
          <w:color w:val="auto"/>
          <w:spacing w:val="0"/>
          <w:sz w:val="24"/>
          <w:highlight w:val="none"/>
          <w:lang w:val="en-US" w:eastAsia="zh-CN"/>
        </w:rPr>
        <w:t>）</w:t>
      </w:r>
    </w:p>
    <w:p w14:paraId="367E2950">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灰色，浅灰色，取芯成碎石土、碎块状，中密状，节理裂隙强烈发育，岩石组织结构已部分破坏，风化差异明显，岩体极破碎，节理裂隙中有黏性土等充填，场地部分区域分布，层顶埋深</w:t>
      </w:r>
      <w:r>
        <w:rPr>
          <w:rFonts w:hint="default" w:ascii="Times New Roman" w:hAnsi="Times New Roman" w:eastAsia="宋体" w:cs="Times New Roman"/>
          <w:color w:val="auto"/>
          <w:spacing w:val="0"/>
          <w:sz w:val="24"/>
          <w:highlight w:val="none"/>
          <w:lang w:val="en-US" w:eastAsia="zh-CN"/>
        </w:rPr>
        <w:t>4.80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20.00m</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0.30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4.10m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1.83m</w:t>
      </w:r>
      <w:r>
        <w:rPr>
          <w:rFonts w:hint="eastAsia" w:ascii="Times New Roman" w:hAnsi="Times New Roman" w:eastAsia="宋体" w:cs="Times New Roman"/>
          <w:color w:val="auto"/>
          <w:spacing w:val="0"/>
          <w:sz w:val="24"/>
          <w:highlight w:val="none"/>
          <w:lang w:val="en-US" w:eastAsia="zh-CN"/>
        </w:rPr>
        <w:t>。</w:t>
      </w:r>
    </w:p>
    <w:p w14:paraId="41429B18">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第⑤层：中风化灰岩（</w:t>
      </w:r>
      <w:r>
        <w:rPr>
          <w:rFonts w:hint="default" w:ascii="Times New Roman" w:hAnsi="Times New Roman" w:eastAsia="宋体" w:cs="Times New Roman"/>
          <w:color w:val="auto"/>
          <w:spacing w:val="0"/>
          <w:sz w:val="24"/>
          <w:highlight w:val="none"/>
          <w:lang w:val="en-US" w:eastAsia="zh-CN"/>
        </w:rPr>
        <w:t>C</w:t>
      </w:r>
      <w:r>
        <w:rPr>
          <w:rFonts w:hint="default" w:ascii="Times New Roman" w:hAnsi="Times New Roman" w:eastAsia="宋体" w:cs="Times New Roman"/>
          <w:color w:val="auto"/>
          <w:spacing w:val="0"/>
          <w:sz w:val="24"/>
          <w:highlight w:val="none"/>
          <w:vertAlign w:val="subscript"/>
          <w:lang w:val="en-US" w:eastAsia="zh-CN"/>
        </w:rPr>
        <w:t>2-3</w:t>
      </w:r>
      <w:r>
        <w:rPr>
          <w:rFonts w:hint="eastAsia" w:ascii="Times New Roman" w:hAnsi="Times New Roman" w:eastAsia="宋体" w:cs="Times New Roman"/>
          <w:color w:val="auto"/>
          <w:spacing w:val="0"/>
          <w:sz w:val="24"/>
          <w:highlight w:val="none"/>
          <w:lang w:val="en-US" w:eastAsia="zh-CN"/>
        </w:rPr>
        <w:t>）</w:t>
      </w:r>
    </w:p>
    <w:p w14:paraId="4EA5BD13">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灰色、深灰色，取芯多呈柱状、短柱状，局部碎块状，岩芯表面见偶溶蚀痕迹，裂隙一般发育，裂隙处多由泥质充填，岩石质量指标（</w:t>
      </w:r>
      <w:r>
        <w:rPr>
          <w:rFonts w:hint="default" w:ascii="Times New Roman" w:hAnsi="Times New Roman" w:eastAsia="宋体" w:cs="Times New Roman"/>
          <w:color w:val="auto"/>
          <w:spacing w:val="0"/>
          <w:sz w:val="24"/>
          <w:highlight w:val="none"/>
          <w:lang w:val="en-US" w:eastAsia="zh-CN"/>
        </w:rPr>
        <w:t>RQD</w:t>
      </w:r>
      <w:r>
        <w:rPr>
          <w:rFonts w:hint="eastAsia" w:ascii="Times New Roman" w:hAnsi="Times New Roman" w:eastAsia="宋体" w:cs="Times New Roman"/>
          <w:color w:val="auto"/>
          <w:spacing w:val="0"/>
          <w:sz w:val="24"/>
          <w:highlight w:val="none"/>
          <w:lang w:val="en-US" w:eastAsia="zh-CN"/>
        </w:rPr>
        <w:t>）值约为</w:t>
      </w:r>
      <w:r>
        <w:rPr>
          <w:rFonts w:hint="default" w:ascii="Times New Roman" w:hAnsi="Times New Roman" w:eastAsia="宋体" w:cs="Times New Roman"/>
          <w:color w:val="auto"/>
          <w:spacing w:val="0"/>
          <w:sz w:val="24"/>
          <w:highlight w:val="none"/>
          <w:lang w:val="en-US" w:eastAsia="zh-CN"/>
        </w:rPr>
        <w:t>60%</w:t>
      </w:r>
      <w:r>
        <w:rPr>
          <w:rFonts w:hint="eastAsia" w:ascii="Times New Roman" w:hAnsi="Times New Roman" w:eastAsia="宋体" w:cs="Times New Roman"/>
          <w:color w:val="auto"/>
          <w:spacing w:val="0"/>
          <w:sz w:val="24"/>
          <w:highlight w:val="none"/>
          <w:lang w:val="en-US" w:eastAsia="zh-CN"/>
        </w:rPr>
        <w:t>，岩石饱和单轴抗压强度平均值为</w:t>
      </w:r>
      <w:r>
        <w:rPr>
          <w:rFonts w:hint="default" w:ascii="Times New Roman" w:hAnsi="Times New Roman" w:eastAsia="宋体" w:cs="Times New Roman"/>
          <w:color w:val="auto"/>
          <w:spacing w:val="0"/>
          <w:sz w:val="24"/>
          <w:highlight w:val="none"/>
          <w:lang w:val="en-US" w:eastAsia="zh-CN"/>
        </w:rPr>
        <w:t>57.98MPa</w:t>
      </w:r>
      <w:r>
        <w:rPr>
          <w:rFonts w:hint="eastAsia" w:ascii="Times New Roman" w:hAnsi="Times New Roman" w:eastAsia="宋体" w:cs="Times New Roman"/>
          <w:color w:val="auto"/>
          <w:spacing w:val="0"/>
          <w:sz w:val="24"/>
          <w:highlight w:val="none"/>
          <w:lang w:val="en-US" w:eastAsia="zh-CN"/>
        </w:rPr>
        <w:t>，岩石属较硬岩，完整程度为较完整，岩体基本质量等级划分为Ⅲ类。本层为场地基底，岩面起伏大，全区连续分布，层顶埋深</w:t>
      </w:r>
      <w:r>
        <w:rPr>
          <w:rFonts w:hint="default" w:ascii="Times New Roman" w:hAnsi="Times New Roman" w:eastAsia="宋体" w:cs="Times New Roman"/>
          <w:color w:val="auto"/>
          <w:spacing w:val="0"/>
          <w:sz w:val="24"/>
          <w:highlight w:val="none"/>
          <w:lang w:val="en-US" w:eastAsia="zh-CN"/>
        </w:rPr>
        <w:t>6.20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22.10m</w:t>
      </w:r>
      <w:r>
        <w:rPr>
          <w:rFonts w:hint="eastAsia" w:ascii="Times New Roman" w:hAnsi="Times New Roman" w:eastAsia="宋体" w:cs="Times New Roman"/>
          <w:color w:val="auto"/>
          <w:spacing w:val="0"/>
          <w:sz w:val="24"/>
          <w:highlight w:val="none"/>
          <w:lang w:val="en-US" w:eastAsia="zh-CN"/>
        </w:rPr>
        <w:t>，揭露层厚</w:t>
      </w:r>
      <w:r>
        <w:rPr>
          <w:rFonts w:hint="default" w:ascii="Times New Roman" w:hAnsi="Times New Roman" w:eastAsia="宋体" w:cs="Times New Roman"/>
          <w:color w:val="auto"/>
          <w:spacing w:val="0"/>
          <w:sz w:val="24"/>
          <w:highlight w:val="none"/>
          <w:lang w:val="en-US" w:eastAsia="zh-CN"/>
        </w:rPr>
        <w:t>0.90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lang w:val="en-US" w:eastAsia="zh-CN"/>
        </w:rPr>
        <w:t>8.30m</w:t>
      </w:r>
      <w:r>
        <w:rPr>
          <w:rFonts w:hint="eastAsia" w:ascii="Times New Roman" w:hAnsi="Times New Roman" w:eastAsia="宋体" w:cs="Times New Roman"/>
          <w:color w:val="auto"/>
          <w:spacing w:val="0"/>
          <w:sz w:val="24"/>
          <w:highlight w:val="none"/>
          <w:lang w:val="en-US" w:eastAsia="zh-CN"/>
        </w:rPr>
        <w:t>，平均厚度</w:t>
      </w:r>
      <w:r>
        <w:rPr>
          <w:rFonts w:hint="default" w:ascii="Times New Roman" w:hAnsi="Times New Roman" w:eastAsia="宋体" w:cs="Times New Roman"/>
          <w:color w:val="auto"/>
          <w:spacing w:val="0"/>
          <w:sz w:val="24"/>
          <w:highlight w:val="none"/>
          <w:lang w:val="en-US" w:eastAsia="zh-CN"/>
        </w:rPr>
        <w:t>5.89m</w:t>
      </w:r>
      <w:r>
        <w:rPr>
          <w:rFonts w:hint="eastAsia" w:ascii="Times New Roman" w:hAnsi="Times New Roman" w:eastAsia="宋体" w:cs="Times New Roman"/>
          <w:color w:val="auto"/>
          <w:spacing w:val="0"/>
          <w:sz w:val="24"/>
          <w:highlight w:val="none"/>
          <w:lang w:val="en-US" w:eastAsia="zh-CN"/>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0"/>
        <w:gridCol w:w="4370"/>
      </w:tblGrid>
      <w:tr w14:paraId="50F4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atLeast"/>
        </w:trPr>
        <w:tc>
          <w:tcPr>
            <w:tcW w:w="4370" w:type="dxa"/>
          </w:tcPr>
          <w:p w14:paraId="47E4B1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drawing>
                <wp:inline distT="0" distB="0" distL="114300" distR="114300">
                  <wp:extent cx="1937385" cy="1937385"/>
                  <wp:effectExtent l="0" t="0" r="5715" b="5715"/>
                  <wp:docPr id="30" name="图片 14" descr="901156d244dec84f68e1d8f85df2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 descr="901156d244dec84f68e1d8f85df2e6f"/>
                          <pic:cNvPicPr>
                            <a:picLocks noChangeAspect="1"/>
                          </pic:cNvPicPr>
                        </pic:nvPicPr>
                        <pic:blipFill>
                          <a:blip r:embed="rId35"/>
                          <a:stretch>
                            <a:fillRect/>
                          </a:stretch>
                        </pic:blipFill>
                        <pic:spPr>
                          <a:xfrm>
                            <a:off x="0" y="0"/>
                            <a:ext cx="1937385" cy="1937385"/>
                          </a:xfrm>
                          <a:prstGeom prst="rect">
                            <a:avLst/>
                          </a:prstGeom>
                          <a:noFill/>
                          <a:ln>
                            <a:noFill/>
                          </a:ln>
                        </pic:spPr>
                      </pic:pic>
                    </a:graphicData>
                  </a:graphic>
                </wp:inline>
              </w:drawing>
            </w:r>
          </w:p>
        </w:tc>
        <w:tc>
          <w:tcPr>
            <w:tcW w:w="4370" w:type="dxa"/>
          </w:tcPr>
          <w:p w14:paraId="299CA8D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drawing>
                <wp:inline distT="0" distB="0" distL="114300" distR="114300">
                  <wp:extent cx="1457960" cy="1945005"/>
                  <wp:effectExtent l="0" t="0" r="8890" b="17145"/>
                  <wp:docPr id="31" name="图片 15" descr="b112d4923c0146819d9bd2dc4f5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5" descr="b112d4923c0146819d9bd2dc4f56669"/>
                          <pic:cNvPicPr>
                            <a:picLocks noChangeAspect="1"/>
                          </pic:cNvPicPr>
                        </pic:nvPicPr>
                        <pic:blipFill>
                          <a:blip r:embed="rId36"/>
                          <a:stretch>
                            <a:fillRect/>
                          </a:stretch>
                        </pic:blipFill>
                        <pic:spPr>
                          <a:xfrm>
                            <a:off x="0" y="0"/>
                            <a:ext cx="1457960" cy="1945005"/>
                          </a:xfrm>
                          <a:prstGeom prst="rect">
                            <a:avLst/>
                          </a:prstGeom>
                          <a:noFill/>
                          <a:ln>
                            <a:noFill/>
                          </a:ln>
                        </pic:spPr>
                      </pic:pic>
                    </a:graphicData>
                  </a:graphic>
                </wp:inline>
              </w:drawing>
            </w:r>
          </w:p>
        </w:tc>
      </w:tr>
      <w:tr w14:paraId="0826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370" w:type="dxa"/>
          </w:tcPr>
          <w:p w14:paraId="7ADC2F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t>代表性岩芯照片（ZK19）</w:t>
            </w:r>
          </w:p>
        </w:tc>
        <w:tc>
          <w:tcPr>
            <w:tcW w:w="4370" w:type="dxa"/>
          </w:tcPr>
          <w:p w14:paraId="651949F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baseline"/>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lang w:val="en-US" w:eastAsia="zh-CN"/>
              </w:rPr>
              <w:t>代表性岩芯照片（ZK53）</w:t>
            </w:r>
          </w:p>
        </w:tc>
      </w:tr>
    </w:tbl>
    <w:p w14:paraId="114AF719">
      <w:pPr>
        <w:keepNext w:val="0"/>
        <w:keepLines w:val="0"/>
        <w:pageBreakBefore w:val="0"/>
        <w:widowControl/>
        <w:wordWrap/>
        <w:overflowPunct/>
        <w:topLinePunct w:val="0"/>
        <w:autoSpaceDE w:val="0"/>
        <w:autoSpaceDN w:val="0"/>
        <w:bidi w:val="0"/>
        <w:adjustRightInd/>
        <w:snapToGrid/>
        <w:spacing w:line="360" w:lineRule="auto"/>
        <w:ind w:firstLine="482"/>
        <w:textAlignment w:val="baseline"/>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highlight w:val="none"/>
          <w:lang w:val="en-US" w:eastAsia="zh-CN"/>
        </w:rPr>
        <w:t>场区基岩为碳酸盐岩系，溶蚀裂隙发育，属溶蚀地貌，岩芯偶见溶蚀痕迹，共施工钻孔53个，场地共揭露溶洞7个，溶隙洞穴中多数半充填碎石土及可-软塑状红黏土，局部全充填碎石土，场地见洞隙率13.2%，溶洞竖向发育最深为4.2m，</w:t>
      </w:r>
      <w:r>
        <w:rPr>
          <w:rFonts w:hint="default" w:ascii="Times New Roman" w:hAnsi="Times New Roman" w:eastAsia="宋体" w:cs="Times New Roman"/>
          <w:color w:val="auto"/>
          <w:sz w:val="24"/>
          <w:szCs w:val="24"/>
          <w:lang w:val="en-US" w:eastAsia="zh-CN"/>
        </w:rPr>
        <w:t>线岩溶率为8.46%，</w:t>
      </w:r>
      <w:r>
        <w:rPr>
          <w:rFonts w:hint="default" w:ascii="Times New Roman" w:hAnsi="Times New Roman" w:eastAsia="宋体" w:cs="Times New Roman"/>
          <w:color w:val="auto"/>
          <w:spacing w:val="0"/>
          <w:sz w:val="24"/>
          <w:highlight w:val="none"/>
          <w:lang w:val="en-US" w:eastAsia="zh-CN"/>
        </w:rPr>
        <w:t>按《建筑地基基础设计规范》第6.6.2条，场地见洞隙率</w:t>
      </w:r>
      <w:r>
        <w:rPr>
          <w:rFonts w:hint="eastAsia" w:ascii="Times New Roman" w:hAnsi="Times New Roman" w:eastAsia="宋体" w:cs="Times New Roman"/>
          <w:color w:val="auto"/>
          <w:spacing w:val="0"/>
          <w:sz w:val="24"/>
          <w:highlight w:val="none"/>
          <w:lang w:val="en-US" w:eastAsia="zh-CN"/>
        </w:rPr>
        <w:t>小于</w:t>
      </w:r>
      <w:r>
        <w:rPr>
          <w:rFonts w:hint="default" w:ascii="Times New Roman" w:hAnsi="Times New Roman" w:eastAsia="宋体" w:cs="Times New Roman"/>
          <w:color w:val="auto"/>
          <w:spacing w:val="0"/>
          <w:sz w:val="24"/>
          <w:highlight w:val="none"/>
          <w:lang w:val="en-US" w:eastAsia="zh-CN"/>
        </w:rPr>
        <w:t>30%，大于10%</w:t>
      </w:r>
      <w:r>
        <w:rPr>
          <w:rFonts w:hint="eastAsia"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z w:val="24"/>
          <w:szCs w:val="24"/>
          <w:lang w:val="en-US" w:eastAsia="zh-CN"/>
        </w:rPr>
        <w:t>线岩溶率</w:t>
      </w:r>
      <w:r>
        <w:rPr>
          <w:rFonts w:hint="eastAsia" w:ascii="Times New Roman" w:hAnsi="Times New Roman" w:eastAsia="宋体" w:cs="Times New Roman"/>
          <w:color w:val="auto"/>
          <w:sz w:val="24"/>
          <w:szCs w:val="24"/>
          <w:lang w:val="en-US" w:eastAsia="zh-CN"/>
        </w:rPr>
        <w:t>小于20%，大于5%，</w:t>
      </w:r>
      <w:r>
        <w:rPr>
          <w:rFonts w:hint="default" w:ascii="Times New Roman" w:hAnsi="Times New Roman" w:eastAsia="宋体" w:cs="Times New Roman"/>
          <w:color w:val="auto"/>
          <w:spacing w:val="0"/>
          <w:sz w:val="24"/>
          <w:highlight w:val="none"/>
          <w:lang w:val="en-US" w:eastAsia="zh-CN"/>
        </w:rPr>
        <w:t>评价场地为岩溶中等发育。</w:t>
      </w:r>
    </w:p>
    <w:p w14:paraId="24164260">
      <w:pPr>
        <w:keepNext w:val="0"/>
        <w:keepLines w:val="0"/>
        <w:pageBreakBefore w:val="0"/>
        <w:widowControl/>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4.8.1.2区域地质构造</w:t>
      </w:r>
    </w:p>
    <w:p w14:paraId="4E46193C">
      <w:pPr>
        <w:keepNext w:val="0"/>
        <w:keepLines w:val="0"/>
        <w:pageBreakBefore w:val="0"/>
        <w:widowControl/>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auto"/>
          <w:sz w:val="24"/>
          <w:szCs w:val="24"/>
          <w:lang w:val="zh-CN"/>
        </w:rPr>
      </w:pPr>
      <w:r>
        <w:rPr>
          <w:rFonts w:hint="default" w:ascii="Times New Roman" w:hAnsi="Times New Roman" w:cs="Times New Roman"/>
          <w:color w:val="auto"/>
          <w:sz w:val="24"/>
          <w:szCs w:val="24"/>
          <w:lang w:val="zh-CN"/>
        </w:rPr>
        <w:t>（1）构造单元</w:t>
      </w:r>
    </w:p>
    <w:p w14:paraId="74A56976">
      <w:pPr>
        <w:keepNext w:val="0"/>
        <w:keepLines w:val="0"/>
        <w:pageBreakBefore w:val="0"/>
        <w:widowControl/>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auto"/>
          <w:sz w:val="24"/>
          <w:szCs w:val="24"/>
          <w:lang w:val="zh-CN"/>
        </w:rPr>
      </w:pPr>
      <w:r>
        <w:rPr>
          <w:rFonts w:hint="default" w:ascii="Times New Roman" w:hAnsi="Times New Roman" w:cs="Times New Roman"/>
          <w:color w:val="auto"/>
          <w:sz w:val="24"/>
          <w:szCs w:val="24"/>
          <w:lang w:val="en-US" w:eastAsia="zh-CN"/>
        </w:rPr>
        <w:t>评价区</w:t>
      </w:r>
      <w:r>
        <w:rPr>
          <w:rFonts w:hint="default" w:ascii="Times New Roman" w:hAnsi="Times New Roman" w:cs="Times New Roman"/>
          <w:color w:val="auto"/>
          <w:sz w:val="24"/>
          <w:szCs w:val="24"/>
          <w:lang w:val="zh-CN"/>
        </w:rPr>
        <w:t>属于构造侵蚀、溶蚀低中山地貌，区内华夏系构造分布较广，在它的伸展地带，对地表水地下水的控制作用主要表现为:含水层的展布与地下水的运动方向，大体上也与构造线的方向一致，含水层具有层状广布之特点；在牛头山复背斜西北翼，主要含水地层为下古生代碳酸盐类含水层，在其东南翼，即大北山断裂以东，主要含水层为上古生代碳酸盐类地层，亦具有层状广布之特点；该构造控制了越州、陆良、路南断坳盆地，星北东南西向展布，盆地两侧被抬升为山区，地下水向盆地方向运动，在河流切割地段和盆地边缘，除有泉群涌露构成了较多的富水块段外，同时也是盆地深部可溶岩的补给水源，水位由浅变深，由潜流变成承压流。</w:t>
      </w:r>
    </w:p>
    <w:p w14:paraId="0C03EA99">
      <w:pPr>
        <w:keepNext w:val="0"/>
        <w:keepLines w:val="0"/>
        <w:pageBreakBefore w:val="0"/>
        <w:widowControl/>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auto"/>
          <w:sz w:val="24"/>
          <w:szCs w:val="24"/>
          <w:lang w:val="zh-CN"/>
        </w:rPr>
      </w:pPr>
      <w:r>
        <w:rPr>
          <w:rFonts w:hint="default" w:ascii="Times New Roman" w:hAnsi="Times New Roman" w:cs="Times New Roman"/>
          <w:color w:val="auto"/>
          <w:sz w:val="24"/>
          <w:szCs w:val="24"/>
          <w:lang w:val="zh-CN"/>
        </w:rPr>
        <w:t>（2）区域主要活动断裂</w:t>
      </w:r>
    </w:p>
    <w:p w14:paraId="2C887FF5">
      <w:pPr>
        <w:keepNext w:val="0"/>
        <w:keepLines w:val="0"/>
        <w:pageBreakBefore w:val="0"/>
        <w:widowControl/>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auto"/>
          <w:sz w:val="24"/>
          <w:szCs w:val="24"/>
          <w:lang w:val="zh-CN"/>
        </w:rPr>
      </w:pPr>
      <w:r>
        <w:rPr>
          <w:rFonts w:hint="default" w:ascii="Times New Roman" w:hAnsi="Times New Roman" w:cs="Times New Roman"/>
          <w:color w:val="auto"/>
          <w:sz w:val="24"/>
          <w:szCs w:val="24"/>
          <w:lang w:val="zh-CN"/>
        </w:rPr>
        <w:t>断坳盆地是由地壳挠曲，其一侧沿断裂下陷所形成。它们的特点:面积比较宽大，断层一侧边界平直与外围山地高差大；并常有断层陡崖或三角面，另一侧与山地高差小，地形起伏较缓；新生代沉降幅度新层一侧增大，另一侧减小。在沉积薄的地方，特别是基底为碳酸盐岩地区，可开采基岩地下水；靠近断层一侧基岩埋藏很深，而新生界又为湖相沉积，富水性差，利用盆地的地下水十分困难。盆地边缘常是山地地下水排泄带，泉水较多。</w:t>
      </w:r>
    </w:p>
    <w:p w14:paraId="00B9FB6C">
      <w:pPr>
        <w:keepNext w:val="0"/>
        <w:keepLines w:val="0"/>
        <w:pageBreakBefore w:val="0"/>
        <w:widowControl/>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auto"/>
          <w:sz w:val="24"/>
          <w:szCs w:val="24"/>
          <w:lang w:val="zh-CN"/>
        </w:rPr>
      </w:pPr>
      <w:r>
        <w:rPr>
          <w:rFonts w:hint="default" w:ascii="Times New Roman" w:hAnsi="Times New Roman" w:cs="Times New Roman"/>
          <w:color w:val="auto"/>
          <w:sz w:val="24"/>
          <w:szCs w:val="24"/>
          <w:lang w:val="zh-CN"/>
        </w:rPr>
        <w:t>地块所在区域因地块第四系松散堆积层厚度较大，所有钻探及采样工作都在第四系地层中进行，未涉及深层地下水的开发及利用。地质构造对地块区松散孔隙潜水影响不大。</w:t>
      </w:r>
    </w:p>
    <w:p w14:paraId="58FC9FC0">
      <w:pPr>
        <w:keepNext w:val="0"/>
        <w:keepLines w:val="0"/>
        <w:pageBreakBefore w:val="0"/>
        <w:widowControl/>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区域构造见下图</w:t>
      </w:r>
    </w:p>
    <w:p w14:paraId="481BFC05">
      <w:pPr>
        <w:ind w:left="0" w:leftChars="0" w:firstLine="0" w:firstLineChars="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5272405" cy="3865245"/>
            <wp:effectExtent l="0" t="0" r="4445" b="1905"/>
            <wp:docPr id="19" name="图片 1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
                    <pic:cNvPicPr>
                      <a:picLocks noChangeAspect="1"/>
                    </pic:cNvPicPr>
                  </pic:nvPicPr>
                  <pic:blipFill>
                    <a:blip r:embed="rId90"/>
                    <a:stretch>
                      <a:fillRect/>
                    </a:stretch>
                  </pic:blipFill>
                  <pic:spPr>
                    <a:xfrm>
                      <a:off x="0" y="0"/>
                      <a:ext cx="5272405" cy="3865245"/>
                    </a:xfrm>
                    <a:prstGeom prst="rect">
                      <a:avLst/>
                    </a:prstGeom>
                  </pic:spPr>
                </pic:pic>
              </a:graphicData>
            </a:graphic>
          </wp:inline>
        </w:drawing>
      </w:r>
    </w:p>
    <w:p w14:paraId="60224A90">
      <w:pPr>
        <w:ind w:firstLine="442" w:firstLineChars="200"/>
        <w:jc w:val="center"/>
        <w:rPr>
          <w:rFonts w:hint="default" w:ascii="Times New Roman" w:hAnsi="Times New Roman" w:eastAsia="宋体" w:cs="Times New Roman"/>
          <w:b/>
          <w:bCs/>
          <w:color w:val="auto"/>
          <w:sz w:val="22"/>
          <w:szCs w:val="22"/>
          <w:lang w:val="en-US" w:eastAsia="zh-CN"/>
        </w:rPr>
      </w:pPr>
      <w:r>
        <w:rPr>
          <w:rFonts w:hint="eastAsia" w:ascii="Times New Roman" w:hAnsi="Times New Roman" w:eastAsia="宋体" w:cs="Times New Roman"/>
          <w:b/>
          <w:bCs/>
          <w:color w:val="auto"/>
          <w:sz w:val="22"/>
          <w:szCs w:val="22"/>
          <w:lang w:val="en-US" w:eastAsia="zh-CN"/>
        </w:rPr>
        <w:t xml:space="preserve">图4.8-1 </w:t>
      </w:r>
      <w:r>
        <w:rPr>
          <w:rFonts w:hint="eastAsia"/>
          <w:b/>
          <w:bCs/>
          <w:color w:val="auto"/>
          <w:sz w:val="22"/>
          <w:szCs w:val="22"/>
          <w:lang w:val="en-US" w:eastAsia="zh-CN"/>
        </w:rPr>
        <w:t>区域构造图</w:t>
      </w:r>
    </w:p>
    <w:p w14:paraId="22A134AE">
      <w:pPr>
        <w:keepNext w:val="0"/>
        <w:keepLines w:val="0"/>
        <w:pageBreakBefore w:val="0"/>
        <w:widowControl/>
        <w:wordWrap/>
        <w:overflowPunct/>
        <w:topLinePunct w:val="0"/>
        <w:bidi w:val="0"/>
        <w:adjustRightInd/>
        <w:snapToGrid/>
        <w:spacing w:line="360" w:lineRule="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4.8.1.3</w:t>
      </w:r>
      <w:r>
        <w:rPr>
          <w:rFonts w:hint="eastAsia" w:ascii="Times New Roman" w:hAnsi="Times New Roman" w:eastAsia="宋体" w:cs="Times New Roman"/>
          <w:b/>
          <w:color w:val="auto"/>
          <w:sz w:val="24"/>
          <w:szCs w:val="24"/>
          <w:lang w:val="en-US" w:eastAsia="zh-CN"/>
        </w:rPr>
        <w:t>项目区</w:t>
      </w:r>
      <w:r>
        <w:rPr>
          <w:rFonts w:hint="default" w:ascii="Times New Roman" w:hAnsi="Times New Roman" w:eastAsia="宋体" w:cs="Times New Roman"/>
          <w:b/>
          <w:color w:val="auto"/>
          <w:sz w:val="24"/>
          <w:szCs w:val="24"/>
          <w:lang w:val="en-US" w:eastAsia="zh-CN"/>
        </w:rPr>
        <w:t>水文地质条件</w:t>
      </w:r>
    </w:p>
    <w:p w14:paraId="7982C29E">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jc w:val="left"/>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评价区范围内出露</w:t>
      </w:r>
      <w:r>
        <w:rPr>
          <w:rFonts w:hint="default" w:ascii="Times New Roman" w:hAnsi="Times New Roman" w:eastAsia="宋体" w:cs="Times New Roman"/>
          <w:color w:val="auto"/>
          <w:sz w:val="24"/>
          <w:szCs w:val="24"/>
          <w:lang w:val="en-US" w:eastAsia="zh-CN"/>
        </w:rPr>
        <w:t>了</w:t>
      </w:r>
      <w:r>
        <w:rPr>
          <w:rFonts w:hint="default" w:ascii="Times New Roman" w:hAnsi="Times New Roman" w:eastAsia="宋体" w:cs="Times New Roman"/>
          <w:color w:val="auto"/>
          <w:sz w:val="24"/>
          <w:szCs w:val="24"/>
        </w:rPr>
        <w:t>第四系松散堆积层（Q）</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pacing w:val="0"/>
          <w:sz w:val="24"/>
          <w:szCs w:val="24"/>
          <w:highlight w:val="none"/>
          <w:lang w:val="en-US" w:eastAsia="zh-CN"/>
        </w:rPr>
        <w:t>石炭系中上统灰岩（C</w:t>
      </w:r>
      <w:r>
        <w:rPr>
          <w:rFonts w:hint="default" w:ascii="Times New Roman" w:hAnsi="Times New Roman" w:eastAsia="宋体" w:cs="Times New Roman"/>
          <w:color w:val="auto"/>
          <w:spacing w:val="0"/>
          <w:sz w:val="24"/>
          <w:szCs w:val="24"/>
          <w:highlight w:val="none"/>
          <w:vertAlign w:val="subscript"/>
          <w:lang w:val="en-US" w:eastAsia="zh-CN"/>
        </w:rPr>
        <w:t>2-3</w:t>
      </w:r>
      <w:r>
        <w:rPr>
          <w:rFonts w:hint="default" w:ascii="Times New Roman" w:hAnsi="Times New Roman" w:eastAsia="宋体"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和</w:t>
      </w:r>
      <w:r>
        <w:rPr>
          <w:rFonts w:hint="default" w:ascii="Times New Roman" w:hAnsi="Times New Roman" w:cs="Times New Roman"/>
          <w:color w:val="auto"/>
          <w:sz w:val="24"/>
          <w:szCs w:val="24"/>
          <w:lang w:val="en-US" w:eastAsia="zh-CN"/>
        </w:rPr>
        <w:t>二叠系下统栖霞茅口组</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P</w:t>
      </w:r>
      <w:r>
        <w:rPr>
          <w:rFonts w:hint="default" w:ascii="Times New Roman" w:hAnsi="Times New Roman" w:eastAsia="宋体" w:cs="Times New Roman"/>
          <w:color w:val="auto"/>
          <w:sz w:val="24"/>
          <w:szCs w:val="24"/>
          <w:vertAlign w:val="subscript"/>
        </w:rPr>
        <w:t>1</w:t>
      </w:r>
      <w:r>
        <w:rPr>
          <w:rFonts w:hint="default" w:ascii="Times New Roman" w:hAnsi="Times New Roman" w:eastAsia="宋体" w:cs="Times New Roman"/>
          <w:color w:val="auto"/>
          <w:sz w:val="24"/>
          <w:szCs w:val="24"/>
        </w:rPr>
        <w:t>q+m</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eastAsia="zh-CN"/>
        </w:rPr>
        <w:t>。</w:t>
      </w:r>
    </w:p>
    <w:p w14:paraId="13E82FA1">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第四系松散堆积层（Q）</w:t>
      </w:r>
    </w:p>
    <w:p w14:paraId="2B11132B">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广泛分布于评价区地表，岩性以杂填土、粉质黏土和红黏土为主。其中杂填土层成分以粉质黏土、红黏土、泥质板岩、白云质灰岩及粉晶白云岩碎块和岩屑为主，厚度</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~15m不等，结构疏松至密实，含上层滞水，受季节性影响明显，含水量及地下水位动态变化较大。残坡积黏土层以褐红-褐黄色粉质黏土和红黏土为主，厚度</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rPr>
        <w:t>m，岩土结构致密，透水性较差，具备一定防污防渗性能。根据钻探揭露成果，地块实际钻探过程中孔位揭露至杂填土层、黏土层时存在岩芯稍湿现象，其主要由大气降水、地表冲洗水渗透形成，无初见及稳定水位。</w:t>
      </w:r>
    </w:p>
    <w:p w14:paraId="616B7B46">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（2）石炭系中上统灰岩（C</w:t>
      </w:r>
      <w:r>
        <w:rPr>
          <w:rFonts w:hint="default" w:ascii="Times New Roman" w:hAnsi="Times New Roman" w:eastAsia="宋体" w:cs="Times New Roman"/>
          <w:color w:val="auto"/>
          <w:spacing w:val="0"/>
          <w:sz w:val="24"/>
          <w:szCs w:val="24"/>
          <w:highlight w:val="none"/>
          <w:vertAlign w:val="subscript"/>
          <w:lang w:val="en-US" w:eastAsia="zh-CN"/>
        </w:rPr>
        <w:t>2-3</w:t>
      </w:r>
      <w:r>
        <w:rPr>
          <w:rFonts w:hint="default" w:ascii="Times New Roman" w:hAnsi="Times New Roman" w:eastAsia="宋体" w:cs="Times New Roman"/>
          <w:color w:val="auto"/>
          <w:spacing w:val="0"/>
          <w:sz w:val="24"/>
          <w:szCs w:val="24"/>
          <w:highlight w:val="none"/>
          <w:lang w:val="en-US" w:eastAsia="zh-CN"/>
        </w:rPr>
        <w:t>）</w:t>
      </w:r>
    </w:p>
    <w:p w14:paraId="47F39123">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广泛分布于评价区</w:t>
      </w:r>
      <w:r>
        <w:rPr>
          <w:rFonts w:hint="default" w:ascii="Times New Roman" w:hAnsi="Times New Roman" w:eastAsia="宋体" w:cs="Times New Roman"/>
          <w:color w:val="auto"/>
          <w:sz w:val="24"/>
          <w:szCs w:val="24"/>
          <w:lang w:val="en-US" w:eastAsia="zh-CN"/>
        </w:rPr>
        <w:t>浅层</w:t>
      </w:r>
      <w:r>
        <w:rPr>
          <w:rFonts w:hint="default" w:ascii="Times New Roman" w:hAnsi="Times New Roman" w:eastAsia="宋体" w:cs="Times New Roman"/>
          <w:color w:val="auto"/>
          <w:sz w:val="24"/>
          <w:szCs w:val="24"/>
        </w:rPr>
        <w:t>，岩性以</w:t>
      </w:r>
      <w:r>
        <w:rPr>
          <w:rFonts w:hint="default" w:ascii="Times New Roman" w:hAnsi="Times New Roman" w:eastAsia="宋体" w:cs="Times New Roman"/>
          <w:color w:val="auto"/>
          <w:spacing w:val="0"/>
          <w:sz w:val="24"/>
          <w:szCs w:val="24"/>
          <w:highlight w:val="none"/>
          <w:lang w:val="en-US" w:eastAsia="zh-CN"/>
        </w:rPr>
        <w:t>强风化灰岩</w:t>
      </w:r>
      <w:r>
        <w:rPr>
          <w:rFonts w:hint="default" w:ascii="Times New Roman" w:hAnsi="Times New Roman" w:eastAsia="宋体" w:cs="Times New Roman"/>
          <w:color w:val="auto"/>
          <w:sz w:val="24"/>
          <w:szCs w:val="24"/>
        </w:rPr>
        <w:t>及</w:t>
      </w:r>
      <w:r>
        <w:rPr>
          <w:rFonts w:hint="default" w:ascii="Times New Roman" w:hAnsi="Times New Roman" w:eastAsia="宋体" w:cs="Times New Roman"/>
          <w:color w:val="auto"/>
          <w:spacing w:val="0"/>
          <w:sz w:val="24"/>
          <w:szCs w:val="24"/>
          <w:highlight w:val="none"/>
          <w:lang w:val="en-US" w:eastAsia="zh-CN"/>
        </w:rPr>
        <w:t>中风化灰岩</w:t>
      </w:r>
      <w:r>
        <w:rPr>
          <w:rFonts w:hint="default" w:ascii="Times New Roman" w:hAnsi="Times New Roman" w:eastAsia="宋体" w:cs="Times New Roman"/>
          <w:color w:val="auto"/>
          <w:sz w:val="24"/>
          <w:szCs w:val="24"/>
        </w:rPr>
        <w:t>为主。</w:t>
      </w:r>
      <w:r>
        <w:rPr>
          <w:rFonts w:hint="eastAsia" w:ascii="Times New Roman" w:hAnsi="Times New Roman" w:eastAsia="宋体" w:cs="Times New Roman"/>
          <w:color w:val="auto"/>
          <w:sz w:val="24"/>
          <w:szCs w:val="24"/>
          <w:lang w:val="en-US" w:eastAsia="zh-CN"/>
        </w:rPr>
        <w:t>岩性为灰白色，厚层鲕状灰岩、生物碎屑灰岩夹白云岩，表层风化强烈，局部全风化，风化不均匀，岩溶裂隙较发育，局部岩体较破碎，地表出露于厂区内及西侧。厚度0~20m。</w:t>
      </w:r>
      <w:r>
        <w:rPr>
          <w:rFonts w:hint="default" w:ascii="Times New Roman" w:hAnsi="Times New Roman" w:eastAsia="宋体" w:cs="Times New Roman"/>
          <w:color w:val="auto"/>
          <w:sz w:val="24"/>
          <w:szCs w:val="24"/>
        </w:rPr>
        <w:t>本项目岩土工程勘察在整个场区勘察钻孔</w:t>
      </w:r>
      <w:r>
        <w:rPr>
          <w:rFonts w:hint="eastAsia" w:ascii="Times New Roman" w:hAnsi="Times New Roman" w:eastAsia="宋体" w:cs="Times New Roman"/>
          <w:color w:val="auto"/>
          <w:sz w:val="24"/>
          <w:szCs w:val="24"/>
          <w:lang w:val="en-US" w:eastAsia="zh-CN"/>
        </w:rPr>
        <w:t>55</w:t>
      </w:r>
      <w:r>
        <w:rPr>
          <w:rFonts w:hint="default" w:ascii="Times New Roman" w:hAnsi="Times New Roman" w:eastAsia="宋体" w:cs="Times New Roman"/>
          <w:color w:val="auto"/>
          <w:sz w:val="24"/>
          <w:szCs w:val="24"/>
        </w:rPr>
        <w:t>个，勘察钻孔深度范围内未能测到初见水位和稳定水位。</w:t>
      </w:r>
    </w:p>
    <w:p w14:paraId="4FD4949F">
      <w:pPr>
        <w:pStyle w:val="9"/>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val="en-US" w:eastAsia="zh-CN"/>
        </w:rPr>
        <w:t>二叠系下统栖霞茅口组</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P</w:t>
      </w:r>
      <w:r>
        <w:rPr>
          <w:rFonts w:hint="default" w:ascii="Times New Roman" w:hAnsi="Times New Roman" w:eastAsia="宋体" w:cs="Times New Roman"/>
          <w:color w:val="auto"/>
          <w:sz w:val="24"/>
          <w:szCs w:val="24"/>
          <w:vertAlign w:val="subscript"/>
        </w:rPr>
        <w:t>1</w:t>
      </w:r>
      <w:r>
        <w:rPr>
          <w:rFonts w:hint="default" w:ascii="Times New Roman" w:hAnsi="Times New Roman" w:eastAsia="宋体" w:cs="Times New Roman"/>
          <w:color w:val="auto"/>
          <w:sz w:val="24"/>
          <w:szCs w:val="24"/>
        </w:rPr>
        <w:t>q+m</w:t>
      </w:r>
      <w:r>
        <w:rPr>
          <w:rFonts w:hint="eastAsia" w:ascii="Times New Roman" w:hAnsi="Times New Roman" w:cs="Times New Roman"/>
          <w:color w:val="auto"/>
          <w:sz w:val="24"/>
          <w:szCs w:val="24"/>
          <w:lang w:val="en-US" w:eastAsia="zh-CN"/>
        </w:rPr>
        <w:t>）</w:t>
      </w:r>
    </w:p>
    <w:p w14:paraId="29741244">
      <w:pPr>
        <w:keepNext w:val="0"/>
        <w:keepLines w:val="0"/>
        <w:pageBreakBefore w:val="0"/>
        <w:widowControl/>
        <w:kinsoku w:val="0"/>
        <w:wordWrap/>
        <w:overflowPunct/>
        <w:topLinePunct w:val="0"/>
        <w:autoSpaceDE w:val="0"/>
        <w:autoSpaceDN w:val="0"/>
        <w:bidi w:val="0"/>
        <w:adjustRightInd/>
        <w:snapToGrid/>
        <w:spacing w:line="360" w:lineRule="auto"/>
        <w:ind w:firstLine="480"/>
        <w:textAlignment w:val="baseline"/>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广泛分布于评价区</w:t>
      </w:r>
      <w:r>
        <w:rPr>
          <w:rFonts w:hint="eastAsia" w:ascii="Times New Roman" w:hAnsi="Times New Roman" w:eastAsia="宋体" w:cs="Times New Roman"/>
          <w:color w:val="auto"/>
          <w:sz w:val="24"/>
          <w:szCs w:val="24"/>
          <w:lang w:val="en-US" w:eastAsia="zh-CN"/>
        </w:rPr>
        <w:t>深层，</w:t>
      </w:r>
      <w:r>
        <w:rPr>
          <w:rFonts w:hint="default" w:ascii="Times New Roman" w:hAnsi="Times New Roman" w:eastAsia="宋体" w:cs="Times New Roman"/>
          <w:color w:val="auto"/>
          <w:sz w:val="24"/>
          <w:szCs w:val="24"/>
        </w:rPr>
        <w:t>岩性以</w:t>
      </w:r>
      <w:r>
        <w:rPr>
          <w:rFonts w:hint="eastAsia" w:ascii="Times New Roman" w:hAnsi="Times New Roman" w:eastAsia="宋体" w:cs="Times New Roman"/>
          <w:color w:val="auto"/>
          <w:sz w:val="24"/>
          <w:szCs w:val="24"/>
          <w:lang w:val="en-US" w:eastAsia="zh-CN"/>
        </w:rPr>
        <w:t>中风化灰岩为主，灰白色、褐灰色，砂质结构，层理构造，节理裂隙较发育，岩芯破碎，主要为机械破碎，岩芯呈碎块状，锤击声哑，无回弹，单轴饱和抗压强度标准值frk=39.30MPa，属较硬岩类，岩石完整程度较破碎，岩体基本质量等级划分为Ⅳ类。场地内该地层分布较连续，厚度大，较稳定。场地内53个钻孔均未揭露到该层。只在项目地下水打井过程中揭露，2个钻孔全部揭露，J1在24.7m深度揭露，J2在25.8m深度揭露）。该层为厂区场地主要下伏地层，监测井均揭露该地层碳酸盐岩岩组岩溶水。</w:t>
      </w:r>
    </w:p>
    <w:p w14:paraId="48D86C3F">
      <w:pPr>
        <w:keepNext w:val="0"/>
        <w:keepLines w:val="0"/>
        <w:pageBreakBefore w:val="0"/>
        <w:widowControl/>
        <w:wordWrap/>
        <w:overflowPunct/>
        <w:topLinePunct w:val="0"/>
        <w:bidi w:val="0"/>
        <w:adjustRightInd/>
        <w:snapToGrid/>
        <w:spacing w:line="360" w:lineRule="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4.8.1.4项目场区水文地质条件调查与分析</w:t>
      </w:r>
    </w:p>
    <w:p w14:paraId="318CF447">
      <w:pPr>
        <w:keepNext w:val="0"/>
        <w:keepLines w:val="0"/>
        <w:pageBreakBefore w:val="0"/>
        <w:widowControl/>
        <w:wordWrap/>
        <w:overflowPunct/>
        <w:topLinePunct w:val="0"/>
        <w:bidi w:val="0"/>
        <w:adjustRightInd/>
        <w:snapToGrid/>
        <w:spacing w:line="360" w:lineRule="auto"/>
        <w:ind w:firstLine="482"/>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（1）项目区及周边饮用水情况调查</w:t>
      </w:r>
    </w:p>
    <w:p w14:paraId="722BB744">
      <w:pPr>
        <w:keepNext w:val="0"/>
        <w:keepLines w:val="0"/>
        <w:pageBreakBefore w:val="0"/>
        <w:widowControl/>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根据现场调查和询问，位于项目区东南，距项目厂区约430m的花山街道</w:t>
      </w:r>
      <w:r>
        <w:rPr>
          <w:rFonts w:hint="eastAsia" w:ascii="Times New Roman" w:hAnsi="Times New Roman" w:cs="Times New Roman"/>
          <w:color w:val="auto"/>
          <w:sz w:val="24"/>
          <w:szCs w:val="24"/>
          <w:lang w:val="en-US" w:eastAsia="zh-CN"/>
        </w:rPr>
        <w:t>兴源社区</w:t>
      </w:r>
      <w:r>
        <w:rPr>
          <w:rFonts w:hint="default" w:ascii="Times New Roman" w:hAnsi="Times New Roman" w:cs="Times New Roman"/>
          <w:color w:val="auto"/>
          <w:sz w:val="24"/>
          <w:szCs w:val="24"/>
          <w:lang w:val="en-US" w:eastAsia="zh-CN"/>
        </w:rPr>
        <w:t>及其周边村庄的居民饮用水为自来水，自来水水源为项目区东北2140m的花山水库：位于项目区南侧，距项目厂区约</w:t>
      </w:r>
      <w:r>
        <w:rPr>
          <w:rFonts w:hint="eastAsia" w:ascii="Times New Roman" w:hAnsi="Times New Roman" w:cs="Times New Roman"/>
          <w:color w:val="auto"/>
          <w:sz w:val="24"/>
          <w:szCs w:val="24"/>
          <w:lang w:val="en-US" w:eastAsia="zh-CN"/>
        </w:rPr>
        <w:t>2.35</w:t>
      </w:r>
      <w:r>
        <w:rPr>
          <w:rFonts w:hint="default" w:ascii="Times New Roman" w:hAnsi="Times New Roman" w:cs="Times New Roman"/>
          <w:color w:val="auto"/>
          <w:sz w:val="24"/>
          <w:szCs w:val="24"/>
          <w:lang w:val="en-US" w:eastAsia="zh-CN"/>
        </w:rPr>
        <w:t>km的十里铺社区及其周边村庄的居民饮用水为自来水，自来水水源为花山水库：位于项目区西南，距项目厂区约6.28km的松林社区及其周边村庄的居民饮用水为自来水，自来水水源为花山水库。在项目区</w:t>
      </w:r>
      <w:r>
        <w:rPr>
          <w:rFonts w:hint="default" w:ascii="Times New Roman" w:hAnsi="Times New Roman" w:eastAsia="宋体" w:cs="Times New Roman"/>
          <w:color w:val="auto"/>
          <w:sz w:val="24"/>
          <w:szCs w:val="24"/>
          <w:lang w:val="en-US" w:eastAsia="zh-CN"/>
        </w:rPr>
        <w:t>周边调查发现了6个村民水井，</w:t>
      </w:r>
      <w:r>
        <w:rPr>
          <w:rFonts w:hint="eastAsia" w:ascii="Times New Roman" w:hAnsi="Times New Roman" w:cs="Times New Roman"/>
          <w:color w:val="auto"/>
          <w:sz w:val="24"/>
          <w:szCs w:val="24"/>
          <w:lang w:val="en-US" w:eastAsia="zh-CN"/>
        </w:rPr>
        <w:t>根据</w:t>
      </w:r>
      <w:r>
        <w:rPr>
          <w:rFonts w:hint="default" w:ascii="Times New Roman" w:hAnsi="Times New Roman" w:cs="Times New Roman"/>
          <w:color w:val="auto"/>
          <w:sz w:val="24"/>
          <w:szCs w:val="24"/>
          <w:lang w:val="en-US" w:eastAsia="zh-CN"/>
        </w:rPr>
        <w:t>曲靖市沾益区花山街道办事处</w:t>
      </w:r>
      <w:r>
        <w:rPr>
          <w:rFonts w:hint="eastAsia" w:ascii="Times New Roman" w:hAnsi="Times New Roman" w:cs="Times New Roman"/>
          <w:color w:val="auto"/>
          <w:sz w:val="24"/>
          <w:szCs w:val="24"/>
          <w:lang w:val="en-US" w:eastAsia="zh-CN"/>
        </w:rPr>
        <w:t>出具</w:t>
      </w:r>
      <w:r>
        <w:rPr>
          <w:rFonts w:hint="default" w:ascii="Times New Roman" w:hAnsi="Times New Roman" w:cs="Times New Roman"/>
          <w:color w:val="auto"/>
          <w:sz w:val="24"/>
          <w:szCs w:val="24"/>
          <w:lang w:val="en-US" w:eastAsia="zh-CN"/>
        </w:rPr>
        <w:t>证明</w:t>
      </w:r>
      <w:r>
        <w:rPr>
          <w:rFonts w:hint="eastAsia"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曲靖市沾益区松林社区、十里铺社区及周边村庄、散户等已铺设供水管网，居民饮用水水源为花山水库，未使用地下水作为居民饮用水源。</w:t>
      </w:r>
      <w:r>
        <w:rPr>
          <w:rFonts w:hint="eastAsia" w:ascii="Times New Roman" w:hAnsi="Times New Roman" w:eastAsia="宋体" w:cs="Times New Roman"/>
          <w:color w:val="auto"/>
          <w:sz w:val="24"/>
          <w:szCs w:val="24"/>
          <w:lang w:val="en-US" w:eastAsia="zh-CN"/>
        </w:rPr>
        <w:t>”</w:t>
      </w:r>
    </w:p>
    <w:p w14:paraId="6DEA07D6">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sz w:val="24"/>
          <w:szCs w:val="24"/>
          <w:lang w:val="en-US" w:eastAsia="zh-CN"/>
        </w:rPr>
        <w:t>根据花山街道兴源社区居民委员会出具证明</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曲靖市沾益区花山街道兴源社区辖区内，居民饮用水水源为花山水库，未使用地下水作为居民饮用水源。</w:t>
      </w:r>
      <w:r>
        <w:rPr>
          <w:rFonts w:hint="eastAsia" w:ascii="Times New Roman" w:hAnsi="Times New Roman" w:eastAsia="宋体" w:cs="Times New Roman"/>
          <w:color w:val="auto"/>
          <w:sz w:val="24"/>
          <w:szCs w:val="24"/>
          <w:lang w:val="en-US" w:eastAsia="zh-CN"/>
        </w:rPr>
        <w:t>”</w:t>
      </w:r>
    </w:p>
    <w:p w14:paraId="4C96EE9F">
      <w:pPr>
        <w:keepNext w:val="0"/>
        <w:keepLines w:val="0"/>
        <w:pageBreakBefore w:val="0"/>
        <w:widowControl/>
        <w:wordWrap/>
        <w:overflowPunct/>
        <w:topLinePunct w:val="0"/>
        <w:bidi w:val="0"/>
        <w:adjustRightInd/>
        <w:snapToGrid/>
        <w:spacing w:line="360" w:lineRule="auto"/>
        <w:ind w:firstLine="480"/>
        <w:rPr>
          <w:rFonts w:hint="default"/>
          <w:color w:val="auto"/>
          <w:lang w:val="en-US" w:eastAsia="zh-CN"/>
        </w:rPr>
      </w:pPr>
      <w:r>
        <w:rPr>
          <w:rFonts w:hint="eastAsia" w:ascii="Times New Roman" w:hAnsi="Times New Roman" w:cs="Times New Roman"/>
          <w:color w:val="auto"/>
          <w:sz w:val="24"/>
          <w:szCs w:val="24"/>
          <w:lang w:val="en-US" w:eastAsia="zh-CN"/>
        </w:rPr>
        <w:t>曲靖高新技术产业开发区花山片区地处花山水库地下水径流区下游位置，项目的建设和运营不会对花山水库地下水环境造成直接影响；故项目建设对居民用水影响较小。</w:t>
      </w:r>
    </w:p>
    <w:p w14:paraId="4F58419E">
      <w:pPr>
        <w:keepNext w:val="0"/>
        <w:keepLines w:val="0"/>
        <w:pageBreakBefore w:val="0"/>
        <w:widowControl/>
        <w:wordWrap/>
        <w:overflowPunct/>
        <w:topLinePunct w:val="0"/>
        <w:bidi w:val="0"/>
        <w:adjustRightInd/>
        <w:snapToGrid/>
        <w:spacing w:line="360" w:lineRule="auto"/>
        <w:ind w:firstLine="480"/>
        <w:jc w:val="center"/>
        <w:rPr>
          <w:rFonts w:hint="default" w:ascii="Times New Roman" w:hAnsi="Times New Roman" w:cs="Times New Roman"/>
          <w:b/>
          <w:bCs/>
          <w:color w:val="auto"/>
          <w:sz w:val="24"/>
          <w:szCs w:val="24"/>
          <w:lang w:val="en-US" w:eastAsia="zh-CN"/>
        </w:rPr>
      </w:pPr>
      <w:r>
        <w:rPr>
          <w:rFonts w:hint="eastAsia" w:ascii="Times New Roman" w:hAnsi="Times New Roman" w:cs="Times New Roman"/>
          <w:b/>
          <w:color w:val="auto"/>
          <w:sz w:val="21"/>
          <w:szCs w:val="21"/>
          <w:lang w:val="en-US" w:eastAsia="zh-CN"/>
        </w:rPr>
        <w:t>表4.8-2项目区及其周边村民水井和泉点调查情况信息表</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93"/>
        <w:gridCol w:w="1245"/>
        <w:gridCol w:w="755"/>
        <w:gridCol w:w="542"/>
        <w:gridCol w:w="900"/>
        <w:gridCol w:w="660"/>
        <w:gridCol w:w="1296"/>
        <w:gridCol w:w="1429"/>
        <w:gridCol w:w="835"/>
      </w:tblGrid>
      <w:tr w14:paraId="550EC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5"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8B35">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水井和泉点名称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C5A9">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经纬度</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3E68">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地面高程(m)</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AB46">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井深(m)</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1C5D">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地下水位(m)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3EFA2">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地下水类型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724A9">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含水层岩性及地层代号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3847C">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与厂区的方位及距边界距离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AB7E6">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kern w:val="0"/>
                <w:sz w:val="21"/>
                <w:szCs w:val="21"/>
                <w:lang w:val="en-US" w:eastAsia="zh-CN" w:bidi="ar"/>
              </w:rPr>
            </w:pPr>
            <w:r>
              <w:rPr>
                <w:rFonts w:hint="default" w:ascii="Times New Roman" w:hAnsi="Times New Roman" w:eastAsia="宋体" w:cs="Times New Roman"/>
                <w:b w:val="0"/>
                <w:bCs w:val="0"/>
                <w:i w:val="0"/>
                <w:iCs w:val="0"/>
                <w:color w:val="auto"/>
                <w:kern w:val="0"/>
                <w:sz w:val="21"/>
                <w:szCs w:val="21"/>
                <w:lang w:val="en-US" w:eastAsia="zh-CN" w:bidi="ar"/>
              </w:rPr>
              <w:t>使用情况</w:t>
            </w:r>
          </w:p>
        </w:tc>
      </w:tr>
      <w:tr w14:paraId="2D896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E13B">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68C8">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103°52'41.97"</w:t>
            </w:r>
          </w:p>
          <w:p w14:paraId="2E34EBC1">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25°44'45.68"</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CED6">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1973</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F83F">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30.4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F587">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1966.7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5243">
            <w:pPr>
              <w:keepNext w:val="0"/>
              <w:keepLines w:val="0"/>
              <w:widowControl/>
              <w:suppressLineNumbers w:val="0"/>
              <w:wordWrap/>
              <w:jc w:val="center"/>
              <w:textAlignment w:val="center"/>
              <w:rPr>
                <w:rFonts w:hint="default" w:ascii="Times New Roman" w:hAnsi="Times New Roman" w:eastAsia="宋体" w:cs="Times New Roman"/>
                <w:b w:val="0"/>
                <w:bCs w:val="0"/>
                <w:i w:val="0"/>
                <w:iCs w:val="0"/>
                <w:snapToGrid w:val="0"/>
                <w:color w:val="auto"/>
                <w:kern w:val="0"/>
                <w:sz w:val="21"/>
                <w:szCs w:val="21"/>
                <w:lang w:val="en-US" w:eastAsia="en-US" w:bidi="ar-SA"/>
              </w:rPr>
            </w:pPr>
            <w:r>
              <w:rPr>
                <w:rFonts w:hint="default" w:ascii="Times New Roman" w:hAnsi="Times New Roman" w:eastAsia="宋体" w:cs="Times New Roman"/>
                <w:b w:val="0"/>
                <w:bCs w:val="0"/>
                <w:i w:val="0"/>
                <w:iCs w:val="0"/>
                <w:color w:val="auto"/>
                <w:kern w:val="0"/>
                <w:sz w:val="21"/>
                <w:szCs w:val="21"/>
                <w:lang w:val="en-US" w:eastAsia="zh-CN" w:bidi="ar"/>
              </w:rPr>
              <w:t>岩溶水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DD5C">
            <w:pPr>
              <w:keepNext w:val="0"/>
              <w:keepLines w:val="0"/>
              <w:widowControl/>
              <w:suppressLineNumbers w:val="0"/>
              <w:wordWrap/>
              <w:jc w:val="center"/>
              <w:textAlignment w:val="center"/>
              <w:rPr>
                <w:rFonts w:hint="default" w:ascii="Times New Roman" w:hAnsi="Times New Roman" w:eastAsia="宋体" w:cs="Times New Roman"/>
                <w:b w:val="0"/>
                <w:bCs w:val="0"/>
                <w:i w:val="0"/>
                <w:iCs w:val="0"/>
                <w:snapToGrid w:val="0"/>
                <w:color w:val="auto"/>
                <w:kern w:val="0"/>
                <w:sz w:val="21"/>
                <w:szCs w:val="21"/>
                <w:lang w:val="en-US" w:eastAsia="en-US" w:bidi="ar-SA"/>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2E372">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西南，0.07km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2237A">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不作为饮用水使用</w:t>
            </w:r>
          </w:p>
        </w:tc>
      </w:tr>
      <w:tr w14:paraId="4C52B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4"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D3E0">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w:t>
            </w:r>
            <w:r>
              <w:rPr>
                <w:rFonts w:hint="eastAsia" w:ascii="Times New Roman" w:hAnsi="Times New Roman" w:eastAsia="宋体" w:cs="Times New Roman"/>
                <w:b w:val="0"/>
                <w:bCs w:val="0"/>
                <w:i w:val="0"/>
                <w:iCs w:val="0"/>
                <w:strike w:val="0"/>
                <w:dstrike w:val="0"/>
                <w:color w:val="auto"/>
                <w:kern w:val="0"/>
                <w:sz w:val="21"/>
                <w:szCs w:val="21"/>
                <w:lang w:val="en-US" w:eastAsia="zh-CN" w:bidi="ar"/>
              </w:rPr>
              <w:t>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4B25">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103°52'23.77"</w:t>
            </w:r>
          </w:p>
          <w:p w14:paraId="34853B8F">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25°44'36.34"</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CE34">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1966</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046B">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30.5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251B">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1959.5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0A1B">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岩溶水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FE8F">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ACA68">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eastAsia" w:ascii="Times New Roman" w:hAnsi="Times New Roman" w:eastAsia="宋体" w:cs="Times New Roman"/>
                <w:b w:val="0"/>
                <w:bCs w:val="0"/>
                <w:i w:val="0"/>
                <w:iCs w:val="0"/>
                <w:strike w:val="0"/>
                <w:dstrike w:val="0"/>
                <w:color w:val="auto"/>
                <w:sz w:val="21"/>
                <w:szCs w:val="21"/>
                <w:lang w:val="en-US" w:eastAsia="zh-CN"/>
              </w:rPr>
              <w:t>西南，0.64km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C6986">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不作为饮用水使用</w:t>
            </w:r>
          </w:p>
        </w:tc>
      </w:tr>
      <w:tr w14:paraId="05CD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9BF8">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曲靖大为焦化制气地下水监测井DX0</w:t>
            </w:r>
            <w:r>
              <w:rPr>
                <w:rFonts w:hint="eastAsia" w:ascii="Times New Roman" w:hAnsi="Times New Roman" w:eastAsia="宋体" w:cs="Times New Roman"/>
                <w:b w:val="0"/>
                <w:bCs w:val="0"/>
                <w:i w:val="0"/>
                <w:iCs w:val="0"/>
                <w:strike w:val="0"/>
                <w:dstrike w:val="0"/>
                <w:color w:val="auto"/>
                <w:kern w:val="0"/>
                <w:sz w:val="21"/>
                <w:szCs w:val="21"/>
                <w:lang w:val="en-US" w:eastAsia="zh-CN" w:bidi="ar"/>
              </w:rPr>
              <w:t>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842F">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103°52'32.07"</w:t>
            </w:r>
          </w:p>
          <w:p w14:paraId="27142A3F">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sz w:val="21"/>
                <w:szCs w:val="21"/>
              </w:rPr>
              <w:t>25°44'20.45"</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0A79">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1967</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6B0B">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31.8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4640">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1961.5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50E27">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snapToGrid w:val="0"/>
                <w:color w:val="auto"/>
                <w:kern w:val="0"/>
                <w:sz w:val="21"/>
                <w:szCs w:val="21"/>
                <w:lang w:val="en-US" w:eastAsia="en-US" w:bidi="ar-SA"/>
              </w:rPr>
            </w:pPr>
            <w:r>
              <w:rPr>
                <w:rFonts w:hint="default" w:ascii="Times New Roman" w:hAnsi="Times New Roman" w:eastAsia="宋体" w:cs="Times New Roman"/>
                <w:b w:val="0"/>
                <w:bCs w:val="0"/>
                <w:i w:val="0"/>
                <w:iCs w:val="0"/>
                <w:color w:val="auto"/>
                <w:kern w:val="0"/>
                <w:sz w:val="21"/>
                <w:szCs w:val="21"/>
                <w:lang w:val="en-US" w:eastAsia="zh-CN" w:bidi="ar"/>
              </w:rPr>
              <w:t>岩溶水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5FAFE">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snapToGrid w:val="0"/>
                <w:color w:val="auto"/>
                <w:kern w:val="0"/>
                <w:sz w:val="21"/>
                <w:szCs w:val="21"/>
                <w:lang w:val="en-US" w:eastAsia="en-US" w:bidi="ar-SA"/>
              </w:rPr>
            </w:pPr>
            <w:r>
              <w:rPr>
                <w:rFonts w:hint="default" w:ascii="Times New Roman" w:hAnsi="Times New Roman" w:eastAsia="宋体" w:cs="Times New Roman"/>
                <w:b w:val="0"/>
                <w:bCs w:val="0"/>
                <w:i w:val="0"/>
                <w:iCs w:val="0"/>
                <w:color w:val="auto"/>
                <w:kern w:val="0"/>
                <w:sz w:val="21"/>
                <w:szCs w:val="21"/>
                <w:lang w:val="en-US" w:eastAsia="zh-CN" w:bidi="ar"/>
              </w:rPr>
              <w:t>灰岩(P₁q+m)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37DF0">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eastAsia" w:ascii="Times New Roman" w:hAnsi="Times New Roman" w:eastAsia="宋体" w:cs="Times New Roman"/>
                <w:b w:val="0"/>
                <w:bCs w:val="0"/>
                <w:i w:val="0"/>
                <w:iCs w:val="0"/>
                <w:strike w:val="0"/>
                <w:dstrike w:val="0"/>
                <w:color w:val="auto"/>
                <w:sz w:val="21"/>
                <w:szCs w:val="21"/>
                <w:lang w:val="en-US" w:eastAsia="zh-CN"/>
              </w:rPr>
              <w:t>西南，0.89km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84723">
            <w:pPr>
              <w:keepNext w:val="0"/>
              <w:keepLines w:val="0"/>
              <w:widowControl/>
              <w:suppressLineNumbers w:val="0"/>
              <w:wordWrap/>
              <w:jc w:val="center"/>
              <w:textAlignment w:val="center"/>
              <w:rPr>
                <w:rFonts w:hint="default" w:ascii="Times New Roman" w:hAnsi="Times New Roman" w:eastAsia="宋体" w:cs="Times New Roman"/>
                <w:b w:val="0"/>
                <w:bCs w:val="0"/>
                <w:i w:val="0"/>
                <w:iCs w:val="0"/>
                <w:strike w:val="0"/>
                <w:dstrike w:val="0"/>
                <w:color w:val="auto"/>
                <w:sz w:val="21"/>
                <w:szCs w:val="21"/>
              </w:rPr>
            </w:pPr>
            <w:r>
              <w:rPr>
                <w:rFonts w:hint="default" w:ascii="Times New Roman" w:hAnsi="Times New Roman" w:eastAsia="宋体" w:cs="Times New Roman"/>
                <w:b w:val="0"/>
                <w:bCs w:val="0"/>
                <w:i w:val="0"/>
                <w:iCs w:val="0"/>
                <w:strike w:val="0"/>
                <w:dstrike w:val="0"/>
                <w:color w:val="auto"/>
                <w:kern w:val="0"/>
                <w:sz w:val="21"/>
                <w:szCs w:val="21"/>
                <w:lang w:val="en-US" w:eastAsia="zh-CN" w:bidi="ar"/>
              </w:rPr>
              <w:t>不作为饮用水使用</w:t>
            </w:r>
          </w:p>
        </w:tc>
      </w:tr>
      <w:tr w14:paraId="2B32E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59D6">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迤堵村2#水井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DA71">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103°51′53.91″</w:t>
            </w:r>
            <w:r>
              <w:rPr>
                <w:rFonts w:hint="default" w:ascii="Times New Roman" w:hAnsi="Times New Roman" w:eastAsia="宋体" w:cs="Times New Roman"/>
                <w:b w:val="0"/>
                <w:bCs w:val="0"/>
                <w:i w:val="0"/>
                <w:iCs w:val="0"/>
                <w:color w:val="auto"/>
                <w:kern w:val="0"/>
                <w:sz w:val="21"/>
                <w:szCs w:val="21"/>
                <w:lang w:val="en-US" w:eastAsia="zh-CN" w:bidi="ar"/>
              </w:rPr>
              <w:br w:type="textWrapping"/>
            </w:r>
            <w:r>
              <w:rPr>
                <w:rFonts w:hint="default" w:ascii="Times New Roman" w:hAnsi="Times New Roman" w:eastAsia="宋体" w:cs="Times New Roman"/>
                <w:b w:val="0"/>
                <w:bCs w:val="0"/>
                <w:i w:val="0"/>
                <w:iCs w:val="0"/>
                <w:color w:val="auto"/>
                <w:kern w:val="0"/>
                <w:sz w:val="21"/>
                <w:szCs w:val="21"/>
                <w:lang w:val="en-US" w:eastAsia="zh-CN" w:bidi="ar"/>
              </w:rPr>
              <w:t>25°45′0.78″</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E76E">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1959</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D8F0">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18CC">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1956.48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75DA7">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孔隙水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3A77E">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粘土(Q₄ᵃˡ)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24FAF">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eastAsia" w:ascii="Times New Roman" w:hAnsi="Times New Roman" w:eastAsia="宋体" w:cs="Times New Roman"/>
                <w:b w:val="0"/>
                <w:bCs w:val="0"/>
                <w:i w:val="0"/>
                <w:iCs w:val="0"/>
                <w:strike w:val="0"/>
                <w:dstrike w:val="0"/>
                <w:color w:val="auto"/>
                <w:sz w:val="21"/>
                <w:szCs w:val="21"/>
                <w:lang w:val="en-US" w:eastAsia="zh-CN"/>
              </w:rPr>
              <w:t>西南，1.14km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BB641">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不作为饮用水使用</w:t>
            </w:r>
          </w:p>
        </w:tc>
      </w:tr>
      <w:tr w14:paraId="0A339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8ABB">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胡家小村水井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C6CB">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103°51′54.90″</w:t>
            </w:r>
            <w:r>
              <w:rPr>
                <w:rFonts w:hint="default" w:ascii="Times New Roman" w:hAnsi="Times New Roman" w:eastAsia="宋体" w:cs="Times New Roman"/>
                <w:b w:val="0"/>
                <w:bCs w:val="0"/>
                <w:i w:val="0"/>
                <w:iCs w:val="0"/>
                <w:color w:val="auto"/>
                <w:kern w:val="0"/>
                <w:sz w:val="21"/>
                <w:szCs w:val="21"/>
                <w:lang w:val="en-US" w:eastAsia="zh-CN" w:bidi="ar"/>
              </w:rPr>
              <w:br w:type="textWrapping"/>
            </w:r>
            <w:r>
              <w:rPr>
                <w:rFonts w:hint="default" w:ascii="Times New Roman" w:hAnsi="Times New Roman" w:eastAsia="宋体" w:cs="Times New Roman"/>
                <w:b w:val="0"/>
                <w:bCs w:val="0"/>
                <w:i w:val="0"/>
                <w:iCs w:val="0"/>
                <w:color w:val="auto"/>
                <w:kern w:val="0"/>
                <w:sz w:val="21"/>
                <w:szCs w:val="21"/>
                <w:lang w:val="en-US" w:eastAsia="zh-CN" w:bidi="ar"/>
              </w:rPr>
              <w:t>25°44′37.83″</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31EA">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1956</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22B5">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E2CA">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1953.86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A7E38">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孔隙水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57651">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粘土(Q₄ᵃˡ)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7876D">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eastAsia" w:ascii="Times New Roman" w:hAnsi="Times New Roman" w:eastAsia="宋体" w:cs="Times New Roman"/>
                <w:b w:val="0"/>
                <w:bCs w:val="0"/>
                <w:i w:val="0"/>
                <w:iCs w:val="0"/>
                <w:strike w:val="0"/>
                <w:dstrike w:val="0"/>
                <w:color w:val="auto"/>
                <w:sz w:val="21"/>
                <w:szCs w:val="21"/>
                <w:lang w:val="en-US" w:eastAsia="zh-CN"/>
              </w:rPr>
              <w:t>西南，1.35km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BD002">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不作为饮用水使用</w:t>
            </w:r>
          </w:p>
        </w:tc>
      </w:tr>
      <w:tr w14:paraId="4722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7803">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晏家塘村水井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A4A6">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103°51′35.22″</w:t>
            </w:r>
            <w:r>
              <w:rPr>
                <w:rFonts w:hint="default" w:ascii="Times New Roman" w:hAnsi="Times New Roman" w:eastAsia="宋体" w:cs="Times New Roman"/>
                <w:b w:val="0"/>
                <w:bCs w:val="0"/>
                <w:i w:val="0"/>
                <w:iCs w:val="0"/>
                <w:color w:val="auto"/>
                <w:kern w:val="0"/>
                <w:sz w:val="21"/>
                <w:szCs w:val="21"/>
                <w:lang w:val="en-US" w:eastAsia="zh-CN" w:bidi="ar"/>
              </w:rPr>
              <w:br w:type="textWrapping"/>
            </w:r>
            <w:r>
              <w:rPr>
                <w:rFonts w:hint="default" w:ascii="Times New Roman" w:hAnsi="Times New Roman" w:eastAsia="宋体" w:cs="Times New Roman"/>
                <w:b w:val="0"/>
                <w:bCs w:val="0"/>
                <w:i w:val="0"/>
                <w:iCs w:val="0"/>
                <w:color w:val="auto"/>
                <w:kern w:val="0"/>
                <w:sz w:val="21"/>
                <w:szCs w:val="21"/>
                <w:lang w:val="en-US" w:eastAsia="zh-CN" w:bidi="ar"/>
              </w:rPr>
              <w:t>25°44′23.32″</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850B">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1956</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5B09">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42A4">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1952.92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46EC5">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孔隙水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5C51F">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粘土(Q₄ᵃˡ)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7C6A4">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eastAsia" w:ascii="Times New Roman" w:hAnsi="Times New Roman" w:eastAsia="宋体" w:cs="Times New Roman"/>
                <w:b w:val="0"/>
                <w:bCs w:val="0"/>
                <w:i w:val="0"/>
                <w:iCs w:val="0"/>
                <w:strike w:val="0"/>
                <w:dstrike w:val="0"/>
                <w:color w:val="auto"/>
                <w:sz w:val="21"/>
                <w:szCs w:val="21"/>
                <w:lang w:val="en-US" w:eastAsia="zh-CN"/>
              </w:rPr>
              <w:t>西南，2.05km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0ABEDF">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auto"/>
                <w:sz w:val="21"/>
                <w:szCs w:val="21"/>
              </w:rPr>
            </w:pPr>
            <w:r>
              <w:rPr>
                <w:rFonts w:hint="default" w:ascii="Times New Roman" w:hAnsi="Times New Roman" w:eastAsia="宋体" w:cs="Times New Roman"/>
                <w:b w:val="0"/>
                <w:bCs w:val="0"/>
                <w:i w:val="0"/>
                <w:iCs w:val="0"/>
                <w:color w:val="auto"/>
                <w:kern w:val="0"/>
                <w:sz w:val="21"/>
                <w:szCs w:val="21"/>
                <w:lang w:val="en-US" w:eastAsia="zh-CN" w:bidi="ar"/>
              </w:rPr>
              <w:t>不作为饮用水使用</w:t>
            </w:r>
          </w:p>
        </w:tc>
      </w:tr>
    </w:tbl>
    <w:p w14:paraId="25FC5799">
      <w:pPr>
        <w:keepNext w:val="0"/>
        <w:keepLines w:val="0"/>
        <w:pageBreakBefore w:val="0"/>
        <w:widowControl/>
        <w:wordWrap/>
        <w:overflowPunct/>
        <w:topLinePunct w:val="0"/>
        <w:bidi w:val="0"/>
        <w:adjustRightInd/>
        <w:snapToGrid/>
        <w:spacing w:line="360" w:lineRule="auto"/>
        <w:ind w:left="0" w:leftChars="0" w:firstLine="0" w:firstLineChars="0"/>
        <w:rPr>
          <w:rFonts w:hint="default" w:ascii="Times New Roman" w:hAnsi="Times New Roman" w:cs="Times New Roman"/>
          <w:b/>
          <w:color w:val="auto"/>
          <w:sz w:val="24"/>
          <w:szCs w:val="24"/>
        </w:rPr>
      </w:pPr>
      <w:r>
        <w:rPr>
          <w:color w:val="auto"/>
        </w:rPr>
        <w:drawing>
          <wp:inline distT="0" distB="0" distL="114300" distR="114300">
            <wp:extent cx="5411470" cy="4352290"/>
            <wp:effectExtent l="0" t="0" r="17780" b="10160"/>
            <wp:docPr id="1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pic:cNvPicPr>
                      <a:picLocks noChangeAspect="1"/>
                    </pic:cNvPicPr>
                  </pic:nvPicPr>
                  <pic:blipFill>
                    <a:blip r:embed="rId91"/>
                    <a:stretch>
                      <a:fillRect/>
                    </a:stretch>
                  </pic:blipFill>
                  <pic:spPr>
                    <a:xfrm>
                      <a:off x="0" y="0"/>
                      <a:ext cx="5411470" cy="4352290"/>
                    </a:xfrm>
                    <a:prstGeom prst="rect">
                      <a:avLst/>
                    </a:prstGeom>
                    <a:noFill/>
                    <a:ln>
                      <a:noFill/>
                    </a:ln>
                  </pic:spPr>
                </pic:pic>
              </a:graphicData>
            </a:graphic>
          </wp:inline>
        </w:drawing>
      </w:r>
    </w:p>
    <w:p w14:paraId="5CD7368A">
      <w:pPr>
        <w:keepNext w:val="0"/>
        <w:keepLines w:val="0"/>
        <w:pageBreakBefore w:val="0"/>
        <w:widowControl/>
        <w:wordWrap/>
        <w:overflowPunct/>
        <w:topLinePunct w:val="0"/>
        <w:bidi w:val="0"/>
        <w:adjustRightInd/>
        <w:snapToGrid/>
        <w:spacing w:line="360" w:lineRule="auto"/>
        <w:ind w:firstLine="482"/>
        <w:jc w:val="center"/>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图4.8-1  项目区周边水井和泉点分布图</w:t>
      </w:r>
    </w:p>
    <w:tbl>
      <w:tblPr>
        <w:tblStyle w:val="22"/>
        <w:tblW w:w="8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3"/>
        <w:gridCol w:w="33"/>
        <w:gridCol w:w="4196"/>
      </w:tblGrid>
      <w:tr w14:paraId="6948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39C9499B">
            <w:pPr>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
                <w:color w:val="auto"/>
                <w:sz w:val="24"/>
                <w:szCs w:val="24"/>
                <w:vertAlign w:val="baseline"/>
                <w:lang w:val="en-US" w:eastAsia="zh-CN"/>
              </w:rPr>
            </w:pPr>
            <w:r>
              <w:rPr>
                <w:color w:val="auto"/>
              </w:rPr>
              <w:drawing>
                <wp:inline distT="0" distB="0" distL="114300" distR="114300">
                  <wp:extent cx="2823210" cy="2198370"/>
                  <wp:effectExtent l="0" t="0" r="0" b="0"/>
                  <wp:docPr id="1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
                          <pic:cNvPicPr>
                            <a:picLocks noChangeAspect="1"/>
                          </pic:cNvPicPr>
                        </pic:nvPicPr>
                        <pic:blipFill>
                          <a:blip r:embed="rId92"/>
                          <a:srcRect r="2905"/>
                          <a:stretch>
                            <a:fillRect/>
                          </a:stretch>
                        </pic:blipFill>
                        <pic:spPr>
                          <a:xfrm>
                            <a:off x="0" y="0"/>
                            <a:ext cx="2823210" cy="2198370"/>
                          </a:xfrm>
                          <a:prstGeom prst="rect">
                            <a:avLst/>
                          </a:prstGeom>
                          <a:noFill/>
                          <a:ln>
                            <a:noFill/>
                          </a:ln>
                        </pic:spPr>
                      </pic:pic>
                    </a:graphicData>
                  </a:graphic>
                </wp:inline>
              </w:drawing>
            </w:r>
          </w:p>
        </w:tc>
        <w:tc>
          <w:tcPr>
            <w:tcW w:w="4196" w:type="dxa"/>
          </w:tcPr>
          <w:p w14:paraId="11290CAA">
            <w:pPr>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
                <w:color w:val="auto"/>
                <w:sz w:val="24"/>
                <w:szCs w:val="24"/>
                <w:vertAlign w:val="baseline"/>
                <w:lang w:val="en-US" w:eastAsia="zh-CN"/>
              </w:rPr>
            </w:pPr>
            <w:r>
              <w:rPr>
                <w:color w:val="auto"/>
              </w:rPr>
              <w:drawing>
                <wp:inline distT="0" distB="0" distL="114300" distR="114300">
                  <wp:extent cx="2714625" cy="2176780"/>
                  <wp:effectExtent l="0" t="0" r="0" b="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93"/>
                          <a:srcRect r="7827"/>
                          <a:stretch>
                            <a:fillRect/>
                          </a:stretch>
                        </pic:blipFill>
                        <pic:spPr>
                          <a:xfrm>
                            <a:off x="0" y="0"/>
                            <a:ext cx="2714625" cy="2176780"/>
                          </a:xfrm>
                          <a:prstGeom prst="rect">
                            <a:avLst/>
                          </a:prstGeom>
                          <a:noFill/>
                          <a:ln>
                            <a:noFill/>
                          </a:ln>
                        </pic:spPr>
                      </pic:pic>
                    </a:graphicData>
                  </a:graphic>
                </wp:inline>
              </w:drawing>
            </w:r>
          </w:p>
        </w:tc>
      </w:tr>
      <w:tr w14:paraId="1D26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2330CC7E">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迤堵村1#水井</w:t>
            </w:r>
          </w:p>
        </w:tc>
        <w:tc>
          <w:tcPr>
            <w:tcW w:w="4196" w:type="dxa"/>
          </w:tcPr>
          <w:p w14:paraId="4F2E129A">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1622号泉点</w:t>
            </w:r>
          </w:p>
        </w:tc>
      </w:tr>
      <w:tr w14:paraId="7778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1FCAE294">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drawing>
                <wp:inline distT="0" distB="0" distL="114300" distR="114300">
                  <wp:extent cx="2713990" cy="2034540"/>
                  <wp:effectExtent l="0" t="0" r="10160" b="3810"/>
                  <wp:docPr id="36" name="图片 36" descr="10540ce9b388e7e5621d1d4a7e1e84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0540ce9b388e7e5621d1d4a7e1e846b"/>
                          <pic:cNvPicPr>
                            <a:picLocks noChangeAspect="1"/>
                          </pic:cNvPicPr>
                        </pic:nvPicPr>
                        <pic:blipFill>
                          <a:blip r:embed="rId94"/>
                          <a:stretch>
                            <a:fillRect/>
                          </a:stretch>
                        </pic:blipFill>
                        <pic:spPr>
                          <a:xfrm>
                            <a:off x="0" y="0"/>
                            <a:ext cx="2713990" cy="2034540"/>
                          </a:xfrm>
                          <a:prstGeom prst="rect">
                            <a:avLst/>
                          </a:prstGeom>
                        </pic:spPr>
                      </pic:pic>
                    </a:graphicData>
                  </a:graphic>
                </wp:inline>
              </w:drawing>
            </w:r>
          </w:p>
        </w:tc>
        <w:tc>
          <w:tcPr>
            <w:tcW w:w="4196" w:type="dxa"/>
          </w:tcPr>
          <w:p w14:paraId="0E9A2F06">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drawing>
                <wp:inline distT="0" distB="0" distL="114300" distR="114300">
                  <wp:extent cx="2546350" cy="2078355"/>
                  <wp:effectExtent l="0" t="0" r="0" b="0"/>
                  <wp:docPr id="35" name="图片 35" descr="bd0984ebc3555f74fa1137b758a736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bd0984ebc3555f74fa1137b758a736c4"/>
                          <pic:cNvPicPr>
                            <a:picLocks noChangeAspect="1"/>
                          </pic:cNvPicPr>
                        </pic:nvPicPr>
                        <pic:blipFill>
                          <a:blip r:embed="rId95"/>
                          <a:srcRect t="8171" b="30628"/>
                          <a:stretch>
                            <a:fillRect/>
                          </a:stretch>
                        </pic:blipFill>
                        <pic:spPr>
                          <a:xfrm>
                            <a:off x="0" y="0"/>
                            <a:ext cx="2546350" cy="2078355"/>
                          </a:xfrm>
                          <a:prstGeom prst="rect">
                            <a:avLst/>
                          </a:prstGeom>
                        </pic:spPr>
                      </pic:pic>
                    </a:graphicData>
                  </a:graphic>
                </wp:inline>
              </w:drawing>
            </w:r>
          </w:p>
        </w:tc>
      </w:tr>
      <w:tr w14:paraId="579F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1D347A15">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default" w:ascii="Times New Roman" w:hAnsi="Times New Roman" w:eastAsia="宋体" w:cs="Times New Roman"/>
                <w:b/>
                <w:color w:val="auto"/>
                <w:sz w:val="24"/>
                <w:szCs w:val="24"/>
                <w:vertAlign w:val="baseline"/>
                <w:lang w:val="en-US" w:eastAsia="zh-CN"/>
              </w:rPr>
              <w:t>下游污染扩散监测井（曲靖大为焦化制气地下水监测井DX01）</w:t>
            </w:r>
          </w:p>
        </w:tc>
        <w:tc>
          <w:tcPr>
            <w:tcW w:w="4196" w:type="dxa"/>
          </w:tcPr>
          <w:p w14:paraId="5625CD2C">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default" w:ascii="Times New Roman" w:hAnsi="Times New Roman" w:eastAsia="宋体" w:cs="Times New Roman"/>
                <w:b/>
                <w:color w:val="auto"/>
                <w:sz w:val="24"/>
                <w:szCs w:val="24"/>
                <w:vertAlign w:val="baseline"/>
                <w:lang w:val="en-US" w:eastAsia="zh-CN"/>
              </w:rPr>
              <w:t>曲靖大为焦化制气地下水监测井DX0</w:t>
            </w:r>
            <w:r>
              <w:rPr>
                <w:rFonts w:hint="eastAsia" w:ascii="Times New Roman" w:hAnsi="Times New Roman" w:eastAsia="宋体" w:cs="Times New Roman"/>
                <w:b/>
                <w:color w:val="auto"/>
                <w:sz w:val="24"/>
                <w:szCs w:val="24"/>
                <w:vertAlign w:val="baseline"/>
                <w:lang w:val="en-US" w:eastAsia="zh-CN"/>
              </w:rPr>
              <w:t>2</w:t>
            </w:r>
          </w:p>
        </w:tc>
      </w:tr>
      <w:tr w14:paraId="50A2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3" w:type="dxa"/>
          </w:tcPr>
          <w:p w14:paraId="378519EF">
            <w:pPr>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
                <w:color w:val="auto"/>
                <w:sz w:val="24"/>
                <w:szCs w:val="24"/>
                <w:vertAlign w:val="baseline"/>
                <w:lang w:val="en-US" w:eastAsia="zh-CN"/>
              </w:rPr>
            </w:pPr>
            <w:r>
              <w:rPr>
                <w:color w:val="auto"/>
              </w:rPr>
              <w:drawing>
                <wp:inline distT="0" distB="0" distL="114300" distR="114300">
                  <wp:extent cx="2794635" cy="2113280"/>
                  <wp:effectExtent l="0" t="0" r="5715" b="127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96"/>
                          <a:stretch>
                            <a:fillRect/>
                          </a:stretch>
                        </pic:blipFill>
                        <pic:spPr>
                          <a:xfrm>
                            <a:off x="0" y="0"/>
                            <a:ext cx="2794635" cy="2113280"/>
                          </a:xfrm>
                          <a:prstGeom prst="rect">
                            <a:avLst/>
                          </a:prstGeom>
                          <a:noFill/>
                          <a:ln>
                            <a:noFill/>
                          </a:ln>
                        </pic:spPr>
                      </pic:pic>
                    </a:graphicData>
                  </a:graphic>
                </wp:inline>
              </w:drawing>
            </w:r>
          </w:p>
        </w:tc>
        <w:tc>
          <w:tcPr>
            <w:tcW w:w="4229" w:type="dxa"/>
            <w:gridSpan w:val="2"/>
          </w:tcPr>
          <w:p w14:paraId="58760F51">
            <w:pPr>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
                <w:color w:val="auto"/>
                <w:sz w:val="24"/>
                <w:szCs w:val="24"/>
                <w:vertAlign w:val="baseline"/>
                <w:lang w:val="en-US" w:eastAsia="zh-CN"/>
              </w:rPr>
            </w:pPr>
            <w:r>
              <w:rPr>
                <w:color w:val="auto"/>
              </w:rPr>
              <w:drawing>
                <wp:inline distT="0" distB="0" distL="114300" distR="114300">
                  <wp:extent cx="2621915" cy="2053590"/>
                  <wp:effectExtent l="0" t="0" r="6985" b="3810"/>
                  <wp:docPr id="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pic:cNvPicPr>
                            <a:picLocks noChangeAspect="1"/>
                          </pic:cNvPicPr>
                        </pic:nvPicPr>
                        <pic:blipFill>
                          <a:blip r:embed="rId97"/>
                          <a:srcRect r="4811"/>
                          <a:stretch>
                            <a:fillRect/>
                          </a:stretch>
                        </pic:blipFill>
                        <pic:spPr>
                          <a:xfrm>
                            <a:off x="0" y="0"/>
                            <a:ext cx="2621915" cy="2053590"/>
                          </a:xfrm>
                          <a:prstGeom prst="rect">
                            <a:avLst/>
                          </a:prstGeom>
                          <a:noFill/>
                          <a:ln>
                            <a:noFill/>
                          </a:ln>
                        </pic:spPr>
                      </pic:pic>
                    </a:graphicData>
                  </a:graphic>
                </wp:inline>
              </w:drawing>
            </w:r>
          </w:p>
        </w:tc>
      </w:tr>
      <w:tr w14:paraId="08B5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0C6551FD">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（c）迤堵村2#水井</w:t>
            </w:r>
          </w:p>
        </w:tc>
        <w:tc>
          <w:tcPr>
            <w:tcW w:w="4196" w:type="dxa"/>
          </w:tcPr>
          <w:p w14:paraId="0C2EE4DF">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（d）胡家小村水井</w:t>
            </w:r>
          </w:p>
        </w:tc>
      </w:tr>
      <w:tr w14:paraId="5A3F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51523CCF">
            <w:pPr>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
                <w:color w:val="auto"/>
                <w:sz w:val="24"/>
                <w:szCs w:val="24"/>
                <w:vertAlign w:val="baseline"/>
                <w:lang w:val="en-US" w:eastAsia="zh-CN"/>
              </w:rPr>
            </w:pPr>
            <w:r>
              <w:rPr>
                <w:color w:val="auto"/>
              </w:rPr>
              <w:drawing>
                <wp:inline distT="0" distB="0" distL="114300" distR="114300">
                  <wp:extent cx="2886710" cy="2408555"/>
                  <wp:effectExtent l="0" t="0" r="8890" b="10795"/>
                  <wp:docPr id="2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6"/>
                          <pic:cNvPicPr>
                            <a:picLocks noChangeAspect="1"/>
                          </pic:cNvPicPr>
                        </pic:nvPicPr>
                        <pic:blipFill>
                          <a:blip r:embed="rId98"/>
                          <a:stretch>
                            <a:fillRect/>
                          </a:stretch>
                        </pic:blipFill>
                        <pic:spPr>
                          <a:xfrm>
                            <a:off x="0" y="0"/>
                            <a:ext cx="2886710" cy="2408555"/>
                          </a:xfrm>
                          <a:prstGeom prst="rect">
                            <a:avLst/>
                          </a:prstGeom>
                          <a:noFill/>
                          <a:ln>
                            <a:noFill/>
                          </a:ln>
                        </pic:spPr>
                      </pic:pic>
                    </a:graphicData>
                  </a:graphic>
                </wp:inline>
              </w:drawing>
            </w:r>
          </w:p>
        </w:tc>
        <w:tc>
          <w:tcPr>
            <w:tcW w:w="4196" w:type="dxa"/>
          </w:tcPr>
          <w:p w14:paraId="266A6F9C">
            <w:pPr>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
                <w:color w:val="auto"/>
                <w:sz w:val="24"/>
                <w:szCs w:val="24"/>
                <w:vertAlign w:val="baseline"/>
                <w:lang w:val="en-US" w:eastAsia="zh-CN"/>
              </w:rPr>
            </w:pPr>
            <w:r>
              <w:rPr>
                <w:color w:val="auto"/>
              </w:rPr>
              <w:drawing>
                <wp:inline distT="0" distB="0" distL="114300" distR="114300">
                  <wp:extent cx="2620010" cy="2365375"/>
                  <wp:effectExtent l="0" t="0" r="8890" b="15875"/>
                  <wp:docPr id="2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7"/>
                          <pic:cNvPicPr>
                            <a:picLocks noChangeAspect="1"/>
                          </pic:cNvPicPr>
                        </pic:nvPicPr>
                        <pic:blipFill>
                          <a:blip r:embed="rId99"/>
                          <a:srcRect r="9105"/>
                          <a:stretch>
                            <a:fillRect/>
                          </a:stretch>
                        </pic:blipFill>
                        <pic:spPr>
                          <a:xfrm>
                            <a:off x="0" y="0"/>
                            <a:ext cx="2620010" cy="2365375"/>
                          </a:xfrm>
                          <a:prstGeom prst="rect">
                            <a:avLst/>
                          </a:prstGeom>
                          <a:noFill/>
                          <a:ln>
                            <a:noFill/>
                          </a:ln>
                        </pic:spPr>
                      </pic:pic>
                    </a:graphicData>
                  </a:graphic>
                </wp:inline>
              </w:drawing>
            </w:r>
          </w:p>
        </w:tc>
      </w:tr>
      <w:tr w14:paraId="4110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667FF712">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（e）晏家塘村水井</w:t>
            </w:r>
          </w:p>
        </w:tc>
        <w:tc>
          <w:tcPr>
            <w:tcW w:w="4196" w:type="dxa"/>
          </w:tcPr>
          <w:p w14:paraId="2403A902">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（f）十里铺水井</w:t>
            </w:r>
          </w:p>
        </w:tc>
      </w:tr>
      <w:tr w14:paraId="7B13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148C5705">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drawing>
                <wp:inline distT="0" distB="0" distL="114300" distR="114300">
                  <wp:extent cx="2632710" cy="3512185"/>
                  <wp:effectExtent l="0" t="0" r="15240" b="12065"/>
                  <wp:docPr id="33" name="图片 33" descr="6c397f1d4e0bb373a3d0ddfd18ec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6c397f1d4e0bb373a3d0ddfd18ec6574"/>
                          <pic:cNvPicPr>
                            <a:picLocks noChangeAspect="1"/>
                          </pic:cNvPicPr>
                        </pic:nvPicPr>
                        <pic:blipFill>
                          <a:blip r:embed="rId100"/>
                          <a:stretch>
                            <a:fillRect/>
                          </a:stretch>
                        </pic:blipFill>
                        <pic:spPr>
                          <a:xfrm>
                            <a:off x="0" y="0"/>
                            <a:ext cx="2632710" cy="3512185"/>
                          </a:xfrm>
                          <a:prstGeom prst="rect">
                            <a:avLst/>
                          </a:prstGeom>
                        </pic:spPr>
                      </pic:pic>
                    </a:graphicData>
                  </a:graphic>
                </wp:inline>
              </w:drawing>
            </w:r>
          </w:p>
        </w:tc>
        <w:tc>
          <w:tcPr>
            <w:tcW w:w="4196" w:type="dxa"/>
          </w:tcPr>
          <w:p w14:paraId="5D01401D">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drawing>
                <wp:inline distT="0" distB="0" distL="114300" distR="114300">
                  <wp:extent cx="2633345" cy="3512820"/>
                  <wp:effectExtent l="0" t="0" r="14605" b="11430"/>
                  <wp:docPr id="39" name="图片 39" descr="7f13b1b1694fc26bae66b417853c1f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7f13b1b1694fc26bae66b417853c1fd8"/>
                          <pic:cNvPicPr>
                            <a:picLocks noChangeAspect="1"/>
                          </pic:cNvPicPr>
                        </pic:nvPicPr>
                        <pic:blipFill>
                          <a:blip r:embed="rId101"/>
                          <a:stretch>
                            <a:fillRect/>
                          </a:stretch>
                        </pic:blipFill>
                        <pic:spPr>
                          <a:xfrm>
                            <a:off x="0" y="0"/>
                            <a:ext cx="2633345" cy="3512820"/>
                          </a:xfrm>
                          <a:prstGeom prst="rect">
                            <a:avLst/>
                          </a:prstGeom>
                        </pic:spPr>
                      </pic:pic>
                    </a:graphicData>
                  </a:graphic>
                </wp:inline>
              </w:drawing>
            </w:r>
          </w:p>
        </w:tc>
      </w:tr>
      <w:tr w14:paraId="776F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gridSpan w:val="2"/>
          </w:tcPr>
          <w:p w14:paraId="5F70D999">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default" w:ascii="Times New Roman" w:hAnsi="Times New Roman" w:eastAsia="宋体" w:cs="Times New Roman"/>
                <w:b/>
                <w:color w:val="auto"/>
                <w:sz w:val="24"/>
                <w:szCs w:val="24"/>
                <w:vertAlign w:val="baseline"/>
                <w:lang w:val="en-US" w:eastAsia="zh-CN"/>
              </w:rPr>
              <w:t>曲靖大为焦化制气地下水监测井DX0</w:t>
            </w:r>
            <w:r>
              <w:rPr>
                <w:rFonts w:hint="eastAsia" w:ascii="Times New Roman" w:hAnsi="Times New Roman" w:eastAsia="宋体" w:cs="Times New Roman"/>
                <w:b/>
                <w:color w:val="auto"/>
                <w:sz w:val="24"/>
                <w:szCs w:val="24"/>
                <w:vertAlign w:val="baseline"/>
                <w:lang w:val="en-US" w:eastAsia="zh-CN"/>
              </w:rPr>
              <w:t>3</w:t>
            </w:r>
          </w:p>
        </w:tc>
        <w:tc>
          <w:tcPr>
            <w:tcW w:w="4196" w:type="dxa"/>
          </w:tcPr>
          <w:p w14:paraId="5AF519F8">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上游</w:t>
            </w:r>
            <w:r>
              <w:rPr>
                <w:rFonts w:hint="default" w:ascii="Times New Roman" w:hAnsi="Times New Roman" w:eastAsia="宋体" w:cs="Times New Roman"/>
                <w:b/>
                <w:color w:val="auto"/>
                <w:sz w:val="24"/>
                <w:szCs w:val="24"/>
                <w:vertAlign w:val="baseline"/>
                <w:lang w:val="en-US" w:eastAsia="zh-CN"/>
              </w:rPr>
              <w:t>背景监测井J1</w:t>
            </w:r>
          </w:p>
        </w:tc>
      </w:tr>
      <w:tr w14:paraId="04F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2" w:type="dxa"/>
            <w:gridSpan w:val="3"/>
          </w:tcPr>
          <w:p w14:paraId="4666AE68">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color w:val="auto"/>
                <w:sz w:val="21"/>
                <w:szCs w:val="21"/>
                <w:vertAlign w:val="baseline"/>
                <w:lang w:eastAsia="zh-CN"/>
              </w:rPr>
              <w:drawing>
                <wp:inline distT="0" distB="0" distL="114300" distR="114300">
                  <wp:extent cx="2945765" cy="2294890"/>
                  <wp:effectExtent l="0" t="0" r="6985" b="10160"/>
                  <wp:docPr id="21" name="图片 21" descr="312c38c5df2b2da141c2676e7cafff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312c38c5df2b2da141c2676e7caffff4"/>
                          <pic:cNvPicPr>
                            <a:picLocks noChangeAspect="1"/>
                          </pic:cNvPicPr>
                        </pic:nvPicPr>
                        <pic:blipFill>
                          <a:blip r:embed="rId102"/>
                          <a:srcRect t="23335" b="18273"/>
                          <a:stretch>
                            <a:fillRect/>
                          </a:stretch>
                        </pic:blipFill>
                        <pic:spPr>
                          <a:xfrm>
                            <a:off x="0" y="0"/>
                            <a:ext cx="2945765" cy="2294890"/>
                          </a:xfrm>
                          <a:prstGeom prst="rect">
                            <a:avLst/>
                          </a:prstGeom>
                        </pic:spPr>
                      </pic:pic>
                    </a:graphicData>
                  </a:graphic>
                </wp:inline>
              </w:drawing>
            </w:r>
          </w:p>
        </w:tc>
      </w:tr>
      <w:tr w14:paraId="158D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2" w:type="dxa"/>
            <w:gridSpan w:val="3"/>
          </w:tcPr>
          <w:p w14:paraId="716E158E">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
                <w:color w:val="auto"/>
                <w:sz w:val="24"/>
                <w:szCs w:val="24"/>
                <w:vertAlign w:val="baseline"/>
                <w:lang w:val="en-US" w:eastAsia="zh-CN"/>
              </w:rPr>
            </w:pPr>
            <w:r>
              <w:rPr>
                <w:rFonts w:hint="eastAsia" w:ascii="Times New Roman" w:hAnsi="Times New Roman" w:eastAsia="宋体" w:cs="Times New Roman"/>
                <w:b/>
                <w:color w:val="auto"/>
                <w:sz w:val="24"/>
                <w:szCs w:val="24"/>
                <w:vertAlign w:val="baseline"/>
                <w:lang w:val="en-US" w:eastAsia="zh-CN"/>
              </w:rPr>
              <w:t>项目区</w:t>
            </w:r>
            <w:r>
              <w:rPr>
                <w:rFonts w:hint="default" w:ascii="Times New Roman" w:hAnsi="Times New Roman" w:eastAsia="宋体" w:cs="Times New Roman"/>
                <w:b/>
                <w:color w:val="auto"/>
                <w:sz w:val="24"/>
                <w:szCs w:val="24"/>
                <w:vertAlign w:val="baseline"/>
                <w:lang w:val="en-US" w:eastAsia="zh-CN"/>
              </w:rPr>
              <w:t>污染监测井J2</w:t>
            </w:r>
          </w:p>
        </w:tc>
      </w:tr>
    </w:tbl>
    <w:p w14:paraId="63BAF0D1">
      <w:pPr>
        <w:keepNext w:val="0"/>
        <w:keepLines w:val="0"/>
        <w:pageBreakBefore w:val="0"/>
        <w:widowControl/>
        <w:wordWrap/>
        <w:overflowPunct/>
        <w:topLinePunct w:val="0"/>
        <w:bidi w:val="0"/>
        <w:adjustRightInd/>
        <w:snapToGrid/>
        <w:spacing w:line="360" w:lineRule="auto"/>
        <w:ind w:firstLine="482"/>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（2）地下水含水层类型及特性</w:t>
      </w:r>
    </w:p>
    <w:p w14:paraId="7EBB3132">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outlineLvl w:val="9"/>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岩溶水含水层：二叠系下统栖霞茅口组（P1q+m）灰岩，岩性为灰、灰白色白云质灰岩，地下水径流模数17.25-22.65L/s·km</w:t>
      </w:r>
      <w:r>
        <w:rPr>
          <w:rFonts w:hint="default" w:ascii="Times New Roman" w:hAnsi="Times New Roman" w:eastAsia="宋体" w:cs="Times New Roman"/>
          <w:color w:val="auto"/>
          <w:kern w:val="2"/>
          <w:sz w:val="24"/>
          <w:szCs w:val="24"/>
          <w:vertAlign w:val="superscript"/>
          <w:lang w:val="en-US" w:eastAsia="zh-CN" w:bidi="ar-SA"/>
        </w:rPr>
        <w:t>2</w:t>
      </w:r>
      <w:r>
        <w:rPr>
          <w:rFonts w:hint="default" w:ascii="Times New Roman" w:hAnsi="Times New Roman" w:eastAsia="宋体" w:cs="Times New Roman"/>
          <w:color w:val="auto"/>
          <w:kern w:val="2"/>
          <w:sz w:val="24"/>
          <w:szCs w:val="24"/>
          <w:lang w:val="en-US" w:eastAsia="zh-CN" w:bidi="ar-SA"/>
        </w:rPr>
        <w:t>，富水性强。</w:t>
      </w:r>
      <w:r>
        <w:rPr>
          <w:rFonts w:hint="eastAsia" w:ascii="Times New Roman" w:hAnsi="Times New Roman" w:eastAsia="宋体" w:cs="Times New Roman"/>
          <w:color w:val="auto"/>
          <w:kern w:val="2"/>
          <w:sz w:val="24"/>
          <w:szCs w:val="24"/>
          <w:lang w:val="en-US" w:eastAsia="zh-CN" w:bidi="ar-SA"/>
        </w:rPr>
        <w:t>项目55个</w:t>
      </w:r>
      <w:r>
        <w:rPr>
          <w:rFonts w:hint="default" w:ascii="Times New Roman" w:hAnsi="Times New Roman" w:eastAsia="宋体" w:cs="Times New Roman"/>
          <w:color w:val="auto"/>
          <w:kern w:val="2"/>
          <w:sz w:val="24"/>
          <w:szCs w:val="24"/>
          <w:lang w:val="en-US" w:eastAsia="zh-CN" w:bidi="ar-SA"/>
        </w:rPr>
        <w:t>钻孔未揭穿该层，</w:t>
      </w:r>
      <w:r>
        <w:rPr>
          <w:rFonts w:hint="eastAsia" w:ascii="Times New Roman" w:hAnsi="Times New Roman" w:eastAsia="宋体" w:cs="Times New Roman"/>
          <w:color w:val="auto"/>
          <w:sz w:val="24"/>
          <w:szCs w:val="24"/>
          <w:lang w:val="en-US" w:eastAsia="zh-CN"/>
        </w:rPr>
        <w:t>只在项目地下水打井过程中揭露，2个钻孔全部揭露</w:t>
      </w:r>
      <w:r>
        <w:rPr>
          <w:rFonts w:hint="eastAsia" w:ascii="Times New Roman" w:hAnsi="Times New Roman" w:eastAsia="宋体" w:cs="Times New Roman"/>
          <w:color w:val="auto"/>
          <w:kern w:val="2"/>
          <w:sz w:val="24"/>
          <w:szCs w:val="24"/>
          <w:lang w:val="en-US" w:eastAsia="zh-CN" w:bidi="ar-SA"/>
        </w:rPr>
        <w:t>。</w:t>
      </w:r>
    </w:p>
    <w:p w14:paraId="608C8007">
      <w:pPr>
        <w:keepNext w:val="0"/>
        <w:keepLines w:val="0"/>
        <w:pageBreakBefore w:val="0"/>
        <w:widowControl/>
        <w:kinsoku/>
        <w:wordWrap/>
        <w:overflowPunct/>
        <w:topLinePunct w:val="0"/>
        <w:autoSpaceDE/>
        <w:autoSpaceDN/>
        <w:bidi w:val="0"/>
        <w:adjustRightInd/>
        <w:snapToGrid/>
        <w:spacing w:after="0" w:line="360" w:lineRule="auto"/>
        <w:textAlignment w:val="auto"/>
        <w:outlineLvl w:val="2"/>
        <w:rPr>
          <w:rFonts w:hint="default" w:ascii="Times New Roman" w:hAnsi="Times New Roman" w:eastAsia="宋体" w:cs="Times New Roman"/>
          <w:b/>
          <w:color w:val="auto"/>
          <w:sz w:val="24"/>
          <w:szCs w:val="24"/>
          <w:lang w:val="en-US" w:eastAsia="zh-CN"/>
        </w:rPr>
      </w:pPr>
      <w:bookmarkStart w:id="189" w:name="_Toc2274"/>
      <w:r>
        <w:rPr>
          <w:rFonts w:hint="default" w:ascii="Times New Roman" w:hAnsi="Times New Roman" w:eastAsia="宋体" w:cs="Times New Roman"/>
          <w:b/>
          <w:color w:val="auto"/>
          <w:sz w:val="24"/>
          <w:szCs w:val="24"/>
          <w:lang w:val="en-US" w:eastAsia="zh-CN"/>
        </w:rPr>
        <w:t>4.8.2地下水监测点代表性分析</w:t>
      </w:r>
      <w:bookmarkEnd w:id="189"/>
    </w:p>
    <w:p w14:paraId="7FA2A17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本次评价依据《环境影响评价技术导则 地下水环境》（HJ 610-2016）对地下水三级评价的技术要求，结合本项目所在区域水文地质条件及现状，鉴于场地内无地下水天然出露点，建设单位自打监测井开展地下水环境现状监测。本次评价共布设地下水监测井3座，分别位于项目区上游、</w:t>
      </w:r>
      <w:r>
        <w:rPr>
          <w:rFonts w:hint="eastAsia" w:ascii="Times New Roman" w:hAnsi="Times New Roman" w:eastAsia="宋体" w:cs="Times New Roman"/>
          <w:color w:val="auto"/>
          <w:sz w:val="24"/>
          <w:szCs w:val="24"/>
          <w:lang w:eastAsia="zh-CN"/>
        </w:rPr>
        <w:t>项目区</w:t>
      </w:r>
      <w:r>
        <w:rPr>
          <w:rFonts w:hint="default" w:ascii="Times New Roman" w:hAnsi="Times New Roman" w:eastAsia="宋体" w:cs="Times New Roman"/>
          <w:color w:val="auto"/>
          <w:sz w:val="24"/>
          <w:szCs w:val="24"/>
        </w:rPr>
        <w:t>和下游位置，开展本项目地下水环境影响评价工作。</w:t>
      </w:r>
    </w:p>
    <w:p w14:paraId="1A7A727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其中，上游背景监测井J1位于</w:t>
      </w:r>
      <w:r>
        <w:rPr>
          <w:rFonts w:hint="default" w:ascii="Times New Roman" w:hAnsi="Times New Roman" w:eastAsia="宋体" w:cs="Times New Roman"/>
          <w:color w:val="auto"/>
          <w:sz w:val="24"/>
          <w:szCs w:val="24"/>
          <w:lang w:val="en-US" w:eastAsia="zh-CN"/>
        </w:rPr>
        <w:t>场地东北侧2m</w:t>
      </w:r>
      <w:r>
        <w:rPr>
          <w:rFonts w:hint="default" w:ascii="Times New Roman" w:hAnsi="Times New Roman" w:eastAsia="宋体" w:cs="Times New Roman"/>
          <w:color w:val="auto"/>
          <w:sz w:val="24"/>
          <w:szCs w:val="24"/>
        </w:rPr>
        <w:t>，处于评价区地下水径流区上游位置，地下水水质不易受到本项目的影响，满足作为上游背景值监测点的选用要求；</w:t>
      </w:r>
      <w:r>
        <w:rPr>
          <w:rFonts w:hint="eastAsia" w:ascii="Times New Roman" w:hAnsi="Times New Roman" w:eastAsia="宋体" w:cs="Times New Roman"/>
          <w:color w:val="auto"/>
          <w:sz w:val="24"/>
          <w:szCs w:val="24"/>
          <w:lang w:eastAsia="zh-CN"/>
        </w:rPr>
        <w:t>项目区</w:t>
      </w:r>
      <w:r>
        <w:rPr>
          <w:rFonts w:hint="default" w:ascii="Times New Roman" w:hAnsi="Times New Roman" w:eastAsia="宋体" w:cs="Times New Roman"/>
          <w:color w:val="auto"/>
          <w:sz w:val="24"/>
          <w:szCs w:val="24"/>
        </w:rPr>
        <w:t>污染监测井J2位于项目区中部，为建设单位自打监测井，主要用于监测项目区场地内地下水水质变化情况；下游污染扩散监测井（曲靖大为焦化制气地下水监测井DX01）J3位于</w:t>
      </w:r>
      <w:r>
        <w:rPr>
          <w:rFonts w:hint="default" w:ascii="Times New Roman" w:hAnsi="Times New Roman" w:eastAsia="宋体" w:cs="Times New Roman"/>
          <w:color w:val="auto"/>
          <w:sz w:val="24"/>
          <w:szCs w:val="24"/>
          <w:lang w:val="en-US" w:eastAsia="zh-CN"/>
        </w:rPr>
        <w:t>项目场地西南面，采用</w:t>
      </w:r>
      <w:r>
        <w:rPr>
          <w:rFonts w:hint="default" w:ascii="Times New Roman" w:hAnsi="Times New Roman" w:cs="Times New Roman"/>
          <w:color w:val="auto"/>
          <w:sz w:val="24"/>
          <w:szCs w:val="24"/>
          <w:lang w:val="en-US" w:eastAsia="zh-CN"/>
        </w:rPr>
        <w:t>曲靖大为焦化制供气有限公司内的云南省土壤污染重点监管单位周边土壤环境监测调查地下水监测井</w:t>
      </w:r>
      <w:r>
        <w:rPr>
          <w:rFonts w:hint="default" w:ascii="Times New Roman" w:hAnsi="Times New Roman" w:eastAsia="宋体" w:cs="Times New Roman"/>
          <w:color w:val="auto"/>
          <w:sz w:val="24"/>
          <w:szCs w:val="24"/>
        </w:rPr>
        <w:t>，距离</w:t>
      </w:r>
      <w:r>
        <w:rPr>
          <w:rFonts w:hint="default" w:ascii="Times New Roman" w:hAnsi="Times New Roman" w:eastAsia="宋体" w:cs="Times New Roman"/>
          <w:color w:val="auto"/>
          <w:sz w:val="24"/>
          <w:szCs w:val="24"/>
          <w:lang w:eastAsia="zh-CN"/>
        </w:rPr>
        <w:t>建设</w:t>
      </w:r>
      <w:r>
        <w:rPr>
          <w:rFonts w:hint="default" w:ascii="Times New Roman" w:hAnsi="Times New Roman" w:eastAsia="宋体" w:cs="Times New Roman"/>
          <w:color w:val="auto"/>
          <w:sz w:val="24"/>
          <w:szCs w:val="24"/>
        </w:rPr>
        <w:t>区域约</w:t>
      </w:r>
      <w:r>
        <w:rPr>
          <w:rFonts w:hint="default" w:ascii="Times New Roman" w:hAnsi="Times New Roman" w:eastAsia="宋体" w:cs="Times New Roman"/>
          <w:color w:val="auto"/>
          <w:sz w:val="24"/>
          <w:szCs w:val="24"/>
          <w:lang w:val="en-US" w:eastAsia="zh-CN"/>
        </w:rPr>
        <w:t>93</w:t>
      </w:r>
      <w:r>
        <w:rPr>
          <w:rFonts w:hint="default" w:ascii="Times New Roman" w:hAnsi="Times New Roman" w:eastAsia="宋体" w:cs="Times New Roman"/>
          <w:color w:val="auto"/>
          <w:sz w:val="24"/>
          <w:szCs w:val="24"/>
        </w:rPr>
        <w:t>m，处于项目区地下水径流区下游位置，水质变化规律能够体现项目区地下水环境的变化情况，满足作为下游污染监测井的选用要求。各监测井基本参数见表4</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w:t>
      </w:r>
    </w:p>
    <w:p w14:paraId="617FD47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表4</w:t>
      </w:r>
      <w:r>
        <w:rPr>
          <w:rFonts w:hint="eastAsia" w:ascii="Times New Roman" w:hAnsi="Times New Roman" w:eastAsia="宋体" w:cs="Times New Roman"/>
          <w:b/>
          <w:color w:val="auto"/>
          <w:sz w:val="21"/>
          <w:szCs w:val="21"/>
          <w:lang w:val="en-US" w:eastAsia="zh-CN"/>
        </w:rPr>
        <w:t>.8</w:t>
      </w:r>
      <w:r>
        <w:rPr>
          <w:rFonts w:hint="default" w:ascii="Times New Roman" w:hAnsi="Times New Roman" w:eastAsia="宋体" w:cs="Times New Roman"/>
          <w:b/>
          <w:color w:val="auto"/>
          <w:sz w:val="21"/>
          <w:szCs w:val="21"/>
        </w:rPr>
        <w:t>-</w:t>
      </w:r>
      <w:r>
        <w:rPr>
          <w:rFonts w:hint="eastAsia" w:ascii="Times New Roman" w:hAnsi="Times New Roman" w:eastAsia="宋体" w:cs="Times New Roman"/>
          <w:b/>
          <w:color w:val="auto"/>
          <w:sz w:val="21"/>
          <w:szCs w:val="21"/>
          <w:lang w:val="en-US" w:eastAsia="zh-CN"/>
        </w:rPr>
        <w:t>3</w:t>
      </w:r>
      <w:r>
        <w:rPr>
          <w:rFonts w:hint="default" w:ascii="Times New Roman" w:hAnsi="Times New Roman" w:eastAsia="宋体" w:cs="Times New Roman"/>
          <w:b/>
          <w:color w:val="auto"/>
          <w:sz w:val="21"/>
          <w:szCs w:val="21"/>
        </w:rPr>
        <w:t xml:space="preserve"> 评价区地下水监测井基本参数一览表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1640"/>
        <w:gridCol w:w="1144"/>
        <w:gridCol w:w="1144"/>
        <w:gridCol w:w="895"/>
        <w:gridCol w:w="1093"/>
        <w:gridCol w:w="1093"/>
        <w:gridCol w:w="1092"/>
      </w:tblGrid>
      <w:tr w14:paraId="5CE7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7116D90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编号</w:t>
            </w:r>
          </w:p>
        </w:tc>
        <w:tc>
          <w:tcPr>
            <w:tcW w:w="1640" w:type="dxa"/>
            <w:vAlign w:val="center"/>
          </w:tcPr>
          <w:p w14:paraId="68578F9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名称</w:t>
            </w:r>
          </w:p>
        </w:tc>
        <w:tc>
          <w:tcPr>
            <w:tcW w:w="1144" w:type="dxa"/>
            <w:vAlign w:val="center"/>
          </w:tcPr>
          <w:p w14:paraId="574D203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位置</w:t>
            </w:r>
          </w:p>
        </w:tc>
        <w:tc>
          <w:tcPr>
            <w:tcW w:w="1144" w:type="dxa"/>
            <w:vAlign w:val="center"/>
          </w:tcPr>
          <w:p w14:paraId="0062EF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距厂界距离(m)</w:t>
            </w:r>
          </w:p>
        </w:tc>
        <w:tc>
          <w:tcPr>
            <w:tcW w:w="895" w:type="dxa"/>
            <w:vAlign w:val="center"/>
          </w:tcPr>
          <w:p w14:paraId="2EECABA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井深(m)</w:t>
            </w:r>
          </w:p>
        </w:tc>
        <w:tc>
          <w:tcPr>
            <w:tcW w:w="1093" w:type="dxa"/>
            <w:vAlign w:val="center"/>
          </w:tcPr>
          <w:p w14:paraId="138D092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水位标高（m）</w:t>
            </w:r>
          </w:p>
        </w:tc>
        <w:tc>
          <w:tcPr>
            <w:tcW w:w="1093" w:type="dxa"/>
            <w:vAlign w:val="center"/>
          </w:tcPr>
          <w:p w14:paraId="7EEA3FE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含水层类型</w:t>
            </w:r>
          </w:p>
        </w:tc>
        <w:tc>
          <w:tcPr>
            <w:tcW w:w="1092" w:type="dxa"/>
            <w:vAlign w:val="center"/>
          </w:tcPr>
          <w:p w14:paraId="67CD4EB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监测功能</w:t>
            </w:r>
          </w:p>
        </w:tc>
      </w:tr>
      <w:tr w14:paraId="796B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1C8E534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J1</w:t>
            </w:r>
          </w:p>
        </w:tc>
        <w:tc>
          <w:tcPr>
            <w:tcW w:w="1640" w:type="dxa"/>
            <w:vAlign w:val="center"/>
          </w:tcPr>
          <w:p w14:paraId="345729A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上游背景监测井</w:t>
            </w:r>
          </w:p>
        </w:tc>
        <w:tc>
          <w:tcPr>
            <w:tcW w:w="1144" w:type="dxa"/>
            <w:vAlign w:val="center"/>
          </w:tcPr>
          <w:p w14:paraId="2429824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场地东北侧</w:t>
            </w:r>
          </w:p>
        </w:tc>
        <w:tc>
          <w:tcPr>
            <w:tcW w:w="1144" w:type="dxa"/>
            <w:vAlign w:val="center"/>
          </w:tcPr>
          <w:p w14:paraId="0DCC6BA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2</w:t>
            </w:r>
          </w:p>
        </w:tc>
        <w:tc>
          <w:tcPr>
            <w:tcW w:w="895" w:type="dxa"/>
            <w:vAlign w:val="center"/>
          </w:tcPr>
          <w:p w14:paraId="6D262464">
            <w:pPr>
              <w:pStyle w:val="45"/>
              <w:bidi w:val="0"/>
              <w:ind w:firstLine="0" w:firstLineChars="0"/>
              <w:rPr>
                <w:rFonts w:hint="default" w:ascii="Times New Roman" w:hAnsi="Times New Roman" w:eastAsia="宋体" w:cs="Times New Roman"/>
                <w:color w:val="auto"/>
                <w:sz w:val="21"/>
                <w:szCs w:val="21"/>
                <w:lang w:val="en-US" w:eastAsia="zh-CN"/>
              </w:rPr>
            </w:pPr>
            <w:r>
              <w:rPr>
                <w:rFonts w:hint="eastAsia" w:eastAsia="宋体" w:cs="Times New Roman"/>
                <w:color w:val="auto"/>
                <w:kern w:val="2"/>
                <w:sz w:val="21"/>
                <w:szCs w:val="21"/>
                <w:highlight w:val="none"/>
                <w:lang w:val="en-US" w:eastAsia="zh-CN" w:bidi="ar-SA"/>
              </w:rPr>
              <w:t>29.5</w:t>
            </w:r>
          </w:p>
        </w:tc>
        <w:tc>
          <w:tcPr>
            <w:tcW w:w="1093" w:type="dxa"/>
            <w:vAlign w:val="center"/>
          </w:tcPr>
          <w:p w14:paraId="465386D3">
            <w:pPr>
              <w:pStyle w:val="45"/>
              <w:bidi w:val="0"/>
              <w:ind w:firstLine="0" w:firstLineChars="0"/>
              <w:rPr>
                <w:rFonts w:hint="eastAsia"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1968.2</w:t>
            </w:r>
          </w:p>
        </w:tc>
        <w:tc>
          <w:tcPr>
            <w:tcW w:w="1093" w:type="dxa"/>
            <w:vAlign w:val="center"/>
          </w:tcPr>
          <w:p w14:paraId="2C2FAA7F">
            <w:pPr>
              <w:pStyle w:val="45"/>
              <w:bidi w:val="0"/>
              <w:ind w:firstLine="0" w:firstLineChars="0"/>
              <w:rPr>
                <w:rFonts w:hint="default" w:ascii="Times New Roman" w:hAnsi="Times New Roman" w:eastAsia="宋体" w:cs="Times New Roman"/>
                <w:color w:val="auto"/>
                <w:sz w:val="21"/>
                <w:szCs w:val="21"/>
              </w:rPr>
            </w:pPr>
            <w:r>
              <w:rPr>
                <w:rFonts w:hint="default" w:ascii="Times New Roman" w:hAnsi="Times New Roman" w:cs="Times New Roman"/>
                <w:color w:val="auto"/>
                <w:highlight w:val="none"/>
                <w:u w:val="none"/>
              </w:rPr>
              <w:t>碳酸盐岩岩溶水</w:t>
            </w:r>
          </w:p>
        </w:tc>
        <w:tc>
          <w:tcPr>
            <w:tcW w:w="1092" w:type="dxa"/>
            <w:vAlign w:val="center"/>
          </w:tcPr>
          <w:p w14:paraId="73A8C37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上游背景值监测</w:t>
            </w:r>
          </w:p>
        </w:tc>
      </w:tr>
      <w:tr w14:paraId="124D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61C8D82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J2</w:t>
            </w:r>
          </w:p>
        </w:tc>
        <w:tc>
          <w:tcPr>
            <w:tcW w:w="1640" w:type="dxa"/>
            <w:vAlign w:val="center"/>
          </w:tcPr>
          <w:p w14:paraId="705AB75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项目区污染</w:t>
            </w:r>
            <w:r>
              <w:rPr>
                <w:rFonts w:hint="default" w:ascii="Times New Roman" w:hAnsi="Times New Roman" w:eastAsia="宋体" w:cs="Times New Roman"/>
                <w:color w:val="auto"/>
                <w:sz w:val="21"/>
                <w:szCs w:val="21"/>
              </w:rPr>
              <w:t>监测井</w:t>
            </w:r>
          </w:p>
        </w:tc>
        <w:tc>
          <w:tcPr>
            <w:tcW w:w="1144" w:type="dxa"/>
            <w:vAlign w:val="center"/>
          </w:tcPr>
          <w:p w14:paraId="3595C6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项目区中部</w:t>
            </w:r>
          </w:p>
        </w:tc>
        <w:tc>
          <w:tcPr>
            <w:tcW w:w="1144" w:type="dxa"/>
            <w:vAlign w:val="center"/>
          </w:tcPr>
          <w:p w14:paraId="4261B6A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95" w:type="dxa"/>
            <w:vAlign w:val="center"/>
          </w:tcPr>
          <w:p w14:paraId="00186D9B">
            <w:pPr>
              <w:pStyle w:val="45"/>
              <w:bidi w:val="0"/>
              <w:ind w:firstLine="0" w:firstLineChars="0"/>
              <w:rPr>
                <w:rFonts w:hint="default" w:ascii="Times New Roman" w:hAnsi="Times New Roman" w:eastAsia="宋体" w:cs="Times New Roman"/>
                <w:color w:val="auto"/>
                <w:sz w:val="21"/>
                <w:szCs w:val="21"/>
                <w:lang w:val="en-US" w:eastAsia="zh-CN"/>
              </w:rPr>
            </w:pPr>
            <w:r>
              <w:rPr>
                <w:rFonts w:hint="eastAsia" w:eastAsia="宋体" w:cs="Times New Roman"/>
                <w:color w:val="auto"/>
                <w:kern w:val="2"/>
                <w:sz w:val="21"/>
                <w:szCs w:val="21"/>
                <w:highlight w:val="none"/>
                <w:lang w:val="en-US" w:eastAsia="zh-CN" w:bidi="ar-SA"/>
              </w:rPr>
              <w:t>32.4</w:t>
            </w:r>
          </w:p>
        </w:tc>
        <w:tc>
          <w:tcPr>
            <w:tcW w:w="1093" w:type="dxa"/>
            <w:vAlign w:val="center"/>
          </w:tcPr>
          <w:p w14:paraId="633352C8">
            <w:pPr>
              <w:pStyle w:val="45"/>
              <w:bidi w:val="0"/>
              <w:ind w:firstLine="0" w:firstLineChars="0"/>
              <w:rPr>
                <w:rFonts w:hint="eastAsia"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1967.4</w:t>
            </w:r>
          </w:p>
        </w:tc>
        <w:tc>
          <w:tcPr>
            <w:tcW w:w="1093" w:type="dxa"/>
            <w:vAlign w:val="center"/>
          </w:tcPr>
          <w:p w14:paraId="71423386">
            <w:pPr>
              <w:pStyle w:val="45"/>
              <w:bidi w:val="0"/>
              <w:ind w:firstLine="0" w:firstLineChars="0"/>
              <w:rPr>
                <w:rFonts w:hint="default" w:ascii="Times New Roman" w:hAnsi="Times New Roman" w:eastAsia="宋体" w:cs="Times New Roman"/>
                <w:color w:val="auto"/>
                <w:sz w:val="21"/>
                <w:szCs w:val="21"/>
              </w:rPr>
            </w:pPr>
            <w:r>
              <w:rPr>
                <w:rFonts w:hint="default" w:ascii="Times New Roman" w:hAnsi="Times New Roman" w:cs="Times New Roman"/>
                <w:color w:val="auto"/>
                <w:highlight w:val="none"/>
                <w:u w:val="none"/>
              </w:rPr>
              <w:t>碳酸盐岩岩溶水</w:t>
            </w:r>
          </w:p>
        </w:tc>
        <w:tc>
          <w:tcPr>
            <w:tcW w:w="1092" w:type="dxa"/>
            <w:vAlign w:val="center"/>
          </w:tcPr>
          <w:p w14:paraId="4867180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厂区水质变化监测</w:t>
            </w:r>
          </w:p>
        </w:tc>
      </w:tr>
      <w:tr w14:paraId="6E98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1578193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J3</w:t>
            </w:r>
          </w:p>
        </w:tc>
        <w:tc>
          <w:tcPr>
            <w:tcW w:w="1640" w:type="dxa"/>
            <w:vAlign w:val="center"/>
          </w:tcPr>
          <w:p w14:paraId="26AC0DB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下游污染</w:t>
            </w:r>
            <w:r>
              <w:rPr>
                <w:rFonts w:hint="eastAsia" w:ascii="Times New Roman" w:hAnsi="Times New Roman" w:eastAsia="宋体" w:cs="Times New Roman"/>
                <w:color w:val="auto"/>
                <w:sz w:val="21"/>
                <w:szCs w:val="21"/>
                <w:lang w:val="en-US" w:eastAsia="zh-CN"/>
              </w:rPr>
              <w:t>扩散</w:t>
            </w:r>
            <w:r>
              <w:rPr>
                <w:rFonts w:hint="default" w:ascii="Times New Roman" w:hAnsi="Times New Roman" w:eastAsia="宋体" w:cs="Times New Roman"/>
                <w:color w:val="auto"/>
                <w:sz w:val="21"/>
                <w:szCs w:val="21"/>
              </w:rPr>
              <w:t>监测井</w:t>
            </w:r>
            <w:r>
              <w:rPr>
                <w:rFonts w:hint="eastAsia" w:ascii="Times New Roman" w:hAnsi="Times New Roman" w:eastAsia="宋体" w:cs="Times New Roman"/>
                <w:color w:val="auto"/>
                <w:sz w:val="21"/>
                <w:szCs w:val="21"/>
                <w:lang w:eastAsia="zh-CN"/>
              </w:rPr>
              <w:t>（曲靖大为焦化制气地下水监测井DX01）</w:t>
            </w:r>
          </w:p>
        </w:tc>
        <w:tc>
          <w:tcPr>
            <w:tcW w:w="1144" w:type="dxa"/>
            <w:vAlign w:val="center"/>
          </w:tcPr>
          <w:p w14:paraId="0F939F3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项目区</w:t>
            </w:r>
            <w:r>
              <w:rPr>
                <w:rFonts w:hint="eastAsia" w:ascii="Times New Roman" w:hAnsi="Times New Roman" w:eastAsia="宋体" w:cs="Times New Roman"/>
                <w:color w:val="auto"/>
                <w:sz w:val="21"/>
                <w:szCs w:val="21"/>
                <w:lang w:val="en-US" w:eastAsia="zh-CN"/>
              </w:rPr>
              <w:t>西南侧</w:t>
            </w:r>
            <w:r>
              <w:rPr>
                <w:rFonts w:hint="default" w:ascii="Times New Roman" w:hAnsi="Times New Roman" w:eastAsia="宋体" w:cs="Times New Roman"/>
                <w:color w:val="auto"/>
                <w:sz w:val="21"/>
                <w:szCs w:val="21"/>
              </w:rPr>
              <w:t>厂界</w:t>
            </w:r>
          </w:p>
        </w:tc>
        <w:tc>
          <w:tcPr>
            <w:tcW w:w="1144" w:type="dxa"/>
            <w:vAlign w:val="center"/>
          </w:tcPr>
          <w:p w14:paraId="6F03F48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93</w:t>
            </w:r>
          </w:p>
        </w:tc>
        <w:tc>
          <w:tcPr>
            <w:tcW w:w="895" w:type="dxa"/>
            <w:vAlign w:val="center"/>
          </w:tcPr>
          <w:p w14:paraId="1A108750">
            <w:pPr>
              <w:keepNext w:val="0"/>
              <w:keepLines w:val="0"/>
              <w:widowControl/>
              <w:suppressLineNumbers w:val="0"/>
              <w:wordWrap/>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30.4</w:t>
            </w:r>
          </w:p>
        </w:tc>
        <w:tc>
          <w:tcPr>
            <w:tcW w:w="1093" w:type="dxa"/>
            <w:vAlign w:val="center"/>
          </w:tcPr>
          <w:p w14:paraId="0382FB22">
            <w:pPr>
              <w:keepNext w:val="0"/>
              <w:keepLines w:val="0"/>
              <w:widowControl/>
              <w:suppressLineNumbers w:val="0"/>
              <w:wordWrap/>
              <w:jc w:val="center"/>
              <w:textAlignment w:val="center"/>
              <w:rPr>
                <w:rFonts w:hint="eastAsia" w:ascii="Times New Roman" w:hAnsi="Times New Roman" w:eastAsia="宋体" w:cs="Times New Roman"/>
                <w:b w:val="0"/>
                <w:bCs w:val="0"/>
                <w:i w:val="0"/>
                <w:iCs w:val="0"/>
                <w:strike w:val="0"/>
                <w:dstrike w:val="0"/>
                <w:color w:val="auto"/>
                <w:sz w:val="21"/>
                <w:szCs w:val="21"/>
                <w:lang w:val="en-US" w:eastAsia="zh-CN"/>
              </w:rPr>
            </w:pPr>
            <w:r>
              <w:rPr>
                <w:rFonts w:hint="eastAsia" w:ascii="Times New Roman" w:hAnsi="Times New Roman" w:eastAsia="宋体" w:cs="Times New Roman"/>
                <w:b w:val="0"/>
                <w:bCs w:val="0"/>
                <w:i w:val="0"/>
                <w:iCs w:val="0"/>
                <w:strike w:val="0"/>
                <w:dstrike w:val="0"/>
                <w:color w:val="auto"/>
                <w:sz w:val="21"/>
                <w:szCs w:val="21"/>
                <w:highlight w:val="none"/>
                <w:lang w:val="en-US" w:eastAsia="zh-CN"/>
              </w:rPr>
              <w:t>1966.7</w:t>
            </w:r>
          </w:p>
        </w:tc>
        <w:tc>
          <w:tcPr>
            <w:tcW w:w="1093" w:type="dxa"/>
            <w:vAlign w:val="center"/>
          </w:tcPr>
          <w:p w14:paraId="161FAF4D">
            <w:pPr>
              <w:pStyle w:val="45"/>
              <w:bidi w:val="0"/>
              <w:ind w:firstLine="0" w:firstLineChars="0"/>
              <w:rPr>
                <w:rFonts w:hint="default" w:ascii="Times New Roman" w:hAnsi="Times New Roman" w:eastAsia="宋体" w:cs="Times New Roman"/>
                <w:color w:val="auto"/>
                <w:sz w:val="21"/>
                <w:szCs w:val="21"/>
              </w:rPr>
            </w:pPr>
            <w:r>
              <w:rPr>
                <w:rFonts w:hint="default" w:ascii="Times New Roman" w:hAnsi="Times New Roman" w:cs="Times New Roman"/>
                <w:color w:val="auto"/>
                <w:highlight w:val="none"/>
                <w:u w:val="none"/>
              </w:rPr>
              <w:t>碳酸盐岩岩溶水</w:t>
            </w:r>
          </w:p>
        </w:tc>
        <w:tc>
          <w:tcPr>
            <w:tcW w:w="1092" w:type="dxa"/>
            <w:vAlign w:val="center"/>
          </w:tcPr>
          <w:p w14:paraId="2FBF542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下游污染跟踪监测</w:t>
            </w:r>
          </w:p>
        </w:tc>
      </w:tr>
    </w:tbl>
    <w:p w14:paraId="0EA890DA">
      <w:pPr>
        <w:keepNext w:val="0"/>
        <w:keepLines w:val="0"/>
        <w:pageBreakBefore w:val="0"/>
        <w:widowControl/>
        <w:kinsoku/>
        <w:wordWrap/>
        <w:overflowPunct/>
        <w:topLinePunct w:val="0"/>
        <w:autoSpaceDE/>
        <w:autoSpaceDN/>
        <w:bidi w:val="0"/>
        <w:adjustRightInd/>
        <w:snapToGrid/>
        <w:spacing w:after="0" w:line="360" w:lineRule="auto"/>
        <w:textAlignment w:val="auto"/>
        <w:outlineLvl w:val="2"/>
        <w:rPr>
          <w:rFonts w:hint="default" w:ascii="Times New Roman" w:hAnsi="Times New Roman" w:eastAsia="宋体" w:cs="Times New Roman"/>
          <w:b/>
          <w:color w:val="auto"/>
          <w:sz w:val="24"/>
          <w:szCs w:val="24"/>
          <w:lang w:val="en-US" w:eastAsia="zh-CN"/>
        </w:rPr>
      </w:pPr>
      <w:bookmarkStart w:id="190" w:name="_Toc14138"/>
      <w:r>
        <w:rPr>
          <w:rFonts w:hint="default" w:ascii="Times New Roman" w:hAnsi="Times New Roman" w:eastAsia="宋体" w:cs="Times New Roman"/>
          <w:b/>
          <w:color w:val="auto"/>
          <w:sz w:val="24"/>
          <w:szCs w:val="24"/>
          <w:lang w:val="en-US" w:eastAsia="zh-CN"/>
        </w:rPr>
        <w:t>4.8.3项目区地下水补给、径流、排泄条件</w:t>
      </w:r>
      <w:bookmarkEnd w:id="190"/>
    </w:p>
    <w:p w14:paraId="63ABFCAF">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）地下水补给来源</w:t>
      </w:r>
    </w:p>
    <w:p w14:paraId="5C5FEEB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评价区地处北回归线以北，属北亚热带季风气候区。该区降水与气温的关系密切，冬季气温低，空气干燥，降水少，夏季气温高，空气湿度大，降水多。平均5月23日进入雨季，9月底10月初雨季结束。年平均降水量1008.9mm，5~10月为雨季，占全年降雨量的85%左右，8月至次年4月为旱季，时有春旱出现，雨热同季，干冷同时。年均相对湿度71%。年平均风速2.7m/s。全年无霜期255天左右。多年平均温度14.5℃，最热月（7月）均温19.9℃，最冷月（1月）均温7.1℃。</w:t>
      </w:r>
    </w:p>
    <w:p w14:paraId="6A8FB0C2">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2）地下水径流和排泄方向</w:t>
      </w:r>
    </w:p>
    <w:p w14:paraId="20CB2C51">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补给特征：碳酸盐岩岩溶水大气降雨为岩溶含水层主要地下水补给来源，受岩溶发育程度的影响，不同地区大气降雨的补给形式，补给途径有所不同，可划分为面状入渗补给和集中注入补给两种形式。面状入渗补给：即大气降雨通过裸露地表的碳酸盐岩溶蚀裂隙、溶孔等垂直入渗补给岩溶含水层。</w:t>
      </w:r>
    </w:p>
    <w:p w14:paraId="14AA610C">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径流排泄特征：岩溶区地下水的径流主要受岩溶发育特征控制，有溶隙流形式。岩溶弱发育段以溶隙流为主，空间分布稍均匀、径流缓慢，岩溶发育强发育段管流、溶隙均有，径流较快、空间分布多不均匀。评价区岩溶水总体呈由北东-南西往南盘江汇流，根据评价区岩溶发育特征分析，评价区内虽未发现溶洞、洼地等较大岩溶形态，但溶孔溶隙较为发育，岩溶发育较强，溶隙流与溶洞管流并存。地下水主体径流方向为以花山富水块段为中心汇流，在南盘江河谷沿线以散流或泉的形式溢出补给下游地表水系。</w:t>
      </w:r>
    </w:p>
    <w:p w14:paraId="70AEF59B">
      <w:pPr>
        <w:keepNext w:val="0"/>
        <w:keepLines w:val="0"/>
        <w:pageBreakBefore w:val="0"/>
        <w:widowControl/>
        <w:kinsoku/>
        <w:wordWrap/>
        <w:overflowPunct/>
        <w:topLinePunct w:val="0"/>
        <w:autoSpaceDE/>
        <w:autoSpaceDN/>
        <w:bidi w:val="0"/>
        <w:adjustRightInd/>
        <w:snapToGrid/>
        <w:spacing w:after="0" w:line="360" w:lineRule="auto"/>
        <w:textAlignment w:val="auto"/>
        <w:outlineLvl w:val="2"/>
        <w:rPr>
          <w:rFonts w:hint="default" w:ascii="Times New Roman" w:hAnsi="Times New Roman" w:eastAsia="宋体" w:cs="Times New Roman"/>
          <w:b/>
          <w:color w:val="auto"/>
          <w:sz w:val="24"/>
          <w:szCs w:val="24"/>
          <w:lang w:val="en-US" w:eastAsia="zh-CN"/>
        </w:rPr>
      </w:pPr>
      <w:bookmarkStart w:id="191" w:name="_Toc31625"/>
      <w:r>
        <w:rPr>
          <w:rFonts w:hint="default" w:ascii="Times New Roman" w:hAnsi="Times New Roman" w:eastAsia="宋体" w:cs="Times New Roman"/>
          <w:b/>
          <w:color w:val="auto"/>
          <w:sz w:val="24"/>
          <w:szCs w:val="24"/>
          <w:lang w:val="en-US" w:eastAsia="zh-CN"/>
        </w:rPr>
        <w:t>4.8.4地下水环境影响分析</w:t>
      </w:r>
      <w:bookmarkEnd w:id="191"/>
    </w:p>
    <w:p w14:paraId="3283FDAF">
      <w:pPr>
        <w:keepNext w:val="0"/>
        <w:keepLines w:val="0"/>
        <w:pageBreakBefore w:val="0"/>
        <w:widowControl/>
        <w:kinsoku/>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染物对地下水的影响主要是由于降雨或废水排放等通过垂直渗透进入包气带，进入包气带的污染物在物理、化学和生物作用下经吸附、转化、迁移和解后输入地下水。因此，包气带是联接地面污染物与地下含水层的主要通道和过渡带，既是污染物媒介体，又是污染物的净化场所和防护层。地下水能否被污染以及污染物的种类和性质。一般说来，土壤粒细而紧密，渗透性差，则污染慢；反之，颗粒大松散，渗透性能良好则污染重。</w:t>
      </w:r>
    </w:p>
    <w:p w14:paraId="5F22EDCA">
      <w:pPr>
        <w:keepNext w:val="0"/>
        <w:keepLines w:val="0"/>
        <w:pageBreakBefore w:val="0"/>
        <w:widowControl/>
        <w:kinsoku/>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1、污染途径</w:t>
      </w:r>
    </w:p>
    <w:p w14:paraId="4A4DFDF8">
      <w:pPr>
        <w:keepNext w:val="0"/>
        <w:keepLines w:val="0"/>
        <w:pageBreakBefore w:val="0"/>
        <w:widowControl/>
        <w:kinsoku/>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污染物从污染源进入地下水所经过路径称为地下水污染途径，地下水污染途径是多种多样的。根据工程所处区域的地质情况，项目可能对下水造成污染的途径主要有：</w:t>
      </w:r>
      <w:r>
        <w:rPr>
          <w:rFonts w:hint="default" w:ascii="Times New Roman" w:hAnsi="Times New Roman" w:cs="Times New Roman"/>
          <w:color w:val="auto"/>
          <w:sz w:val="24"/>
          <w:szCs w:val="24"/>
          <w:lang w:val="en-US" w:eastAsia="zh-CN"/>
        </w:rPr>
        <w:t>化粪池</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初期雨水收集池</w:t>
      </w:r>
      <w:r>
        <w:rPr>
          <w:rFonts w:hint="default" w:ascii="Times New Roman" w:hAnsi="Times New Roman" w:cs="Times New Roman"/>
          <w:color w:val="auto"/>
          <w:sz w:val="24"/>
          <w:szCs w:val="24"/>
        </w:rPr>
        <w:t>等污水下渗</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危废暂存间废机油卸油、柴油箱破损泄露柴油</w:t>
      </w:r>
      <w:r>
        <w:rPr>
          <w:rFonts w:hint="default" w:ascii="Times New Roman" w:hAnsi="Times New Roman" w:cs="Times New Roman"/>
          <w:color w:val="auto"/>
          <w:sz w:val="24"/>
          <w:szCs w:val="24"/>
        </w:rPr>
        <w:t>对地下水造成的污染。</w:t>
      </w:r>
    </w:p>
    <w:p w14:paraId="7DC7BC9F">
      <w:pPr>
        <w:keepNext w:val="0"/>
        <w:keepLines w:val="0"/>
        <w:pageBreakBefore w:val="0"/>
        <w:widowControl/>
        <w:kinsoku/>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2、正常工况下地下水污染影响</w:t>
      </w:r>
    </w:p>
    <w:p w14:paraId="12B0F40F">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根据工程</w:t>
      </w:r>
      <w:r>
        <w:rPr>
          <w:rFonts w:hint="default" w:ascii="Times New Roman" w:hAnsi="Times New Roman" w:cs="Times New Roman"/>
          <w:color w:val="auto"/>
          <w:sz w:val="24"/>
          <w:szCs w:val="24"/>
          <w:lang w:val="en-US" w:eastAsia="zh-CN"/>
        </w:rPr>
        <w:t>分析</w:t>
      </w:r>
      <w:r>
        <w:rPr>
          <w:rFonts w:hint="default" w:ascii="Times New Roman" w:hAnsi="Times New Roman" w:cs="Times New Roman"/>
          <w:color w:val="auto"/>
          <w:sz w:val="24"/>
          <w:szCs w:val="24"/>
        </w:rPr>
        <w:t>，本项目进行分区防渗，</w:t>
      </w:r>
      <w:r>
        <w:rPr>
          <w:rFonts w:hint="default" w:ascii="Times New Roman" w:hAnsi="Times New Roman" w:cs="Times New Roman"/>
          <w:color w:val="auto"/>
          <w:sz w:val="24"/>
          <w:szCs w:val="24"/>
          <w:lang w:val="en-US" w:eastAsia="zh-CN"/>
        </w:rPr>
        <w:t>将</w:t>
      </w:r>
      <w:r>
        <w:rPr>
          <w:rFonts w:hint="default" w:ascii="Times New Roman" w:hAnsi="Times New Roman" w:cs="Times New Roman"/>
          <w:color w:val="auto"/>
          <w:sz w:val="24"/>
          <w:szCs w:val="24"/>
        </w:rPr>
        <w:t>危废暂存间、正面吊维修区</w:t>
      </w:r>
      <w:r>
        <w:rPr>
          <w:rFonts w:hint="default" w:ascii="Times New Roman" w:hAnsi="Times New Roman" w:cs="Times New Roman"/>
          <w:color w:val="auto"/>
          <w:sz w:val="24"/>
          <w:szCs w:val="24"/>
          <w:lang w:val="en-US" w:eastAsia="zh-CN"/>
        </w:rPr>
        <w:t>涉及暂存和产生废矿物油的区域</w:t>
      </w:r>
      <w:r>
        <w:rPr>
          <w:rFonts w:hint="default" w:ascii="Times New Roman" w:hAnsi="Times New Roman" w:cs="Times New Roman"/>
          <w:color w:val="auto"/>
          <w:sz w:val="24"/>
          <w:szCs w:val="24"/>
        </w:rPr>
        <w:t>划分为重点防渗区</w:t>
      </w:r>
      <w:r>
        <w:rPr>
          <w:rFonts w:hint="eastAsia" w:ascii="Times New Roman" w:hAnsi="Times New Roman" w:eastAsia="宋体" w:cs="Times New Roman"/>
          <w:color w:val="auto"/>
          <w:sz w:val="24"/>
          <w:szCs w:val="24"/>
          <w:lang w:val="en-US" w:eastAsia="zh-CN"/>
        </w:rPr>
        <w:t>。</w:t>
      </w:r>
    </w:p>
    <w:p w14:paraId="5C8D4C46">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正面吊维修区</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采用强度等级C30抗渗等级P6的商品混凝土浇筑，厚度40cm-50cm，</w:t>
      </w:r>
      <w:r>
        <w:rPr>
          <w:rFonts w:hint="eastAsia" w:ascii="Times New Roman" w:hAnsi="Times New Roman" w:eastAsia="宋体" w:cs="Times New Roman"/>
          <w:color w:val="auto"/>
          <w:sz w:val="24"/>
          <w:szCs w:val="24"/>
          <w:lang w:val="en-US" w:eastAsia="zh-CN"/>
        </w:rPr>
        <w:t>地面</w:t>
      </w:r>
      <w:r>
        <w:rPr>
          <w:rFonts w:hint="default" w:ascii="Times New Roman" w:hAnsi="Times New Roman" w:cs="Times New Roman"/>
          <w:color w:val="auto"/>
          <w:sz w:val="24"/>
          <w:szCs w:val="24"/>
        </w:rPr>
        <w:t>使用防渗、防腐砂浆抹面</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后期施工</w:t>
      </w:r>
      <w:r>
        <w:rPr>
          <w:rFonts w:hint="default" w:ascii="Times New Roman" w:hAnsi="Times New Roman" w:cs="Times New Roman"/>
          <w:color w:val="auto"/>
          <w:sz w:val="24"/>
          <w:szCs w:val="24"/>
          <w:lang w:val="en-US" w:eastAsia="zh-CN"/>
        </w:rPr>
        <w:t>地面还需采用防渗涂料刷漆</w:t>
      </w:r>
      <w:r>
        <w:rPr>
          <w:rFonts w:hint="eastAsia" w:ascii="Times New Roman" w:hAnsi="Times New Roman" w:cs="Times New Roman"/>
          <w:color w:val="auto"/>
          <w:sz w:val="24"/>
          <w:szCs w:val="24"/>
          <w:lang w:val="en-US" w:eastAsia="zh-CN"/>
        </w:rPr>
        <w:t>，使其</w:t>
      </w:r>
      <w:r>
        <w:rPr>
          <w:rFonts w:hint="default" w:ascii="Times New Roman" w:hAnsi="Times New Roman" w:eastAsia="宋体" w:cs="Times New Roman"/>
          <w:color w:val="auto"/>
          <w:sz w:val="24"/>
          <w:szCs w:val="24"/>
          <w:highlight w:val="none"/>
          <w:lang w:val="en-US" w:eastAsia="zh-CN"/>
        </w:rPr>
        <w:t>渗透系数不大于10</w:t>
      </w:r>
      <w:r>
        <w:rPr>
          <w:rFonts w:hint="default" w:ascii="Times New Roman" w:hAnsi="Times New Roman" w:eastAsia="宋体" w:cs="Times New Roman"/>
          <w:color w:val="auto"/>
          <w:sz w:val="24"/>
          <w:szCs w:val="24"/>
          <w:highlight w:val="none"/>
          <w:vertAlign w:val="superscript"/>
          <w:lang w:val="en-US" w:eastAsia="zh-CN"/>
        </w:rPr>
        <w:t xml:space="preserve"> -7</w:t>
      </w:r>
      <w:r>
        <w:rPr>
          <w:rFonts w:hint="default" w:ascii="Times New Roman" w:hAnsi="Times New Roman" w:eastAsia="宋体" w:cs="Times New Roman"/>
          <w:color w:val="auto"/>
          <w:sz w:val="24"/>
          <w:szCs w:val="24"/>
          <w:highlight w:val="none"/>
          <w:lang w:val="en-US" w:eastAsia="zh-CN"/>
        </w:rPr>
        <w:t>cm/s</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危废暂存间根据《危险废物贮存污染控制标准》（GB 18597-2023）防渗技术要求进行防渗，防渗层为至少1m厚黏土层（渗透系数不大于10</w:t>
      </w:r>
      <w:r>
        <w:rPr>
          <w:rFonts w:hint="default" w:ascii="Times New Roman" w:hAnsi="Times New Roman" w:cs="Times New Roman"/>
          <w:color w:val="auto"/>
          <w:sz w:val="24"/>
          <w:szCs w:val="24"/>
          <w:vertAlign w:val="superscript"/>
        </w:rPr>
        <w:t>-7</w:t>
      </w:r>
      <w:r>
        <w:rPr>
          <w:rFonts w:hint="default" w:ascii="Times New Roman" w:hAnsi="Times New Roman" w:cs="Times New Roman"/>
          <w:color w:val="auto"/>
          <w:sz w:val="24"/>
          <w:szCs w:val="24"/>
        </w:rPr>
        <w:t>cm/s），或至少2mm厚高密度聚乙烯膜等人工防渗材料（渗透系数不大于10</w:t>
      </w:r>
      <w:r>
        <w:rPr>
          <w:rFonts w:hint="default" w:ascii="Times New Roman" w:hAnsi="Times New Roman" w:cs="Times New Roman"/>
          <w:color w:val="auto"/>
          <w:sz w:val="24"/>
          <w:szCs w:val="24"/>
          <w:vertAlign w:val="superscript"/>
        </w:rPr>
        <w:t>-10</w:t>
      </w:r>
      <w:r>
        <w:rPr>
          <w:rFonts w:hint="default" w:ascii="Times New Roman" w:hAnsi="Times New Roman" w:cs="Times New Roman"/>
          <w:color w:val="auto"/>
          <w:sz w:val="24"/>
          <w:szCs w:val="24"/>
        </w:rPr>
        <w:t>cm/s），或其他防渗性能等效的材料</w:t>
      </w:r>
      <w:r>
        <w:rPr>
          <w:rFonts w:hint="eastAsia" w:ascii="Times New Roman" w:hAnsi="Times New Roman" w:eastAsia="宋体" w:cs="Times New Roman"/>
          <w:color w:val="auto"/>
          <w:sz w:val="24"/>
          <w:szCs w:val="24"/>
          <w:lang w:eastAsia="zh-CN"/>
        </w:rPr>
        <w:t>。</w:t>
      </w:r>
    </w:p>
    <w:p w14:paraId="6BBA42E8">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将</w:t>
      </w:r>
      <w:r>
        <w:rPr>
          <w:rFonts w:hint="default" w:ascii="Times New Roman" w:hAnsi="Times New Roman" w:cs="Times New Roman"/>
          <w:color w:val="auto"/>
          <w:sz w:val="24"/>
          <w:szCs w:val="24"/>
        </w:rPr>
        <w:t>化粪池、初期雨水收集池</w:t>
      </w:r>
      <w:r>
        <w:rPr>
          <w:rFonts w:hint="default" w:ascii="Times New Roman" w:hAnsi="Times New Roman" w:cs="Times New Roman"/>
          <w:color w:val="auto"/>
          <w:sz w:val="24"/>
          <w:szCs w:val="24"/>
          <w:lang w:val="en-US" w:eastAsia="zh-CN"/>
        </w:rPr>
        <w:t>因涉及生活废水和初期雨水产生，考虑污染影响较小，</w:t>
      </w:r>
      <w:r>
        <w:rPr>
          <w:rFonts w:hint="default" w:ascii="Times New Roman" w:hAnsi="Times New Roman" w:cs="Times New Roman"/>
          <w:color w:val="auto"/>
          <w:sz w:val="24"/>
          <w:szCs w:val="24"/>
        </w:rPr>
        <w:t>划分为一般防渗区，</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采取粘土铺底，再在上层铺10~15cm的水泥进行硬化</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满足防渗达到“黏土防渗层Mb≥1.5m，K≤10-7cm/s”的技术要求。</w:t>
      </w:r>
    </w:p>
    <w:p w14:paraId="6727ACFF">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简单防渗区：除绿化外的其他区域，</w:t>
      </w:r>
      <w:r>
        <w:rPr>
          <w:rFonts w:hint="eastAsia" w:ascii="Times New Roman" w:hAnsi="Times New Roman" w:cs="Times New Roman"/>
          <w:color w:val="auto"/>
          <w:sz w:val="24"/>
          <w:szCs w:val="24"/>
          <w:lang w:val="en-US" w:eastAsia="zh-CN"/>
        </w:rPr>
        <w:t>已</w:t>
      </w:r>
      <w:r>
        <w:rPr>
          <w:rFonts w:hint="default" w:ascii="Times New Roman" w:hAnsi="Times New Roman" w:cs="Times New Roman"/>
          <w:color w:val="auto"/>
          <w:sz w:val="24"/>
          <w:szCs w:val="24"/>
          <w:lang w:val="en-US" w:eastAsia="zh-CN"/>
        </w:rPr>
        <w:t>采用</w:t>
      </w:r>
      <w:r>
        <w:rPr>
          <w:rFonts w:hint="default" w:ascii="Times New Roman" w:hAnsi="Times New Roman" w:cs="Times New Roman"/>
          <w:color w:val="auto"/>
          <w:sz w:val="24"/>
          <w:szCs w:val="24"/>
        </w:rPr>
        <w:t>铺10~15cm的水泥进行硬化</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满足防渗达到“一般地面硬化”的技术要求。</w:t>
      </w:r>
    </w:p>
    <w:p w14:paraId="040A9468">
      <w:pPr>
        <w:keepNext w:val="0"/>
        <w:keepLines w:val="0"/>
        <w:pageBreakBefore w:val="0"/>
        <w:widowControl/>
        <w:kinsoku/>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按照以上技术要求对项目区实施分区防渗后能够满足地下水防渗要求，具有较好的防渗效果，产生的</w:t>
      </w:r>
      <w:r>
        <w:rPr>
          <w:rFonts w:hint="default" w:ascii="Times New Roman" w:hAnsi="Times New Roman" w:cs="Times New Roman"/>
          <w:color w:val="auto"/>
          <w:sz w:val="24"/>
          <w:szCs w:val="24"/>
          <w:lang w:val="en-US" w:eastAsia="zh-CN"/>
        </w:rPr>
        <w:t>泄露的概率较小</w:t>
      </w:r>
      <w:r>
        <w:rPr>
          <w:rFonts w:hint="default" w:ascii="Times New Roman" w:hAnsi="Times New Roman" w:cs="Times New Roman"/>
          <w:color w:val="auto"/>
          <w:sz w:val="24"/>
          <w:szCs w:val="24"/>
        </w:rPr>
        <w:t>。运行期通过加强维护和管理运行期通过加强维护和管理，污废水发生渗漏的可能性极小，建设项目运营对地下水环境的影响是可控的。</w:t>
      </w:r>
    </w:p>
    <w:p w14:paraId="2D6661C9">
      <w:pPr>
        <w:keepNext w:val="0"/>
        <w:keepLines w:val="0"/>
        <w:pageBreakBefore w:val="0"/>
        <w:widowControl/>
        <w:kinsoku/>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3、主要评价因子</w:t>
      </w:r>
    </w:p>
    <w:p w14:paraId="4DA28D83">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根据工程分析可知，项目运行期产生的</w:t>
      </w:r>
      <w:r>
        <w:rPr>
          <w:rFonts w:hint="default" w:ascii="Times New Roman" w:hAnsi="Times New Roman" w:cs="Times New Roman"/>
          <w:color w:val="auto"/>
          <w:sz w:val="24"/>
          <w:szCs w:val="24"/>
          <w:lang w:val="en-US" w:eastAsia="zh-CN"/>
        </w:rPr>
        <w:t>生活废水和初期雨水分别</w:t>
      </w:r>
      <w:r>
        <w:rPr>
          <w:rFonts w:hint="default" w:ascii="Times New Roman" w:hAnsi="Times New Roman" w:cs="Times New Roman"/>
          <w:color w:val="auto"/>
          <w:sz w:val="24"/>
          <w:szCs w:val="24"/>
          <w:lang w:val="en-US"/>
        </w:rPr>
        <w:t>进入</w:t>
      </w:r>
      <w:r>
        <w:rPr>
          <w:rFonts w:hint="default" w:ascii="Times New Roman" w:hAnsi="Times New Roman" w:cs="Times New Roman"/>
          <w:color w:val="auto"/>
          <w:sz w:val="24"/>
          <w:szCs w:val="24"/>
          <w:lang w:val="en-US" w:eastAsia="zh-CN"/>
        </w:rPr>
        <w:t>化粪池和初期雨水收集池</w:t>
      </w:r>
      <w:r>
        <w:rPr>
          <w:rFonts w:hint="default" w:ascii="Times New Roman" w:hAnsi="Times New Roman" w:cs="Times New Roman"/>
          <w:color w:val="auto"/>
          <w:sz w:val="24"/>
          <w:szCs w:val="24"/>
          <w:lang w:val="en-US"/>
        </w:rPr>
        <w:t>，其污染物浓度相对较高，是</w:t>
      </w:r>
      <w:r>
        <w:rPr>
          <w:rFonts w:hint="eastAsia" w:ascii="Times New Roman" w:hAnsi="Times New Roman" w:eastAsia="宋体" w:cs="Times New Roman"/>
          <w:color w:val="auto"/>
          <w:sz w:val="24"/>
          <w:szCs w:val="24"/>
          <w:lang w:val="en-US" w:eastAsia="zh-CN"/>
        </w:rPr>
        <w:t>场地</w:t>
      </w:r>
      <w:r>
        <w:rPr>
          <w:rFonts w:hint="default" w:ascii="Times New Roman" w:hAnsi="Times New Roman" w:cs="Times New Roman"/>
          <w:color w:val="auto"/>
          <w:sz w:val="24"/>
          <w:szCs w:val="24"/>
          <w:lang w:val="en-US"/>
        </w:rPr>
        <w:t>地下水的主要污染源。</w:t>
      </w:r>
    </w:p>
    <w:p w14:paraId="771A169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本项目为集装箱堆场提质改造项目，主要进行</w:t>
      </w:r>
      <w:r>
        <w:rPr>
          <w:rFonts w:hint="default" w:ascii="Times New Roman" w:hAnsi="Times New Roman" w:eastAsia="宋体" w:cs="Times New Roman"/>
          <w:color w:val="auto"/>
          <w:sz w:val="24"/>
          <w:szCs w:val="24"/>
          <w:lang w:val="en-US" w:eastAsia="zh-CN"/>
        </w:rPr>
        <w:t>煤焦</w:t>
      </w:r>
      <w:r>
        <w:rPr>
          <w:rFonts w:hint="default" w:ascii="Times New Roman" w:hAnsi="Times New Roman" w:eastAsia="宋体" w:cs="Times New Roman"/>
          <w:color w:val="auto"/>
          <w:sz w:val="24"/>
          <w:szCs w:val="24"/>
        </w:rPr>
        <w:t>集装箱装卸和转运作业。初期雨水中的主要污染因子为悬浮物（SS）和化学需氧量（COD），生活污水中的主要污染因子为COD、氨氮</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总氮</w:t>
      </w:r>
      <w:r>
        <w:rPr>
          <w:rFonts w:hint="default" w:ascii="Times New Roman" w:hAnsi="Times New Roman" w:eastAsia="宋体" w:cs="Times New Roman"/>
          <w:color w:val="auto"/>
          <w:sz w:val="24"/>
          <w:szCs w:val="24"/>
        </w:rPr>
        <w:t>和总磷。</w:t>
      </w:r>
    </w:p>
    <w:p w14:paraId="4030AFF8">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项目集装箱由于是密闭式，不会发生物料泄露等情况，故初期雨水只是沾染地面的灰尘，</w:t>
      </w:r>
      <w:r>
        <w:rPr>
          <w:rFonts w:hint="default" w:ascii="Times New Roman" w:hAnsi="Times New Roman" w:eastAsia="宋体" w:cs="Times New Roman"/>
          <w:color w:val="auto"/>
          <w:sz w:val="24"/>
          <w:szCs w:val="24"/>
        </w:rPr>
        <w:t>悬浮物（SS）和化学需氧量（COD）</w:t>
      </w:r>
      <w:r>
        <w:rPr>
          <w:rFonts w:hint="default" w:ascii="Times New Roman" w:hAnsi="Times New Roman" w:eastAsia="宋体" w:cs="Times New Roman"/>
          <w:color w:val="auto"/>
          <w:sz w:val="24"/>
          <w:szCs w:val="24"/>
          <w:lang w:val="en-US" w:eastAsia="zh-CN"/>
        </w:rPr>
        <w:t>浓度较小。根据《排放源统计调查产排污核算方法和系数手册‑生活源产排污核算系数手册》，云南地区</w:t>
      </w:r>
      <w:r>
        <w:rPr>
          <w:rFonts w:hint="default" w:ascii="Times New Roman" w:hAnsi="Times New Roman" w:eastAsia="宋体" w:cs="Times New Roman"/>
          <w:color w:val="auto"/>
          <w:sz w:val="24"/>
          <w:szCs w:val="24"/>
        </w:rPr>
        <w:t>COD</w:t>
      </w:r>
      <w:r>
        <w:rPr>
          <w:rFonts w:hint="default" w:ascii="Times New Roman" w:hAnsi="Times New Roman" w:eastAsia="宋体" w:cs="Times New Roman"/>
          <w:color w:val="auto"/>
          <w:sz w:val="24"/>
          <w:szCs w:val="24"/>
          <w:lang w:val="en-US" w:eastAsia="zh-CN"/>
        </w:rPr>
        <w:t>产生浓度为325mg/L，</w:t>
      </w:r>
      <w:r>
        <w:rPr>
          <w:rFonts w:hint="default" w:ascii="Times New Roman" w:hAnsi="Times New Roman" w:eastAsia="宋体" w:cs="Times New Roman"/>
          <w:color w:val="auto"/>
          <w:sz w:val="24"/>
          <w:szCs w:val="24"/>
        </w:rPr>
        <w:t>氨氮</w:t>
      </w:r>
      <w:r>
        <w:rPr>
          <w:rFonts w:hint="default" w:ascii="Times New Roman" w:hAnsi="Times New Roman" w:eastAsia="宋体" w:cs="Times New Roman"/>
          <w:color w:val="auto"/>
          <w:sz w:val="24"/>
          <w:szCs w:val="24"/>
          <w:lang w:val="en-US" w:eastAsia="zh-CN"/>
        </w:rPr>
        <w:t>产生浓度为37.7mg/L，总氮产生浓度为49.8mg/L，</w:t>
      </w:r>
      <w:r>
        <w:rPr>
          <w:rFonts w:hint="default" w:ascii="Times New Roman" w:hAnsi="Times New Roman" w:eastAsia="宋体" w:cs="Times New Roman"/>
          <w:color w:val="auto"/>
          <w:sz w:val="24"/>
          <w:szCs w:val="24"/>
        </w:rPr>
        <w:t>总磷</w:t>
      </w:r>
      <w:r>
        <w:rPr>
          <w:rFonts w:hint="default" w:ascii="Times New Roman" w:hAnsi="Times New Roman" w:eastAsia="宋体" w:cs="Times New Roman"/>
          <w:color w:val="auto"/>
          <w:sz w:val="24"/>
          <w:szCs w:val="24"/>
          <w:lang w:val="en-US" w:eastAsia="zh-CN"/>
        </w:rPr>
        <w:t>产生浓度为4.28mg/L</w:t>
      </w:r>
    </w:p>
    <w:p w14:paraId="6FA33569">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lang w:val="en-US"/>
        </w:rPr>
      </w:pPr>
      <w:r>
        <w:rPr>
          <w:rFonts w:hint="default" w:ascii="Times New Roman" w:hAnsi="Times New Roman" w:eastAsia="宋体" w:cs="Times New Roman"/>
          <w:color w:val="auto"/>
          <w:sz w:val="24"/>
          <w:szCs w:val="24"/>
        </w:rPr>
        <w:t>生活污水中氨氮</w:t>
      </w:r>
      <w:r>
        <w:rPr>
          <w:rFonts w:hint="default" w:ascii="Times New Roman" w:hAnsi="Times New Roman" w:eastAsia="宋体" w:cs="Times New Roman"/>
          <w:color w:val="auto"/>
          <w:sz w:val="24"/>
          <w:szCs w:val="24"/>
          <w:lang w:val="en-US" w:eastAsia="zh-CN"/>
        </w:rPr>
        <w:t>浓度</w:t>
      </w:r>
      <w:r>
        <w:rPr>
          <w:rFonts w:hint="default" w:ascii="Times New Roman" w:hAnsi="Times New Roman" w:eastAsia="宋体" w:cs="Times New Roman"/>
          <w:color w:val="auto"/>
          <w:sz w:val="24"/>
          <w:szCs w:val="24"/>
        </w:rPr>
        <w:t>为</w:t>
      </w:r>
      <w:r>
        <w:rPr>
          <w:rFonts w:hint="default" w:ascii="Times New Roman" w:hAnsi="Times New Roman" w:eastAsia="宋体" w:cs="Times New Roman"/>
          <w:color w:val="auto"/>
          <w:sz w:val="24"/>
          <w:szCs w:val="24"/>
          <w:lang w:val="en-US" w:eastAsia="zh-CN"/>
        </w:rPr>
        <w:t>37.7</w:t>
      </w:r>
      <w:r>
        <w:rPr>
          <w:rFonts w:hint="default" w:ascii="Times New Roman" w:hAnsi="Times New Roman" w:eastAsia="宋体" w:cs="Times New Roman"/>
          <w:color w:val="auto"/>
          <w:sz w:val="24"/>
          <w:szCs w:val="24"/>
        </w:rPr>
        <w:t>mg/L，超过《地下水质量标准》（GB/T 14848-2017）Ⅲ类标准7</w:t>
      </w:r>
      <w:r>
        <w:rPr>
          <w:rFonts w:hint="default" w:ascii="Times New Roman" w:hAnsi="Times New Roman" w:eastAsia="宋体" w:cs="Times New Roman"/>
          <w:color w:val="auto"/>
          <w:sz w:val="24"/>
          <w:szCs w:val="24"/>
          <w:lang w:val="en-US" w:eastAsia="zh-CN"/>
        </w:rPr>
        <w:t>4.4</w:t>
      </w:r>
      <w:r>
        <w:rPr>
          <w:rFonts w:hint="default" w:ascii="Times New Roman" w:hAnsi="Times New Roman" w:eastAsia="宋体" w:cs="Times New Roman"/>
          <w:color w:val="auto"/>
          <w:sz w:val="24"/>
          <w:szCs w:val="24"/>
        </w:rPr>
        <w:t>倍；COD浓度约为</w:t>
      </w:r>
      <w:r>
        <w:rPr>
          <w:rFonts w:hint="default" w:ascii="Times New Roman" w:hAnsi="Times New Roman" w:eastAsia="宋体" w:cs="Times New Roman"/>
          <w:color w:val="auto"/>
          <w:sz w:val="24"/>
          <w:szCs w:val="24"/>
          <w:lang w:val="en-US" w:eastAsia="zh-CN"/>
        </w:rPr>
        <w:t>325</w:t>
      </w:r>
      <w:r>
        <w:rPr>
          <w:rFonts w:hint="default" w:ascii="Times New Roman" w:hAnsi="Times New Roman" w:eastAsia="宋体" w:cs="Times New Roman"/>
          <w:color w:val="auto"/>
          <w:sz w:val="24"/>
          <w:szCs w:val="24"/>
        </w:rPr>
        <w:t>mg/L，</w:t>
      </w:r>
      <w:r>
        <w:rPr>
          <w:rFonts w:hint="default" w:ascii="Times New Roman" w:hAnsi="Times New Roman" w:eastAsia="宋体" w:cs="Times New Roman"/>
          <w:color w:val="auto"/>
          <w:sz w:val="24"/>
          <w:szCs w:val="24"/>
          <w:lang w:val="en-US" w:eastAsia="zh-CN"/>
        </w:rPr>
        <w:t>未</w:t>
      </w:r>
      <w:r>
        <w:rPr>
          <w:rFonts w:hint="default" w:ascii="Times New Roman" w:hAnsi="Times New Roman" w:eastAsia="宋体" w:cs="Times New Roman"/>
          <w:color w:val="auto"/>
          <w:sz w:val="24"/>
          <w:szCs w:val="24"/>
        </w:rPr>
        <w:t>超过地下水Ⅲ类标准</w:t>
      </w:r>
      <w:r>
        <w:rPr>
          <w:rFonts w:hint="default" w:ascii="Times New Roman" w:hAnsi="Times New Roman" w:eastAsia="宋体" w:cs="Times New Roman"/>
          <w:color w:val="auto"/>
          <w:sz w:val="24"/>
          <w:szCs w:val="24"/>
          <w:lang w:val="en-US" w:eastAsia="zh-CN"/>
        </w:rPr>
        <w:t>450</w:t>
      </w:r>
      <w:r>
        <w:rPr>
          <w:rFonts w:hint="default" w:ascii="Times New Roman" w:hAnsi="Times New Roman" w:eastAsia="宋体" w:cs="Times New Roman"/>
          <w:color w:val="auto"/>
          <w:sz w:val="24"/>
          <w:szCs w:val="24"/>
        </w:rPr>
        <w:t>mg/L。本着风险最大原则，本次以氨氮浓度作为源强进行预测分析，预测源强浓度取</w:t>
      </w:r>
      <w:r>
        <w:rPr>
          <w:rFonts w:hint="default" w:ascii="Times New Roman" w:hAnsi="Times New Roman" w:eastAsia="宋体" w:cs="Times New Roman"/>
          <w:color w:val="auto"/>
          <w:sz w:val="24"/>
          <w:szCs w:val="24"/>
          <w:lang w:val="en-US" w:eastAsia="zh-CN"/>
        </w:rPr>
        <w:t>37.7</w:t>
      </w:r>
      <w:r>
        <w:rPr>
          <w:rFonts w:hint="default" w:ascii="Times New Roman" w:hAnsi="Times New Roman" w:eastAsia="宋体" w:cs="Times New Roman"/>
          <w:color w:val="auto"/>
          <w:sz w:val="24"/>
          <w:szCs w:val="24"/>
        </w:rPr>
        <w:t>mg/L。</w:t>
      </w:r>
    </w:p>
    <w:p w14:paraId="3A1F95A0">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4、非正常情况下地下水环境影响分析</w:t>
      </w:r>
    </w:p>
    <w:p w14:paraId="5AAFE81B">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其建设运营对地下水环境的影响主要采用解析法进行预测分析，计算时不考虑水流的源汇项目，且对污染物在含水层中的吸附、挥发、生物化学反应等不作考虑，当作保守性污染物考虑，从而可简化地下水水流及水质模型。</w:t>
      </w:r>
    </w:p>
    <w:p w14:paraId="5AEE0601">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根据项目区污染源分布情况和污染物性质，主要考虑</w:t>
      </w:r>
      <w:r>
        <w:rPr>
          <w:rFonts w:hint="default" w:ascii="Times New Roman" w:hAnsi="Times New Roman" w:cs="Times New Roman"/>
          <w:color w:val="auto"/>
          <w:sz w:val="24"/>
          <w:szCs w:val="24"/>
          <w:lang w:val="en-US" w:eastAsia="zh-CN"/>
        </w:rPr>
        <w:t>化粪池</w:t>
      </w:r>
      <w:r>
        <w:rPr>
          <w:rFonts w:hint="default" w:ascii="Times New Roman" w:hAnsi="Times New Roman" w:cs="Times New Roman"/>
          <w:color w:val="auto"/>
          <w:sz w:val="24"/>
          <w:szCs w:val="24"/>
          <w:lang w:val="en-US"/>
        </w:rPr>
        <w:t>的防渗层出现破损或破裂等非正常情况时</w:t>
      </w:r>
      <w:r>
        <w:rPr>
          <w:rFonts w:hint="default" w:ascii="Times New Roman" w:hAnsi="Times New Roman" w:cs="Times New Roman"/>
          <w:color w:val="auto"/>
          <w:sz w:val="24"/>
          <w:szCs w:val="24"/>
          <w:lang w:val="en-US" w:eastAsia="zh-CN"/>
        </w:rPr>
        <w:t>生活废水</w:t>
      </w:r>
      <w:r>
        <w:rPr>
          <w:rFonts w:hint="default" w:ascii="Times New Roman" w:hAnsi="Times New Roman" w:cs="Times New Roman"/>
          <w:color w:val="auto"/>
          <w:sz w:val="24"/>
          <w:szCs w:val="24"/>
          <w:lang w:val="en-US"/>
        </w:rPr>
        <w:t>发生泄漏对地下水环境可能造成的影响。</w:t>
      </w:r>
    </w:p>
    <w:p w14:paraId="02CB295D">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将污染源视为连续稳定施放的点源，对非正常情况下的污染物进行正向推算，分别计算7天、10天、20天、50天、100天、365天和1000天后地下水环境受污染物影响的最大距离。</w:t>
      </w:r>
    </w:p>
    <w:p w14:paraId="23394733">
      <w:pPr>
        <w:pStyle w:val="47"/>
        <w:keepNext w:val="0"/>
        <w:keepLines w:val="0"/>
        <w:pageBreakBefore w:val="0"/>
        <w:widowControl/>
        <w:kinsoku/>
        <w:wordWrap/>
        <w:overflowPunct/>
        <w:topLinePunct w:val="0"/>
        <w:bidi w:val="0"/>
        <w:adjustRightInd/>
        <w:snapToGrid/>
        <w:spacing w:line="360" w:lineRule="auto"/>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本项目所在区域水文地质条件简单，因此地下水环境影响预测采用解析法对下渗后地下水中污染物的运移情况进行计算，采用《环境影响评价技术导则—地下水环境》HJ610-2016公式D.2表示污染物的运移规律，即一维半无限长多孔介质柱体，一端为定浓度边界。</w:t>
      </w:r>
    </w:p>
    <w:p w14:paraId="0D55AB3F">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bidi="ar"/>
        </w:rPr>
        <w:t>其一维连续污染物运移预测方程为：</w:t>
      </w:r>
    </w:p>
    <w:p w14:paraId="3989B13A">
      <w:pPr>
        <w:keepNext w:val="0"/>
        <w:keepLines w:val="0"/>
        <w:pageBreakBefore w:val="0"/>
        <w:widowControl/>
        <w:wordWrap/>
        <w:overflowPunct/>
        <w:topLinePunct w:val="0"/>
        <w:bidi w:val="0"/>
        <w:adjustRightInd/>
        <w:snapToGrid/>
        <w:spacing w:line="360" w:lineRule="auto"/>
        <w:ind w:firstLine="48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bidi="ar"/>
        </w:rPr>
        <w:object>
          <v:shape id="_x0000_i1044" o:spt="75" type="#_x0000_t75" style="height:41.9pt;width:207.35pt;" o:ole="t" filled="f" o:preferrelative="t" stroked="f" coordsize="21600,21600">
            <v:path/>
            <v:fill on="f" focussize="0,0"/>
            <v:stroke on="f" joinstyle="miter"/>
            <v:imagedata r:id="rId104" o:title=""/>
            <o:lock v:ext="edit" aspectratio="t"/>
            <w10:wrap type="none"/>
            <w10:anchorlock/>
          </v:shape>
          <o:OLEObject Type="Embed" ProgID="Equation.DSMT4" ShapeID="_x0000_i1044" DrawAspect="Content" ObjectID="_1468075744" r:id="rId103">
            <o:LockedField>false</o:LockedField>
          </o:OLEObject>
        </w:object>
      </w:r>
    </w:p>
    <w:p w14:paraId="250B3AF0">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bidi="ar"/>
        </w:rPr>
        <w:t>式中：x为预测点距污染源强的距离（m）；t为预测时间(d)；C为t时刻x处的污染物浓度(mg/L)；C</w:t>
      </w:r>
      <w:r>
        <w:rPr>
          <w:rFonts w:hint="default" w:ascii="Times New Roman" w:hAnsi="Times New Roman" w:cs="Times New Roman"/>
          <w:color w:val="auto"/>
          <w:sz w:val="24"/>
          <w:szCs w:val="24"/>
          <w:vertAlign w:val="subscript"/>
          <w:lang w:bidi="ar"/>
        </w:rPr>
        <w:t>0</w:t>
      </w:r>
      <w:r>
        <w:rPr>
          <w:rFonts w:hint="default" w:ascii="Times New Roman" w:hAnsi="Times New Roman" w:cs="Times New Roman"/>
          <w:color w:val="auto"/>
          <w:sz w:val="24"/>
          <w:szCs w:val="24"/>
          <w:lang w:bidi="ar"/>
        </w:rPr>
        <w:t>为地下水污染源强浓度(mg/L)；u为水流速度(m/d)；D</w:t>
      </w:r>
      <w:r>
        <w:rPr>
          <w:rFonts w:hint="default" w:ascii="Times New Roman" w:hAnsi="Times New Roman" w:cs="Times New Roman"/>
          <w:color w:val="auto"/>
          <w:sz w:val="24"/>
          <w:szCs w:val="24"/>
          <w:vertAlign w:val="subscript"/>
          <w:lang w:bidi="ar"/>
        </w:rPr>
        <w:t>L</w:t>
      </w:r>
      <w:r>
        <w:rPr>
          <w:rFonts w:hint="default" w:ascii="Times New Roman" w:hAnsi="Times New Roman" w:cs="Times New Roman"/>
          <w:color w:val="auto"/>
          <w:sz w:val="24"/>
          <w:szCs w:val="24"/>
          <w:lang w:bidi="ar"/>
        </w:rPr>
        <w:t>为纵向弥散系数(m</w:t>
      </w:r>
      <w:r>
        <w:rPr>
          <w:rFonts w:hint="default" w:ascii="Times New Roman" w:hAnsi="Times New Roman" w:cs="Times New Roman"/>
          <w:color w:val="auto"/>
          <w:sz w:val="24"/>
          <w:szCs w:val="24"/>
          <w:vertAlign w:val="superscript"/>
          <w:lang w:bidi="ar"/>
        </w:rPr>
        <w:t>2</w:t>
      </w:r>
      <w:r>
        <w:rPr>
          <w:rFonts w:hint="default" w:ascii="Times New Roman" w:hAnsi="Times New Roman" w:cs="Times New Roman"/>
          <w:color w:val="auto"/>
          <w:sz w:val="24"/>
          <w:szCs w:val="24"/>
          <w:lang w:bidi="ar"/>
        </w:rPr>
        <w:t>/d)；erfc( )为余误差函数；K为渗透系数(m/d)；I为水力坡度；a</w:t>
      </w:r>
      <w:r>
        <w:rPr>
          <w:rFonts w:hint="default" w:ascii="Times New Roman" w:hAnsi="Times New Roman" w:cs="Times New Roman"/>
          <w:color w:val="auto"/>
          <w:sz w:val="24"/>
          <w:szCs w:val="24"/>
          <w:vertAlign w:val="subscript"/>
          <w:lang w:bidi="ar"/>
        </w:rPr>
        <w:t>L</w:t>
      </w:r>
      <w:r>
        <w:rPr>
          <w:rFonts w:hint="default" w:ascii="Times New Roman" w:hAnsi="Times New Roman" w:cs="Times New Roman"/>
          <w:color w:val="auto"/>
          <w:sz w:val="24"/>
          <w:szCs w:val="24"/>
          <w:lang w:bidi="ar"/>
        </w:rPr>
        <w:t>为纵向弥散度(m)。</w:t>
      </w:r>
    </w:p>
    <w:p w14:paraId="18D48367">
      <w:pPr>
        <w:keepNext w:val="0"/>
        <w:keepLines w:val="0"/>
        <w:pageBreakBefore w:val="0"/>
        <w:widowControl/>
        <w:wordWrap/>
        <w:overflowPunct/>
        <w:topLinePunct w:val="0"/>
        <w:bidi w:val="0"/>
        <w:adjustRightInd/>
        <w:snapToGrid/>
        <w:spacing w:line="360" w:lineRule="auto"/>
        <w:ind w:firstLine="482"/>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w:t>
      </w:r>
      <w:r>
        <w:rPr>
          <w:rFonts w:hint="default" w:ascii="Times New Roman" w:hAnsi="Times New Roman" w:cs="Times New Roman"/>
          <w:b/>
          <w:color w:val="auto"/>
          <w:sz w:val="24"/>
          <w:szCs w:val="24"/>
          <w:lang w:val="en-US" w:eastAsia="zh-CN"/>
        </w:rPr>
        <w:t>1</w:t>
      </w:r>
      <w:r>
        <w:rPr>
          <w:rFonts w:hint="default" w:ascii="Times New Roman" w:hAnsi="Times New Roman" w:cs="Times New Roman"/>
          <w:b/>
          <w:color w:val="auto"/>
          <w:sz w:val="24"/>
          <w:szCs w:val="24"/>
        </w:rPr>
        <w:t>）水文地质参数设置</w:t>
      </w:r>
    </w:p>
    <w:p w14:paraId="41E3F07E">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根据区域水文地质资料和地质勘探资料，项目区岩溶水含水层的岩性为古生界二叠系栖霞茅口组（P</w:t>
      </w:r>
      <w:r>
        <w:rPr>
          <w:rFonts w:hint="eastAsia" w:ascii="Times New Roman" w:hAnsi="Times New Roman" w:eastAsia="宋体" w:cs="Times New Roman"/>
          <w:color w:val="auto"/>
          <w:kern w:val="0"/>
          <w:sz w:val="24"/>
          <w:szCs w:val="24"/>
          <w:lang w:val="en-US" w:eastAsia="zh-CN" w:bidi="ar"/>
        </w:rPr>
        <w:t>1</w:t>
      </w:r>
      <w:r>
        <w:rPr>
          <w:rFonts w:hint="default" w:ascii="Times New Roman" w:hAnsi="Times New Roman" w:eastAsia="宋体" w:cs="Times New Roman"/>
          <w:color w:val="auto"/>
          <w:kern w:val="0"/>
          <w:sz w:val="24"/>
          <w:szCs w:val="24"/>
          <w:lang w:val="en-US" w:eastAsia="zh-CN" w:bidi="ar"/>
        </w:rPr>
        <w:t>q+m）灰岩，富水性强。根据</w:t>
      </w:r>
      <w:r>
        <w:rPr>
          <w:rFonts w:hint="eastAsia" w:ascii="Times New Roman" w:hAnsi="Times New Roman" w:eastAsia="宋体" w:cs="Times New Roman"/>
          <w:color w:val="auto"/>
          <w:kern w:val="0"/>
          <w:sz w:val="24"/>
          <w:szCs w:val="24"/>
          <w:lang w:val="en-US" w:eastAsia="zh-CN" w:bidi="ar"/>
        </w:rPr>
        <w:t>项目地勘报告</w:t>
      </w:r>
      <w:r>
        <w:rPr>
          <w:rFonts w:hint="default" w:ascii="Times New Roman" w:hAnsi="Times New Roman" w:eastAsia="宋体" w:cs="Times New Roman"/>
          <w:color w:val="auto"/>
          <w:kern w:val="0"/>
          <w:sz w:val="24"/>
          <w:szCs w:val="24"/>
          <w:lang w:val="en-US" w:eastAsia="zh-CN" w:bidi="ar"/>
        </w:rPr>
        <w:t>，灰岩的渗透系数为0.12-1.68m/d，计算时按最大化考虑，取为1.68m/d。</w:t>
      </w:r>
    </w:p>
    <w:p w14:paraId="1217FA97">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根据区域水文地质图可知，项目场区分布的地下水总体上由北东向南西流，I=（</w:t>
      </w:r>
      <w:r>
        <w:rPr>
          <w:rFonts w:hint="eastAsia" w:ascii="Times New Roman" w:hAnsi="Times New Roman" w:eastAsia="宋体" w:cs="Times New Roman"/>
          <w:color w:val="auto"/>
          <w:kern w:val="0"/>
          <w:sz w:val="24"/>
          <w:szCs w:val="24"/>
          <w:lang w:val="en-US" w:eastAsia="zh-CN" w:bidi="ar"/>
        </w:rPr>
        <w:t>1968.2</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1967.4</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409=</w:t>
      </w:r>
      <w:r>
        <w:rPr>
          <w:rFonts w:hint="default" w:ascii="Times New Roman" w:hAnsi="Times New Roman" w:eastAsia="宋体" w:cs="Times New Roman"/>
          <w:color w:val="auto"/>
          <w:kern w:val="0"/>
          <w:sz w:val="24"/>
          <w:szCs w:val="24"/>
          <w:lang w:val="en-US" w:eastAsia="zh-CN" w:bidi="ar"/>
        </w:rPr>
        <w:t>0.0</w:t>
      </w:r>
      <w:r>
        <w:rPr>
          <w:rFonts w:hint="eastAsia" w:ascii="Times New Roman" w:hAnsi="Times New Roman" w:eastAsia="宋体" w:cs="Times New Roman"/>
          <w:color w:val="auto"/>
          <w:kern w:val="0"/>
          <w:sz w:val="24"/>
          <w:szCs w:val="24"/>
          <w:lang w:val="en-US" w:eastAsia="zh-CN" w:bidi="ar"/>
        </w:rPr>
        <w:t>02</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J1</w:t>
      </w:r>
      <w:r>
        <w:rPr>
          <w:rFonts w:hint="default" w:ascii="Times New Roman" w:hAnsi="Times New Roman" w:eastAsia="宋体" w:cs="Times New Roman"/>
          <w:color w:val="auto"/>
          <w:kern w:val="0"/>
          <w:sz w:val="24"/>
          <w:szCs w:val="24"/>
          <w:lang w:val="en-US" w:eastAsia="zh-CN" w:bidi="ar"/>
        </w:rPr>
        <w:t>与</w:t>
      </w:r>
      <w:r>
        <w:rPr>
          <w:rFonts w:hint="eastAsia" w:ascii="Times New Roman" w:hAnsi="Times New Roman" w:eastAsia="宋体" w:cs="Times New Roman"/>
          <w:color w:val="auto"/>
          <w:kern w:val="0"/>
          <w:sz w:val="24"/>
          <w:szCs w:val="24"/>
          <w:lang w:val="en-US" w:eastAsia="zh-CN" w:bidi="ar"/>
        </w:rPr>
        <w:t>J2</w:t>
      </w:r>
      <w:r>
        <w:rPr>
          <w:rFonts w:hint="default" w:ascii="Times New Roman" w:hAnsi="Times New Roman" w:eastAsia="宋体" w:cs="Times New Roman"/>
          <w:color w:val="auto"/>
          <w:kern w:val="0"/>
          <w:sz w:val="24"/>
          <w:szCs w:val="24"/>
          <w:lang w:val="en-US" w:eastAsia="zh-CN" w:bidi="ar"/>
        </w:rPr>
        <w:t>），则计算时地下水水力坡度取为0.0</w:t>
      </w:r>
      <w:r>
        <w:rPr>
          <w:rFonts w:hint="eastAsia" w:ascii="Times New Roman" w:hAnsi="Times New Roman" w:eastAsia="宋体" w:cs="Times New Roman"/>
          <w:color w:val="auto"/>
          <w:kern w:val="0"/>
          <w:sz w:val="24"/>
          <w:szCs w:val="24"/>
          <w:lang w:val="en-US" w:eastAsia="zh-CN" w:bidi="ar"/>
        </w:rPr>
        <w:t>02</w:t>
      </w:r>
      <w:r>
        <w:rPr>
          <w:rFonts w:hint="default" w:ascii="Times New Roman" w:hAnsi="Times New Roman" w:eastAsia="宋体" w:cs="Times New Roman"/>
          <w:color w:val="auto"/>
          <w:kern w:val="0"/>
          <w:sz w:val="24"/>
          <w:szCs w:val="24"/>
          <w:lang w:val="en-US" w:eastAsia="zh-CN" w:bidi="ar"/>
        </w:rPr>
        <w:t>。</w:t>
      </w:r>
    </w:p>
    <w:p w14:paraId="24D87AF4">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lang w:bidi="ar"/>
        </w:rPr>
      </w:pPr>
      <w:r>
        <w:rPr>
          <w:rFonts w:hint="eastAsia" w:ascii="Times New Roman" w:hAnsi="Times New Roman" w:cs="Times New Roman"/>
          <w:color w:val="auto"/>
          <w:sz w:val="24"/>
          <w:szCs w:val="24"/>
          <w:lang w:val="en-US" w:eastAsia="zh-CN" w:bidi="ar"/>
        </w:rPr>
        <w:t>采用下列公式计算场地地下水水流速度。</w:t>
      </w:r>
    </w:p>
    <w:p w14:paraId="2F6F8889">
      <w:pPr>
        <w:keepNext w:val="0"/>
        <w:keepLines w:val="0"/>
        <w:pageBreakBefore w:val="0"/>
        <w:widowControl/>
        <w:wordWrap/>
        <w:overflowPunct/>
        <w:topLinePunct w:val="0"/>
        <w:bidi w:val="0"/>
        <w:adjustRightInd/>
        <w:snapToGrid/>
        <w:spacing w:line="360" w:lineRule="auto"/>
        <w:ind w:firstLine="480"/>
        <w:jc w:val="center"/>
        <w:rPr>
          <w:rFonts w:hint="default" w:ascii="Times New Roman" w:hAnsi="Times New Roman" w:cs="Times New Roman"/>
          <w:color w:val="auto"/>
          <w:sz w:val="24"/>
          <w:szCs w:val="24"/>
          <w:lang w:val="en-US" w:bidi="ar"/>
        </w:rPr>
      </w:pPr>
      <w:r>
        <w:rPr>
          <w:rFonts w:hint="default" w:ascii="Times New Roman" w:hAnsi="Times New Roman" w:cs="Times New Roman"/>
          <w:color w:val="auto"/>
          <w:sz w:val="24"/>
          <w:szCs w:val="24"/>
          <w:lang w:val="en-US" w:eastAsia="zh-CN" w:bidi="ar"/>
        </w:rPr>
        <w:t>U=k×I</w:t>
      </w:r>
      <w:r>
        <w:rPr>
          <w:rFonts w:hint="eastAsia" w:ascii="Times New Roman" w:hAnsi="Times New Roman" w:cs="Times New Roman"/>
          <w:color w:val="auto"/>
          <w:sz w:val="24"/>
          <w:szCs w:val="24"/>
          <w:lang w:val="en-US" w:eastAsia="zh-CN" w:bidi="ar"/>
        </w:rPr>
        <w:t>/</w:t>
      </w:r>
      <w:r>
        <w:rPr>
          <w:rFonts w:hint="default" w:ascii="Times New Roman" w:hAnsi="Times New Roman" w:cs="Times New Roman"/>
          <w:color w:val="auto"/>
          <w:sz w:val="24"/>
          <w:szCs w:val="24"/>
          <w:lang w:val="en-US" w:eastAsia="zh-CN" w:bidi="ar"/>
        </w:rPr>
        <w:t>ne</w:t>
      </w:r>
    </w:p>
    <w:p w14:paraId="3EF40216">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lang w:bidi="ar"/>
        </w:rPr>
      </w:pPr>
      <w:r>
        <w:rPr>
          <w:rFonts w:hint="eastAsia" w:ascii="Times New Roman" w:hAnsi="Times New Roman" w:cs="Times New Roman"/>
          <w:color w:val="auto"/>
          <w:sz w:val="24"/>
          <w:szCs w:val="24"/>
          <w:lang w:val="en-US" w:eastAsia="zh-CN" w:bidi="ar"/>
        </w:rPr>
        <w:t>式中：</w:t>
      </w:r>
      <w:r>
        <w:rPr>
          <w:rFonts w:hint="default" w:ascii="Times New Roman" w:hAnsi="Times New Roman" w:cs="Times New Roman"/>
          <w:color w:val="auto"/>
          <w:sz w:val="24"/>
          <w:szCs w:val="24"/>
          <w:lang w:val="en-US" w:eastAsia="zh-CN" w:bidi="ar"/>
        </w:rPr>
        <w:t>U—</w:t>
      </w:r>
      <w:r>
        <w:rPr>
          <w:rFonts w:hint="eastAsia" w:ascii="Times New Roman" w:hAnsi="Times New Roman" w:cs="Times New Roman"/>
          <w:color w:val="auto"/>
          <w:sz w:val="24"/>
          <w:szCs w:val="24"/>
          <w:lang w:val="en-US" w:eastAsia="zh-CN" w:bidi="ar"/>
        </w:rPr>
        <w:t>地下水水流速度（</w:t>
      </w:r>
      <w:r>
        <w:rPr>
          <w:rFonts w:hint="default" w:ascii="Times New Roman" w:hAnsi="Times New Roman" w:cs="Times New Roman"/>
          <w:color w:val="auto"/>
          <w:sz w:val="24"/>
          <w:szCs w:val="24"/>
          <w:lang w:val="en-US" w:eastAsia="zh-CN" w:bidi="ar"/>
        </w:rPr>
        <w:t>m/d</w:t>
      </w:r>
      <w:r>
        <w:rPr>
          <w:rFonts w:hint="eastAsia" w:ascii="Times New Roman" w:hAnsi="Times New Roman" w:cs="Times New Roman"/>
          <w:color w:val="auto"/>
          <w:sz w:val="24"/>
          <w:szCs w:val="24"/>
          <w:lang w:val="en-US" w:eastAsia="zh-CN" w:bidi="ar"/>
        </w:rPr>
        <w:t>）；</w:t>
      </w:r>
    </w:p>
    <w:p w14:paraId="78AF31AE">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lang w:bidi="ar"/>
        </w:rPr>
      </w:pPr>
      <w:r>
        <w:rPr>
          <w:rFonts w:hint="default" w:ascii="Times New Roman" w:hAnsi="Times New Roman" w:cs="Times New Roman"/>
          <w:color w:val="auto"/>
          <w:sz w:val="24"/>
          <w:szCs w:val="24"/>
          <w:lang w:val="en-US" w:eastAsia="zh-CN" w:bidi="ar"/>
        </w:rPr>
        <w:t>K—</w:t>
      </w:r>
      <w:r>
        <w:rPr>
          <w:rFonts w:hint="eastAsia" w:ascii="Times New Roman" w:hAnsi="Times New Roman" w:cs="Times New Roman"/>
          <w:color w:val="auto"/>
          <w:sz w:val="24"/>
          <w:szCs w:val="24"/>
          <w:lang w:val="en-US" w:eastAsia="zh-CN" w:bidi="ar"/>
        </w:rPr>
        <w:t>渗透系数（</w:t>
      </w:r>
      <w:r>
        <w:rPr>
          <w:rFonts w:hint="default" w:ascii="Times New Roman" w:hAnsi="Times New Roman" w:cs="Times New Roman"/>
          <w:color w:val="auto"/>
          <w:sz w:val="24"/>
          <w:szCs w:val="24"/>
          <w:lang w:val="en-US" w:eastAsia="zh-CN" w:bidi="ar"/>
        </w:rPr>
        <w:t>m/d</w:t>
      </w:r>
      <w:r>
        <w:rPr>
          <w:rFonts w:hint="eastAsia" w:ascii="Times New Roman" w:hAnsi="Times New Roman" w:cs="Times New Roman"/>
          <w:color w:val="auto"/>
          <w:sz w:val="24"/>
          <w:szCs w:val="24"/>
          <w:lang w:val="en-US" w:eastAsia="zh-CN" w:bidi="ar"/>
        </w:rPr>
        <w:t>），取1.68</w:t>
      </w:r>
      <w:r>
        <w:rPr>
          <w:rFonts w:hint="default" w:ascii="Times New Roman" w:hAnsi="Times New Roman" w:cs="Times New Roman"/>
          <w:color w:val="auto"/>
          <w:sz w:val="24"/>
          <w:szCs w:val="24"/>
          <w:lang w:val="en-US" w:eastAsia="zh-CN" w:bidi="ar"/>
        </w:rPr>
        <w:t>m/d</w:t>
      </w:r>
      <w:r>
        <w:rPr>
          <w:rFonts w:hint="eastAsia" w:ascii="Times New Roman" w:hAnsi="Times New Roman" w:cs="Times New Roman"/>
          <w:color w:val="auto"/>
          <w:sz w:val="24"/>
          <w:szCs w:val="24"/>
          <w:lang w:val="en-US" w:eastAsia="zh-CN" w:bidi="ar"/>
        </w:rPr>
        <w:t>；</w:t>
      </w:r>
    </w:p>
    <w:p w14:paraId="66339CA2">
      <w:pPr>
        <w:keepNext w:val="0"/>
        <w:keepLines w:val="0"/>
        <w:pageBreakBefore w:val="0"/>
        <w:widowControl/>
        <w:wordWrap/>
        <w:overflowPunct/>
        <w:topLinePunct w:val="0"/>
        <w:bidi w:val="0"/>
        <w:adjustRightInd/>
        <w:snapToGrid/>
        <w:spacing w:line="360" w:lineRule="auto"/>
        <w:ind w:firstLine="480"/>
        <w:rPr>
          <w:rFonts w:hint="eastAsia"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I—</w:t>
      </w:r>
      <w:r>
        <w:rPr>
          <w:rFonts w:hint="eastAsia" w:ascii="Times New Roman" w:hAnsi="Times New Roman" w:cs="Times New Roman"/>
          <w:color w:val="auto"/>
          <w:sz w:val="24"/>
          <w:szCs w:val="24"/>
          <w:lang w:val="en-US" w:eastAsia="zh-CN" w:bidi="ar"/>
        </w:rPr>
        <w:t>水力坡度，取0.002；</w:t>
      </w:r>
    </w:p>
    <w:p w14:paraId="4194C6F2">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ne—</w:t>
      </w:r>
      <w:r>
        <w:rPr>
          <w:rFonts w:hint="eastAsia" w:ascii="Times New Roman" w:hAnsi="Times New Roman" w:cs="Times New Roman"/>
          <w:color w:val="auto"/>
          <w:sz w:val="24"/>
          <w:szCs w:val="24"/>
          <w:lang w:val="en-US" w:eastAsia="zh-CN" w:bidi="ar"/>
        </w:rPr>
        <w:t>有效孔隙度，项目区地下水类型主要为岩溶水，含水层岩性主要为二叠系栖霞和茅口组（P1q+m）灰岩，灰岩的有效孔隙度经验值约为0.001-0.05，计算时取为0.05。</w:t>
      </w:r>
    </w:p>
    <w:p w14:paraId="354A10C2">
      <w:pPr>
        <w:keepNext w:val="0"/>
        <w:keepLines w:val="0"/>
        <w:pageBreakBefore w:val="0"/>
        <w:widowControl/>
        <w:wordWrap/>
        <w:overflowPunct/>
        <w:topLinePunct w:val="0"/>
        <w:bidi w:val="0"/>
        <w:adjustRightInd/>
        <w:snapToGrid/>
        <w:spacing w:line="360" w:lineRule="auto"/>
        <w:ind w:firstLine="480"/>
        <w:rPr>
          <w:rFonts w:hint="eastAsia" w:ascii="Times New Roman" w:hAnsi="Times New Roman" w:cs="Times New Roman"/>
          <w:color w:val="auto"/>
          <w:sz w:val="24"/>
          <w:szCs w:val="24"/>
          <w:lang w:val="en-US" w:eastAsia="zh-CN" w:bidi="ar"/>
        </w:rPr>
      </w:pPr>
      <w:r>
        <w:rPr>
          <w:rFonts w:hint="eastAsia" w:ascii="Times New Roman" w:hAnsi="Times New Roman" w:cs="Times New Roman"/>
          <w:color w:val="auto"/>
          <w:sz w:val="24"/>
          <w:szCs w:val="24"/>
          <w:lang w:val="en-US" w:eastAsia="zh-CN" w:bidi="ar"/>
        </w:rPr>
        <w:t>得出项目区的地下水流速</w:t>
      </w:r>
      <w:r>
        <w:rPr>
          <w:rFonts w:hint="default" w:ascii="Times New Roman" w:hAnsi="Times New Roman" w:cs="Times New Roman"/>
          <w:color w:val="auto"/>
          <w:sz w:val="24"/>
          <w:szCs w:val="24"/>
          <w:lang w:val="en-US" w:eastAsia="zh-CN" w:bidi="ar"/>
        </w:rPr>
        <w:t>U</w:t>
      </w:r>
      <w:r>
        <w:rPr>
          <w:rFonts w:hint="eastAsia" w:ascii="Times New Roman" w:hAnsi="Times New Roman" w:cs="Times New Roman"/>
          <w:color w:val="auto"/>
          <w:sz w:val="24"/>
          <w:szCs w:val="24"/>
          <w:lang w:val="en-US" w:eastAsia="zh-CN" w:bidi="ar"/>
        </w:rPr>
        <w:t>约为</w:t>
      </w:r>
      <w:r>
        <w:rPr>
          <w:rFonts w:hint="default" w:ascii="Times New Roman" w:hAnsi="Times New Roman" w:cs="Times New Roman"/>
          <w:color w:val="auto"/>
          <w:sz w:val="24"/>
          <w:szCs w:val="24"/>
          <w:lang w:val="en-US" w:eastAsia="zh-CN" w:bidi="ar"/>
        </w:rPr>
        <w:t>0.0</w:t>
      </w:r>
      <w:r>
        <w:rPr>
          <w:rFonts w:hint="eastAsia" w:ascii="Times New Roman" w:hAnsi="Times New Roman" w:cs="Times New Roman"/>
          <w:color w:val="auto"/>
          <w:sz w:val="24"/>
          <w:szCs w:val="24"/>
          <w:lang w:val="en-US" w:eastAsia="zh-CN" w:bidi="ar"/>
        </w:rPr>
        <w:t>672</w:t>
      </w:r>
      <w:r>
        <w:rPr>
          <w:rFonts w:hint="default" w:ascii="Times New Roman" w:hAnsi="Times New Roman" w:cs="Times New Roman"/>
          <w:color w:val="auto"/>
          <w:sz w:val="24"/>
          <w:szCs w:val="24"/>
          <w:lang w:val="en-US" w:eastAsia="zh-CN" w:bidi="ar"/>
        </w:rPr>
        <w:t>m/d</w:t>
      </w:r>
      <w:r>
        <w:rPr>
          <w:rFonts w:hint="eastAsia" w:ascii="Times New Roman" w:hAnsi="Times New Roman" w:cs="Times New Roman"/>
          <w:color w:val="auto"/>
          <w:sz w:val="24"/>
          <w:szCs w:val="24"/>
          <w:lang w:val="en-US" w:eastAsia="zh-CN" w:bidi="ar"/>
        </w:rPr>
        <w:t>。</w:t>
      </w:r>
    </w:p>
    <w:p w14:paraId="69240D23">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成建梅（2002年）收集了大量国内外在不同试验尺度下和实验条件下分别运用解析方法和数值方法所得的纵向弥散度资料，Zech等（2015年）系统研究分析了最近50年全世界各地不同试验含水层和场地试验中弥散度和尺度、相关长度及非均质特征之间的关系并重新评估了弥散度与尺度的关系。可以看出弥散度在千米尺度范围内渐近于10m。项目区地下水类型为岩溶水，含水层岩性主要为二叠系栖霞茅口组（P</w:t>
      </w:r>
      <w:r>
        <w:rPr>
          <w:rFonts w:hint="eastAsia" w:ascii="Times New Roman" w:hAnsi="Times New Roman" w:eastAsia="宋体" w:cs="Times New Roman"/>
          <w:color w:val="auto"/>
          <w:kern w:val="0"/>
          <w:sz w:val="24"/>
          <w:szCs w:val="24"/>
          <w:lang w:val="en-US" w:eastAsia="zh-CN" w:bidi="ar"/>
        </w:rPr>
        <w:t>1</w:t>
      </w:r>
      <w:r>
        <w:rPr>
          <w:rFonts w:hint="default" w:ascii="Times New Roman" w:hAnsi="Times New Roman" w:eastAsia="宋体" w:cs="Times New Roman"/>
          <w:color w:val="auto"/>
          <w:kern w:val="0"/>
          <w:sz w:val="24"/>
          <w:szCs w:val="24"/>
          <w:lang w:val="en-US" w:eastAsia="zh-CN" w:bidi="ar"/>
        </w:rPr>
        <w:t>q+m）灰岩，污染物在含水层中的迁移扩散速度较快，因此计算时纵向弥散度</w:t>
      </w:r>
      <w:r>
        <w:rPr>
          <w:rFonts w:hint="default" w:ascii="Times New Roman" w:hAnsi="Times New Roman" w:cs="Times New Roman"/>
          <w:color w:val="auto"/>
          <w:sz w:val="24"/>
          <w:szCs w:val="24"/>
          <w:lang w:val="en-US" w:eastAsia="zh-CN" w:bidi="ar"/>
        </w:rPr>
        <w:t>al</w:t>
      </w:r>
      <w:r>
        <w:rPr>
          <w:rFonts w:hint="eastAsia" w:ascii="Times New Roman" w:hAnsi="Times New Roman" w:cs="Times New Roman"/>
          <w:color w:val="auto"/>
          <w:sz w:val="24"/>
          <w:szCs w:val="24"/>
          <w:lang w:val="en-US" w:eastAsia="zh-CN" w:bidi="ar"/>
        </w:rPr>
        <w:t>取值10m。</w:t>
      </w:r>
    </w:p>
    <w:p w14:paraId="0017A96E">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lang w:bidi="ar"/>
        </w:rPr>
      </w:pPr>
      <w:r>
        <w:rPr>
          <w:rFonts w:hint="eastAsia" w:ascii="Times New Roman" w:hAnsi="Times New Roman" w:cs="Times New Roman"/>
          <w:color w:val="auto"/>
          <w:sz w:val="24"/>
          <w:szCs w:val="24"/>
          <w:lang w:val="en-US" w:eastAsia="zh-CN" w:bidi="ar"/>
        </w:rPr>
        <w:t>根据《地下水污染</w:t>
      </w:r>
      <w:r>
        <w:rPr>
          <w:rFonts w:hint="default" w:ascii="Times New Roman" w:hAnsi="Times New Roman" w:cs="Times New Roman"/>
          <w:color w:val="auto"/>
          <w:sz w:val="24"/>
          <w:szCs w:val="24"/>
          <w:lang w:val="en-US" w:eastAsia="zh-CN" w:bidi="ar"/>
        </w:rPr>
        <w:t>—</w:t>
      </w:r>
      <w:r>
        <w:rPr>
          <w:rFonts w:hint="eastAsia" w:ascii="Times New Roman" w:hAnsi="Times New Roman" w:cs="Times New Roman"/>
          <w:color w:val="auto"/>
          <w:sz w:val="24"/>
          <w:szCs w:val="24"/>
          <w:lang w:val="en-US" w:eastAsia="zh-CN" w:bidi="ar"/>
        </w:rPr>
        <w:t>数学模型和数值方法》一书介绍，纵向弥散系数</w:t>
      </w:r>
      <w:r>
        <w:rPr>
          <w:rFonts w:hint="default" w:ascii="Times New Roman" w:hAnsi="Times New Roman" w:cs="Times New Roman"/>
          <w:color w:val="auto"/>
          <w:sz w:val="24"/>
          <w:szCs w:val="24"/>
          <w:lang w:val="en-US" w:eastAsia="zh-CN" w:bidi="ar"/>
        </w:rPr>
        <w:t>DL=al*U</w:t>
      </w:r>
      <w:r>
        <w:rPr>
          <w:rFonts w:hint="eastAsia" w:ascii="Times New Roman" w:hAnsi="Times New Roman" w:cs="Times New Roman"/>
          <w:color w:val="auto"/>
          <w:sz w:val="24"/>
          <w:szCs w:val="24"/>
          <w:lang w:val="en-US" w:eastAsia="zh-CN" w:bidi="ar"/>
        </w:rPr>
        <w:t>（式中</w:t>
      </w:r>
      <w:r>
        <w:rPr>
          <w:rFonts w:hint="default" w:ascii="Times New Roman" w:hAnsi="Times New Roman" w:cs="Times New Roman"/>
          <w:color w:val="auto"/>
          <w:sz w:val="24"/>
          <w:szCs w:val="24"/>
          <w:lang w:val="en-US" w:eastAsia="zh-CN" w:bidi="ar"/>
        </w:rPr>
        <w:t>al</w:t>
      </w:r>
      <w:r>
        <w:rPr>
          <w:rFonts w:hint="eastAsia" w:ascii="Times New Roman" w:hAnsi="Times New Roman" w:cs="Times New Roman"/>
          <w:color w:val="auto"/>
          <w:sz w:val="24"/>
          <w:szCs w:val="24"/>
          <w:lang w:val="en-US" w:eastAsia="zh-CN" w:bidi="ar"/>
        </w:rPr>
        <w:t>为纵向弥散度），则地下水纵向弥散系数为0.672</w:t>
      </w:r>
      <w:r>
        <w:rPr>
          <w:rFonts w:hint="default" w:ascii="Times New Roman" w:hAnsi="Times New Roman" w:cs="Times New Roman"/>
          <w:color w:val="auto"/>
          <w:sz w:val="24"/>
          <w:szCs w:val="24"/>
          <w:lang w:val="en-US" w:eastAsia="zh-CN" w:bidi="ar"/>
        </w:rPr>
        <w:t>m</w:t>
      </w:r>
      <w:r>
        <w:rPr>
          <w:rFonts w:hint="default" w:ascii="Times New Roman" w:hAnsi="Times New Roman" w:cs="Times New Roman"/>
          <w:color w:val="auto"/>
          <w:sz w:val="24"/>
          <w:szCs w:val="24"/>
          <w:vertAlign w:val="superscript"/>
          <w:lang w:val="en-US" w:eastAsia="zh-CN" w:bidi="ar"/>
        </w:rPr>
        <w:t>2</w:t>
      </w:r>
      <w:r>
        <w:rPr>
          <w:rFonts w:hint="default" w:ascii="Times New Roman" w:hAnsi="Times New Roman" w:cs="Times New Roman"/>
          <w:color w:val="auto"/>
          <w:sz w:val="24"/>
          <w:szCs w:val="24"/>
          <w:lang w:val="en-US" w:eastAsia="zh-CN" w:bidi="ar"/>
        </w:rPr>
        <w:t>/d</w:t>
      </w:r>
      <w:r>
        <w:rPr>
          <w:rFonts w:hint="eastAsia" w:ascii="Times New Roman" w:hAnsi="Times New Roman" w:cs="Times New Roman"/>
          <w:color w:val="auto"/>
          <w:sz w:val="24"/>
          <w:szCs w:val="24"/>
          <w:lang w:val="en-US" w:eastAsia="zh-CN" w:bidi="ar"/>
        </w:rPr>
        <w:t>。</w:t>
      </w:r>
    </w:p>
    <w:p w14:paraId="12781D6F">
      <w:pPr>
        <w:keepNext w:val="0"/>
        <w:keepLines w:val="0"/>
        <w:pageBreakBefore w:val="0"/>
        <w:widowControl/>
        <w:wordWrap/>
        <w:overflowPunct/>
        <w:topLinePunct w:val="0"/>
        <w:bidi w:val="0"/>
        <w:adjustRightInd/>
        <w:snapToGrid/>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计算时渗透系数、水力坡度、水流速度、纵向弥散度、纵向弥散系数及污染源强统计见表</w:t>
      </w:r>
      <w:r>
        <w:rPr>
          <w:rFonts w:hint="default" w:ascii="Times New Roman" w:hAnsi="Times New Roman" w:eastAsia="宋体" w:cs="Times New Roman"/>
          <w:color w:val="auto"/>
          <w:sz w:val="24"/>
          <w:szCs w:val="24"/>
          <w:lang w:val="en-US" w:eastAsia="zh-CN"/>
        </w:rPr>
        <w:t>4.8-</w:t>
      </w:r>
      <w:r>
        <w:rPr>
          <w:rFonts w:hint="eastAsia" w:ascii="Times New Roman" w:hAnsi="Times New Roman" w:eastAsia="宋体" w:cs="Times New Roman"/>
          <w:color w:val="auto"/>
          <w:sz w:val="24"/>
          <w:szCs w:val="24"/>
          <w:lang w:val="en-US" w:eastAsia="zh-CN"/>
        </w:rPr>
        <w:t>4</w:t>
      </w:r>
      <w:r>
        <w:rPr>
          <w:rFonts w:hint="default" w:ascii="Times New Roman" w:hAnsi="Times New Roman" w:cs="Times New Roman"/>
          <w:color w:val="auto"/>
          <w:sz w:val="24"/>
          <w:szCs w:val="24"/>
        </w:rPr>
        <w:t>。</w:t>
      </w:r>
    </w:p>
    <w:p w14:paraId="745927BC">
      <w:pPr>
        <w:spacing w:line="240" w:lineRule="auto"/>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表</w:t>
      </w:r>
      <w:r>
        <w:rPr>
          <w:rFonts w:hint="default" w:ascii="Times New Roman" w:hAnsi="Times New Roman" w:eastAsia="宋体" w:cs="Times New Roman"/>
          <w:b/>
          <w:color w:val="auto"/>
          <w:sz w:val="21"/>
          <w:szCs w:val="21"/>
          <w:lang w:val="en-US" w:eastAsia="zh-CN"/>
        </w:rPr>
        <w:t>4.8-</w:t>
      </w:r>
      <w:r>
        <w:rPr>
          <w:rFonts w:hint="eastAsia" w:ascii="Times New Roman" w:hAnsi="Times New Roman" w:eastAsia="宋体" w:cs="Times New Roman"/>
          <w:b/>
          <w:color w:val="auto"/>
          <w:sz w:val="21"/>
          <w:szCs w:val="21"/>
          <w:lang w:val="en-US" w:eastAsia="zh-CN"/>
        </w:rPr>
        <w:t>4</w:t>
      </w:r>
      <w:r>
        <w:rPr>
          <w:rFonts w:hint="default" w:ascii="Times New Roman" w:hAnsi="Times New Roman" w:cs="Times New Roman"/>
          <w:b/>
          <w:color w:val="auto"/>
          <w:sz w:val="21"/>
          <w:szCs w:val="21"/>
        </w:rPr>
        <w:t>计算参数一览表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44"/>
        <w:gridCol w:w="854"/>
        <w:gridCol w:w="1560"/>
        <w:gridCol w:w="1133"/>
        <w:gridCol w:w="1699"/>
        <w:gridCol w:w="1932"/>
      </w:tblGrid>
      <w:tr w14:paraId="360F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trPr>
        <w:tc>
          <w:tcPr>
            <w:tcW w:w="1144" w:type="dxa"/>
            <w:vMerge w:val="restart"/>
            <w:tcMar>
              <w:top w:w="10" w:type="dxa"/>
              <w:left w:w="10" w:type="dxa"/>
              <w:right w:w="10" w:type="dxa"/>
            </w:tcMar>
            <w:vAlign w:val="center"/>
          </w:tcPr>
          <w:p w14:paraId="3844417B">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渗透系数K(m/d)</w:t>
            </w:r>
          </w:p>
        </w:tc>
        <w:tc>
          <w:tcPr>
            <w:tcW w:w="854" w:type="dxa"/>
            <w:vMerge w:val="restart"/>
            <w:tcMar>
              <w:top w:w="10" w:type="dxa"/>
              <w:left w:w="10" w:type="dxa"/>
              <w:right w:w="10" w:type="dxa"/>
            </w:tcMar>
            <w:vAlign w:val="center"/>
          </w:tcPr>
          <w:p w14:paraId="56E25069">
            <w:pPr>
              <w:spacing w:line="240" w:lineRule="auto"/>
              <w:jc w:val="center"/>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lang w:bidi="ar"/>
              </w:rPr>
              <w:t>水力坡度I</w:t>
            </w:r>
          </w:p>
        </w:tc>
        <w:tc>
          <w:tcPr>
            <w:tcW w:w="1560" w:type="dxa"/>
            <w:vMerge w:val="restart"/>
            <w:tcMar>
              <w:top w:w="10" w:type="dxa"/>
              <w:left w:w="10" w:type="dxa"/>
              <w:right w:w="10" w:type="dxa"/>
            </w:tcMar>
            <w:vAlign w:val="center"/>
          </w:tcPr>
          <w:p w14:paraId="7A5C97D4">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纵向弥散度a</w:t>
            </w:r>
            <w:r>
              <w:rPr>
                <w:rFonts w:hint="default" w:ascii="Times New Roman" w:hAnsi="Times New Roman" w:cs="Times New Roman"/>
                <w:color w:val="auto"/>
                <w:sz w:val="21"/>
                <w:szCs w:val="21"/>
                <w:vertAlign w:val="subscript"/>
                <w:lang w:bidi="ar"/>
              </w:rPr>
              <w:t>L</w:t>
            </w:r>
            <w:r>
              <w:rPr>
                <w:rFonts w:hint="default" w:ascii="Times New Roman" w:hAnsi="Times New Roman" w:cs="Times New Roman"/>
                <w:color w:val="auto"/>
                <w:sz w:val="21"/>
                <w:szCs w:val="21"/>
                <w:lang w:bidi="ar"/>
              </w:rPr>
              <w:t>(m)</w:t>
            </w:r>
          </w:p>
        </w:tc>
        <w:tc>
          <w:tcPr>
            <w:tcW w:w="1133" w:type="dxa"/>
            <w:vMerge w:val="restart"/>
            <w:tcMar>
              <w:top w:w="10" w:type="dxa"/>
              <w:left w:w="10" w:type="dxa"/>
              <w:right w:w="10" w:type="dxa"/>
            </w:tcMar>
            <w:vAlign w:val="center"/>
          </w:tcPr>
          <w:p w14:paraId="37B5E8BC">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水流速度u(m/d)</w:t>
            </w:r>
          </w:p>
        </w:tc>
        <w:tc>
          <w:tcPr>
            <w:tcW w:w="1699" w:type="dxa"/>
            <w:vMerge w:val="restart"/>
            <w:vAlign w:val="center"/>
          </w:tcPr>
          <w:p w14:paraId="21C8F874">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纵向弥散系数D</w:t>
            </w:r>
            <w:r>
              <w:rPr>
                <w:rFonts w:hint="default" w:ascii="Times New Roman" w:hAnsi="Times New Roman" w:cs="Times New Roman"/>
                <w:color w:val="auto"/>
                <w:sz w:val="21"/>
                <w:szCs w:val="21"/>
                <w:vertAlign w:val="subscript"/>
                <w:lang w:bidi="ar"/>
              </w:rPr>
              <w:t>L</w:t>
            </w:r>
            <w:r>
              <w:rPr>
                <w:rFonts w:hint="default" w:ascii="Times New Roman" w:hAnsi="Times New Roman" w:cs="Times New Roman"/>
                <w:color w:val="auto"/>
                <w:sz w:val="21"/>
                <w:szCs w:val="21"/>
                <w:lang w:bidi="ar"/>
              </w:rPr>
              <w:t>(m</w:t>
            </w:r>
            <w:r>
              <w:rPr>
                <w:rFonts w:hint="default" w:ascii="Times New Roman" w:hAnsi="Times New Roman" w:cs="Times New Roman"/>
                <w:color w:val="auto"/>
                <w:sz w:val="21"/>
                <w:szCs w:val="21"/>
                <w:vertAlign w:val="superscript"/>
                <w:lang w:bidi="ar"/>
              </w:rPr>
              <w:t>2</w:t>
            </w:r>
            <w:r>
              <w:rPr>
                <w:rFonts w:hint="default" w:ascii="Times New Roman" w:hAnsi="Times New Roman" w:cs="Times New Roman"/>
                <w:color w:val="auto"/>
                <w:sz w:val="21"/>
                <w:szCs w:val="21"/>
                <w:lang w:bidi="ar"/>
              </w:rPr>
              <w:t>/d)</w:t>
            </w:r>
          </w:p>
        </w:tc>
        <w:tc>
          <w:tcPr>
            <w:tcW w:w="1932" w:type="dxa"/>
            <w:vAlign w:val="center"/>
          </w:tcPr>
          <w:p w14:paraId="35DBA57A">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污染源强C</w:t>
            </w:r>
            <w:r>
              <w:rPr>
                <w:rFonts w:hint="default" w:ascii="Times New Roman" w:hAnsi="Times New Roman" w:cs="Times New Roman"/>
                <w:color w:val="auto"/>
                <w:sz w:val="21"/>
                <w:szCs w:val="21"/>
                <w:vertAlign w:val="subscript"/>
                <w:lang w:bidi="ar"/>
              </w:rPr>
              <w:t>0</w:t>
            </w:r>
            <w:r>
              <w:rPr>
                <w:rFonts w:hint="default" w:ascii="Times New Roman" w:hAnsi="Times New Roman" w:cs="Times New Roman"/>
                <w:color w:val="auto"/>
                <w:sz w:val="21"/>
                <w:szCs w:val="21"/>
                <w:lang w:bidi="ar"/>
              </w:rPr>
              <w:t>(mg/L)</w:t>
            </w:r>
          </w:p>
        </w:tc>
      </w:tr>
      <w:tr w14:paraId="70EA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 w:hRule="atLeast"/>
        </w:trPr>
        <w:tc>
          <w:tcPr>
            <w:tcW w:w="1144" w:type="dxa"/>
            <w:vMerge w:val="continue"/>
            <w:tcMar>
              <w:top w:w="10" w:type="dxa"/>
              <w:left w:w="10" w:type="dxa"/>
              <w:right w:w="10" w:type="dxa"/>
            </w:tcMar>
            <w:vAlign w:val="center"/>
          </w:tcPr>
          <w:p w14:paraId="67E3B7C2">
            <w:pPr>
              <w:spacing w:line="240" w:lineRule="auto"/>
              <w:jc w:val="center"/>
              <w:rPr>
                <w:rFonts w:hint="default" w:ascii="Times New Roman" w:hAnsi="Times New Roman" w:cs="Times New Roman"/>
                <w:color w:val="auto"/>
                <w:sz w:val="21"/>
                <w:szCs w:val="21"/>
              </w:rPr>
            </w:pPr>
          </w:p>
        </w:tc>
        <w:tc>
          <w:tcPr>
            <w:tcW w:w="854" w:type="dxa"/>
            <w:vMerge w:val="continue"/>
            <w:tcMar>
              <w:top w:w="10" w:type="dxa"/>
              <w:left w:w="10" w:type="dxa"/>
              <w:right w:w="10" w:type="dxa"/>
            </w:tcMar>
            <w:vAlign w:val="center"/>
          </w:tcPr>
          <w:p w14:paraId="77C2AF58">
            <w:pPr>
              <w:spacing w:line="240" w:lineRule="auto"/>
              <w:jc w:val="center"/>
              <w:rPr>
                <w:rFonts w:hint="default" w:ascii="Times New Roman" w:hAnsi="Times New Roman" w:cs="Times New Roman"/>
                <w:color w:val="auto"/>
                <w:sz w:val="21"/>
                <w:szCs w:val="21"/>
              </w:rPr>
            </w:pPr>
          </w:p>
        </w:tc>
        <w:tc>
          <w:tcPr>
            <w:tcW w:w="1560" w:type="dxa"/>
            <w:vMerge w:val="continue"/>
            <w:tcMar>
              <w:top w:w="10" w:type="dxa"/>
              <w:left w:w="10" w:type="dxa"/>
              <w:right w:w="10" w:type="dxa"/>
            </w:tcMar>
            <w:vAlign w:val="center"/>
          </w:tcPr>
          <w:p w14:paraId="798352E6">
            <w:pPr>
              <w:spacing w:line="240" w:lineRule="auto"/>
              <w:jc w:val="center"/>
              <w:rPr>
                <w:rFonts w:hint="default" w:ascii="Times New Roman" w:hAnsi="Times New Roman" w:cs="Times New Roman"/>
                <w:color w:val="auto"/>
                <w:sz w:val="21"/>
                <w:szCs w:val="21"/>
              </w:rPr>
            </w:pPr>
          </w:p>
        </w:tc>
        <w:tc>
          <w:tcPr>
            <w:tcW w:w="1133" w:type="dxa"/>
            <w:vMerge w:val="continue"/>
            <w:tcMar>
              <w:top w:w="10" w:type="dxa"/>
              <w:left w:w="10" w:type="dxa"/>
              <w:right w:w="10" w:type="dxa"/>
            </w:tcMar>
            <w:vAlign w:val="center"/>
          </w:tcPr>
          <w:p w14:paraId="24B7C459">
            <w:pPr>
              <w:spacing w:line="240" w:lineRule="auto"/>
              <w:jc w:val="center"/>
              <w:rPr>
                <w:rFonts w:hint="default" w:ascii="Times New Roman" w:hAnsi="Times New Roman" w:cs="Times New Roman"/>
                <w:color w:val="auto"/>
                <w:sz w:val="21"/>
                <w:szCs w:val="21"/>
              </w:rPr>
            </w:pPr>
          </w:p>
        </w:tc>
        <w:tc>
          <w:tcPr>
            <w:tcW w:w="1699" w:type="dxa"/>
            <w:vMerge w:val="continue"/>
            <w:vAlign w:val="center"/>
          </w:tcPr>
          <w:p w14:paraId="616AF23C">
            <w:pPr>
              <w:spacing w:line="240" w:lineRule="auto"/>
              <w:jc w:val="center"/>
              <w:rPr>
                <w:rFonts w:hint="default" w:ascii="Times New Roman" w:hAnsi="Times New Roman" w:cs="Times New Roman"/>
                <w:color w:val="auto"/>
                <w:sz w:val="21"/>
                <w:szCs w:val="21"/>
              </w:rPr>
            </w:pPr>
          </w:p>
        </w:tc>
        <w:tc>
          <w:tcPr>
            <w:tcW w:w="1932" w:type="dxa"/>
            <w:vAlign w:val="center"/>
          </w:tcPr>
          <w:p w14:paraId="345CF995">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氨氮</w:t>
            </w:r>
          </w:p>
        </w:tc>
      </w:tr>
      <w:tr w14:paraId="5F43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rPr>
        <w:tc>
          <w:tcPr>
            <w:tcW w:w="1144" w:type="dxa"/>
            <w:tcMar>
              <w:top w:w="10" w:type="dxa"/>
              <w:left w:w="10" w:type="dxa"/>
              <w:right w:w="10" w:type="dxa"/>
            </w:tcMar>
            <w:vAlign w:val="center"/>
          </w:tcPr>
          <w:p w14:paraId="446CB1EB">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1.68</w:t>
            </w:r>
          </w:p>
        </w:tc>
        <w:tc>
          <w:tcPr>
            <w:tcW w:w="854" w:type="dxa"/>
            <w:tcMar>
              <w:top w:w="10" w:type="dxa"/>
              <w:left w:w="10" w:type="dxa"/>
              <w:right w:w="10" w:type="dxa"/>
            </w:tcMar>
            <w:vAlign w:val="center"/>
          </w:tcPr>
          <w:p w14:paraId="6DBE58DB">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0.002</w:t>
            </w:r>
          </w:p>
        </w:tc>
        <w:tc>
          <w:tcPr>
            <w:tcW w:w="1560" w:type="dxa"/>
            <w:tcMar>
              <w:top w:w="10" w:type="dxa"/>
              <w:left w:w="10" w:type="dxa"/>
              <w:right w:w="10" w:type="dxa"/>
            </w:tcMar>
            <w:vAlign w:val="center"/>
          </w:tcPr>
          <w:p w14:paraId="58C6A209">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133" w:type="dxa"/>
            <w:vAlign w:val="center"/>
          </w:tcPr>
          <w:p w14:paraId="01D83086">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0.0672</w:t>
            </w:r>
          </w:p>
        </w:tc>
        <w:tc>
          <w:tcPr>
            <w:tcW w:w="1699" w:type="dxa"/>
            <w:tcMar>
              <w:top w:w="10" w:type="dxa"/>
              <w:left w:w="10" w:type="dxa"/>
              <w:right w:w="10" w:type="dxa"/>
            </w:tcMar>
            <w:vAlign w:val="center"/>
          </w:tcPr>
          <w:p w14:paraId="4A17E0F2">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0.672</w:t>
            </w:r>
          </w:p>
        </w:tc>
        <w:tc>
          <w:tcPr>
            <w:tcW w:w="1932" w:type="dxa"/>
            <w:vAlign w:val="center"/>
          </w:tcPr>
          <w:p w14:paraId="5F64A326">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37.7</w:t>
            </w:r>
          </w:p>
        </w:tc>
      </w:tr>
    </w:tbl>
    <w:p w14:paraId="1327656C">
      <w:pPr>
        <w:keepNext w:val="0"/>
        <w:keepLines w:val="0"/>
        <w:pageBreakBefore w:val="0"/>
        <w:widowControl/>
        <w:kinsoku/>
        <w:wordWrap/>
        <w:overflowPunct/>
        <w:topLinePunct w:val="0"/>
        <w:autoSpaceDE w:val="0"/>
        <w:autoSpaceDN w:val="0"/>
        <w:bidi w:val="0"/>
        <w:adjustRightInd/>
        <w:snapToGrid/>
        <w:spacing w:line="360" w:lineRule="auto"/>
        <w:ind w:firstLine="482"/>
        <w:textAlignment w:val="baseline"/>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w:t>
      </w:r>
      <w:r>
        <w:rPr>
          <w:rFonts w:hint="default" w:ascii="Times New Roman" w:hAnsi="Times New Roman" w:cs="Times New Roman"/>
          <w:b/>
          <w:color w:val="auto"/>
          <w:sz w:val="24"/>
          <w:szCs w:val="24"/>
          <w:lang w:val="en-US" w:eastAsia="zh-CN"/>
        </w:rPr>
        <w:t>2</w:t>
      </w:r>
      <w:r>
        <w:rPr>
          <w:rFonts w:hint="default" w:ascii="Times New Roman" w:hAnsi="Times New Roman" w:cs="Times New Roman"/>
          <w:b/>
          <w:color w:val="auto"/>
          <w:sz w:val="24"/>
          <w:szCs w:val="24"/>
        </w:rPr>
        <w:t>）污染物预测结果分析</w:t>
      </w:r>
    </w:p>
    <w:p w14:paraId="6A3E3B9F">
      <w:pPr>
        <w:keepNext w:val="0"/>
        <w:keepLines w:val="0"/>
        <w:pageBreakBefore w:val="0"/>
        <w:widowControl/>
        <w:kinsoku/>
        <w:wordWrap/>
        <w:overflowPunct/>
        <w:topLinePunct w:val="0"/>
        <w:autoSpaceDE w:val="0"/>
        <w:autoSpaceDN w:val="0"/>
        <w:bidi w:val="0"/>
        <w:adjustRightInd/>
        <w:snapToGrid/>
        <w:spacing w:line="360" w:lineRule="auto"/>
        <w:ind w:firstLine="480"/>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非正常情况影响范围预测</w:t>
      </w:r>
    </w:p>
    <w:p w14:paraId="166F698A">
      <w:pPr>
        <w:keepNext w:val="0"/>
        <w:keepLines w:val="0"/>
        <w:pageBreakBefore w:val="0"/>
        <w:widowControl/>
        <w:kinsoku/>
        <w:wordWrap/>
        <w:overflowPunct/>
        <w:topLinePunct w:val="0"/>
        <w:autoSpaceDE w:val="0"/>
        <w:autoSpaceDN w:val="0"/>
        <w:bidi w:val="0"/>
        <w:adjustRightInd/>
        <w:snapToGrid/>
        <w:spacing w:line="360" w:lineRule="auto"/>
        <w:ind w:firstLine="48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w:t>
      </w:r>
      <w:r>
        <w:rPr>
          <w:rFonts w:hint="default" w:ascii="Times New Roman" w:hAnsi="Times New Roman" w:cs="Times New Roman"/>
          <w:color w:val="auto"/>
          <w:sz w:val="24"/>
          <w:szCs w:val="24"/>
          <w:lang w:val="en-US" w:eastAsia="zh-CN"/>
        </w:rPr>
        <w:t>化粪池</w:t>
      </w:r>
      <w:r>
        <w:rPr>
          <w:rFonts w:hint="default" w:ascii="Times New Roman" w:hAnsi="Times New Roman" w:cs="Times New Roman"/>
          <w:color w:val="auto"/>
          <w:sz w:val="24"/>
          <w:szCs w:val="24"/>
        </w:rPr>
        <w:t>的防渗层出现破损或破裂，污废水发生泄漏的非正常状况下，污废水持续发生泄漏7天、50天、100天、365天、730天和1000天后，</w:t>
      </w:r>
      <w:r>
        <w:rPr>
          <w:rFonts w:hint="eastAsia" w:ascii="Times New Roman" w:hAnsi="Times New Roman" w:eastAsia="宋体" w:cs="Times New Roman"/>
          <w:color w:val="auto"/>
          <w:sz w:val="24"/>
          <w:szCs w:val="24"/>
          <w:lang w:val="en-US" w:eastAsia="zh-CN"/>
        </w:rPr>
        <w:t>根据项目区地下水流向，</w:t>
      </w:r>
      <w:r>
        <w:rPr>
          <w:rFonts w:hint="default" w:ascii="Times New Roman" w:hAnsi="Times New Roman" w:cs="Times New Roman"/>
          <w:color w:val="auto"/>
          <w:sz w:val="24"/>
          <w:szCs w:val="24"/>
        </w:rPr>
        <w:t>项目区地下水向</w:t>
      </w:r>
      <w:r>
        <w:rPr>
          <w:rFonts w:hint="default" w:ascii="Times New Roman" w:hAnsi="Times New Roman" w:cs="Times New Roman"/>
          <w:color w:val="auto"/>
          <w:sz w:val="24"/>
          <w:szCs w:val="24"/>
          <w:lang w:val="en-US" w:eastAsia="zh-CN"/>
        </w:rPr>
        <w:t>西南面</w:t>
      </w:r>
      <w:r>
        <w:rPr>
          <w:rFonts w:hint="default" w:ascii="Times New Roman" w:hAnsi="Times New Roman" w:cs="Times New Roman"/>
          <w:color w:val="auto"/>
          <w:sz w:val="24"/>
          <w:szCs w:val="24"/>
        </w:rPr>
        <w:t>排泄，</w:t>
      </w:r>
      <w:r>
        <w:rPr>
          <w:rFonts w:hint="eastAsia" w:ascii="Times New Roman" w:hAnsi="Times New Roman" w:eastAsia="宋体" w:cs="Times New Roman"/>
          <w:color w:val="auto"/>
          <w:sz w:val="24"/>
          <w:szCs w:val="24"/>
          <w:lang w:val="en-US" w:eastAsia="zh-CN"/>
        </w:rPr>
        <w:t>废水先进入东干渠。按照地下水流向，</w:t>
      </w:r>
      <w:r>
        <w:rPr>
          <w:rFonts w:hint="default" w:ascii="Times New Roman" w:hAnsi="Times New Roman" w:cs="Times New Roman"/>
          <w:color w:val="auto"/>
          <w:sz w:val="24"/>
          <w:szCs w:val="24"/>
          <w:lang w:val="en-US" w:eastAsia="zh-CN"/>
        </w:rPr>
        <w:t>化粪池</w:t>
      </w:r>
      <w:r>
        <w:rPr>
          <w:rFonts w:hint="default" w:ascii="Times New Roman" w:hAnsi="Times New Roman" w:cs="Times New Roman"/>
          <w:color w:val="auto"/>
          <w:sz w:val="24"/>
          <w:szCs w:val="24"/>
        </w:rPr>
        <w:t>距</w:t>
      </w:r>
      <w:r>
        <w:rPr>
          <w:rFonts w:hint="eastAsia" w:ascii="Times New Roman" w:hAnsi="Times New Roman" w:eastAsia="宋体" w:cs="Times New Roman"/>
          <w:color w:val="auto"/>
          <w:sz w:val="24"/>
          <w:szCs w:val="24"/>
          <w:lang w:val="en-US" w:eastAsia="zh-CN"/>
        </w:rPr>
        <w:t>东干渠</w:t>
      </w:r>
      <w:r>
        <w:rPr>
          <w:rFonts w:hint="default" w:ascii="Times New Roman" w:hAnsi="Times New Roman" w:cs="Times New Roman"/>
          <w:color w:val="auto"/>
          <w:sz w:val="24"/>
          <w:szCs w:val="24"/>
        </w:rPr>
        <w:t>最近距离为</w:t>
      </w:r>
      <w:r>
        <w:rPr>
          <w:rFonts w:hint="eastAsia" w:ascii="Times New Roman" w:hAnsi="Times New Roman" w:cs="Times New Roman"/>
          <w:color w:val="auto"/>
          <w:sz w:val="24"/>
          <w:szCs w:val="24"/>
          <w:lang w:val="en-US" w:eastAsia="zh-CN"/>
        </w:rPr>
        <w:t>410</w:t>
      </w:r>
      <w:r>
        <w:rPr>
          <w:rFonts w:hint="default" w:ascii="Times New Roman" w:hAnsi="Times New Roman" w:cs="Times New Roman"/>
          <w:color w:val="auto"/>
          <w:sz w:val="24"/>
          <w:szCs w:val="24"/>
        </w:rPr>
        <w:t>m，本次预测距离取</w:t>
      </w:r>
      <w:r>
        <w:rPr>
          <w:rFonts w:hint="eastAsia" w:ascii="Times New Roman" w:hAnsi="Times New Roman" w:cs="Times New Roman"/>
          <w:color w:val="auto"/>
          <w:sz w:val="24"/>
          <w:szCs w:val="24"/>
          <w:lang w:val="en-US" w:eastAsia="zh-CN"/>
        </w:rPr>
        <w:t>410</w:t>
      </w:r>
      <w:r>
        <w:rPr>
          <w:rFonts w:hint="default" w:ascii="Times New Roman" w:hAnsi="Times New Roman" w:cs="Times New Roman"/>
          <w:color w:val="auto"/>
          <w:sz w:val="24"/>
          <w:szCs w:val="24"/>
        </w:rPr>
        <w:t>m。地下水环境受氨氮影响的最大距离估算结果见表</w:t>
      </w:r>
      <w:r>
        <w:rPr>
          <w:rFonts w:hint="eastAsia" w:ascii="Times New Roman" w:hAnsi="Times New Roman" w:eastAsia="宋体" w:cs="Times New Roman"/>
          <w:color w:val="auto"/>
          <w:sz w:val="24"/>
          <w:szCs w:val="24"/>
          <w:lang w:val="en-US" w:eastAsia="zh-CN"/>
        </w:rPr>
        <w:t>4.8-5</w:t>
      </w:r>
      <w:r>
        <w:rPr>
          <w:rFonts w:hint="default" w:ascii="Times New Roman" w:hAnsi="Times New Roman" w:cs="Times New Roman"/>
          <w:color w:val="auto"/>
          <w:sz w:val="24"/>
          <w:szCs w:val="24"/>
        </w:rPr>
        <w:t>，地下水中氨氮的浓度变化曲线见图</w:t>
      </w:r>
      <w:r>
        <w:rPr>
          <w:rFonts w:hint="eastAsia" w:ascii="Times New Roman" w:hAnsi="Times New Roman" w:eastAsia="宋体" w:cs="Times New Roman"/>
          <w:color w:val="auto"/>
          <w:sz w:val="24"/>
          <w:szCs w:val="24"/>
          <w:lang w:val="en-US" w:eastAsia="zh-CN"/>
        </w:rPr>
        <w:t>4.8-2</w:t>
      </w:r>
      <w:r>
        <w:rPr>
          <w:rFonts w:hint="default" w:ascii="Times New Roman" w:hAnsi="Times New Roman" w:cs="Times New Roman"/>
          <w:color w:val="auto"/>
          <w:sz w:val="24"/>
          <w:szCs w:val="24"/>
        </w:rPr>
        <w:t>。</w:t>
      </w:r>
    </w:p>
    <w:p w14:paraId="1E21F207">
      <w:pPr>
        <w:keepNext w:val="0"/>
        <w:keepLines w:val="0"/>
        <w:pageBreakBefore w:val="0"/>
        <w:widowControl/>
        <w:kinsoku/>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表</w:t>
      </w:r>
      <w:r>
        <w:rPr>
          <w:rFonts w:hint="eastAsia" w:ascii="Times New Roman" w:hAnsi="Times New Roman" w:eastAsia="宋体" w:cs="Times New Roman"/>
          <w:b/>
          <w:color w:val="auto"/>
          <w:sz w:val="21"/>
          <w:szCs w:val="21"/>
          <w:lang w:val="en-US" w:eastAsia="zh-CN"/>
        </w:rPr>
        <w:t>4.8-5</w:t>
      </w:r>
      <w:r>
        <w:rPr>
          <w:rFonts w:hint="default" w:ascii="Times New Roman" w:hAnsi="Times New Roman" w:cs="Times New Roman"/>
          <w:b/>
          <w:color w:val="auto"/>
          <w:sz w:val="21"/>
          <w:szCs w:val="21"/>
        </w:rPr>
        <w:t xml:space="preserve">  地下水中氨氮浓度变化预测结果表（单位:mg/L）</w:t>
      </w:r>
    </w:p>
    <w:tbl>
      <w:tblPr>
        <w:tblStyle w:val="21"/>
        <w:tblW w:w="0" w:type="auto"/>
        <w:tblInd w:w="0" w:type="dxa"/>
        <w:tblLayout w:type="fixed"/>
        <w:tblCellMar>
          <w:top w:w="0" w:type="dxa"/>
          <w:left w:w="108" w:type="dxa"/>
          <w:bottom w:w="0" w:type="dxa"/>
          <w:right w:w="108" w:type="dxa"/>
        </w:tblCellMar>
      </w:tblPr>
      <w:tblGrid>
        <w:gridCol w:w="1524"/>
        <w:gridCol w:w="1167"/>
        <w:gridCol w:w="1167"/>
        <w:gridCol w:w="1168"/>
        <w:gridCol w:w="1167"/>
        <w:gridCol w:w="1167"/>
        <w:gridCol w:w="1168"/>
      </w:tblGrid>
      <w:tr w14:paraId="742FFBB7">
        <w:tblPrEx>
          <w:tblCellMar>
            <w:top w:w="0" w:type="dxa"/>
            <w:left w:w="108" w:type="dxa"/>
            <w:bottom w:w="0" w:type="dxa"/>
            <w:right w:w="108" w:type="dxa"/>
          </w:tblCellMar>
        </w:tblPrEx>
        <w:trPr>
          <w:trHeight w:val="286" w:hRule="atLeast"/>
        </w:trPr>
        <w:tc>
          <w:tcPr>
            <w:tcW w:w="1524" w:type="dxa"/>
            <w:tcBorders>
              <w:top w:val="single" w:color="auto" w:sz="4" w:space="0"/>
              <w:left w:val="single" w:color="auto" w:sz="4" w:space="0"/>
              <w:bottom w:val="single" w:color="auto" w:sz="4" w:space="0"/>
              <w:right w:val="single" w:color="auto" w:sz="4" w:space="0"/>
              <w:tl2br w:val="single" w:color="auto" w:sz="4" w:space="0"/>
            </w:tcBorders>
            <w:vAlign w:val="center"/>
          </w:tcPr>
          <w:p w14:paraId="4F48EB78">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时间/距离(m)</w:t>
            </w:r>
          </w:p>
        </w:tc>
        <w:tc>
          <w:tcPr>
            <w:tcW w:w="1167" w:type="dxa"/>
            <w:tcBorders>
              <w:top w:val="single" w:color="auto" w:sz="4" w:space="0"/>
              <w:left w:val="single" w:color="auto" w:sz="4" w:space="0"/>
              <w:bottom w:val="single" w:color="auto" w:sz="4" w:space="0"/>
              <w:right w:val="single" w:color="auto" w:sz="4" w:space="0"/>
            </w:tcBorders>
            <w:vAlign w:val="center"/>
          </w:tcPr>
          <w:p w14:paraId="0CB6C019">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7天</w:t>
            </w:r>
          </w:p>
        </w:tc>
        <w:tc>
          <w:tcPr>
            <w:tcW w:w="1167" w:type="dxa"/>
            <w:tcBorders>
              <w:top w:val="single" w:color="auto" w:sz="4" w:space="0"/>
              <w:left w:val="single" w:color="auto" w:sz="4" w:space="0"/>
              <w:bottom w:val="single" w:color="auto" w:sz="4" w:space="0"/>
              <w:right w:val="single" w:color="auto" w:sz="4" w:space="0"/>
            </w:tcBorders>
            <w:vAlign w:val="center"/>
          </w:tcPr>
          <w:p w14:paraId="0EDA98F2">
            <w:pPr>
              <w:jc w:val="center"/>
              <w:rPr>
                <w:rFonts w:hint="default" w:ascii="Times New Roman" w:hAnsi="Times New Roman" w:cs="Times New Roman"/>
                <w:color w:val="auto"/>
              </w:rPr>
            </w:pPr>
            <w:r>
              <w:rPr>
                <w:rFonts w:hint="default" w:ascii="Times New Roman" w:hAnsi="Times New Roman" w:cs="Times New Roman"/>
                <w:color w:val="auto"/>
                <w:sz w:val="21"/>
                <w:szCs w:val="21"/>
              </w:rPr>
              <w:t>50天</w:t>
            </w:r>
          </w:p>
        </w:tc>
        <w:tc>
          <w:tcPr>
            <w:tcW w:w="1168" w:type="dxa"/>
            <w:tcBorders>
              <w:top w:val="single" w:color="auto" w:sz="4" w:space="0"/>
              <w:left w:val="single" w:color="auto" w:sz="4" w:space="0"/>
              <w:bottom w:val="single" w:color="auto" w:sz="4" w:space="0"/>
              <w:right w:val="single" w:color="auto" w:sz="4" w:space="0"/>
            </w:tcBorders>
            <w:vAlign w:val="center"/>
          </w:tcPr>
          <w:p w14:paraId="0081278C">
            <w:pPr>
              <w:jc w:val="center"/>
              <w:rPr>
                <w:rFonts w:hint="default" w:ascii="Times New Roman" w:hAnsi="Times New Roman" w:cs="Times New Roman"/>
                <w:color w:val="auto"/>
              </w:rPr>
            </w:pPr>
            <w:r>
              <w:rPr>
                <w:rFonts w:hint="default" w:ascii="Times New Roman" w:hAnsi="Times New Roman" w:cs="Times New Roman"/>
                <w:color w:val="auto"/>
                <w:sz w:val="21"/>
                <w:szCs w:val="21"/>
              </w:rPr>
              <w:t>100天</w:t>
            </w:r>
          </w:p>
        </w:tc>
        <w:tc>
          <w:tcPr>
            <w:tcW w:w="1167" w:type="dxa"/>
            <w:tcBorders>
              <w:top w:val="single" w:color="auto" w:sz="4" w:space="0"/>
              <w:left w:val="single" w:color="auto" w:sz="4" w:space="0"/>
              <w:bottom w:val="single" w:color="auto" w:sz="4" w:space="0"/>
              <w:right w:val="single" w:color="auto" w:sz="4" w:space="0"/>
            </w:tcBorders>
            <w:vAlign w:val="center"/>
          </w:tcPr>
          <w:p w14:paraId="486573F6">
            <w:pPr>
              <w:jc w:val="center"/>
              <w:rPr>
                <w:rFonts w:hint="default" w:ascii="Times New Roman" w:hAnsi="Times New Roman" w:cs="Times New Roman"/>
                <w:color w:val="auto"/>
              </w:rPr>
            </w:pPr>
            <w:r>
              <w:rPr>
                <w:rFonts w:hint="eastAsia" w:ascii="Times New Roman" w:hAnsi="Times New Roman" w:eastAsia="宋体" w:cs="Times New Roman"/>
                <w:color w:val="auto"/>
                <w:sz w:val="21"/>
                <w:szCs w:val="21"/>
                <w:lang w:val="en-US" w:eastAsia="zh-CN"/>
              </w:rPr>
              <w:t>3</w:t>
            </w:r>
            <w:r>
              <w:rPr>
                <w:rFonts w:hint="default" w:ascii="Times New Roman" w:hAnsi="Times New Roman" w:cs="Times New Roman"/>
                <w:color w:val="auto"/>
                <w:sz w:val="21"/>
                <w:szCs w:val="21"/>
              </w:rPr>
              <w:t>65天</w:t>
            </w:r>
          </w:p>
        </w:tc>
        <w:tc>
          <w:tcPr>
            <w:tcW w:w="1167" w:type="dxa"/>
            <w:tcBorders>
              <w:top w:val="single" w:color="auto" w:sz="4" w:space="0"/>
              <w:left w:val="single" w:color="auto" w:sz="4" w:space="0"/>
              <w:bottom w:val="single" w:color="auto" w:sz="4" w:space="0"/>
              <w:right w:val="single" w:color="auto" w:sz="4" w:space="0"/>
            </w:tcBorders>
            <w:vAlign w:val="center"/>
          </w:tcPr>
          <w:p w14:paraId="559E9D19">
            <w:pPr>
              <w:jc w:val="center"/>
              <w:rPr>
                <w:rFonts w:hint="default" w:ascii="Times New Roman" w:hAnsi="Times New Roman" w:cs="Times New Roman"/>
                <w:color w:val="auto"/>
              </w:rPr>
            </w:pPr>
            <w:r>
              <w:rPr>
                <w:rFonts w:hint="default" w:ascii="Times New Roman" w:hAnsi="Times New Roman" w:cs="Times New Roman"/>
                <w:color w:val="auto"/>
                <w:sz w:val="21"/>
                <w:szCs w:val="21"/>
              </w:rPr>
              <w:t>730天</w:t>
            </w:r>
          </w:p>
        </w:tc>
        <w:tc>
          <w:tcPr>
            <w:tcW w:w="1168" w:type="dxa"/>
            <w:tcBorders>
              <w:top w:val="single" w:color="auto" w:sz="4" w:space="0"/>
              <w:left w:val="single" w:color="auto" w:sz="4" w:space="0"/>
              <w:bottom w:val="single" w:color="auto" w:sz="4" w:space="0"/>
              <w:right w:val="single" w:color="auto" w:sz="4" w:space="0"/>
            </w:tcBorders>
            <w:vAlign w:val="center"/>
          </w:tcPr>
          <w:p w14:paraId="646E060D">
            <w:pPr>
              <w:jc w:val="center"/>
              <w:rPr>
                <w:rFonts w:hint="default" w:ascii="Times New Roman" w:hAnsi="Times New Roman" w:cs="Times New Roman"/>
                <w:color w:val="auto"/>
              </w:rPr>
            </w:pPr>
            <w:r>
              <w:rPr>
                <w:rFonts w:hint="default" w:ascii="Times New Roman" w:hAnsi="Times New Roman" w:cs="Times New Roman"/>
                <w:color w:val="auto"/>
                <w:sz w:val="21"/>
                <w:szCs w:val="21"/>
              </w:rPr>
              <w:t>1000天</w:t>
            </w:r>
          </w:p>
        </w:tc>
      </w:tr>
      <w:tr w14:paraId="106AB56C">
        <w:tblPrEx>
          <w:tblCellMar>
            <w:top w:w="0" w:type="dxa"/>
            <w:left w:w="108" w:type="dxa"/>
            <w:bottom w:w="0" w:type="dxa"/>
            <w:right w:w="108" w:type="dxa"/>
          </w:tblCellMar>
        </w:tblPrEx>
        <w:trPr>
          <w:trHeight w:val="203" w:hRule="atLeast"/>
        </w:trPr>
        <w:tc>
          <w:tcPr>
            <w:tcW w:w="1524" w:type="dxa"/>
            <w:tcBorders>
              <w:top w:val="single" w:color="auto" w:sz="4" w:space="0"/>
              <w:left w:val="single" w:color="auto" w:sz="4" w:space="0"/>
              <w:bottom w:val="single" w:color="auto" w:sz="4" w:space="0"/>
              <w:right w:val="single" w:color="auto" w:sz="4" w:space="0"/>
            </w:tcBorders>
            <w:vAlign w:val="center"/>
          </w:tcPr>
          <w:p w14:paraId="77C484F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1167" w:type="dxa"/>
            <w:tcBorders>
              <w:top w:val="single" w:color="auto" w:sz="4" w:space="0"/>
              <w:left w:val="single" w:color="auto" w:sz="4" w:space="0"/>
              <w:bottom w:val="single" w:color="auto" w:sz="4" w:space="0"/>
              <w:right w:val="single" w:color="auto" w:sz="4" w:space="0"/>
            </w:tcBorders>
            <w:vAlign w:val="center"/>
          </w:tcPr>
          <w:p w14:paraId="3BF1C59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3.77E+01</w:t>
            </w:r>
          </w:p>
        </w:tc>
        <w:tc>
          <w:tcPr>
            <w:tcW w:w="1167" w:type="dxa"/>
            <w:tcBorders>
              <w:top w:val="single" w:color="auto" w:sz="4" w:space="0"/>
              <w:left w:val="single" w:color="auto" w:sz="4" w:space="0"/>
              <w:bottom w:val="single" w:color="auto" w:sz="4" w:space="0"/>
              <w:right w:val="single" w:color="auto" w:sz="4" w:space="0"/>
            </w:tcBorders>
            <w:vAlign w:val="center"/>
          </w:tcPr>
          <w:p w14:paraId="34B06E0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3.77E+01</w:t>
            </w:r>
          </w:p>
        </w:tc>
        <w:tc>
          <w:tcPr>
            <w:tcW w:w="1168" w:type="dxa"/>
            <w:tcBorders>
              <w:top w:val="single" w:color="auto" w:sz="4" w:space="0"/>
              <w:left w:val="single" w:color="auto" w:sz="4" w:space="0"/>
              <w:bottom w:val="single" w:color="auto" w:sz="4" w:space="0"/>
              <w:right w:val="single" w:color="auto" w:sz="4" w:space="0"/>
            </w:tcBorders>
            <w:vAlign w:val="center"/>
          </w:tcPr>
          <w:p w14:paraId="4E60B07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3.77E+01</w:t>
            </w:r>
          </w:p>
        </w:tc>
        <w:tc>
          <w:tcPr>
            <w:tcW w:w="1167" w:type="dxa"/>
            <w:tcBorders>
              <w:top w:val="single" w:color="auto" w:sz="4" w:space="0"/>
              <w:left w:val="single" w:color="auto" w:sz="4" w:space="0"/>
              <w:bottom w:val="single" w:color="auto" w:sz="4" w:space="0"/>
              <w:right w:val="single" w:color="auto" w:sz="4" w:space="0"/>
            </w:tcBorders>
            <w:vAlign w:val="center"/>
          </w:tcPr>
          <w:p w14:paraId="17DB552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3.77E+01</w:t>
            </w:r>
          </w:p>
        </w:tc>
        <w:tc>
          <w:tcPr>
            <w:tcW w:w="1167" w:type="dxa"/>
            <w:tcBorders>
              <w:top w:val="single" w:color="auto" w:sz="4" w:space="0"/>
              <w:left w:val="single" w:color="auto" w:sz="4" w:space="0"/>
              <w:bottom w:val="single" w:color="auto" w:sz="4" w:space="0"/>
              <w:right w:val="single" w:color="auto" w:sz="4" w:space="0"/>
            </w:tcBorders>
            <w:vAlign w:val="center"/>
          </w:tcPr>
          <w:p w14:paraId="7C4AEF9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3.77E+01</w:t>
            </w:r>
          </w:p>
        </w:tc>
        <w:tc>
          <w:tcPr>
            <w:tcW w:w="1168" w:type="dxa"/>
            <w:tcBorders>
              <w:top w:val="single" w:color="auto" w:sz="4" w:space="0"/>
              <w:left w:val="single" w:color="auto" w:sz="4" w:space="0"/>
              <w:bottom w:val="single" w:color="auto" w:sz="4" w:space="0"/>
              <w:right w:val="single" w:color="auto" w:sz="4" w:space="0"/>
            </w:tcBorders>
            <w:vAlign w:val="center"/>
          </w:tcPr>
          <w:p w14:paraId="40633FE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3.77E+01</w:t>
            </w:r>
          </w:p>
        </w:tc>
      </w:tr>
      <w:tr w14:paraId="6AA945E6">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11B573D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10</w:t>
            </w:r>
          </w:p>
        </w:tc>
        <w:tc>
          <w:tcPr>
            <w:tcW w:w="1167" w:type="dxa"/>
            <w:tcBorders>
              <w:top w:val="single" w:color="auto" w:sz="4" w:space="0"/>
              <w:left w:val="single" w:color="auto" w:sz="4" w:space="0"/>
              <w:bottom w:val="single" w:color="auto" w:sz="4" w:space="0"/>
              <w:right w:val="single" w:color="auto" w:sz="4" w:space="0"/>
            </w:tcBorders>
            <w:vAlign w:val="center"/>
          </w:tcPr>
          <w:p w14:paraId="1C68A1A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6.85E-02</w:t>
            </w:r>
          </w:p>
        </w:tc>
        <w:tc>
          <w:tcPr>
            <w:tcW w:w="1167" w:type="dxa"/>
            <w:tcBorders>
              <w:top w:val="single" w:color="auto" w:sz="4" w:space="0"/>
              <w:left w:val="single" w:color="auto" w:sz="4" w:space="0"/>
              <w:bottom w:val="single" w:color="auto" w:sz="4" w:space="0"/>
              <w:right w:val="single" w:color="auto" w:sz="4" w:space="0"/>
            </w:tcBorders>
            <w:vAlign w:val="center"/>
          </w:tcPr>
          <w:p w14:paraId="2ECCC47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1.32E+01</w:t>
            </w:r>
          </w:p>
        </w:tc>
        <w:tc>
          <w:tcPr>
            <w:tcW w:w="1168" w:type="dxa"/>
            <w:tcBorders>
              <w:top w:val="single" w:color="auto" w:sz="4" w:space="0"/>
              <w:left w:val="single" w:color="auto" w:sz="4" w:space="0"/>
              <w:bottom w:val="single" w:color="auto" w:sz="4" w:space="0"/>
              <w:right w:val="single" w:color="auto" w:sz="4" w:space="0"/>
            </w:tcBorders>
            <w:vAlign w:val="center"/>
          </w:tcPr>
          <w:p w14:paraId="26A84E9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2.23E+01</w:t>
            </w:r>
          </w:p>
        </w:tc>
        <w:tc>
          <w:tcPr>
            <w:tcW w:w="1167" w:type="dxa"/>
            <w:tcBorders>
              <w:top w:val="single" w:color="auto" w:sz="4" w:space="0"/>
              <w:left w:val="single" w:color="auto" w:sz="4" w:space="0"/>
              <w:bottom w:val="single" w:color="auto" w:sz="4" w:space="0"/>
              <w:right w:val="single" w:color="auto" w:sz="4" w:space="0"/>
            </w:tcBorders>
            <w:vAlign w:val="center"/>
          </w:tcPr>
          <w:p w14:paraId="53263BE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3.41E+01</w:t>
            </w:r>
          </w:p>
        </w:tc>
        <w:tc>
          <w:tcPr>
            <w:tcW w:w="1167" w:type="dxa"/>
            <w:tcBorders>
              <w:top w:val="single" w:color="auto" w:sz="4" w:space="0"/>
              <w:left w:val="single" w:color="auto" w:sz="4" w:space="0"/>
              <w:bottom w:val="single" w:color="auto" w:sz="4" w:space="0"/>
              <w:right w:val="single" w:color="auto" w:sz="4" w:space="0"/>
            </w:tcBorders>
            <w:vAlign w:val="center"/>
          </w:tcPr>
          <w:p w14:paraId="7E94E40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rPr>
            </w:pPr>
            <w:r>
              <w:rPr>
                <w:rFonts w:hint="eastAsia" w:ascii="Times New Roman" w:hAnsi="Times New Roman" w:cs="Times New Roman"/>
                <w:color w:val="auto"/>
                <w:lang w:val="en-US" w:eastAsia="zh-CN"/>
              </w:rPr>
              <w:t>3.67E+01</w:t>
            </w:r>
          </w:p>
        </w:tc>
        <w:tc>
          <w:tcPr>
            <w:tcW w:w="1168" w:type="dxa"/>
            <w:tcBorders>
              <w:top w:val="single" w:color="auto" w:sz="4" w:space="0"/>
              <w:left w:val="single" w:color="auto" w:sz="4" w:space="0"/>
              <w:bottom w:val="single" w:color="auto" w:sz="4" w:space="0"/>
              <w:right w:val="single" w:color="auto" w:sz="4" w:space="0"/>
            </w:tcBorders>
            <w:vAlign w:val="center"/>
          </w:tcPr>
          <w:p w14:paraId="1CF9863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3.73E+01</w:t>
            </w:r>
          </w:p>
        </w:tc>
      </w:tr>
      <w:tr w14:paraId="798C5ED0">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4691586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20</w:t>
            </w:r>
          </w:p>
        </w:tc>
        <w:tc>
          <w:tcPr>
            <w:tcW w:w="1167" w:type="dxa"/>
            <w:tcBorders>
              <w:top w:val="single" w:color="auto" w:sz="4" w:space="0"/>
              <w:left w:val="single" w:color="auto" w:sz="4" w:space="0"/>
              <w:bottom w:val="single" w:color="auto" w:sz="4" w:space="0"/>
              <w:right w:val="single" w:color="auto" w:sz="4" w:space="0"/>
            </w:tcBorders>
            <w:vAlign w:val="center"/>
          </w:tcPr>
          <w:p w14:paraId="11A9509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7.14E-09</w:t>
            </w:r>
          </w:p>
        </w:tc>
        <w:tc>
          <w:tcPr>
            <w:tcW w:w="1167" w:type="dxa"/>
            <w:tcBorders>
              <w:top w:val="single" w:color="auto" w:sz="4" w:space="0"/>
              <w:left w:val="single" w:color="auto" w:sz="4" w:space="0"/>
              <w:bottom w:val="single" w:color="auto" w:sz="4" w:space="0"/>
              <w:right w:val="single" w:color="auto" w:sz="4" w:space="0"/>
            </w:tcBorders>
            <w:vAlign w:val="center"/>
          </w:tcPr>
          <w:p w14:paraId="5769D63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1.41E+00</w:t>
            </w:r>
          </w:p>
        </w:tc>
        <w:tc>
          <w:tcPr>
            <w:tcW w:w="1168" w:type="dxa"/>
            <w:tcBorders>
              <w:top w:val="single" w:color="auto" w:sz="4" w:space="0"/>
              <w:left w:val="single" w:color="auto" w:sz="4" w:space="0"/>
              <w:bottom w:val="single" w:color="auto" w:sz="4" w:space="0"/>
              <w:right w:val="single" w:color="auto" w:sz="4" w:space="0"/>
            </w:tcBorders>
            <w:vAlign w:val="center"/>
          </w:tcPr>
          <w:p w14:paraId="74E1D0F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7.70E+00</w:t>
            </w:r>
          </w:p>
        </w:tc>
        <w:tc>
          <w:tcPr>
            <w:tcW w:w="1167" w:type="dxa"/>
            <w:tcBorders>
              <w:top w:val="single" w:color="auto" w:sz="4" w:space="0"/>
              <w:left w:val="single" w:color="auto" w:sz="4" w:space="0"/>
              <w:bottom w:val="single" w:color="auto" w:sz="4" w:space="0"/>
              <w:right w:val="single" w:color="auto" w:sz="4" w:space="0"/>
            </w:tcBorders>
            <w:vAlign w:val="center"/>
          </w:tcPr>
          <w:p w14:paraId="59598AB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2.81E+01</w:t>
            </w:r>
          </w:p>
        </w:tc>
        <w:tc>
          <w:tcPr>
            <w:tcW w:w="1167" w:type="dxa"/>
            <w:tcBorders>
              <w:top w:val="single" w:color="auto" w:sz="4" w:space="0"/>
              <w:left w:val="single" w:color="auto" w:sz="4" w:space="0"/>
              <w:bottom w:val="single" w:color="auto" w:sz="4" w:space="0"/>
              <w:right w:val="single" w:color="auto" w:sz="4" w:space="0"/>
            </w:tcBorders>
            <w:vAlign w:val="center"/>
          </w:tcPr>
          <w:p w14:paraId="42348DF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3.49E+01</w:t>
            </w:r>
          </w:p>
        </w:tc>
        <w:tc>
          <w:tcPr>
            <w:tcW w:w="1168" w:type="dxa"/>
            <w:tcBorders>
              <w:top w:val="single" w:color="auto" w:sz="4" w:space="0"/>
              <w:left w:val="single" w:color="auto" w:sz="4" w:space="0"/>
              <w:bottom w:val="single" w:color="auto" w:sz="4" w:space="0"/>
              <w:right w:val="single" w:color="auto" w:sz="4" w:space="0"/>
            </w:tcBorders>
            <w:vAlign w:val="center"/>
          </w:tcPr>
          <w:p w14:paraId="3BED1B8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3.64E+01</w:t>
            </w:r>
          </w:p>
        </w:tc>
      </w:tr>
      <w:tr w14:paraId="37D493AF">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70D9A7B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30</w:t>
            </w:r>
          </w:p>
        </w:tc>
        <w:tc>
          <w:tcPr>
            <w:tcW w:w="1167" w:type="dxa"/>
            <w:tcBorders>
              <w:top w:val="single" w:color="auto" w:sz="4" w:space="0"/>
              <w:left w:val="single" w:color="auto" w:sz="4" w:space="0"/>
              <w:bottom w:val="single" w:color="auto" w:sz="4" w:space="0"/>
              <w:right w:val="single" w:color="auto" w:sz="4" w:space="0"/>
            </w:tcBorders>
            <w:vAlign w:val="center"/>
          </w:tcPr>
          <w:p w14:paraId="48465AE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FBCC6A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3.96E-02</w:t>
            </w:r>
          </w:p>
        </w:tc>
        <w:tc>
          <w:tcPr>
            <w:tcW w:w="1168" w:type="dxa"/>
            <w:tcBorders>
              <w:top w:val="single" w:color="auto" w:sz="4" w:space="0"/>
              <w:left w:val="single" w:color="auto" w:sz="4" w:space="0"/>
              <w:bottom w:val="single" w:color="auto" w:sz="4" w:space="0"/>
              <w:right w:val="single" w:color="auto" w:sz="4" w:space="0"/>
            </w:tcBorders>
            <w:vAlign w:val="center"/>
          </w:tcPr>
          <w:p w14:paraId="028CF48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1.42E+00</w:t>
            </w:r>
          </w:p>
        </w:tc>
        <w:tc>
          <w:tcPr>
            <w:tcW w:w="1167" w:type="dxa"/>
            <w:tcBorders>
              <w:top w:val="single" w:color="auto" w:sz="4" w:space="0"/>
              <w:left w:val="single" w:color="auto" w:sz="4" w:space="0"/>
              <w:bottom w:val="single" w:color="auto" w:sz="4" w:space="0"/>
              <w:right w:val="single" w:color="auto" w:sz="4" w:space="0"/>
            </w:tcBorders>
            <w:vAlign w:val="center"/>
          </w:tcPr>
          <w:p w14:paraId="361A348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2.04E+01</w:t>
            </w:r>
          </w:p>
        </w:tc>
        <w:tc>
          <w:tcPr>
            <w:tcW w:w="1167" w:type="dxa"/>
            <w:tcBorders>
              <w:top w:val="single" w:color="auto" w:sz="4" w:space="0"/>
              <w:left w:val="single" w:color="auto" w:sz="4" w:space="0"/>
              <w:bottom w:val="single" w:color="auto" w:sz="4" w:space="0"/>
              <w:right w:val="single" w:color="auto" w:sz="4" w:space="0"/>
            </w:tcBorders>
            <w:vAlign w:val="center"/>
          </w:tcPr>
          <w:p w14:paraId="4F7A143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3.19E+01</w:t>
            </w:r>
          </w:p>
        </w:tc>
        <w:tc>
          <w:tcPr>
            <w:tcW w:w="1168" w:type="dxa"/>
            <w:tcBorders>
              <w:top w:val="single" w:color="auto" w:sz="4" w:space="0"/>
              <w:left w:val="single" w:color="auto" w:sz="4" w:space="0"/>
              <w:bottom w:val="single" w:color="auto" w:sz="4" w:space="0"/>
              <w:right w:val="single" w:color="auto" w:sz="4" w:space="0"/>
            </w:tcBorders>
            <w:vAlign w:val="center"/>
          </w:tcPr>
          <w:p w14:paraId="070C50C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3.49E+01</w:t>
            </w:r>
          </w:p>
        </w:tc>
      </w:tr>
      <w:tr w14:paraId="555059F1">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90D962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40</w:t>
            </w:r>
          </w:p>
        </w:tc>
        <w:tc>
          <w:tcPr>
            <w:tcW w:w="1167" w:type="dxa"/>
            <w:tcBorders>
              <w:top w:val="single" w:color="auto" w:sz="4" w:space="0"/>
              <w:left w:val="single" w:color="auto" w:sz="4" w:space="0"/>
              <w:bottom w:val="single" w:color="auto" w:sz="4" w:space="0"/>
              <w:right w:val="single" w:color="auto" w:sz="4" w:space="0"/>
            </w:tcBorders>
            <w:vAlign w:val="center"/>
          </w:tcPr>
          <w:p w14:paraId="63AF651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901248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2.74E-04</w:t>
            </w:r>
          </w:p>
        </w:tc>
        <w:tc>
          <w:tcPr>
            <w:tcW w:w="1168" w:type="dxa"/>
            <w:tcBorders>
              <w:top w:val="single" w:color="auto" w:sz="4" w:space="0"/>
              <w:left w:val="single" w:color="auto" w:sz="4" w:space="0"/>
              <w:bottom w:val="single" w:color="auto" w:sz="4" w:space="0"/>
              <w:right w:val="single" w:color="auto" w:sz="4" w:space="0"/>
            </w:tcBorders>
            <w:vAlign w:val="center"/>
          </w:tcPr>
          <w:p w14:paraId="33F7BF8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1.35E-01</w:t>
            </w:r>
          </w:p>
        </w:tc>
        <w:tc>
          <w:tcPr>
            <w:tcW w:w="1167" w:type="dxa"/>
            <w:tcBorders>
              <w:top w:val="single" w:color="auto" w:sz="4" w:space="0"/>
              <w:left w:val="single" w:color="auto" w:sz="4" w:space="0"/>
              <w:bottom w:val="single" w:color="auto" w:sz="4" w:space="0"/>
              <w:right w:val="single" w:color="auto" w:sz="4" w:space="0"/>
            </w:tcBorders>
            <w:vAlign w:val="center"/>
          </w:tcPr>
          <w:p w14:paraId="00C8018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1.28E+01</w:t>
            </w:r>
          </w:p>
        </w:tc>
        <w:tc>
          <w:tcPr>
            <w:tcW w:w="1167" w:type="dxa"/>
            <w:tcBorders>
              <w:top w:val="single" w:color="auto" w:sz="4" w:space="0"/>
              <w:left w:val="single" w:color="auto" w:sz="4" w:space="0"/>
              <w:bottom w:val="single" w:color="auto" w:sz="4" w:space="0"/>
              <w:right w:val="single" w:color="auto" w:sz="4" w:space="0"/>
            </w:tcBorders>
            <w:vAlign w:val="center"/>
          </w:tcPr>
          <w:p w14:paraId="557626C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2.77E+01</w:t>
            </w:r>
          </w:p>
        </w:tc>
        <w:tc>
          <w:tcPr>
            <w:tcW w:w="1168" w:type="dxa"/>
            <w:tcBorders>
              <w:top w:val="single" w:color="auto" w:sz="4" w:space="0"/>
              <w:left w:val="single" w:color="auto" w:sz="4" w:space="0"/>
              <w:bottom w:val="single" w:color="auto" w:sz="4" w:space="0"/>
              <w:right w:val="single" w:color="auto" w:sz="4" w:space="0"/>
            </w:tcBorders>
            <w:vAlign w:val="center"/>
          </w:tcPr>
          <w:p w14:paraId="6F79D1E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3.26E+01</w:t>
            </w:r>
          </w:p>
        </w:tc>
      </w:tr>
      <w:tr w14:paraId="29B0E348">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3BFCA58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50</w:t>
            </w:r>
          </w:p>
        </w:tc>
        <w:tc>
          <w:tcPr>
            <w:tcW w:w="1167" w:type="dxa"/>
            <w:tcBorders>
              <w:top w:val="single" w:color="auto" w:sz="4" w:space="0"/>
              <w:left w:val="single" w:color="auto" w:sz="4" w:space="0"/>
              <w:bottom w:val="single" w:color="auto" w:sz="4" w:space="0"/>
              <w:right w:val="single" w:color="auto" w:sz="4" w:space="0"/>
            </w:tcBorders>
            <w:vAlign w:val="center"/>
          </w:tcPr>
          <w:p w14:paraId="120972D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6D3D9A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4.53E-07</w:t>
            </w:r>
          </w:p>
        </w:tc>
        <w:tc>
          <w:tcPr>
            <w:tcW w:w="1168" w:type="dxa"/>
            <w:tcBorders>
              <w:top w:val="single" w:color="auto" w:sz="4" w:space="0"/>
              <w:left w:val="single" w:color="auto" w:sz="4" w:space="0"/>
              <w:bottom w:val="single" w:color="auto" w:sz="4" w:space="0"/>
              <w:right w:val="single" w:color="auto" w:sz="4" w:space="0"/>
            </w:tcBorders>
            <w:vAlign w:val="center"/>
          </w:tcPr>
          <w:p w14:paraId="22142F3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6.35E-03</w:t>
            </w:r>
          </w:p>
        </w:tc>
        <w:tc>
          <w:tcPr>
            <w:tcW w:w="1167" w:type="dxa"/>
            <w:tcBorders>
              <w:top w:val="single" w:color="auto" w:sz="4" w:space="0"/>
              <w:left w:val="single" w:color="auto" w:sz="4" w:space="0"/>
              <w:bottom w:val="single" w:color="auto" w:sz="4" w:space="0"/>
              <w:right w:val="single" w:color="auto" w:sz="4" w:space="0"/>
            </w:tcBorders>
            <w:vAlign w:val="center"/>
          </w:tcPr>
          <w:p w14:paraId="058984D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6.86E+00</w:t>
            </w:r>
          </w:p>
        </w:tc>
        <w:tc>
          <w:tcPr>
            <w:tcW w:w="1167" w:type="dxa"/>
            <w:tcBorders>
              <w:top w:val="single" w:color="auto" w:sz="4" w:space="0"/>
              <w:left w:val="single" w:color="auto" w:sz="4" w:space="0"/>
              <w:bottom w:val="single" w:color="auto" w:sz="4" w:space="0"/>
              <w:right w:val="single" w:color="auto" w:sz="4" w:space="0"/>
            </w:tcBorders>
            <w:vAlign w:val="center"/>
          </w:tcPr>
          <w:p w14:paraId="580346F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2.28E+01</w:t>
            </w:r>
          </w:p>
        </w:tc>
        <w:tc>
          <w:tcPr>
            <w:tcW w:w="1168" w:type="dxa"/>
            <w:tcBorders>
              <w:top w:val="single" w:color="auto" w:sz="4" w:space="0"/>
              <w:left w:val="single" w:color="auto" w:sz="4" w:space="0"/>
              <w:bottom w:val="single" w:color="auto" w:sz="4" w:space="0"/>
              <w:right w:val="single" w:color="auto" w:sz="4" w:space="0"/>
            </w:tcBorders>
            <w:vAlign w:val="center"/>
          </w:tcPr>
          <w:p w14:paraId="19976BE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2.95E+01</w:t>
            </w:r>
          </w:p>
        </w:tc>
      </w:tr>
      <w:tr w14:paraId="703F5945">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6B7698B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60</w:t>
            </w:r>
          </w:p>
        </w:tc>
        <w:tc>
          <w:tcPr>
            <w:tcW w:w="1167" w:type="dxa"/>
            <w:tcBorders>
              <w:top w:val="single" w:color="auto" w:sz="4" w:space="0"/>
              <w:left w:val="single" w:color="auto" w:sz="4" w:space="0"/>
              <w:bottom w:val="single" w:color="auto" w:sz="4" w:space="0"/>
              <w:right w:val="single" w:color="auto" w:sz="4" w:space="0"/>
            </w:tcBorders>
            <w:vAlign w:val="center"/>
          </w:tcPr>
          <w:p w14:paraId="2AC1E39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A4D6DA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1.81E-10</w:t>
            </w:r>
          </w:p>
        </w:tc>
        <w:tc>
          <w:tcPr>
            <w:tcW w:w="1168" w:type="dxa"/>
            <w:tcBorders>
              <w:top w:val="single" w:color="auto" w:sz="4" w:space="0"/>
              <w:left w:val="single" w:color="auto" w:sz="4" w:space="0"/>
              <w:bottom w:val="single" w:color="auto" w:sz="4" w:space="0"/>
              <w:right w:val="single" w:color="auto" w:sz="4" w:space="0"/>
            </w:tcBorders>
            <w:vAlign w:val="center"/>
          </w:tcPr>
          <w:p w14:paraId="55FF681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1.47E-04</w:t>
            </w:r>
          </w:p>
        </w:tc>
        <w:tc>
          <w:tcPr>
            <w:tcW w:w="1167" w:type="dxa"/>
            <w:tcBorders>
              <w:top w:val="single" w:color="auto" w:sz="4" w:space="0"/>
              <w:left w:val="single" w:color="auto" w:sz="4" w:space="0"/>
              <w:bottom w:val="single" w:color="auto" w:sz="4" w:space="0"/>
              <w:right w:val="single" w:color="auto" w:sz="4" w:space="0"/>
            </w:tcBorders>
            <w:vAlign w:val="center"/>
          </w:tcPr>
          <w:p w14:paraId="11ECC0D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3.09E+00</w:t>
            </w:r>
          </w:p>
        </w:tc>
        <w:tc>
          <w:tcPr>
            <w:tcW w:w="1167" w:type="dxa"/>
            <w:tcBorders>
              <w:top w:val="single" w:color="auto" w:sz="4" w:space="0"/>
              <w:left w:val="single" w:color="auto" w:sz="4" w:space="0"/>
              <w:bottom w:val="single" w:color="auto" w:sz="4" w:space="0"/>
              <w:right w:val="single" w:color="auto" w:sz="4" w:space="0"/>
            </w:tcBorders>
            <w:vAlign w:val="center"/>
          </w:tcPr>
          <w:p w14:paraId="36A8E06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1.75E+01</w:t>
            </w:r>
          </w:p>
        </w:tc>
        <w:tc>
          <w:tcPr>
            <w:tcW w:w="1168" w:type="dxa"/>
            <w:tcBorders>
              <w:top w:val="single" w:color="auto" w:sz="4" w:space="0"/>
              <w:left w:val="single" w:color="auto" w:sz="4" w:space="0"/>
              <w:bottom w:val="single" w:color="auto" w:sz="4" w:space="0"/>
              <w:right w:val="single" w:color="auto" w:sz="4" w:space="0"/>
            </w:tcBorders>
            <w:vAlign w:val="center"/>
          </w:tcPr>
          <w:p w14:paraId="6A0FD23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2.57E+01</w:t>
            </w:r>
          </w:p>
        </w:tc>
      </w:tr>
      <w:tr w14:paraId="3DDB36EA">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7D205C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70</w:t>
            </w:r>
          </w:p>
        </w:tc>
        <w:tc>
          <w:tcPr>
            <w:tcW w:w="1167" w:type="dxa"/>
            <w:tcBorders>
              <w:top w:val="single" w:color="auto" w:sz="4" w:space="0"/>
              <w:left w:val="single" w:color="auto" w:sz="4" w:space="0"/>
              <w:bottom w:val="single" w:color="auto" w:sz="4" w:space="0"/>
              <w:right w:val="single" w:color="auto" w:sz="4" w:space="0"/>
            </w:tcBorders>
            <w:vAlign w:val="center"/>
          </w:tcPr>
          <w:p w14:paraId="41D2063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F28738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8.37E-15</w:t>
            </w:r>
          </w:p>
        </w:tc>
        <w:tc>
          <w:tcPr>
            <w:tcW w:w="1168" w:type="dxa"/>
            <w:tcBorders>
              <w:top w:val="single" w:color="auto" w:sz="4" w:space="0"/>
              <w:left w:val="single" w:color="auto" w:sz="4" w:space="0"/>
              <w:bottom w:val="single" w:color="auto" w:sz="4" w:space="0"/>
              <w:right w:val="single" w:color="auto" w:sz="4" w:space="0"/>
            </w:tcBorders>
            <w:vAlign w:val="center"/>
          </w:tcPr>
          <w:p w14:paraId="4782635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1.67E-06</w:t>
            </w:r>
          </w:p>
        </w:tc>
        <w:tc>
          <w:tcPr>
            <w:tcW w:w="1167" w:type="dxa"/>
            <w:tcBorders>
              <w:top w:val="single" w:color="auto" w:sz="4" w:space="0"/>
              <w:left w:val="single" w:color="auto" w:sz="4" w:space="0"/>
              <w:bottom w:val="single" w:color="auto" w:sz="4" w:space="0"/>
              <w:right w:val="single" w:color="auto" w:sz="4" w:space="0"/>
            </w:tcBorders>
            <w:vAlign w:val="center"/>
          </w:tcPr>
          <w:p w14:paraId="43B6385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1.16E+00</w:t>
            </w:r>
          </w:p>
        </w:tc>
        <w:tc>
          <w:tcPr>
            <w:tcW w:w="1167" w:type="dxa"/>
            <w:tcBorders>
              <w:top w:val="single" w:color="auto" w:sz="4" w:space="0"/>
              <w:left w:val="single" w:color="auto" w:sz="4" w:space="0"/>
              <w:bottom w:val="single" w:color="auto" w:sz="4" w:space="0"/>
              <w:right w:val="single" w:color="auto" w:sz="4" w:space="0"/>
            </w:tcBorders>
            <w:vAlign w:val="center"/>
          </w:tcPr>
          <w:p w14:paraId="0C7D898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1.25E+01</w:t>
            </w:r>
          </w:p>
        </w:tc>
        <w:tc>
          <w:tcPr>
            <w:tcW w:w="1168" w:type="dxa"/>
            <w:tcBorders>
              <w:top w:val="single" w:color="auto" w:sz="4" w:space="0"/>
              <w:left w:val="single" w:color="auto" w:sz="4" w:space="0"/>
              <w:bottom w:val="single" w:color="auto" w:sz="4" w:space="0"/>
              <w:right w:val="single" w:color="auto" w:sz="4" w:space="0"/>
            </w:tcBorders>
            <w:vAlign w:val="center"/>
          </w:tcPr>
          <w:p w14:paraId="0C578EB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2.15E+01</w:t>
            </w:r>
          </w:p>
        </w:tc>
      </w:tr>
      <w:tr w14:paraId="1C0C194D">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74242A8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80</w:t>
            </w:r>
          </w:p>
        </w:tc>
        <w:tc>
          <w:tcPr>
            <w:tcW w:w="1167" w:type="dxa"/>
            <w:tcBorders>
              <w:top w:val="single" w:color="auto" w:sz="4" w:space="0"/>
              <w:left w:val="single" w:color="auto" w:sz="4" w:space="0"/>
              <w:bottom w:val="single" w:color="auto" w:sz="4" w:space="0"/>
              <w:right w:val="single" w:color="auto" w:sz="4" w:space="0"/>
            </w:tcBorders>
            <w:vAlign w:val="center"/>
          </w:tcPr>
          <w:p w14:paraId="7C6C98F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8DBE90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582C14E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9.41E-09</w:t>
            </w:r>
          </w:p>
        </w:tc>
        <w:tc>
          <w:tcPr>
            <w:tcW w:w="1167" w:type="dxa"/>
            <w:tcBorders>
              <w:top w:val="single" w:color="auto" w:sz="4" w:space="0"/>
              <w:left w:val="single" w:color="auto" w:sz="4" w:space="0"/>
              <w:bottom w:val="single" w:color="auto" w:sz="4" w:space="0"/>
              <w:right w:val="single" w:color="auto" w:sz="4" w:space="0"/>
            </w:tcBorders>
            <w:vAlign w:val="center"/>
          </w:tcPr>
          <w:p w14:paraId="39D06F2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3.64E-01</w:t>
            </w:r>
          </w:p>
        </w:tc>
        <w:tc>
          <w:tcPr>
            <w:tcW w:w="1167" w:type="dxa"/>
            <w:tcBorders>
              <w:top w:val="single" w:color="auto" w:sz="4" w:space="0"/>
              <w:left w:val="single" w:color="auto" w:sz="4" w:space="0"/>
              <w:bottom w:val="single" w:color="auto" w:sz="4" w:space="0"/>
              <w:right w:val="single" w:color="auto" w:sz="4" w:space="0"/>
            </w:tcBorders>
            <w:vAlign w:val="center"/>
          </w:tcPr>
          <w:p w14:paraId="2D20848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8.22E+00</w:t>
            </w:r>
          </w:p>
        </w:tc>
        <w:tc>
          <w:tcPr>
            <w:tcW w:w="1168" w:type="dxa"/>
            <w:tcBorders>
              <w:top w:val="single" w:color="auto" w:sz="4" w:space="0"/>
              <w:left w:val="single" w:color="auto" w:sz="4" w:space="0"/>
              <w:bottom w:val="single" w:color="auto" w:sz="4" w:space="0"/>
              <w:right w:val="single" w:color="auto" w:sz="4" w:space="0"/>
            </w:tcBorders>
            <w:vAlign w:val="center"/>
          </w:tcPr>
          <w:p w14:paraId="77A58ED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1.70E+01</w:t>
            </w:r>
          </w:p>
        </w:tc>
      </w:tr>
      <w:tr w14:paraId="4BD22B93">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79A40B9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90</w:t>
            </w:r>
          </w:p>
        </w:tc>
        <w:tc>
          <w:tcPr>
            <w:tcW w:w="1167" w:type="dxa"/>
            <w:tcBorders>
              <w:top w:val="single" w:color="auto" w:sz="4" w:space="0"/>
              <w:left w:val="single" w:color="auto" w:sz="4" w:space="0"/>
              <w:bottom w:val="single" w:color="auto" w:sz="4" w:space="0"/>
              <w:right w:val="single" w:color="auto" w:sz="4" w:space="0"/>
            </w:tcBorders>
            <w:vAlign w:val="center"/>
          </w:tcPr>
          <w:p w14:paraId="128B930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072BED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091AE0C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3.08E-11</w:t>
            </w:r>
          </w:p>
        </w:tc>
        <w:tc>
          <w:tcPr>
            <w:tcW w:w="1167" w:type="dxa"/>
            <w:tcBorders>
              <w:top w:val="single" w:color="auto" w:sz="4" w:space="0"/>
              <w:left w:val="single" w:color="auto" w:sz="4" w:space="0"/>
              <w:bottom w:val="single" w:color="auto" w:sz="4" w:space="0"/>
              <w:right w:val="single" w:color="auto" w:sz="4" w:space="0"/>
            </w:tcBorders>
            <w:vAlign w:val="center"/>
          </w:tcPr>
          <w:p w14:paraId="6BC381B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9.44E-02</w:t>
            </w:r>
          </w:p>
        </w:tc>
        <w:tc>
          <w:tcPr>
            <w:tcW w:w="1167" w:type="dxa"/>
            <w:tcBorders>
              <w:top w:val="single" w:color="auto" w:sz="4" w:space="0"/>
              <w:left w:val="single" w:color="auto" w:sz="4" w:space="0"/>
              <w:bottom w:val="single" w:color="auto" w:sz="4" w:space="0"/>
              <w:right w:val="single" w:color="auto" w:sz="4" w:space="0"/>
            </w:tcBorders>
            <w:vAlign w:val="center"/>
          </w:tcPr>
          <w:p w14:paraId="285DC89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4.98E+00</w:t>
            </w:r>
          </w:p>
        </w:tc>
        <w:tc>
          <w:tcPr>
            <w:tcW w:w="1168" w:type="dxa"/>
            <w:tcBorders>
              <w:top w:val="single" w:color="auto" w:sz="4" w:space="0"/>
              <w:left w:val="single" w:color="auto" w:sz="4" w:space="0"/>
              <w:bottom w:val="single" w:color="auto" w:sz="4" w:space="0"/>
              <w:right w:val="single" w:color="auto" w:sz="4" w:space="0"/>
            </w:tcBorders>
            <w:vAlign w:val="center"/>
          </w:tcPr>
          <w:p w14:paraId="390D80F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1.28E+01</w:t>
            </w:r>
          </w:p>
        </w:tc>
      </w:tr>
      <w:tr w14:paraId="6A7EA91E">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012D7F7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100</w:t>
            </w:r>
          </w:p>
        </w:tc>
        <w:tc>
          <w:tcPr>
            <w:tcW w:w="1167" w:type="dxa"/>
            <w:tcBorders>
              <w:top w:val="single" w:color="auto" w:sz="4" w:space="0"/>
              <w:left w:val="single" w:color="auto" w:sz="4" w:space="0"/>
              <w:bottom w:val="single" w:color="auto" w:sz="4" w:space="0"/>
              <w:right w:val="single" w:color="auto" w:sz="4" w:space="0"/>
            </w:tcBorders>
            <w:vAlign w:val="center"/>
          </w:tcPr>
          <w:p w14:paraId="4CFC938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5017C14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14:paraId="34FA0EF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1.67E-14</w:t>
            </w:r>
          </w:p>
        </w:tc>
        <w:tc>
          <w:tcPr>
            <w:tcW w:w="1167" w:type="dxa"/>
            <w:tcBorders>
              <w:top w:val="single" w:color="auto" w:sz="4" w:space="0"/>
              <w:left w:val="single" w:color="auto" w:sz="4" w:space="0"/>
              <w:bottom w:val="single" w:color="auto" w:sz="4" w:space="0"/>
              <w:right w:val="single" w:color="auto" w:sz="4" w:space="0"/>
            </w:tcBorders>
            <w:vAlign w:val="center"/>
          </w:tcPr>
          <w:p w14:paraId="1421507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2.02E-02</w:t>
            </w:r>
          </w:p>
        </w:tc>
        <w:tc>
          <w:tcPr>
            <w:tcW w:w="1167" w:type="dxa"/>
            <w:tcBorders>
              <w:top w:val="single" w:color="auto" w:sz="4" w:space="0"/>
              <w:left w:val="single" w:color="auto" w:sz="4" w:space="0"/>
              <w:bottom w:val="single" w:color="auto" w:sz="4" w:space="0"/>
              <w:right w:val="single" w:color="auto" w:sz="4" w:space="0"/>
            </w:tcBorders>
            <w:vAlign w:val="center"/>
          </w:tcPr>
          <w:p w14:paraId="6DB45F0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2.77E+00</w:t>
            </w:r>
          </w:p>
        </w:tc>
        <w:tc>
          <w:tcPr>
            <w:tcW w:w="1168" w:type="dxa"/>
            <w:tcBorders>
              <w:top w:val="single" w:color="auto" w:sz="4" w:space="0"/>
              <w:left w:val="single" w:color="auto" w:sz="4" w:space="0"/>
              <w:bottom w:val="single" w:color="auto" w:sz="4" w:space="0"/>
              <w:right w:val="single" w:color="auto" w:sz="4" w:space="0"/>
            </w:tcBorders>
            <w:vAlign w:val="center"/>
          </w:tcPr>
          <w:p w14:paraId="03CCBEB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9.11E+00</w:t>
            </w:r>
          </w:p>
        </w:tc>
      </w:tr>
      <w:tr w14:paraId="52018BF5">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500A550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110</w:t>
            </w:r>
          </w:p>
        </w:tc>
        <w:tc>
          <w:tcPr>
            <w:tcW w:w="1167" w:type="dxa"/>
            <w:tcBorders>
              <w:top w:val="single" w:color="auto" w:sz="4" w:space="0"/>
              <w:left w:val="single" w:color="auto" w:sz="4" w:space="0"/>
              <w:bottom w:val="single" w:color="auto" w:sz="4" w:space="0"/>
              <w:right w:val="single" w:color="auto" w:sz="4" w:space="0"/>
            </w:tcBorders>
            <w:vAlign w:val="center"/>
          </w:tcPr>
          <w:p w14:paraId="66BCB7C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307EBD4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14:paraId="513448B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47E0A2A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3.56E-03</w:t>
            </w:r>
          </w:p>
        </w:tc>
        <w:tc>
          <w:tcPr>
            <w:tcW w:w="1167" w:type="dxa"/>
            <w:tcBorders>
              <w:top w:val="single" w:color="auto" w:sz="4" w:space="0"/>
              <w:left w:val="single" w:color="auto" w:sz="4" w:space="0"/>
              <w:bottom w:val="single" w:color="auto" w:sz="4" w:space="0"/>
              <w:right w:val="single" w:color="auto" w:sz="4" w:space="0"/>
            </w:tcBorders>
            <w:vAlign w:val="center"/>
          </w:tcPr>
          <w:p w14:paraId="676CCBC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1.41E+00</w:t>
            </w:r>
          </w:p>
        </w:tc>
        <w:tc>
          <w:tcPr>
            <w:tcW w:w="1168" w:type="dxa"/>
            <w:tcBorders>
              <w:top w:val="single" w:color="auto" w:sz="4" w:space="0"/>
              <w:left w:val="single" w:color="auto" w:sz="4" w:space="0"/>
              <w:bottom w:val="single" w:color="auto" w:sz="4" w:space="0"/>
              <w:right w:val="single" w:color="auto" w:sz="4" w:space="0"/>
            </w:tcBorders>
            <w:vAlign w:val="center"/>
          </w:tcPr>
          <w:p w14:paraId="025FADF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6.10E+00</w:t>
            </w:r>
          </w:p>
        </w:tc>
      </w:tr>
      <w:tr w14:paraId="7943D0B2">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0DBFC75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120</w:t>
            </w:r>
          </w:p>
        </w:tc>
        <w:tc>
          <w:tcPr>
            <w:tcW w:w="1167" w:type="dxa"/>
            <w:tcBorders>
              <w:top w:val="single" w:color="auto" w:sz="4" w:space="0"/>
              <w:left w:val="single" w:color="auto" w:sz="4" w:space="0"/>
              <w:bottom w:val="single" w:color="auto" w:sz="4" w:space="0"/>
              <w:right w:val="single" w:color="auto" w:sz="4" w:space="0"/>
            </w:tcBorders>
            <w:vAlign w:val="center"/>
          </w:tcPr>
          <w:p w14:paraId="4D4221E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2BDCC78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14:paraId="55299B2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68EE8CC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5.16E-04</w:t>
            </w:r>
          </w:p>
        </w:tc>
        <w:tc>
          <w:tcPr>
            <w:tcW w:w="1167" w:type="dxa"/>
            <w:tcBorders>
              <w:top w:val="single" w:color="auto" w:sz="4" w:space="0"/>
              <w:left w:val="single" w:color="auto" w:sz="4" w:space="0"/>
              <w:bottom w:val="single" w:color="auto" w:sz="4" w:space="0"/>
              <w:right w:val="single" w:color="auto" w:sz="4" w:space="0"/>
            </w:tcBorders>
            <w:vAlign w:val="center"/>
          </w:tcPr>
          <w:p w14:paraId="555E42E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6.51E-01</w:t>
            </w:r>
          </w:p>
        </w:tc>
        <w:tc>
          <w:tcPr>
            <w:tcW w:w="1168" w:type="dxa"/>
            <w:tcBorders>
              <w:top w:val="single" w:color="auto" w:sz="4" w:space="0"/>
              <w:left w:val="single" w:color="auto" w:sz="4" w:space="0"/>
              <w:bottom w:val="single" w:color="auto" w:sz="4" w:space="0"/>
              <w:right w:val="single" w:color="auto" w:sz="4" w:space="0"/>
            </w:tcBorders>
            <w:vAlign w:val="center"/>
          </w:tcPr>
          <w:p w14:paraId="7D0B2DF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3.83E+00</w:t>
            </w:r>
          </w:p>
        </w:tc>
      </w:tr>
      <w:tr w14:paraId="08C6F0BB">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50D68B7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130</w:t>
            </w:r>
          </w:p>
        </w:tc>
        <w:tc>
          <w:tcPr>
            <w:tcW w:w="1167" w:type="dxa"/>
            <w:tcBorders>
              <w:top w:val="single" w:color="auto" w:sz="4" w:space="0"/>
              <w:left w:val="single" w:color="auto" w:sz="4" w:space="0"/>
              <w:bottom w:val="single" w:color="auto" w:sz="4" w:space="0"/>
              <w:right w:val="single" w:color="auto" w:sz="4" w:space="0"/>
            </w:tcBorders>
            <w:vAlign w:val="center"/>
          </w:tcPr>
          <w:p w14:paraId="7EBC508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0169AB0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14:paraId="5C657DF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0B3CCFB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6.15E-05</w:t>
            </w:r>
          </w:p>
        </w:tc>
        <w:tc>
          <w:tcPr>
            <w:tcW w:w="1167" w:type="dxa"/>
            <w:tcBorders>
              <w:top w:val="single" w:color="auto" w:sz="4" w:space="0"/>
              <w:left w:val="single" w:color="auto" w:sz="4" w:space="0"/>
              <w:bottom w:val="single" w:color="auto" w:sz="4" w:space="0"/>
              <w:right w:val="single" w:color="auto" w:sz="4" w:space="0"/>
            </w:tcBorders>
            <w:vAlign w:val="center"/>
          </w:tcPr>
          <w:p w14:paraId="1139AAF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2.75E-01</w:t>
            </w:r>
          </w:p>
        </w:tc>
        <w:tc>
          <w:tcPr>
            <w:tcW w:w="1168" w:type="dxa"/>
            <w:tcBorders>
              <w:top w:val="single" w:color="auto" w:sz="4" w:space="0"/>
              <w:left w:val="single" w:color="auto" w:sz="4" w:space="0"/>
              <w:bottom w:val="single" w:color="auto" w:sz="4" w:space="0"/>
              <w:right w:val="single" w:color="auto" w:sz="4" w:space="0"/>
            </w:tcBorders>
            <w:vAlign w:val="center"/>
          </w:tcPr>
          <w:p w14:paraId="39FC8C8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2.26E+00</w:t>
            </w:r>
          </w:p>
        </w:tc>
      </w:tr>
      <w:tr w14:paraId="7A850FCD">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6CB6AC3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140</w:t>
            </w:r>
          </w:p>
        </w:tc>
        <w:tc>
          <w:tcPr>
            <w:tcW w:w="1167" w:type="dxa"/>
            <w:tcBorders>
              <w:top w:val="single" w:color="auto" w:sz="4" w:space="0"/>
              <w:left w:val="single" w:color="auto" w:sz="4" w:space="0"/>
              <w:bottom w:val="single" w:color="auto" w:sz="4" w:space="0"/>
              <w:right w:val="single" w:color="auto" w:sz="4" w:space="0"/>
            </w:tcBorders>
            <w:vAlign w:val="center"/>
          </w:tcPr>
          <w:p w14:paraId="7543B85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7043927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14:paraId="49965DF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50773B3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6.19E-06</w:t>
            </w:r>
          </w:p>
        </w:tc>
        <w:tc>
          <w:tcPr>
            <w:tcW w:w="1167" w:type="dxa"/>
            <w:tcBorders>
              <w:top w:val="single" w:color="auto" w:sz="4" w:space="0"/>
              <w:left w:val="single" w:color="auto" w:sz="4" w:space="0"/>
              <w:bottom w:val="single" w:color="auto" w:sz="4" w:space="0"/>
              <w:right w:val="single" w:color="auto" w:sz="4" w:space="0"/>
            </w:tcBorders>
            <w:vAlign w:val="center"/>
          </w:tcPr>
          <w:p w14:paraId="34B8EB4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1.06E-01</w:t>
            </w:r>
          </w:p>
        </w:tc>
        <w:tc>
          <w:tcPr>
            <w:tcW w:w="1168" w:type="dxa"/>
            <w:tcBorders>
              <w:top w:val="single" w:color="auto" w:sz="4" w:space="0"/>
              <w:left w:val="single" w:color="auto" w:sz="4" w:space="0"/>
              <w:bottom w:val="single" w:color="auto" w:sz="4" w:space="0"/>
              <w:right w:val="single" w:color="auto" w:sz="4" w:space="0"/>
            </w:tcBorders>
            <w:vAlign w:val="center"/>
          </w:tcPr>
          <w:p w14:paraId="403F9C2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1.25E+00</w:t>
            </w:r>
          </w:p>
        </w:tc>
      </w:tr>
      <w:tr w14:paraId="06C850AB">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185A44D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150</w:t>
            </w:r>
          </w:p>
        </w:tc>
        <w:tc>
          <w:tcPr>
            <w:tcW w:w="1167" w:type="dxa"/>
            <w:tcBorders>
              <w:top w:val="single" w:color="auto" w:sz="4" w:space="0"/>
              <w:left w:val="single" w:color="auto" w:sz="4" w:space="0"/>
              <w:bottom w:val="single" w:color="auto" w:sz="4" w:space="0"/>
              <w:right w:val="single" w:color="auto" w:sz="4" w:space="0"/>
            </w:tcBorders>
            <w:vAlign w:val="center"/>
          </w:tcPr>
          <w:p w14:paraId="22AD575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479C18A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14:paraId="632D8CC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5E673F4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4.97E-07</w:t>
            </w:r>
          </w:p>
        </w:tc>
        <w:tc>
          <w:tcPr>
            <w:tcW w:w="1167" w:type="dxa"/>
            <w:tcBorders>
              <w:top w:val="single" w:color="auto" w:sz="4" w:space="0"/>
              <w:left w:val="single" w:color="auto" w:sz="4" w:space="0"/>
              <w:bottom w:val="single" w:color="auto" w:sz="4" w:space="0"/>
              <w:right w:val="single" w:color="auto" w:sz="4" w:space="0"/>
            </w:tcBorders>
            <w:vAlign w:val="center"/>
          </w:tcPr>
          <w:p w14:paraId="364340F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3.68E-02</w:t>
            </w:r>
          </w:p>
        </w:tc>
        <w:tc>
          <w:tcPr>
            <w:tcW w:w="1168" w:type="dxa"/>
            <w:tcBorders>
              <w:top w:val="single" w:color="auto" w:sz="4" w:space="0"/>
              <w:left w:val="single" w:color="auto" w:sz="4" w:space="0"/>
              <w:bottom w:val="single" w:color="auto" w:sz="4" w:space="0"/>
              <w:right w:val="single" w:color="auto" w:sz="4" w:space="0"/>
            </w:tcBorders>
            <w:vAlign w:val="center"/>
          </w:tcPr>
          <w:p w14:paraId="20FFD39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6.44E-01</w:t>
            </w:r>
          </w:p>
        </w:tc>
      </w:tr>
      <w:tr w14:paraId="65804186">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4F5AE72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160</w:t>
            </w:r>
          </w:p>
        </w:tc>
        <w:tc>
          <w:tcPr>
            <w:tcW w:w="1167" w:type="dxa"/>
            <w:tcBorders>
              <w:top w:val="single" w:color="auto" w:sz="4" w:space="0"/>
              <w:left w:val="single" w:color="auto" w:sz="4" w:space="0"/>
              <w:bottom w:val="single" w:color="auto" w:sz="4" w:space="0"/>
              <w:right w:val="single" w:color="auto" w:sz="4" w:space="0"/>
            </w:tcBorders>
            <w:vAlign w:val="center"/>
          </w:tcPr>
          <w:p w14:paraId="45D9381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1AEA363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14:paraId="5674293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p>
        </w:tc>
        <w:tc>
          <w:tcPr>
            <w:tcW w:w="1167" w:type="dxa"/>
            <w:tcBorders>
              <w:top w:val="single" w:color="auto" w:sz="4" w:space="0"/>
              <w:left w:val="single" w:color="auto" w:sz="4" w:space="0"/>
              <w:bottom w:val="single" w:color="auto" w:sz="4" w:space="0"/>
              <w:right w:val="single" w:color="auto" w:sz="4" w:space="0"/>
            </w:tcBorders>
            <w:vAlign w:val="center"/>
          </w:tcPr>
          <w:p w14:paraId="0C370BE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3.67E-08</w:t>
            </w:r>
          </w:p>
        </w:tc>
        <w:tc>
          <w:tcPr>
            <w:tcW w:w="1167" w:type="dxa"/>
            <w:tcBorders>
              <w:top w:val="single" w:color="auto" w:sz="4" w:space="0"/>
              <w:left w:val="single" w:color="auto" w:sz="4" w:space="0"/>
              <w:bottom w:val="single" w:color="auto" w:sz="4" w:space="0"/>
              <w:right w:val="single" w:color="auto" w:sz="4" w:space="0"/>
            </w:tcBorders>
            <w:vAlign w:val="center"/>
          </w:tcPr>
          <w:p w14:paraId="2F892A6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1.17E-02</w:t>
            </w:r>
          </w:p>
        </w:tc>
        <w:tc>
          <w:tcPr>
            <w:tcW w:w="1168" w:type="dxa"/>
            <w:tcBorders>
              <w:top w:val="single" w:color="auto" w:sz="4" w:space="0"/>
              <w:left w:val="single" w:color="auto" w:sz="4" w:space="0"/>
              <w:bottom w:val="single" w:color="auto" w:sz="4" w:space="0"/>
              <w:right w:val="single" w:color="auto" w:sz="4" w:space="0"/>
            </w:tcBorders>
            <w:vAlign w:val="center"/>
          </w:tcPr>
          <w:p w14:paraId="22A00C9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rPr>
            </w:pPr>
            <w:r>
              <w:rPr>
                <w:rFonts w:hint="eastAsia" w:ascii="Times New Roman" w:hAnsi="Times New Roman" w:cs="Times New Roman"/>
                <w:color w:val="auto"/>
                <w:lang w:val="en-US" w:eastAsia="zh-CN"/>
              </w:rPr>
              <w:t>3.11E-01</w:t>
            </w:r>
          </w:p>
        </w:tc>
      </w:tr>
      <w:tr w14:paraId="77B810A5">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606A1E2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170</w:t>
            </w:r>
          </w:p>
        </w:tc>
        <w:tc>
          <w:tcPr>
            <w:tcW w:w="1167" w:type="dxa"/>
            <w:tcBorders>
              <w:top w:val="single" w:color="auto" w:sz="4" w:space="0"/>
              <w:left w:val="single" w:color="auto" w:sz="4" w:space="0"/>
              <w:bottom w:val="single" w:color="auto" w:sz="4" w:space="0"/>
              <w:right w:val="single" w:color="auto" w:sz="4" w:space="0"/>
            </w:tcBorders>
            <w:vAlign w:val="center"/>
          </w:tcPr>
          <w:p w14:paraId="2C303A7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8244E0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3C72A0D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023305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9.66E-10</w:t>
            </w:r>
          </w:p>
        </w:tc>
        <w:tc>
          <w:tcPr>
            <w:tcW w:w="1167" w:type="dxa"/>
            <w:tcBorders>
              <w:top w:val="single" w:color="auto" w:sz="4" w:space="0"/>
              <w:left w:val="single" w:color="auto" w:sz="4" w:space="0"/>
              <w:bottom w:val="single" w:color="auto" w:sz="4" w:space="0"/>
              <w:right w:val="single" w:color="auto" w:sz="4" w:space="0"/>
            </w:tcBorders>
            <w:vAlign w:val="center"/>
          </w:tcPr>
          <w:p w14:paraId="05FD5ED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3.36E-03</w:t>
            </w:r>
          </w:p>
        </w:tc>
        <w:tc>
          <w:tcPr>
            <w:tcW w:w="1168" w:type="dxa"/>
            <w:tcBorders>
              <w:top w:val="single" w:color="auto" w:sz="4" w:space="0"/>
              <w:left w:val="single" w:color="auto" w:sz="4" w:space="0"/>
              <w:bottom w:val="single" w:color="auto" w:sz="4" w:space="0"/>
              <w:right w:val="single" w:color="auto" w:sz="4" w:space="0"/>
            </w:tcBorders>
            <w:vAlign w:val="center"/>
          </w:tcPr>
          <w:p w14:paraId="23CF9B1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1.40E-01</w:t>
            </w:r>
          </w:p>
        </w:tc>
      </w:tr>
      <w:tr w14:paraId="200E18FC">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909860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180</w:t>
            </w:r>
          </w:p>
        </w:tc>
        <w:tc>
          <w:tcPr>
            <w:tcW w:w="1167" w:type="dxa"/>
            <w:tcBorders>
              <w:top w:val="single" w:color="auto" w:sz="4" w:space="0"/>
              <w:left w:val="single" w:color="auto" w:sz="4" w:space="0"/>
              <w:bottom w:val="single" w:color="auto" w:sz="4" w:space="0"/>
              <w:right w:val="single" w:color="auto" w:sz="4" w:space="0"/>
            </w:tcBorders>
            <w:vAlign w:val="center"/>
          </w:tcPr>
          <w:p w14:paraId="3D47693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7C0EB1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483F6F3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D7BCF4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4.22E-11</w:t>
            </w:r>
          </w:p>
        </w:tc>
        <w:tc>
          <w:tcPr>
            <w:tcW w:w="1167" w:type="dxa"/>
            <w:tcBorders>
              <w:top w:val="single" w:color="auto" w:sz="4" w:space="0"/>
              <w:left w:val="single" w:color="auto" w:sz="4" w:space="0"/>
              <w:bottom w:val="single" w:color="auto" w:sz="4" w:space="0"/>
              <w:right w:val="single" w:color="auto" w:sz="4" w:space="0"/>
            </w:tcBorders>
            <w:vAlign w:val="center"/>
          </w:tcPr>
          <w:p w14:paraId="32D115B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8.99E-04</w:t>
            </w:r>
          </w:p>
        </w:tc>
        <w:tc>
          <w:tcPr>
            <w:tcW w:w="1168" w:type="dxa"/>
            <w:tcBorders>
              <w:top w:val="single" w:color="auto" w:sz="4" w:space="0"/>
              <w:left w:val="single" w:color="auto" w:sz="4" w:space="0"/>
              <w:bottom w:val="single" w:color="auto" w:sz="4" w:space="0"/>
              <w:right w:val="single" w:color="auto" w:sz="4" w:space="0"/>
            </w:tcBorders>
            <w:vAlign w:val="center"/>
          </w:tcPr>
          <w:p w14:paraId="475E1B5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5.88E-02</w:t>
            </w:r>
          </w:p>
        </w:tc>
      </w:tr>
      <w:tr w14:paraId="5BE3A047">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038C368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190</w:t>
            </w:r>
          </w:p>
        </w:tc>
        <w:tc>
          <w:tcPr>
            <w:tcW w:w="1167" w:type="dxa"/>
            <w:tcBorders>
              <w:top w:val="single" w:color="auto" w:sz="4" w:space="0"/>
              <w:left w:val="single" w:color="auto" w:sz="4" w:space="0"/>
              <w:bottom w:val="single" w:color="auto" w:sz="4" w:space="0"/>
              <w:right w:val="single" w:color="auto" w:sz="4" w:space="0"/>
            </w:tcBorders>
            <w:vAlign w:val="center"/>
          </w:tcPr>
          <w:p w14:paraId="29F4051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F09FDD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21B3B76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1EE18E1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1.62E-12</w:t>
            </w:r>
          </w:p>
        </w:tc>
        <w:tc>
          <w:tcPr>
            <w:tcW w:w="1167" w:type="dxa"/>
            <w:tcBorders>
              <w:top w:val="single" w:color="auto" w:sz="4" w:space="0"/>
              <w:left w:val="single" w:color="auto" w:sz="4" w:space="0"/>
              <w:bottom w:val="single" w:color="auto" w:sz="4" w:space="0"/>
              <w:right w:val="single" w:color="auto" w:sz="4" w:space="0"/>
            </w:tcBorders>
            <w:vAlign w:val="center"/>
          </w:tcPr>
          <w:p w14:paraId="64F2332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2.12E-04</w:t>
            </w:r>
          </w:p>
        </w:tc>
        <w:tc>
          <w:tcPr>
            <w:tcW w:w="1168" w:type="dxa"/>
            <w:tcBorders>
              <w:top w:val="single" w:color="auto" w:sz="4" w:space="0"/>
              <w:left w:val="single" w:color="auto" w:sz="4" w:space="0"/>
              <w:bottom w:val="single" w:color="auto" w:sz="4" w:space="0"/>
              <w:right w:val="single" w:color="auto" w:sz="4" w:space="0"/>
            </w:tcBorders>
            <w:vAlign w:val="center"/>
          </w:tcPr>
          <w:p w14:paraId="20B8315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2.30E-02</w:t>
            </w:r>
          </w:p>
        </w:tc>
      </w:tr>
      <w:tr w14:paraId="2757AB9B">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3696615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200</w:t>
            </w:r>
          </w:p>
        </w:tc>
        <w:tc>
          <w:tcPr>
            <w:tcW w:w="1167" w:type="dxa"/>
            <w:tcBorders>
              <w:top w:val="single" w:color="auto" w:sz="4" w:space="0"/>
              <w:left w:val="single" w:color="auto" w:sz="4" w:space="0"/>
              <w:bottom w:val="single" w:color="auto" w:sz="4" w:space="0"/>
              <w:right w:val="single" w:color="auto" w:sz="4" w:space="0"/>
            </w:tcBorders>
            <w:vAlign w:val="center"/>
          </w:tcPr>
          <w:p w14:paraId="3163F9E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10C7E55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7E4B59D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F62BBD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4.60E-14</w:t>
            </w:r>
          </w:p>
        </w:tc>
        <w:tc>
          <w:tcPr>
            <w:tcW w:w="1167" w:type="dxa"/>
            <w:tcBorders>
              <w:top w:val="single" w:color="auto" w:sz="4" w:space="0"/>
              <w:left w:val="single" w:color="auto" w:sz="4" w:space="0"/>
              <w:bottom w:val="single" w:color="auto" w:sz="4" w:space="0"/>
              <w:right w:val="single" w:color="auto" w:sz="4" w:space="0"/>
            </w:tcBorders>
            <w:vAlign w:val="center"/>
          </w:tcPr>
          <w:p w14:paraId="52CB3DC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4.55E-05</w:t>
            </w:r>
          </w:p>
        </w:tc>
        <w:tc>
          <w:tcPr>
            <w:tcW w:w="1168" w:type="dxa"/>
            <w:tcBorders>
              <w:top w:val="single" w:color="auto" w:sz="4" w:space="0"/>
              <w:left w:val="single" w:color="auto" w:sz="4" w:space="0"/>
              <w:bottom w:val="single" w:color="auto" w:sz="4" w:space="0"/>
              <w:right w:val="single" w:color="auto" w:sz="4" w:space="0"/>
            </w:tcBorders>
            <w:vAlign w:val="center"/>
          </w:tcPr>
          <w:p w14:paraId="424D1D6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8.60E-03</w:t>
            </w:r>
          </w:p>
        </w:tc>
      </w:tr>
      <w:tr w14:paraId="1092327B">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5833322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210</w:t>
            </w:r>
          </w:p>
        </w:tc>
        <w:tc>
          <w:tcPr>
            <w:tcW w:w="1167" w:type="dxa"/>
            <w:tcBorders>
              <w:top w:val="single" w:color="auto" w:sz="4" w:space="0"/>
              <w:left w:val="single" w:color="auto" w:sz="4" w:space="0"/>
              <w:bottom w:val="single" w:color="auto" w:sz="4" w:space="0"/>
              <w:right w:val="single" w:color="auto" w:sz="4" w:space="0"/>
            </w:tcBorders>
            <w:vAlign w:val="center"/>
          </w:tcPr>
          <w:p w14:paraId="5C9CAA3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E71DA6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157F2DC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AE0A66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2.09E-15</w:t>
            </w:r>
          </w:p>
        </w:tc>
        <w:tc>
          <w:tcPr>
            <w:tcW w:w="1167" w:type="dxa"/>
            <w:tcBorders>
              <w:top w:val="single" w:color="auto" w:sz="4" w:space="0"/>
              <w:left w:val="single" w:color="auto" w:sz="4" w:space="0"/>
              <w:bottom w:val="single" w:color="auto" w:sz="4" w:space="0"/>
              <w:right w:val="single" w:color="auto" w:sz="4" w:space="0"/>
            </w:tcBorders>
            <w:vAlign w:val="center"/>
          </w:tcPr>
          <w:p w14:paraId="224D87A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8.00E-06</w:t>
            </w:r>
          </w:p>
        </w:tc>
        <w:tc>
          <w:tcPr>
            <w:tcW w:w="1168" w:type="dxa"/>
            <w:tcBorders>
              <w:top w:val="single" w:color="auto" w:sz="4" w:space="0"/>
              <w:left w:val="single" w:color="auto" w:sz="4" w:space="0"/>
              <w:bottom w:val="single" w:color="auto" w:sz="4" w:space="0"/>
              <w:right w:val="single" w:color="auto" w:sz="4" w:space="0"/>
            </w:tcBorders>
            <w:vAlign w:val="center"/>
          </w:tcPr>
          <w:p w14:paraId="2ACB9F4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2.92E-03</w:t>
            </w:r>
          </w:p>
        </w:tc>
      </w:tr>
      <w:tr w14:paraId="3D9E74E6">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7037170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220</w:t>
            </w:r>
          </w:p>
        </w:tc>
        <w:tc>
          <w:tcPr>
            <w:tcW w:w="1167" w:type="dxa"/>
            <w:tcBorders>
              <w:top w:val="single" w:color="auto" w:sz="4" w:space="0"/>
              <w:left w:val="single" w:color="auto" w:sz="4" w:space="0"/>
              <w:bottom w:val="single" w:color="auto" w:sz="4" w:space="0"/>
              <w:right w:val="single" w:color="auto" w:sz="4" w:space="0"/>
            </w:tcBorders>
            <w:vAlign w:val="center"/>
          </w:tcPr>
          <w:p w14:paraId="474D556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543A653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0519667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E7548C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5CCDBD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9.12E-07</w:t>
            </w:r>
          </w:p>
        </w:tc>
        <w:tc>
          <w:tcPr>
            <w:tcW w:w="1168" w:type="dxa"/>
            <w:tcBorders>
              <w:top w:val="single" w:color="auto" w:sz="4" w:space="0"/>
              <w:left w:val="single" w:color="auto" w:sz="4" w:space="0"/>
              <w:bottom w:val="single" w:color="auto" w:sz="4" w:space="0"/>
              <w:right w:val="single" w:color="auto" w:sz="4" w:space="0"/>
            </w:tcBorders>
            <w:vAlign w:val="center"/>
          </w:tcPr>
          <w:p w14:paraId="2EB79E8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9.25E-04</w:t>
            </w:r>
          </w:p>
        </w:tc>
      </w:tr>
      <w:tr w14:paraId="092D928F">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40098F8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230</w:t>
            </w:r>
          </w:p>
        </w:tc>
        <w:tc>
          <w:tcPr>
            <w:tcW w:w="1167" w:type="dxa"/>
            <w:tcBorders>
              <w:top w:val="single" w:color="auto" w:sz="4" w:space="0"/>
              <w:left w:val="single" w:color="auto" w:sz="4" w:space="0"/>
              <w:bottom w:val="single" w:color="auto" w:sz="4" w:space="0"/>
              <w:right w:val="single" w:color="auto" w:sz="4" w:space="0"/>
            </w:tcBorders>
            <w:vAlign w:val="center"/>
          </w:tcPr>
          <w:p w14:paraId="4CFAAEE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38F710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41A4A37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462CAE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ED6716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1.44E-07</w:t>
            </w:r>
          </w:p>
        </w:tc>
        <w:tc>
          <w:tcPr>
            <w:tcW w:w="1168" w:type="dxa"/>
            <w:tcBorders>
              <w:top w:val="single" w:color="auto" w:sz="4" w:space="0"/>
              <w:left w:val="single" w:color="auto" w:sz="4" w:space="0"/>
              <w:bottom w:val="single" w:color="auto" w:sz="4" w:space="0"/>
              <w:right w:val="single" w:color="auto" w:sz="4" w:space="0"/>
            </w:tcBorders>
            <w:vAlign w:val="center"/>
          </w:tcPr>
          <w:p w14:paraId="42FC8AF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2.71E-04</w:t>
            </w:r>
          </w:p>
        </w:tc>
      </w:tr>
      <w:tr w14:paraId="09721971">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500FC57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240</w:t>
            </w:r>
          </w:p>
        </w:tc>
        <w:tc>
          <w:tcPr>
            <w:tcW w:w="1167" w:type="dxa"/>
            <w:tcBorders>
              <w:top w:val="single" w:color="auto" w:sz="4" w:space="0"/>
              <w:left w:val="single" w:color="auto" w:sz="4" w:space="0"/>
              <w:bottom w:val="single" w:color="auto" w:sz="4" w:space="0"/>
              <w:right w:val="single" w:color="auto" w:sz="4" w:space="0"/>
            </w:tcBorders>
            <w:vAlign w:val="center"/>
          </w:tcPr>
          <w:p w14:paraId="61AEC8D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222DAA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612D8E4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67D459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0F6040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2.06E-08</w:t>
            </w:r>
          </w:p>
        </w:tc>
        <w:tc>
          <w:tcPr>
            <w:tcW w:w="1168" w:type="dxa"/>
            <w:tcBorders>
              <w:top w:val="single" w:color="auto" w:sz="4" w:space="0"/>
              <w:left w:val="single" w:color="auto" w:sz="4" w:space="0"/>
              <w:bottom w:val="single" w:color="auto" w:sz="4" w:space="0"/>
              <w:right w:val="single" w:color="auto" w:sz="4" w:space="0"/>
            </w:tcBorders>
            <w:vAlign w:val="center"/>
          </w:tcPr>
          <w:p w14:paraId="472D55F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1.01E-04</w:t>
            </w:r>
          </w:p>
        </w:tc>
      </w:tr>
      <w:tr w14:paraId="2494AA70">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36DEC54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250</w:t>
            </w:r>
          </w:p>
        </w:tc>
        <w:tc>
          <w:tcPr>
            <w:tcW w:w="1167" w:type="dxa"/>
            <w:tcBorders>
              <w:top w:val="single" w:color="auto" w:sz="4" w:space="0"/>
              <w:left w:val="single" w:color="auto" w:sz="4" w:space="0"/>
              <w:bottom w:val="single" w:color="auto" w:sz="4" w:space="0"/>
              <w:right w:val="single" w:color="auto" w:sz="4" w:space="0"/>
            </w:tcBorders>
            <w:vAlign w:val="center"/>
          </w:tcPr>
          <w:p w14:paraId="0349085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A244C2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0CA1C71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5767AA2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1693CB8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2.66E-09</w:t>
            </w:r>
          </w:p>
        </w:tc>
        <w:tc>
          <w:tcPr>
            <w:tcW w:w="1168" w:type="dxa"/>
            <w:tcBorders>
              <w:top w:val="single" w:color="auto" w:sz="4" w:space="0"/>
              <w:left w:val="single" w:color="auto" w:sz="4" w:space="0"/>
              <w:bottom w:val="single" w:color="auto" w:sz="4" w:space="0"/>
              <w:right w:val="single" w:color="auto" w:sz="4" w:space="0"/>
            </w:tcBorders>
            <w:vAlign w:val="center"/>
          </w:tcPr>
          <w:p w14:paraId="68A05E6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1.16E-05</w:t>
            </w:r>
          </w:p>
        </w:tc>
      </w:tr>
      <w:tr w14:paraId="18810E81">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B26D3C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260</w:t>
            </w:r>
          </w:p>
        </w:tc>
        <w:tc>
          <w:tcPr>
            <w:tcW w:w="1167" w:type="dxa"/>
            <w:tcBorders>
              <w:top w:val="single" w:color="auto" w:sz="4" w:space="0"/>
              <w:left w:val="single" w:color="auto" w:sz="4" w:space="0"/>
              <w:bottom w:val="single" w:color="auto" w:sz="4" w:space="0"/>
              <w:right w:val="single" w:color="auto" w:sz="4" w:space="0"/>
            </w:tcBorders>
            <w:vAlign w:val="center"/>
          </w:tcPr>
          <w:p w14:paraId="75224CF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055AC7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442393D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5040C3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AF69E9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3.12E-10</w:t>
            </w:r>
          </w:p>
        </w:tc>
        <w:tc>
          <w:tcPr>
            <w:tcW w:w="1168" w:type="dxa"/>
            <w:tcBorders>
              <w:top w:val="single" w:color="auto" w:sz="4" w:space="0"/>
              <w:left w:val="single" w:color="auto" w:sz="4" w:space="0"/>
              <w:bottom w:val="single" w:color="auto" w:sz="4" w:space="0"/>
              <w:right w:val="single" w:color="auto" w:sz="4" w:space="0"/>
            </w:tcBorders>
            <w:vAlign w:val="center"/>
          </w:tcPr>
          <w:p w14:paraId="7244108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2.73E-06</w:t>
            </w:r>
          </w:p>
        </w:tc>
      </w:tr>
      <w:tr w14:paraId="30A12B99">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3A8A9E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270</w:t>
            </w:r>
          </w:p>
        </w:tc>
        <w:tc>
          <w:tcPr>
            <w:tcW w:w="1167" w:type="dxa"/>
            <w:tcBorders>
              <w:top w:val="single" w:color="auto" w:sz="4" w:space="0"/>
              <w:left w:val="single" w:color="auto" w:sz="4" w:space="0"/>
              <w:bottom w:val="single" w:color="auto" w:sz="4" w:space="0"/>
              <w:right w:val="single" w:color="auto" w:sz="4" w:space="0"/>
            </w:tcBorders>
            <w:vAlign w:val="center"/>
          </w:tcPr>
          <w:p w14:paraId="6E8A2DE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09AF7F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2F70FBF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4A0B02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B63DA2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3.30E-11</w:t>
            </w:r>
          </w:p>
        </w:tc>
        <w:tc>
          <w:tcPr>
            <w:tcW w:w="1168" w:type="dxa"/>
            <w:tcBorders>
              <w:top w:val="single" w:color="auto" w:sz="4" w:space="0"/>
              <w:left w:val="single" w:color="auto" w:sz="4" w:space="0"/>
              <w:bottom w:val="single" w:color="auto" w:sz="4" w:space="0"/>
              <w:right w:val="single" w:color="auto" w:sz="4" w:space="0"/>
            </w:tcBorders>
            <w:vAlign w:val="center"/>
          </w:tcPr>
          <w:p w14:paraId="71DEFF0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5.99E-07</w:t>
            </w:r>
          </w:p>
        </w:tc>
      </w:tr>
      <w:tr w14:paraId="426CFAB3">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46BB98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280</w:t>
            </w:r>
          </w:p>
        </w:tc>
        <w:tc>
          <w:tcPr>
            <w:tcW w:w="1167" w:type="dxa"/>
            <w:tcBorders>
              <w:top w:val="single" w:color="auto" w:sz="4" w:space="0"/>
              <w:left w:val="single" w:color="auto" w:sz="4" w:space="0"/>
              <w:bottom w:val="single" w:color="auto" w:sz="4" w:space="0"/>
              <w:right w:val="single" w:color="auto" w:sz="4" w:space="0"/>
            </w:tcBorders>
            <w:vAlign w:val="center"/>
          </w:tcPr>
          <w:p w14:paraId="5FFF88E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6A640A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7AB1AD5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12FADB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266F7F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3.39E-12</w:t>
            </w:r>
          </w:p>
        </w:tc>
        <w:tc>
          <w:tcPr>
            <w:tcW w:w="1168" w:type="dxa"/>
            <w:tcBorders>
              <w:top w:val="single" w:color="auto" w:sz="4" w:space="0"/>
              <w:left w:val="single" w:color="auto" w:sz="4" w:space="0"/>
              <w:bottom w:val="single" w:color="auto" w:sz="4" w:space="0"/>
              <w:right w:val="single" w:color="auto" w:sz="4" w:space="0"/>
            </w:tcBorders>
            <w:vAlign w:val="center"/>
          </w:tcPr>
          <w:p w14:paraId="24DF86A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1.22E-07</w:t>
            </w:r>
          </w:p>
        </w:tc>
      </w:tr>
      <w:tr w14:paraId="730F9E11">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507862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290</w:t>
            </w:r>
          </w:p>
        </w:tc>
        <w:tc>
          <w:tcPr>
            <w:tcW w:w="1167" w:type="dxa"/>
            <w:tcBorders>
              <w:top w:val="single" w:color="auto" w:sz="4" w:space="0"/>
              <w:left w:val="single" w:color="auto" w:sz="4" w:space="0"/>
              <w:bottom w:val="single" w:color="auto" w:sz="4" w:space="0"/>
              <w:right w:val="single" w:color="auto" w:sz="4" w:space="0"/>
            </w:tcBorders>
            <w:vAlign w:val="center"/>
          </w:tcPr>
          <w:p w14:paraId="1E4387F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09EB1D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2FC6BE2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09121F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46709BE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2.93E-13</w:t>
            </w:r>
          </w:p>
        </w:tc>
        <w:tc>
          <w:tcPr>
            <w:tcW w:w="1168" w:type="dxa"/>
            <w:tcBorders>
              <w:top w:val="single" w:color="auto" w:sz="4" w:space="0"/>
              <w:left w:val="single" w:color="auto" w:sz="4" w:space="0"/>
              <w:bottom w:val="single" w:color="auto" w:sz="4" w:space="0"/>
              <w:right w:val="single" w:color="auto" w:sz="4" w:space="0"/>
            </w:tcBorders>
            <w:vAlign w:val="center"/>
          </w:tcPr>
          <w:p w14:paraId="4B6730F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2.31E-08</w:t>
            </w:r>
          </w:p>
        </w:tc>
      </w:tr>
      <w:tr w14:paraId="0A49BA9B">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39B3FAA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300</w:t>
            </w:r>
          </w:p>
        </w:tc>
        <w:tc>
          <w:tcPr>
            <w:tcW w:w="1167" w:type="dxa"/>
            <w:tcBorders>
              <w:top w:val="single" w:color="auto" w:sz="4" w:space="0"/>
              <w:left w:val="single" w:color="auto" w:sz="4" w:space="0"/>
              <w:bottom w:val="single" w:color="auto" w:sz="4" w:space="0"/>
              <w:right w:val="single" w:color="auto" w:sz="4" w:space="0"/>
            </w:tcBorders>
            <w:vAlign w:val="center"/>
          </w:tcPr>
          <w:p w14:paraId="6BF5484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4508D3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765E974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1674DA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F076AA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2.30E-14</w:t>
            </w:r>
          </w:p>
        </w:tc>
        <w:tc>
          <w:tcPr>
            <w:tcW w:w="1168" w:type="dxa"/>
            <w:tcBorders>
              <w:top w:val="single" w:color="auto" w:sz="4" w:space="0"/>
              <w:left w:val="single" w:color="auto" w:sz="4" w:space="0"/>
              <w:bottom w:val="single" w:color="auto" w:sz="4" w:space="0"/>
              <w:right w:val="single" w:color="auto" w:sz="4" w:space="0"/>
            </w:tcBorders>
            <w:vAlign w:val="center"/>
          </w:tcPr>
          <w:p w14:paraId="2F85EE4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4.07E-09</w:t>
            </w:r>
          </w:p>
        </w:tc>
      </w:tr>
      <w:tr w14:paraId="28F27E15">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4BCB292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310</w:t>
            </w:r>
          </w:p>
        </w:tc>
        <w:tc>
          <w:tcPr>
            <w:tcW w:w="1167" w:type="dxa"/>
            <w:tcBorders>
              <w:top w:val="single" w:color="auto" w:sz="4" w:space="0"/>
              <w:left w:val="single" w:color="auto" w:sz="4" w:space="0"/>
              <w:bottom w:val="single" w:color="auto" w:sz="4" w:space="0"/>
              <w:right w:val="single" w:color="auto" w:sz="4" w:space="0"/>
            </w:tcBorders>
            <w:vAlign w:val="center"/>
          </w:tcPr>
          <w:p w14:paraId="657C088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5FFC6C7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30C8897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420954B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56ECC5F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2.09E-15</w:t>
            </w:r>
          </w:p>
        </w:tc>
        <w:tc>
          <w:tcPr>
            <w:tcW w:w="1168" w:type="dxa"/>
            <w:tcBorders>
              <w:top w:val="single" w:color="auto" w:sz="4" w:space="0"/>
              <w:left w:val="single" w:color="auto" w:sz="4" w:space="0"/>
              <w:bottom w:val="single" w:color="auto" w:sz="4" w:space="0"/>
              <w:right w:val="single" w:color="auto" w:sz="4" w:space="0"/>
            </w:tcBorders>
            <w:vAlign w:val="center"/>
          </w:tcPr>
          <w:p w14:paraId="51E882A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6.67E-10</w:t>
            </w:r>
          </w:p>
        </w:tc>
      </w:tr>
      <w:tr w14:paraId="7ACF8DCA">
        <w:tblPrEx>
          <w:tblCellMar>
            <w:top w:w="0" w:type="dxa"/>
            <w:left w:w="108" w:type="dxa"/>
            <w:bottom w:w="0" w:type="dxa"/>
            <w:right w:w="108" w:type="dxa"/>
          </w:tblCellMar>
        </w:tblPrEx>
        <w:trPr>
          <w:trHeight w:val="90" w:hRule="atLeast"/>
        </w:trPr>
        <w:tc>
          <w:tcPr>
            <w:tcW w:w="1524" w:type="dxa"/>
            <w:tcBorders>
              <w:top w:val="single" w:color="auto" w:sz="4" w:space="0"/>
              <w:left w:val="single" w:color="auto" w:sz="4" w:space="0"/>
              <w:bottom w:val="single" w:color="auto" w:sz="4" w:space="0"/>
              <w:right w:val="single" w:color="auto" w:sz="4" w:space="0"/>
            </w:tcBorders>
            <w:vAlign w:val="center"/>
          </w:tcPr>
          <w:p w14:paraId="069FB15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320</w:t>
            </w:r>
          </w:p>
        </w:tc>
        <w:tc>
          <w:tcPr>
            <w:tcW w:w="1167" w:type="dxa"/>
            <w:tcBorders>
              <w:top w:val="single" w:color="auto" w:sz="4" w:space="0"/>
              <w:left w:val="single" w:color="auto" w:sz="4" w:space="0"/>
              <w:bottom w:val="single" w:color="auto" w:sz="4" w:space="0"/>
              <w:right w:val="single" w:color="auto" w:sz="4" w:space="0"/>
            </w:tcBorders>
            <w:vAlign w:val="center"/>
          </w:tcPr>
          <w:p w14:paraId="7834EA9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50BD24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10DB042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5282766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4A837AD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11338A7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1.02E-10</w:t>
            </w:r>
          </w:p>
        </w:tc>
      </w:tr>
      <w:tr w14:paraId="2FC261DC">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3A2BCDE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330</w:t>
            </w:r>
          </w:p>
        </w:tc>
        <w:tc>
          <w:tcPr>
            <w:tcW w:w="1167" w:type="dxa"/>
            <w:tcBorders>
              <w:top w:val="single" w:color="auto" w:sz="4" w:space="0"/>
              <w:left w:val="single" w:color="auto" w:sz="4" w:space="0"/>
              <w:bottom w:val="single" w:color="auto" w:sz="4" w:space="0"/>
              <w:right w:val="single" w:color="auto" w:sz="4" w:space="0"/>
            </w:tcBorders>
            <w:vAlign w:val="center"/>
          </w:tcPr>
          <w:p w14:paraId="31298E9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A7EC7E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55F5D33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2AD93D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6151043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472740A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1.55E-11</w:t>
            </w:r>
          </w:p>
        </w:tc>
      </w:tr>
      <w:tr w14:paraId="2D57AC0F">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5DD0B49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340</w:t>
            </w:r>
          </w:p>
        </w:tc>
        <w:tc>
          <w:tcPr>
            <w:tcW w:w="1167" w:type="dxa"/>
            <w:tcBorders>
              <w:top w:val="single" w:color="auto" w:sz="4" w:space="0"/>
              <w:left w:val="single" w:color="auto" w:sz="4" w:space="0"/>
              <w:bottom w:val="single" w:color="auto" w:sz="4" w:space="0"/>
              <w:right w:val="single" w:color="auto" w:sz="4" w:space="0"/>
            </w:tcBorders>
            <w:vAlign w:val="center"/>
          </w:tcPr>
          <w:p w14:paraId="13AEDB5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5B0E7F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6EDC7BE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8AAFA1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984CA1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6F82B3D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2.03E-12</w:t>
            </w:r>
          </w:p>
        </w:tc>
      </w:tr>
      <w:tr w14:paraId="199B0204">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20B10B9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350</w:t>
            </w:r>
          </w:p>
        </w:tc>
        <w:tc>
          <w:tcPr>
            <w:tcW w:w="1167" w:type="dxa"/>
            <w:tcBorders>
              <w:top w:val="single" w:color="auto" w:sz="4" w:space="0"/>
              <w:left w:val="single" w:color="auto" w:sz="4" w:space="0"/>
              <w:bottom w:val="single" w:color="auto" w:sz="4" w:space="0"/>
              <w:right w:val="single" w:color="auto" w:sz="4" w:space="0"/>
            </w:tcBorders>
            <w:vAlign w:val="center"/>
          </w:tcPr>
          <w:p w14:paraId="05CC99D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2F1745D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27F1CA8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1DDBB84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7D894A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292F971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2.47E-13</w:t>
            </w:r>
          </w:p>
        </w:tc>
      </w:tr>
      <w:tr w14:paraId="734FFD1B">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7A3C86F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360</w:t>
            </w:r>
          </w:p>
        </w:tc>
        <w:tc>
          <w:tcPr>
            <w:tcW w:w="1167" w:type="dxa"/>
            <w:tcBorders>
              <w:top w:val="single" w:color="auto" w:sz="4" w:space="0"/>
              <w:left w:val="single" w:color="auto" w:sz="4" w:space="0"/>
              <w:bottom w:val="single" w:color="auto" w:sz="4" w:space="0"/>
              <w:right w:val="single" w:color="auto" w:sz="4" w:space="0"/>
            </w:tcBorders>
            <w:vAlign w:val="center"/>
          </w:tcPr>
          <w:p w14:paraId="173DBAD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BEF770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2171DBC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3B7E73D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5F6BF2E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5460407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2.72E-14</w:t>
            </w:r>
          </w:p>
        </w:tc>
      </w:tr>
      <w:tr w14:paraId="14B7EC1F">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19A6E31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370</w:t>
            </w:r>
          </w:p>
        </w:tc>
        <w:tc>
          <w:tcPr>
            <w:tcW w:w="1167" w:type="dxa"/>
            <w:tcBorders>
              <w:top w:val="single" w:color="auto" w:sz="4" w:space="0"/>
              <w:left w:val="single" w:color="auto" w:sz="4" w:space="0"/>
              <w:bottom w:val="single" w:color="auto" w:sz="4" w:space="0"/>
              <w:right w:val="single" w:color="auto" w:sz="4" w:space="0"/>
            </w:tcBorders>
            <w:vAlign w:val="center"/>
          </w:tcPr>
          <w:p w14:paraId="1BC888F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267EB6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4692222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5AF3BD1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CCD22B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3FEE82B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2.09E-15</w:t>
            </w:r>
          </w:p>
        </w:tc>
      </w:tr>
      <w:tr w14:paraId="0AD59CF9">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73A0F92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380</w:t>
            </w:r>
          </w:p>
        </w:tc>
        <w:tc>
          <w:tcPr>
            <w:tcW w:w="1167" w:type="dxa"/>
            <w:tcBorders>
              <w:top w:val="single" w:color="auto" w:sz="4" w:space="0"/>
              <w:left w:val="single" w:color="auto" w:sz="4" w:space="0"/>
              <w:bottom w:val="single" w:color="auto" w:sz="4" w:space="0"/>
              <w:right w:val="single" w:color="auto" w:sz="4" w:space="0"/>
            </w:tcBorders>
            <w:vAlign w:val="center"/>
          </w:tcPr>
          <w:p w14:paraId="66F30CE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3F8D4D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35047B3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78B2E5F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7" w:type="dxa"/>
            <w:tcBorders>
              <w:top w:val="single" w:color="auto" w:sz="4" w:space="0"/>
              <w:left w:val="single" w:color="auto" w:sz="4" w:space="0"/>
              <w:bottom w:val="single" w:color="auto" w:sz="4" w:space="0"/>
              <w:right w:val="single" w:color="auto" w:sz="4" w:space="0"/>
            </w:tcBorders>
            <w:vAlign w:val="center"/>
          </w:tcPr>
          <w:p w14:paraId="0044A14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lang w:val="en-US" w:eastAsia="zh-CN"/>
              </w:rPr>
            </w:pPr>
          </w:p>
        </w:tc>
        <w:tc>
          <w:tcPr>
            <w:tcW w:w="1168" w:type="dxa"/>
            <w:tcBorders>
              <w:top w:val="single" w:color="auto" w:sz="4" w:space="0"/>
              <w:left w:val="single" w:color="auto" w:sz="4" w:space="0"/>
              <w:bottom w:val="single" w:color="auto" w:sz="4" w:space="0"/>
              <w:right w:val="single" w:color="auto" w:sz="4" w:space="0"/>
            </w:tcBorders>
            <w:vAlign w:val="center"/>
          </w:tcPr>
          <w:p w14:paraId="486874D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0</w:t>
            </w:r>
          </w:p>
        </w:tc>
      </w:tr>
      <w:tr w14:paraId="53BB1509">
        <w:tblPrEx>
          <w:tblCellMar>
            <w:top w:w="0" w:type="dxa"/>
            <w:left w:w="108" w:type="dxa"/>
            <w:bottom w:w="0" w:type="dxa"/>
            <w:right w:w="108" w:type="dxa"/>
          </w:tblCellMar>
        </w:tblPrEx>
        <w:tc>
          <w:tcPr>
            <w:tcW w:w="1524" w:type="dxa"/>
            <w:tcBorders>
              <w:top w:val="single" w:color="auto" w:sz="4" w:space="0"/>
              <w:left w:val="single" w:color="auto" w:sz="4" w:space="0"/>
              <w:bottom w:val="single" w:color="auto" w:sz="4" w:space="0"/>
              <w:right w:val="single" w:color="auto" w:sz="4" w:space="0"/>
            </w:tcBorders>
            <w:vAlign w:val="center"/>
          </w:tcPr>
          <w:p w14:paraId="3C97668F">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备注</w:t>
            </w:r>
          </w:p>
        </w:tc>
        <w:tc>
          <w:tcPr>
            <w:tcW w:w="7004" w:type="dxa"/>
            <w:gridSpan w:val="6"/>
            <w:tcBorders>
              <w:top w:val="single" w:color="auto" w:sz="4" w:space="0"/>
              <w:left w:val="single" w:color="auto" w:sz="4" w:space="0"/>
              <w:bottom w:val="single" w:color="auto" w:sz="4" w:space="0"/>
              <w:right w:val="single" w:color="auto" w:sz="4" w:space="0"/>
            </w:tcBorders>
            <w:vAlign w:val="center"/>
          </w:tcPr>
          <w:p w14:paraId="576A9DFD">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氨氮采用地下水质量标准中的Ⅲ类标准值，其值为0.5mg/L</w:t>
            </w:r>
          </w:p>
        </w:tc>
      </w:tr>
    </w:tbl>
    <w:p w14:paraId="7FCD2FED">
      <w:pPr>
        <w:jc w:val="center"/>
        <w:rPr>
          <w:rFonts w:hint="eastAsia" w:eastAsia="宋体"/>
          <w:b/>
          <w:color w:val="auto"/>
          <w:szCs w:val="21"/>
          <w:lang w:eastAsia="zh-CN"/>
        </w:rPr>
      </w:pP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4782820</wp:posOffset>
                </wp:positionH>
                <wp:positionV relativeFrom="paragraph">
                  <wp:posOffset>2915920</wp:posOffset>
                </wp:positionV>
                <wp:extent cx="582930" cy="119380"/>
                <wp:effectExtent l="12700" t="12700" r="13970" b="20320"/>
                <wp:wrapNone/>
                <wp:docPr id="23" name="矩形 23"/>
                <wp:cNvGraphicFramePr/>
                <a:graphic xmlns:a="http://schemas.openxmlformats.org/drawingml/2006/main">
                  <a:graphicData uri="http://schemas.microsoft.com/office/word/2010/wordprocessingShape">
                    <wps:wsp>
                      <wps:cNvSpPr/>
                      <wps:spPr>
                        <a:xfrm>
                          <a:off x="5916295" y="8329930"/>
                          <a:ext cx="582930" cy="11938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6.6pt;margin-top:229.6pt;height:9.4pt;width:45.9pt;z-index:251668480;v-text-anchor:middle;mso-width-relative:page;mso-height-relative:page;" fillcolor="#FFFFFF [3212]" filled="t" stroked="t" coordsize="21600,21600" o:gfxdata="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Axx4hnbAAAACwEAAA8AAAAAAAAAAQAgAAAAIgAAAGRycy9kb3ducmV2&#10;LnhtbFBLAQIUABQAAAAIAIdO4kDg6K+WawIAAOoEAAAOAAAAAAAAAAEAIAAAACoBAABkcnMvZTJv&#10;RG9jLnhtbFBLBQYAAAAABgAGAFkBAAAHBgAAAAA=&#10;">
                <v:fill on="t" focussize="0,0"/>
                <v:stroke weight="2pt" color="#FFFFFF [3212]" joinstyle="round"/>
                <v:imagedata o:title=""/>
                <o:lock v:ext="edit" aspectratio="f"/>
              </v:rect>
            </w:pict>
          </mc:Fallback>
        </mc:AlternateContent>
      </w:r>
      <w:r>
        <w:rPr>
          <w:rFonts w:hint="eastAsia" w:eastAsia="宋体"/>
          <w:b/>
          <w:color w:val="auto"/>
          <w:szCs w:val="21"/>
          <w:lang w:eastAsia="zh-CN"/>
        </w:rPr>
        <w:drawing>
          <wp:inline distT="0" distB="0" distL="114300" distR="114300">
            <wp:extent cx="5408930" cy="3098165"/>
            <wp:effectExtent l="0" t="0" r="1270" b="6985"/>
            <wp:docPr id="20" name="图片 20" descr="氨氮浓度随距离变化折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氨氮浓度随距离变化折线图"/>
                    <pic:cNvPicPr>
                      <a:picLocks noChangeAspect="1"/>
                    </pic:cNvPicPr>
                  </pic:nvPicPr>
                  <pic:blipFill>
                    <a:blip r:embed="rId105"/>
                    <a:stretch>
                      <a:fillRect/>
                    </a:stretch>
                  </pic:blipFill>
                  <pic:spPr>
                    <a:xfrm>
                      <a:off x="0" y="0"/>
                      <a:ext cx="5408930" cy="3098165"/>
                    </a:xfrm>
                    <a:prstGeom prst="rect">
                      <a:avLst/>
                    </a:prstGeom>
                  </pic:spPr>
                </pic:pic>
              </a:graphicData>
            </a:graphic>
          </wp:inline>
        </w:drawing>
      </w:r>
    </w:p>
    <w:p w14:paraId="3C6C7020">
      <w:pPr>
        <w:ind w:firstLine="422"/>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图</w:t>
      </w:r>
      <w:r>
        <w:rPr>
          <w:rFonts w:hint="default" w:ascii="Times New Roman" w:hAnsi="Times New Roman" w:eastAsia="宋体" w:cs="Times New Roman"/>
          <w:b/>
          <w:color w:val="auto"/>
          <w:sz w:val="21"/>
          <w:szCs w:val="21"/>
          <w:lang w:val="en-US" w:eastAsia="zh-CN"/>
        </w:rPr>
        <w:t>4.8-2</w:t>
      </w:r>
      <w:r>
        <w:rPr>
          <w:rFonts w:hint="default" w:ascii="Times New Roman" w:hAnsi="Times New Roman" w:cs="Times New Roman"/>
          <w:b/>
          <w:color w:val="auto"/>
          <w:sz w:val="21"/>
          <w:szCs w:val="21"/>
        </w:rPr>
        <w:t xml:space="preserve">  项目区下游地下水中氨氮浓度变化曲线图</w:t>
      </w:r>
    </w:p>
    <w:p w14:paraId="30D927C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根据表</w:t>
      </w:r>
      <w:r>
        <w:rPr>
          <w:rFonts w:hint="eastAsia" w:ascii="Times New Roman" w:hAnsi="Times New Roman" w:cs="Times New Roman" w:eastAsiaTheme="minorEastAsia"/>
          <w:color w:val="auto"/>
          <w:sz w:val="24"/>
          <w:szCs w:val="24"/>
          <w:lang w:val="en-US" w:eastAsia="zh-CN"/>
        </w:rPr>
        <w:t>4.8-5</w:t>
      </w:r>
      <w:r>
        <w:rPr>
          <w:rFonts w:hint="default" w:ascii="Times New Roman" w:hAnsi="Times New Roman" w:cs="Times New Roman" w:eastAsiaTheme="minorEastAsia"/>
          <w:color w:val="auto"/>
          <w:sz w:val="24"/>
          <w:szCs w:val="24"/>
        </w:rPr>
        <w:t>及图</w:t>
      </w:r>
      <w:r>
        <w:rPr>
          <w:rFonts w:hint="eastAsia" w:ascii="Times New Roman" w:hAnsi="Times New Roman" w:cs="Times New Roman" w:eastAsiaTheme="minorEastAsia"/>
          <w:color w:val="auto"/>
          <w:sz w:val="24"/>
          <w:szCs w:val="24"/>
          <w:lang w:val="en-US" w:eastAsia="zh-CN"/>
        </w:rPr>
        <w:t>4.8-2</w:t>
      </w:r>
      <w:r>
        <w:rPr>
          <w:rFonts w:hint="default" w:ascii="Times New Roman" w:hAnsi="Times New Roman" w:cs="Times New Roman" w:eastAsiaTheme="minorEastAsia"/>
          <w:color w:val="auto"/>
          <w:sz w:val="24"/>
          <w:szCs w:val="24"/>
        </w:rPr>
        <w:t>可以看出，污染物NH</w:t>
      </w:r>
      <w:r>
        <w:rPr>
          <w:rFonts w:hint="default" w:ascii="Times New Roman" w:hAnsi="Times New Roman" w:cs="Times New Roman" w:eastAsiaTheme="minorEastAsia"/>
          <w:color w:val="auto"/>
          <w:sz w:val="24"/>
          <w:szCs w:val="24"/>
          <w:vertAlign w:val="subscript"/>
        </w:rPr>
        <w:t>3</w:t>
      </w:r>
      <w:r>
        <w:rPr>
          <w:rFonts w:hint="default" w:ascii="Times New Roman" w:hAnsi="Times New Roman" w:cs="Times New Roman" w:eastAsiaTheme="minorEastAsia"/>
          <w:color w:val="auto"/>
          <w:sz w:val="24"/>
          <w:szCs w:val="24"/>
        </w:rPr>
        <w:t>-N沿地下水流向下游迁移，而且随着泄漏时间的增长，污染物影响的范围逐渐变大；同时，因此本次选用地下水质量标准中的Ⅲ类标准值0.5mg/L作为背景值叠加，由预测可知，本项目污水下渗，7天时，预测超标距离为</w:t>
      </w:r>
      <w:r>
        <w:rPr>
          <w:rFonts w:hint="eastAsia" w:ascii="Times New Roman" w:hAnsi="Times New Roman" w:cs="Times New Roman" w:eastAsiaTheme="minorEastAsia"/>
          <w:color w:val="auto"/>
          <w:sz w:val="24"/>
          <w:szCs w:val="24"/>
          <w:lang w:val="en-US" w:eastAsia="zh-CN"/>
        </w:rPr>
        <w:t>8</w:t>
      </w:r>
      <w:r>
        <w:rPr>
          <w:rFonts w:hint="default" w:ascii="Times New Roman" w:hAnsi="Times New Roman" w:cs="Times New Roman" w:eastAsiaTheme="minorEastAsia"/>
          <w:color w:val="auto"/>
          <w:sz w:val="24"/>
          <w:szCs w:val="24"/>
        </w:rPr>
        <w:t>m；影响距离为</w:t>
      </w:r>
      <w:r>
        <w:rPr>
          <w:rFonts w:hint="eastAsia" w:ascii="Times New Roman" w:hAnsi="Times New Roman" w:cs="Times New Roman" w:eastAsiaTheme="minorEastAsia"/>
          <w:color w:val="auto"/>
          <w:sz w:val="24"/>
          <w:szCs w:val="24"/>
          <w:lang w:val="en-US" w:eastAsia="zh-CN"/>
        </w:rPr>
        <w:t>10</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50天时，预测超标距离为</w:t>
      </w:r>
      <w:r>
        <w:rPr>
          <w:rFonts w:hint="eastAsia" w:ascii="Times New Roman" w:hAnsi="Times New Roman" w:cs="Times New Roman" w:eastAsiaTheme="minorEastAsia"/>
          <w:color w:val="auto"/>
          <w:sz w:val="24"/>
          <w:szCs w:val="24"/>
          <w:lang w:val="en-US" w:eastAsia="zh-CN"/>
        </w:rPr>
        <w:t>23</w:t>
      </w:r>
      <w:r>
        <w:rPr>
          <w:rFonts w:hint="default" w:ascii="Times New Roman" w:hAnsi="Times New Roman" w:cs="Times New Roman" w:eastAsiaTheme="minorEastAsia"/>
          <w:color w:val="auto"/>
          <w:sz w:val="24"/>
          <w:szCs w:val="24"/>
        </w:rPr>
        <w:t>m；影响距离为</w:t>
      </w:r>
      <w:r>
        <w:rPr>
          <w:rFonts w:hint="eastAsia" w:ascii="Times New Roman" w:hAnsi="Times New Roman" w:cs="Times New Roman" w:eastAsiaTheme="minorEastAsia"/>
          <w:color w:val="auto"/>
          <w:sz w:val="24"/>
          <w:szCs w:val="24"/>
          <w:lang w:val="en-US" w:eastAsia="zh-CN"/>
        </w:rPr>
        <w:t>31</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100天时，预测超标距离为</w:t>
      </w:r>
      <w:r>
        <w:rPr>
          <w:rFonts w:hint="eastAsia" w:ascii="Times New Roman" w:hAnsi="Times New Roman" w:cs="Times New Roman" w:eastAsiaTheme="minorEastAsia"/>
          <w:color w:val="auto"/>
          <w:sz w:val="24"/>
          <w:szCs w:val="24"/>
          <w:lang w:val="en-US" w:eastAsia="zh-CN"/>
        </w:rPr>
        <w:t>34</w:t>
      </w:r>
      <w:r>
        <w:rPr>
          <w:rFonts w:hint="default" w:ascii="Times New Roman" w:hAnsi="Times New Roman" w:cs="Times New Roman" w:eastAsiaTheme="minorEastAsia"/>
          <w:color w:val="auto"/>
          <w:sz w:val="24"/>
          <w:szCs w:val="24"/>
        </w:rPr>
        <w:t>m；影响距离为</w:t>
      </w:r>
      <w:r>
        <w:rPr>
          <w:rFonts w:hint="eastAsia" w:ascii="Times New Roman" w:hAnsi="Times New Roman" w:cs="Times New Roman" w:eastAsiaTheme="minorEastAsia"/>
          <w:color w:val="auto"/>
          <w:sz w:val="24"/>
          <w:szCs w:val="24"/>
          <w:lang w:val="en-US" w:eastAsia="zh-CN"/>
        </w:rPr>
        <w:t>45</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365天时，预测超标距离为</w:t>
      </w:r>
      <w:r>
        <w:rPr>
          <w:rFonts w:hint="eastAsia" w:ascii="Times New Roman" w:hAnsi="Times New Roman" w:cs="Times New Roman" w:eastAsiaTheme="minorEastAsia"/>
          <w:color w:val="auto"/>
          <w:sz w:val="24"/>
          <w:szCs w:val="24"/>
          <w:lang w:val="en-US" w:eastAsia="zh-CN"/>
        </w:rPr>
        <w:t>77</w:t>
      </w:r>
      <w:r>
        <w:rPr>
          <w:rFonts w:hint="default" w:ascii="Times New Roman" w:hAnsi="Times New Roman" w:cs="Times New Roman" w:eastAsiaTheme="minorEastAsia"/>
          <w:color w:val="auto"/>
          <w:sz w:val="24"/>
          <w:szCs w:val="24"/>
        </w:rPr>
        <w:t>m；影响距离为</w:t>
      </w:r>
      <w:r>
        <w:rPr>
          <w:rFonts w:hint="eastAsia" w:ascii="Times New Roman" w:hAnsi="Times New Roman" w:cs="Times New Roman" w:eastAsiaTheme="minorEastAsia"/>
          <w:color w:val="auto"/>
          <w:sz w:val="24"/>
          <w:szCs w:val="24"/>
          <w:lang w:val="en-US" w:eastAsia="zh-CN"/>
        </w:rPr>
        <w:t>98</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730天时，预测超标距离为</w:t>
      </w:r>
      <w:r>
        <w:rPr>
          <w:rFonts w:hint="eastAsia" w:ascii="Times New Roman" w:hAnsi="Times New Roman" w:cs="Times New Roman" w:eastAsiaTheme="minorEastAsia"/>
          <w:color w:val="auto"/>
          <w:sz w:val="24"/>
          <w:szCs w:val="24"/>
          <w:lang w:val="en-US" w:eastAsia="zh-CN"/>
        </w:rPr>
        <w:t>123</w:t>
      </w:r>
      <w:r>
        <w:rPr>
          <w:rFonts w:hint="default" w:ascii="Times New Roman" w:hAnsi="Times New Roman" w:cs="Times New Roman" w:eastAsiaTheme="minorEastAsia"/>
          <w:color w:val="auto"/>
          <w:sz w:val="24"/>
          <w:szCs w:val="24"/>
        </w:rPr>
        <w:t>m；影响距离为</w:t>
      </w:r>
      <w:r>
        <w:rPr>
          <w:rFonts w:hint="eastAsia" w:ascii="Times New Roman" w:hAnsi="Times New Roman" w:cs="Times New Roman" w:eastAsiaTheme="minorEastAsia"/>
          <w:color w:val="auto"/>
          <w:sz w:val="24"/>
          <w:szCs w:val="24"/>
          <w:lang w:val="en-US" w:eastAsia="zh-CN"/>
        </w:rPr>
        <w:t>153</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1000天时，预测超标距离为</w:t>
      </w:r>
      <w:r>
        <w:rPr>
          <w:rFonts w:hint="eastAsia" w:ascii="Times New Roman" w:hAnsi="Times New Roman" w:cs="Times New Roman" w:eastAsiaTheme="minorEastAsia"/>
          <w:color w:val="auto"/>
          <w:sz w:val="24"/>
          <w:szCs w:val="24"/>
          <w:lang w:val="en-US" w:eastAsia="zh-CN"/>
        </w:rPr>
        <w:t>153</w:t>
      </w:r>
      <w:r>
        <w:rPr>
          <w:rFonts w:hint="default" w:ascii="Times New Roman" w:hAnsi="Times New Roman" w:cs="Times New Roman" w:eastAsiaTheme="minorEastAsia"/>
          <w:color w:val="auto"/>
          <w:sz w:val="24"/>
          <w:szCs w:val="24"/>
        </w:rPr>
        <w:t>m；影响距离为</w:t>
      </w:r>
      <w:r>
        <w:rPr>
          <w:rFonts w:hint="eastAsia" w:ascii="Times New Roman" w:hAnsi="Times New Roman" w:cs="Times New Roman" w:eastAsiaTheme="minorEastAsia"/>
          <w:color w:val="auto"/>
          <w:sz w:val="24"/>
          <w:szCs w:val="24"/>
          <w:lang w:val="en-US" w:eastAsia="zh-CN"/>
        </w:rPr>
        <w:t>189</w:t>
      </w:r>
      <w:r>
        <w:rPr>
          <w:rFonts w:hint="default" w:ascii="Times New Roman" w:hAnsi="Times New Roman" w:cs="Times New Roman" w:eastAsiaTheme="minorEastAsia"/>
          <w:color w:val="auto"/>
          <w:sz w:val="24"/>
          <w:szCs w:val="24"/>
        </w:rPr>
        <w:t>m。</w:t>
      </w:r>
    </w:p>
    <w:p w14:paraId="52499E0B">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由此可知，项目</w:t>
      </w:r>
      <w:r>
        <w:rPr>
          <w:rFonts w:hint="default" w:ascii="Times New Roman" w:hAnsi="Times New Roman" w:cs="Times New Roman" w:eastAsiaTheme="minorEastAsia"/>
          <w:color w:val="auto"/>
          <w:sz w:val="24"/>
          <w:szCs w:val="24"/>
          <w:lang w:val="en-US" w:eastAsia="zh-CN"/>
        </w:rPr>
        <w:t>化粪池</w:t>
      </w:r>
      <w:r>
        <w:rPr>
          <w:rFonts w:hint="default" w:ascii="Times New Roman" w:hAnsi="Times New Roman" w:cs="Times New Roman" w:eastAsiaTheme="minorEastAsia"/>
          <w:color w:val="auto"/>
          <w:sz w:val="24"/>
          <w:szCs w:val="24"/>
        </w:rPr>
        <w:t>防渗损坏后，在持续泄漏的情况下</w:t>
      </w:r>
      <w:r>
        <w:rPr>
          <w:rFonts w:hint="default" w:ascii="Times New Roman" w:hAnsi="Times New Roman" w:cs="Times New Roman" w:eastAsiaTheme="minorEastAsia"/>
          <w:color w:val="auto"/>
          <w:sz w:val="24"/>
          <w:szCs w:val="24"/>
          <w:lang w:val="en-US" w:eastAsia="zh-CN"/>
        </w:rPr>
        <w:t>最远的超标距离是</w:t>
      </w:r>
      <w:r>
        <w:rPr>
          <w:rFonts w:hint="eastAsia" w:ascii="Times New Roman" w:hAnsi="Times New Roman" w:cs="Times New Roman" w:eastAsiaTheme="minorEastAsia"/>
          <w:color w:val="auto"/>
          <w:sz w:val="24"/>
          <w:szCs w:val="24"/>
          <w:lang w:val="en-US" w:eastAsia="zh-CN"/>
        </w:rPr>
        <w:t>370</w:t>
      </w:r>
      <w:r>
        <w:rPr>
          <w:rFonts w:hint="default" w:ascii="Times New Roman" w:hAnsi="Times New Roman" w:cs="Times New Roman" w:eastAsiaTheme="minorEastAsia"/>
          <w:color w:val="auto"/>
          <w:sz w:val="24"/>
          <w:szCs w:val="24"/>
          <w:lang w:val="en-US" w:eastAsia="zh-CN"/>
        </w:rPr>
        <w:t>m，未污染到</w:t>
      </w:r>
      <w:r>
        <w:rPr>
          <w:rFonts w:hint="eastAsia" w:ascii="Times New Roman" w:hAnsi="Times New Roman" w:cs="Times New Roman" w:eastAsiaTheme="minorEastAsia"/>
          <w:color w:val="auto"/>
          <w:sz w:val="24"/>
          <w:szCs w:val="24"/>
          <w:lang w:val="en-US" w:eastAsia="zh-CN"/>
        </w:rPr>
        <w:t>东干渠</w:t>
      </w:r>
      <w:r>
        <w:rPr>
          <w:rFonts w:hint="default" w:ascii="Times New Roman" w:hAnsi="Times New Roman" w:cs="Times New Roman" w:eastAsiaTheme="minorEastAsia"/>
          <w:color w:val="auto"/>
          <w:sz w:val="24"/>
          <w:szCs w:val="24"/>
          <w:lang w:val="en-US" w:eastAsia="zh-CN"/>
        </w:rPr>
        <w:t>处</w:t>
      </w:r>
      <w:r>
        <w:rPr>
          <w:rFonts w:hint="default" w:ascii="Times New Roman" w:hAnsi="Times New Roman" w:cs="Times New Roman" w:eastAsiaTheme="minorEastAsia"/>
          <w:color w:val="auto"/>
          <w:sz w:val="24"/>
          <w:szCs w:val="24"/>
        </w:rPr>
        <w:t>。</w:t>
      </w:r>
    </w:p>
    <w:p w14:paraId="64FDBA3F">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val="en-US" w:eastAsia="zh-CN"/>
        </w:rPr>
        <w:t>2</w:t>
      </w:r>
      <w:r>
        <w:rPr>
          <w:rFonts w:hint="eastAsia"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val="en-US" w:eastAsia="zh-CN"/>
        </w:rPr>
        <w:t>污染物迁移出厂界时间预测</w:t>
      </w:r>
    </w:p>
    <w:p w14:paraId="01D908A6">
      <w:pPr>
        <w:keepNext w:val="0"/>
        <w:keepLines w:val="0"/>
        <w:pageBreakBefore w:val="0"/>
        <w:widowControl/>
        <w:kinsoku/>
        <w:wordWrap/>
        <w:overflowPunct/>
        <w:topLinePunct w:val="0"/>
        <w:autoSpaceDE w:val="0"/>
        <w:autoSpaceDN w:val="0"/>
        <w:bidi w:val="0"/>
        <w:adjustRightInd/>
        <w:snapToGrid/>
        <w:spacing w:line="360" w:lineRule="auto"/>
        <w:ind w:firstLine="480"/>
        <w:textAlignment w:val="baseline"/>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本项目主要地下水环境风险源化粪池与厂界的最短距离为5</w:t>
      </w:r>
      <w:r>
        <w:rPr>
          <w:rFonts w:hint="default" w:ascii="Times New Roman" w:hAnsi="Times New Roman" w:cs="Times New Roman"/>
          <w:color w:val="auto"/>
          <w:sz w:val="24"/>
          <w:szCs w:val="24"/>
          <w:lang w:val="en-US" w:eastAsia="zh-CN"/>
        </w:rPr>
        <w:t>m</w:t>
      </w:r>
      <w:r>
        <w:rPr>
          <w:rFonts w:hint="eastAsia" w:ascii="Times New Roman" w:hAnsi="Times New Roman" w:cs="Times New Roman"/>
          <w:color w:val="auto"/>
          <w:sz w:val="24"/>
          <w:szCs w:val="24"/>
          <w:lang w:val="en-US" w:eastAsia="zh-CN"/>
        </w:rPr>
        <w:t>，根据预测模型计算，非正常情况下本项目化粪池发生意外持续泄露，下渗进入评价区含水层，污染因子氨氮到达厂界附近氨氮的浓度随时间分布情况如4.8</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6和图4.8</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3所示。</w:t>
      </w:r>
    </w:p>
    <w:p w14:paraId="117858A5">
      <w:pPr>
        <w:keepNext w:val="0"/>
        <w:keepLines w:val="0"/>
        <w:pageBreakBefore w:val="0"/>
        <w:widowControl/>
        <w:kinsoku/>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lang w:val="en-US" w:eastAsia="zh-CN"/>
        </w:rPr>
        <w:t>表</w:t>
      </w:r>
      <w:r>
        <w:rPr>
          <w:rFonts w:hint="eastAsia" w:ascii="Times New Roman" w:hAnsi="Times New Roman" w:cs="Times New Roman"/>
          <w:b/>
          <w:color w:val="auto"/>
          <w:sz w:val="21"/>
          <w:szCs w:val="21"/>
          <w:lang w:val="en-US" w:eastAsia="zh-CN"/>
        </w:rPr>
        <w:t>4.8</w:t>
      </w:r>
      <w:r>
        <w:rPr>
          <w:rFonts w:hint="default" w:ascii="Times New Roman" w:hAnsi="Times New Roman" w:cs="Times New Roman"/>
          <w:b/>
          <w:color w:val="auto"/>
          <w:sz w:val="21"/>
          <w:szCs w:val="21"/>
          <w:lang w:val="en-US" w:eastAsia="zh-CN"/>
        </w:rPr>
        <w:t>-</w:t>
      </w:r>
      <w:r>
        <w:rPr>
          <w:rFonts w:hint="eastAsia" w:ascii="Times New Roman" w:hAnsi="Times New Roman" w:cs="Times New Roman"/>
          <w:b/>
          <w:color w:val="auto"/>
          <w:sz w:val="21"/>
          <w:szCs w:val="21"/>
          <w:lang w:val="en-US" w:eastAsia="zh-CN"/>
        </w:rPr>
        <w:t>6</w:t>
      </w:r>
      <w:r>
        <w:rPr>
          <w:rFonts w:hint="default" w:ascii="Times New Roman" w:hAnsi="Times New Roman" w:cs="Times New Roman"/>
          <w:b/>
          <w:color w:val="auto"/>
          <w:sz w:val="21"/>
          <w:szCs w:val="21"/>
          <w:lang w:val="en-US" w:eastAsia="zh-CN"/>
        </w:rPr>
        <w:t xml:space="preserve"> </w:t>
      </w:r>
      <w:r>
        <w:rPr>
          <w:rFonts w:hint="eastAsia" w:ascii="Times New Roman" w:hAnsi="Times New Roman" w:cs="Times New Roman"/>
          <w:b/>
          <w:color w:val="auto"/>
          <w:sz w:val="21"/>
          <w:szCs w:val="21"/>
          <w:lang w:val="en-US" w:eastAsia="zh-CN"/>
        </w:rPr>
        <w:t>化粪池废水渗漏到达厂界氨氮浓度变化表</w:t>
      </w:r>
    </w:p>
    <w:tbl>
      <w:tblPr>
        <w:tblStyle w:val="22"/>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2"/>
        <w:gridCol w:w="3033"/>
        <w:gridCol w:w="3033"/>
      </w:tblGrid>
      <w:tr w14:paraId="7FD0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3032"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BA19C5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mc:AlternateContent>
                <mc:Choice Requires="wpsCustomData">
                  <wpsCustomData:diagonalParaType/>
                </mc:Choice>
              </mc:AlternateContent>
              <w:rPr>
                <w:rFonts w:hint="eastAsia" w:ascii="Times New Roman" w:hAnsi="Times New Roman" w:cs="Times New Roman" w:eastAsiaTheme="minorEastAsia"/>
                <w:color w:val="auto"/>
                <w:sz w:val="20"/>
                <w:szCs w:val="20"/>
                <w:vertAlign w:val="baseline"/>
                <w:lang w:val="en-US" w:eastAsia="zh-CN"/>
              </w:rPr>
            </w:pPr>
            <w:r>
              <w:rPr>
                <w:rFonts w:hint="eastAsia" w:ascii="Times New Roman" w:hAnsi="Times New Roman" w:cs="Times New Roman" w:eastAsiaTheme="minorEastAsia"/>
                <w:color w:val="auto"/>
                <w:sz w:val="20"/>
                <w:szCs w:val="20"/>
                <w:vertAlign w:val="baseline"/>
                <w:lang w:val="en-US" w:eastAsia="zh-CN"/>
              </w:rPr>
              <w:t>T（d）</w:t>
            </w:r>
          </w:p>
          <w:p w14:paraId="0EBBB7B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eastAsiaTheme="minorEastAsia"/>
                <w:color w:val="auto"/>
                <w:sz w:val="20"/>
                <w:szCs w:val="20"/>
                <w:vertAlign w:val="baseline"/>
                <w:lang w:val="en-US" w:eastAsia="zh-CN"/>
              </w:rPr>
            </w:pPr>
            <w:r>
              <w:rPr>
                <w:rFonts w:hint="eastAsia" w:ascii="Times New Roman" w:hAnsi="Times New Roman" w:cs="Times New Roman" w:eastAsiaTheme="minorEastAsia"/>
                <w:color w:val="auto"/>
                <w:sz w:val="20"/>
                <w:szCs w:val="20"/>
                <w:vertAlign w:val="baseline"/>
                <w:lang w:val="en-US" w:eastAsia="zh-CN"/>
              </w:rPr>
              <w:t>C（x，t）</w:t>
            </w:r>
          </w:p>
        </w:tc>
        <w:tc>
          <w:tcPr>
            <w:tcW w:w="3033" w:type="dxa"/>
            <w:vAlign w:val="center"/>
          </w:tcPr>
          <w:p w14:paraId="6F5BDF4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氨氮浓度（mg/l）</w:t>
            </w:r>
          </w:p>
        </w:tc>
        <w:tc>
          <w:tcPr>
            <w:tcW w:w="3033" w:type="dxa"/>
            <w:vAlign w:val="center"/>
          </w:tcPr>
          <w:p w14:paraId="4ABC3CA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备注</w:t>
            </w:r>
          </w:p>
        </w:tc>
      </w:tr>
      <w:tr w14:paraId="352A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4B339DC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p>
        </w:tc>
        <w:tc>
          <w:tcPr>
            <w:tcW w:w="3033" w:type="dxa"/>
            <w:vAlign w:val="center"/>
          </w:tcPr>
          <w:p w14:paraId="726271C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0.00E+00</w:t>
            </w:r>
          </w:p>
        </w:tc>
        <w:tc>
          <w:tcPr>
            <w:tcW w:w="3033" w:type="dxa"/>
            <w:vAlign w:val="center"/>
          </w:tcPr>
          <w:p w14:paraId="1362173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2809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628E755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21"/>
                <w:lang w:val="en-US" w:eastAsia="zh-CN"/>
              </w:rPr>
              <w:t>1</w:t>
            </w:r>
          </w:p>
        </w:tc>
        <w:tc>
          <w:tcPr>
            <w:tcW w:w="3033" w:type="dxa"/>
            <w:vAlign w:val="center"/>
          </w:tcPr>
          <w:p w14:paraId="0A898E2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7.79E-04</w:t>
            </w:r>
          </w:p>
        </w:tc>
        <w:tc>
          <w:tcPr>
            <w:tcW w:w="3033" w:type="dxa"/>
            <w:vAlign w:val="center"/>
          </w:tcPr>
          <w:p w14:paraId="04A1CC9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0332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7F43FEC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21"/>
                <w:lang w:val="en-US" w:eastAsia="zh-CN"/>
              </w:rPr>
              <w:t>2</w:t>
            </w:r>
          </w:p>
        </w:tc>
        <w:tc>
          <w:tcPr>
            <w:tcW w:w="3033" w:type="dxa"/>
            <w:vAlign w:val="center"/>
          </w:tcPr>
          <w:p w14:paraId="10BA31E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1.11E-01</w:t>
            </w:r>
          </w:p>
        </w:tc>
        <w:tc>
          <w:tcPr>
            <w:tcW w:w="3033" w:type="dxa"/>
            <w:vAlign w:val="center"/>
          </w:tcPr>
          <w:p w14:paraId="5E041FD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r>
              <w:rPr>
                <w:rFonts w:hint="eastAsia" w:ascii="Times New Roman" w:hAnsi="Times New Roman" w:cs="Times New Roman"/>
                <w:b/>
                <w:bCs/>
                <w:color w:val="auto"/>
                <w:lang w:val="en-US" w:eastAsia="zh-CN"/>
              </w:rPr>
              <w:t>最早检出时间</w:t>
            </w:r>
          </w:p>
        </w:tc>
      </w:tr>
      <w:tr w14:paraId="080E5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58705BA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3033" w:type="dxa"/>
            <w:vAlign w:val="center"/>
          </w:tcPr>
          <w:p w14:paraId="0C21721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6.16E-01</w:t>
            </w:r>
          </w:p>
        </w:tc>
        <w:tc>
          <w:tcPr>
            <w:tcW w:w="3033" w:type="dxa"/>
            <w:vAlign w:val="center"/>
          </w:tcPr>
          <w:p w14:paraId="03FEDB0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r>
              <w:rPr>
                <w:rFonts w:hint="eastAsia" w:ascii="Times New Roman" w:hAnsi="Times New Roman" w:cs="Times New Roman"/>
                <w:b/>
                <w:bCs/>
                <w:color w:val="auto"/>
                <w:lang w:val="en-US" w:eastAsia="zh-CN"/>
              </w:rPr>
              <w:t>最早超标时间</w:t>
            </w:r>
          </w:p>
        </w:tc>
      </w:tr>
      <w:tr w14:paraId="1E98E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78298F7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21"/>
                <w:lang w:val="en-US" w:eastAsia="zh-CN"/>
              </w:rPr>
              <w:t>5</w:t>
            </w:r>
          </w:p>
        </w:tc>
        <w:tc>
          <w:tcPr>
            <w:tcW w:w="3033" w:type="dxa"/>
            <w:vAlign w:val="center"/>
          </w:tcPr>
          <w:p w14:paraId="7F82948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2.59E+00</w:t>
            </w:r>
          </w:p>
        </w:tc>
        <w:tc>
          <w:tcPr>
            <w:tcW w:w="3033" w:type="dxa"/>
            <w:vAlign w:val="center"/>
          </w:tcPr>
          <w:p w14:paraId="6D61E3C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6285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5B80458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p>
        </w:tc>
        <w:tc>
          <w:tcPr>
            <w:tcW w:w="3033" w:type="dxa"/>
            <w:vAlign w:val="center"/>
          </w:tcPr>
          <w:p w14:paraId="73881F6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4.95E+00</w:t>
            </w:r>
          </w:p>
        </w:tc>
        <w:tc>
          <w:tcPr>
            <w:tcW w:w="3033" w:type="dxa"/>
            <w:vAlign w:val="center"/>
          </w:tcPr>
          <w:p w14:paraId="374CA78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148B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6A53266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w:t>
            </w:r>
          </w:p>
        </w:tc>
        <w:tc>
          <w:tcPr>
            <w:tcW w:w="3033" w:type="dxa"/>
            <w:vAlign w:val="center"/>
          </w:tcPr>
          <w:p w14:paraId="525F03C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6.11E+00</w:t>
            </w:r>
          </w:p>
        </w:tc>
        <w:tc>
          <w:tcPr>
            <w:tcW w:w="3033" w:type="dxa"/>
            <w:vAlign w:val="center"/>
          </w:tcPr>
          <w:p w14:paraId="1FF5AF1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1E75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429EB87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100</w:t>
            </w:r>
          </w:p>
        </w:tc>
        <w:tc>
          <w:tcPr>
            <w:tcW w:w="3033" w:type="dxa"/>
            <w:vAlign w:val="center"/>
          </w:tcPr>
          <w:p w14:paraId="49AA9B1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3.08E+01</w:t>
            </w:r>
          </w:p>
        </w:tc>
        <w:tc>
          <w:tcPr>
            <w:tcW w:w="3033" w:type="dxa"/>
            <w:vAlign w:val="center"/>
          </w:tcPr>
          <w:p w14:paraId="409D4D9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7A13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66E1F5F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200</w:t>
            </w:r>
          </w:p>
        </w:tc>
        <w:tc>
          <w:tcPr>
            <w:tcW w:w="3033" w:type="dxa"/>
            <w:vAlign w:val="center"/>
          </w:tcPr>
          <w:p w14:paraId="40867B1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3.44E+01</w:t>
            </w:r>
          </w:p>
        </w:tc>
        <w:tc>
          <w:tcPr>
            <w:tcW w:w="3033" w:type="dxa"/>
            <w:vAlign w:val="center"/>
          </w:tcPr>
          <w:p w14:paraId="436F77D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34CA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748BE04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300</w:t>
            </w:r>
          </w:p>
        </w:tc>
        <w:tc>
          <w:tcPr>
            <w:tcW w:w="3033" w:type="dxa"/>
            <w:vAlign w:val="center"/>
          </w:tcPr>
          <w:p w14:paraId="7690376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3.57E+01</w:t>
            </w:r>
          </w:p>
        </w:tc>
        <w:tc>
          <w:tcPr>
            <w:tcW w:w="3033" w:type="dxa"/>
            <w:vAlign w:val="center"/>
          </w:tcPr>
          <w:p w14:paraId="1F51CD3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162E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3A9F6BA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400</w:t>
            </w:r>
          </w:p>
        </w:tc>
        <w:tc>
          <w:tcPr>
            <w:tcW w:w="3033" w:type="dxa"/>
            <w:vAlign w:val="center"/>
          </w:tcPr>
          <w:p w14:paraId="67808E1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3.64E+01</w:t>
            </w:r>
          </w:p>
        </w:tc>
        <w:tc>
          <w:tcPr>
            <w:tcW w:w="3033" w:type="dxa"/>
            <w:vAlign w:val="center"/>
          </w:tcPr>
          <w:p w14:paraId="5A2185F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5B2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5DFE3E3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500</w:t>
            </w:r>
          </w:p>
        </w:tc>
        <w:tc>
          <w:tcPr>
            <w:tcW w:w="3033" w:type="dxa"/>
            <w:vAlign w:val="center"/>
          </w:tcPr>
          <w:p w14:paraId="450BF23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3.69E+01</w:t>
            </w:r>
          </w:p>
        </w:tc>
        <w:tc>
          <w:tcPr>
            <w:tcW w:w="3033" w:type="dxa"/>
            <w:vAlign w:val="center"/>
          </w:tcPr>
          <w:p w14:paraId="7D8A51B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7754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vAlign w:val="center"/>
          </w:tcPr>
          <w:p w14:paraId="49AF8C7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600</w:t>
            </w:r>
          </w:p>
        </w:tc>
        <w:tc>
          <w:tcPr>
            <w:tcW w:w="3033" w:type="dxa"/>
            <w:vAlign w:val="center"/>
          </w:tcPr>
          <w:p w14:paraId="2BF9D45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3.71E+01</w:t>
            </w:r>
          </w:p>
        </w:tc>
        <w:tc>
          <w:tcPr>
            <w:tcW w:w="3033" w:type="dxa"/>
            <w:vAlign w:val="center"/>
          </w:tcPr>
          <w:p w14:paraId="2E06FD7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6BB9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461BE92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700</w:t>
            </w:r>
          </w:p>
        </w:tc>
        <w:tc>
          <w:tcPr>
            <w:tcW w:w="3033" w:type="dxa"/>
            <w:shd w:val="clear" w:color="auto" w:fill="auto"/>
            <w:vAlign w:val="center"/>
          </w:tcPr>
          <w:p w14:paraId="3A2A2A0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3.73E+01</w:t>
            </w:r>
          </w:p>
        </w:tc>
        <w:tc>
          <w:tcPr>
            <w:tcW w:w="3033" w:type="dxa"/>
            <w:vAlign w:val="center"/>
          </w:tcPr>
          <w:p w14:paraId="2F89A49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rPr>
            </w:pPr>
          </w:p>
        </w:tc>
      </w:tr>
      <w:tr w14:paraId="6AA6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661A6DD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800</w:t>
            </w:r>
          </w:p>
        </w:tc>
        <w:tc>
          <w:tcPr>
            <w:tcW w:w="3033" w:type="dxa"/>
            <w:shd w:val="clear" w:color="auto" w:fill="auto"/>
            <w:vAlign w:val="center"/>
          </w:tcPr>
          <w:p w14:paraId="31090DC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3.74E+01</w:t>
            </w:r>
          </w:p>
        </w:tc>
        <w:tc>
          <w:tcPr>
            <w:tcW w:w="3033" w:type="dxa"/>
            <w:shd w:val="clear" w:color="auto" w:fill="auto"/>
            <w:vAlign w:val="center"/>
          </w:tcPr>
          <w:p w14:paraId="5EC0A95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3D13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1039C0F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900</w:t>
            </w:r>
          </w:p>
        </w:tc>
        <w:tc>
          <w:tcPr>
            <w:tcW w:w="3033" w:type="dxa"/>
            <w:shd w:val="clear" w:color="auto" w:fill="auto"/>
            <w:vAlign w:val="center"/>
          </w:tcPr>
          <w:p w14:paraId="31EFB01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3.75E+01</w:t>
            </w:r>
          </w:p>
        </w:tc>
        <w:tc>
          <w:tcPr>
            <w:tcW w:w="3033" w:type="dxa"/>
            <w:shd w:val="clear" w:color="auto" w:fill="auto"/>
            <w:vAlign w:val="center"/>
          </w:tcPr>
          <w:p w14:paraId="374529B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4C12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6728341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1000</w:t>
            </w:r>
          </w:p>
        </w:tc>
        <w:tc>
          <w:tcPr>
            <w:tcW w:w="3033" w:type="dxa"/>
            <w:shd w:val="clear" w:color="auto" w:fill="auto"/>
            <w:vAlign w:val="center"/>
          </w:tcPr>
          <w:p w14:paraId="721A733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3.75E+01</w:t>
            </w:r>
          </w:p>
        </w:tc>
        <w:tc>
          <w:tcPr>
            <w:tcW w:w="3033" w:type="dxa"/>
            <w:shd w:val="clear" w:color="auto" w:fill="auto"/>
            <w:vAlign w:val="center"/>
          </w:tcPr>
          <w:p w14:paraId="29F0DC4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73BC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5CC2F91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1100</w:t>
            </w:r>
          </w:p>
        </w:tc>
        <w:tc>
          <w:tcPr>
            <w:tcW w:w="3033" w:type="dxa"/>
            <w:shd w:val="clear" w:color="auto" w:fill="auto"/>
            <w:vAlign w:val="center"/>
          </w:tcPr>
          <w:p w14:paraId="5D2F70C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3.76E+01</w:t>
            </w:r>
          </w:p>
        </w:tc>
        <w:tc>
          <w:tcPr>
            <w:tcW w:w="3033" w:type="dxa"/>
            <w:shd w:val="clear" w:color="auto" w:fill="auto"/>
            <w:vAlign w:val="center"/>
          </w:tcPr>
          <w:p w14:paraId="6976850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6182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44BB15F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1200</w:t>
            </w:r>
          </w:p>
        </w:tc>
        <w:tc>
          <w:tcPr>
            <w:tcW w:w="3033" w:type="dxa"/>
            <w:shd w:val="clear" w:color="auto" w:fill="auto"/>
            <w:vAlign w:val="center"/>
          </w:tcPr>
          <w:p w14:paraId="3A5D173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3.76E+01</w:t>
            </w:r>
          </w:p>
        </w:tc>
        <w:tc>
          <w:tcPr>
            <w:tcW w:w="3033" w:type="dxa"/>
            <w:shd w:val="clear" w:color="auto" w:fill="auto"/>
            <w:vAlign w:val="center"/>
          </w:tcPr>
          <w:p w14:paraId="5205814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2AA1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01084D9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1300</w:t>
            </w:r>
          </w:p>
        </w:tc>
        <w:tc>
          <w:tcPr>
            <w:tcW w:w="3033" w:type="dxa"/>
            <w:shd w:val="clear" w:color="auto" w:fill="auto"/>
            <w:vAlign w:val="center"/>
          </w:tcPr>
          <w:p w14:paraId="1A4DCFA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3.76E+01</w:t>
            </w:r>
          </w:p>
        </w:tc>
        <w:tc>
          <w:tcPr>
            <w:tcW w:w="3033" w:type="dxa"/>
            <w:shd w:val="clear" w:color="auto" w:fill="auto"/>
            <w:vAlign w:val="center"/>
          </w:tcPr>
          <w:p w14:paraId="265AB31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3F3E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078CDEB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1400</w:t>
            </w:r>
          </w:p>
        </w:tc>
        <w:tc>
          <w:tcPr>
            <w:tcW w:w="3033" w:type="dxa"/>
            <w:shd w:val="clear" w:color="auto" w:fill="auto"/>
            <w:vAlign w:val="center"/>
          </w:tcPr>
          <w:p w14:paraId="2090A89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3.76E+01</w:t>
            </w:r>
          </w:p>
        </w:tc>
        <w:tc>
          <w:tcPr>
            <w:tcW w:w="3033" w:type="dxa"/>
            <w:shd w:val="clear" w:color="auto" w:fill="auto"/>
            <w:vAlign w:val="center"/>
          </w:tcPr>
          <w:p w14:paraId="6B7657F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5727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5D6665A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1470</w:t>
            </w:r>
          </w:p>
        </w:tc>
        <w:tc>
          <w:tcPr>
            <w:tcW w:w="3033" w:type="dxa"/>
            <w:shd w:val="clear" w:color="auto" w:fill="auto"/>
            <w:vAlign w:val="center"/>
          </w:tcPr>
          <w:p w14:paraId="46E779D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3.77E+01</w:t>
            </w:r>
          </w:p>
        </w:tc>
        <w:tc>
          <w:tcPr>
            <w:tcW w:w="3033" w:type="dxa"/>
            <w:shd w:val="clear" w:color="auto" w:fill="auto"/>
            <w:vAlign w:val="center"/>
          </w:tcPr>
          <w:p w14:paraId="2B5FFB9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r>
              <w:rPr>
                <w:rFonts w:hint="eastAsia" w:ascii="Times New Roman" w:hAnsi="Times New Roman" w:cs="Times New Roman"/>
                <w:b/>
                <w:bCs/>
                <w:color w:val="auto"/>
                <w:sz w:val="21"/>
                <w:szCs w:val="21"/>
                <w:lang w:val="en-US" w:eastAsia="zh-CN"/>
              </w:rPr>
              <w:t>最早达峰时间</w:t>
            </w:r>
          </w:p>
        </w:tc>
      </w:tr>
      <w:tr w14:paraId="264F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5861885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1500</w:t>
            </w:r>
          </w:p>
        </w:tc>
        <w:tc>
          <w:tcPr>
            <w:tcW w:w="3033" w:type="dxa"/>
            <w:shd w:val="clear" w:color="auto" w:fill="auto"/>
            <w:vAlign w:val="center"/>
          </w:tcPr>
          <w:p w14:paraId="6D9BF77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3.77E+01</w:t>
            </w:r>
          </w:p>
        </w:tc>
        <w:tc>
          <w:tcPr>
            <w:tcW w:w="3033" w:type="dxa"/>
            <w:shd w:val="clear" w:color="auto" w:fill="auto"/>
            <w:vAlign w:val="center"/>
          </w:tcPr>
          <w:p w14:paraId="073CFF9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76AD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0C8AB0E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1600</w:t>
            </w:r>
          </w:p>
        </w:tc>
        <w:tc>
          <w:tcPr>
            <w:tcW w:w="3033" w:type="dxa"/>
            <w:shd w:val="clear" w:color="auto" w:fill="auto"/>
            <w:vAlign w:val="center"/>
          </w:tcPr>
          <w:p w14:paraId="6ABCA79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3.77E+01</w:t>
            </w:r>
          </w:p>
        </w:tc>
        <w:tc>
          <w:tcPr>
            <w:tcW w:w="3033" w:type="dxa"/>
            <w:shd w:val="clear" w:color="auto" w:fill="auto"/>
            <w:vAlign w:val="center"/>
          </w:tcPr>
          <w:p w14:paraId="6B718E6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6883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61A7040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1700</w:t>
            </w:r>
          </w:p>
        </w:tc>
        <w:tc>
          <w:tcPr>
            <w:tcW w:w="3033" w:type="dxa"/>
            <w:shd w:val="clear" w:color="auto" w:fill="auto"/>
            <w:vAlign w:val="center"/>
          </w:tcPr>
          <w:p w14:paraId="2E7E71C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3.77E+01</w:t>
            </w:r>
          </w:p>
        </w:tc>
        <w:tc>
          <w:tcPr>
            <w:tcW w:w="3033" w:type="dxa"/>
            <w:shd w:val="clear" w:color="auto" w:fill="auto"/>
            <w:vAlign w:val="center"/>
          </w:tcPr>
          <w:p w14:paraId="69E5C93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68BB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6E44207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1800</w:t>
            </w:r>
          </w:p>
        </w:tc>
        <w:tc>
          <w:tcPr>
            <w:tcW w:w="3033" w:type="dxa"/>
            <w:shd w:val="clear" w:color="auto" w:fill="auto"/>
            <w:vAlign w:val="center"/>
          </w:tcPr>
          <w:p w14:paraId="3863016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3.77E+01</w:t>
            </w:r>
          </w:p>
        </w:tc>
        <w:tc>
          <w:tcPr>
            <w:tcW w:w="3033" w:type="dxa"/>
            <w:shd w:val="clear" w:color="auto" w:fill="auto"/>
            <w:vAlign w:val="center"/>
          </w:tcPr>
          <w:p w14:paraId="6E9A484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2ACC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32" w:type="dxa"/>
            <w:shd w:val="clear" w:color="auto" w:fill="auto"/>
            <w:vAlign w:val="center"/>
          </w:tcPr>
          <w:p w14:paraId="2880BFA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1900</w:t>
            </w:r>
          </w:p>
        </w:tc>
        <w:tc>
          <w:tcPr>
            <w:tcW w:w="3033" w:type="dxa"/>
            <w:shd w:val="clear" w:color="auto" w:fill="auto"/>
            <w:vAlign w:val="center"/>
          </w:tcPr>
          <w:p w14:paraId="56D9872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3.77E+01</w:t>
            </w:r>
          </w:p>
        </w:tc>
        <w:tc>
          <w:tcPr>
            <w:tcW w:w="3033" w:type="dxa"/>
            <w:shd w:val="clear" w:color="auto" w:fill="auto"/>
            <w:vAlign w:val="center"/>
          </w:tcPr>
          <w:p w14:paraId="299ACAD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r w14:paraId="436A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3032" w:type="dxa"/>
            <w:shd w:val="clear" w:color="auto" w:fill="auto"/>
            <w:vAlign w:val="center"/>
          </w:tcPr>
          <w:p w14:paraId="5A41142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2000</w:t>
            </w:r>
          </w:p>
        </w:tc>
        <w:tc>
          <w:tcPr>
            <w:tcW w:w="3033" w:type="dxa"/>
            <w:shd w:val="clear" w:color="auto" w:fill="auto"/>
            <w:vAlign w:val="center"/>
          </w:tcPr>
          <w:p w14:paraId="2A927DF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en-US"/>
              </w:rPr>
            </w:pPr>
            <w:r>
              <w:rPr>
                <w:rFonts w:hint="eastAsia" w:ascii="Times New Roman" w:hAnsi="Times New Roman" w:cs="Times New Roman"/>
                <w:color w:val="auto"/>
                <w:sz w:val="21"/>
                <w:szCs w:val="21"/>
              </w:rPr>
              <w:t>3.77E+01</w:t>
            </w:r>
          </w:p>
        </w:tc>
        <w:tc>
          <w:tcPr>
            <w:tcW w:w="3033" w:type="dxa"/>
            <w:shd w:val="clear" w:color="auto" w:fill="auto"/>
            <w:vAlign w:val="center"/>
          </w:tcPr>
          <w:p w14:paraId="0A4C2D9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snapToGrid w:val="0"/>
                <w:color w:val="auto"/>
                <w:kern w:val="0"/>
                <w:sz w:val="21"/>
                <w:szCs w:val="21"/>
                <w:vertAlign w:val="baseline"/>
                <w:lang w:val="en-US" w:eastAsia="en-US" w:bidi="ar-SA"/>
              </w:rPr>
            </w:pPr>
          </w:p>
        </w:tc>
      </w:tr>
    </w:tbl>
    <w:p w14:paraId="42243F75">
      <w:pPr>
        <w:keepNext w:val="0"/>
        <w:keepLines w:val="0"/>
        <w:pageBreakBefore w:val="0"/>
        <w:widowControl/>
        <w:kinsoku/>
        <w:wordWrap/>
        <w:overflowPunct/>
        <w:topLinePunct w:val="0"/>
        <w:autoSpaceDE w:val="0"/>
        <w:autoSpaceDN w:val="0"/>
        <w:bidi w:val="0"/>
        <w:adjustRightInd/>
        <w:snapToGrid/>
        <w:spacing w:line="360" w:lineRule="auto"/>
        <w:ind w:left="0" w:leftChars="0" w:firstLine="0" w:firstLineChars="0"/>
        <w:textAlignment w:val="baseline"/>
        <w:rPr>
          <w:rFonts w:hint="eastAsia" w:ascii="Times New Roman" w:hAnsi="Times New Roman" w:cs="Times New Roman" w:eastAsiaTheme="minorEastAsia"/>
          <w:color w:val="auto"/>
          <w:sz w:val="24"/>
          <w:szCs w:val="24"/>
          <w:lang w:eastAsia="zh-CN"/>
        </w:rPr>
      </w:pPr>
      <w:r>
        <w:rPr>
          <w:color w:val="auto"/>
          <w:sz w:val="24"/>
        </w:rPr>
        <w:drawing>
          <wp:inline distT="0" distB="0" distL="114300" distR="114300">
            <wp:extent cx="5408295" cy="3585845"/>
            <wp:effectExtent l="0" t="0" r="1905" b="14605"/>
            <wp:docPr id="42" name="图片 42" descr="氨氮浓度变化曲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氨氮浓度变化曲线"/>
                    <pic:cNvPicPr>
                      <a:picLocks noChangeAspect="1"/>
                    </pic:cNvPicPr>
                  </pic:nvPicPr>
                  <pic:blipFill>
                    <a:blip r:embed="rId106"/>
                    <a:stretch>
                      <a:fillRect/>
                    </a:stretch>
                  </pic:blipFill>
                  <pic:spPr>
                    <a:xfrm>
                      <a:off x="0" y="0"/>
                      <a:ext cx="5408295" cy="3585845"/>
                    </a:xfrm>
                    <a:prstGeom prst="rect">
                      <a:avLst/>
                    </a:prstGeom>
                  </pic:spPr>
                </pic:pic>
              </a:graphicData>
            </a:graphic>
          </wp:inline>
        </w:drawing>
      </w:r>
    </w:p>
    <w:p w14:paraId="3B6C79FC">
      <w:pPr>
        <w:ind w:firstLine="422"/>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图</w:t>
      </w:r>
      <w:r>
        <w:rPr>
          <w:rFonts w:hint="default" w:ascii="Times New Roman" w:hAnsi="Times New Roman" w:eastAsia="宋体" w:cs="Times New Roman"/>
          <w:b/>
          <w:color w:val="auto"/>
          <w:sz w:val="21"/>
          <w:szCs w:val="21"/>
          <w:lang w:val="en-US" w:eastAsia="zh-CN"/>
        </w:rPr>
        <w:t>4.8-</w:t>
      </w:r>
      <w:r>
        <w:rPr>
          <w:rFonts w:hint="eastAsia" w:ascii="Times New Roman" w:hAnsi="Times New Roman" w:eastAsia="宋体" w:cs="Times New Roman"/>
          <w:b/>
          <w:color w:val="auto"/>
          <w:sz w:val="21"/>
          <w:szCs w:val="21"/>
          <w:lang w:val="en-US" w:eastAsia="zh-CN"/>
        </w:rPr>
        <w:t>3</w:t>
      </w:r>
      <w:r>
        <w:rPr>
          <w:rFonts w:hint="default" w:ascii="Times New Roman" w:hAnsi="Times New Roman" w:cs="Times New Roman"/>
          <w:b/>
          <w:color w:val="auto"/>
          <w:sz w:val="21"/>
          <w:szCs w:val="21"/>
        </w:rPr>
        <w:t xml:space="preserve">  项目区污染物迁移出厂界时间</w:t>
      </w:r>
    </w:p>
    <w:p w14:paraId="2398500A">
      <w:pPr>
        <w:keepNext w:val="0"/>
        <w:keepLines w:val="0"/>
        <w:pageBreakBefore w:val="0"/>
        <w:widowControl/>
        <w:kinsoku/>
        <w:wordWrap/>
        <w:overflowPunct/>
        <w:topLinePunct w:val="0"/>
        <w:autoSpaceDE w:val="0"/>
        <w:autoSpaceDN w:val="0"/>
        <w:bidi w:val="0"/>
        <w:adjustRightInd/>
        <w:snapToGrid/>
        <w:spacing w:line="360" w:lineRule="auto"/>
        <w:ind w:firstLine="480"/>
        <w:textAlignment w:val="baseline"/>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从上述图表可以看出，假设非正常情况下本项目化粪池发生意外渗漏进入含水层，并以氨氮浓度37.7</w:t>
      </w:r>
      <w:r>
        <w:rPr>
          <w:rFonts w:hint="default" w:ascii="Times New Roman" w:hAnsi="Times New Roman" w:cs="Times New Roman"/>
          <w:color w:val="auto"/>
          <w:sz w:val="24"/>
          <w:szCs w:val="24"/>
          <w:lang w:val="en-US" w:eastAsia="zh-CN"/>
        </w:rPr>
        <w:t>mg/L</w:t>
      </w:r>
      <w:r>
        <w:rPr>
          <w:rFonts w:hint="eastAsia" w:ascii="Times New Roman" w:hAnsi="Times New Roman" w:cs="Times New Roman"/>
          <w:color w:val="auto"/>
          <w:sz w:val="24"/>
          <w:szCs w:val="24"/>
          <w:lang w:val="en-US" w:eastAsia="zh-CN"/>
        </w:rPr>
        <w:t>作为源强进行预测分析发现，假设泄露持续发生的前提下，不考虑氨氮在区域地下水环境中的吸附损失，氨氮将沿地下水径流方向逐渐向南西迁移到达厂界，最早将于泄露发生2天后在检测出特征污染因子氨氮量浓度异常，3天后厂界氨氮浓度开始超过《地下水质量标准》（</w:t>
      </w:r>
      <w:r>
        <w:rPr>
          <w:rFonts w:hint="default" w:ascii="Times New Roman" w:hAnsi="Times New Roman" w:cs="Times New Roman"/>
          <w:color w:val="auto"/>
          <w:sz w:val="24"/>
          <w:szCs w:val="24"/>
          <w:lang w:val="en-US" w:eastAsia="zh-CN"/>
        </w:rPr>
        <w:t>GB/T14848-2017</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Ⅲ</w:t>
      </w:r>
      <w:r>
        <w:rPr>
          <w:rFonts w:hint="eastAsia" w:ascii="Times New Roman" w:hAnsi="Times New Roman" w:cs="Times New Roman"/>
          <w:color w:val="auto"/>
          <w:sz w:val="24"/>
          <w:szCs w:val="24"/>
          <w:lang w:val="en-US" w:eastAsia="zh-CN"/>
        </w:rPr>
        <w:t>类标准值0.5</w:t>
      </w:r>
      <w:r>
        <w:rPr>
          <w:rFonts w:hint="default" w:ascii="Times New Roman" w:hAnsi="Times New Roman" w:cs="Times New Roman"/>
          <w:color w:val="auto"/>
          <w:sz w:val="24"/>
          <w:szCs w:val="24"/>
          <w:lang w:val="en-US" w:eastAsia="zh-CN"/>
        </w:rPr>
        <w:t>mg/L</w:t>
      </w:r>
      <w:r>
        <w:rPr>
          <w:rFonts w:hint="eastAsia" w:ascii="Times New Roman" w:hAnsi="Times New Roman" w:cs="Times New Roman"/>
          <w:color w:val="auto"/>
          <w:sz w:val="24"/>
          <w:szCs w:val="24"/>
          <w:lang w:val="en-US" w:eastAsia="zh-CN"/>
        </w:rPr>
        <w:t>，1470天后厂界氨氮浓度达到峰值37.7</w:t>
      </w:r>
      <w:r>
        <w:rPr>
          <w:rFonts w:hint="default" w:ascii="Times New Roman" w:hAnsi="Times New Roman" w:cs="Times New Roman"/>
          <w:color w:val="auto"/>
          <w:sz w:val="24"/>
          <w:szCs w:val="24"/>
          <w:lang w:val="en-US" w:eastAsia="zh-CN"/>
        </w:rPr>
        <w:t>mg/L</w:t>
      </w:r>
      <w:r>
        <w:rPr>
          <w:rFonts w:hint="eastAsia" w:ascii="Times New Roman" w:hAnsi="Times New Roman" w:cs="Times New Roman"/>
          <w:color w:val="auto"/>
          <w:sz w:val="24"/>
          <w:szCs w:val="24"/>
          <w:lang w:val="en-US" w:eastAsia="zh-CN"/>
        </w:rPr>
        <w:t>。假设在本项目运营期内化粪池生活废水长时间持续泄露，将会对厂界所在区域的地下水环境造成的影响一定程度影响，但是如果加入氨氮在扩散过程中的降解消耗，以及评价区实际渗透系数较低等客观条件，则污染物浓度都将明显缩小。</w:t>
      </w:r>
    </w:p>
    <w:p w14:paraId="1BBB5B2F">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cs="Times New Roman" w:eastAsiaTheme="minorEastAsia"/>
          <w:color w:val="auto"/>
          <w:sz w:val="24"/>
          <w:szCs w:val="24"/>
          <w:lang w:eastAsia="zh-CN"/>
        </w:rPr>
      </w:pPr>
      <w:r>
        <w:rPr>
          <w:rFonts w:hint="eastAsia"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val="en-US" w:eastAsia="zh-CN"/>
        </w:rPr>
        <w:t>3</w:t>
      </w:r>
      <w:r>
        <w:rPr>
          <w:rFonts w:hint="eastAsia"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val="en-US" w:eastAsia="zh-CN"/>
        </w:rPr>
        <w:t>污染监测井预报时间预测</w:t>
      </w:r>
    </w:p>
    <w:p w14:paraId="47F109AD">
      <w:pPr>
        <w:keepNext w:val="0"/>
        <w:keepLines w:val="0"/>
        <w:pageBreakBefore w:val="0"/>
        <w:widowControl/>
        <w:kinsoku/>
        <w:wordWrap/>
        <w:overflowPunct/>
        <w:topLinePunct w:val="0"/>
        <w:autoSpaceDE w:val="0"/>
        <w:autoSpaceDN w:val="0"/>
        <w:bidi w:val="0"/>
        <w:adjustRightInd/>
        <w:snapToGrid/>
        <w:spacing w:line="360" w:lineRule="auto"/>
        <w:ind w:firstLine="480"/>
        <w:textAlignment w:val="baseline"/>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本项目主要地下水环境风险源化粪池与污染监测井的最短距离为86</w:t>
      </w:r>
      <w:r>
        <w:rPr>
          <w:rFonts w:hint="default" w:ascii="Times New Roman" w:hAnsi="Times New Roman" w:cs="Times New Roman"/>
          <w:color w:val="auto"/>
          <w:sz w:val="24"/>
          <w:szCs w:val="24"/>
          <w:lang w:val="en-US" w:eastAsia="zh-CN"/>
        </w:rPr>
        <w:t>m</w:t>
      </w:r>
      <w:r>
        <w:rPr>
          <w:rFonts w:hint="eastAsia" w:ascii="Times New Roman" w:hAnsi="Times New Roman" w:cs="Times New Roman"/>
          <w:color w:val="auto"/>
          <w:sz w:val="24"/>
          <w:szCs w:val="24"/>
          <w:lang w:val="en-US" w:eastAsia="zh-CN"/>
        </w:rPr>
        <w:t>，根据预测模型计算，非正常情况下本项目化粪池发生意外持续泄露，下渗进入评价区含水层，污染因子氨氮到达厂界附近氨氮的浓度随时间分布情况如4.8</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7和图4.8</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4所示。</w:t>
      </w:r>
    </w:p>
    <w:p w14:paraId="64E4B7AA">
      <w:pPr>
        <w:keepNext w:val="0"/>
        <w:keepLines w:val="0"/>
        <w:pageBreakBefore w:val="0"/>
        <w:widowControl/>
        <w:kinsoku/>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lang w:val="en-US" w:eastAsia="zh-CN"/>
        </w:rPr>
        <w:t>表</w:t>
      </w:r>
      <w:r>
        <w:rPr>
          <w:rFonts w:hint="eastAsia" w:ascii="Times New Roman" w:hAnsi="Times New Roman" w:cs="Times New Roman"/>
          <w:b/>
          <w:color w:val="auto"/>
          <w:sz w:val="21"/>
          <w:szCs w:val="21"/>
          <w:lang w:val="en-US" w:eastAsia="zh-CN"/>
        </w:rPr>
        <w:t>4.8</w:t>
      </w:r>
      <w:r>
        <w:rPr>
          <w:rFonts w:hint="default" w:ascii="Times New Roman" w:hAnsi="Times New Roman" w:cs="Times New Roman"/>
          <w:b/>
          <w:color w:val="auto"/>
          <w:sz w:val="21"/>
          <w:szCs w:val="21"/>
          <w:lang w:val="en-US" w:eastAsia="zh-CN"/>
        </w:rPr>
        <w:t>-</w:t>
      </w:r>
      <w:r>
        <w:rPr>
          <w:rFonts w:hint="eastAsia" w:ascii="Times New Roman" w:hAnsi="Times New Roman" w:cs="Times New Roman"/>
          <w:b/>
          <w:color w:val="auto"/>
          <w:sz w:val="21"/>
          <w:szCs w:val="21"/>
          <w:lang w:val="en-US" w:eastAsia="zh-CN"/>
        </w:rPr>
        <w:t>7</w:t>
      </w:r>
      <w:r>
        <w:rPr>
          <w:rFonts w:hint="default" w:ascii="Times New Roman" w:hAnsi="Times New Roman" w:cs="Times New Roman"/>
          <w:b/>
          <w:color w:val="auto"/>
          <w:sz w:val="21"/>
          <w:szCs w:val="21"/>
          <w:lang w:val="en-US" w:eastAsia="zh-CN"/>
        </w:rPr>
        <w:t xml:space="preserve"> </w:t>
      </w:r>
      <w:r>
        <w:rPr>
          <w:rFonts w:hint="eastAsia" w:ascii="Times New Roman" w:hAnsi="Times New Roman" w:cs="Times New Roman"/>
          <w:b/>
          <w:color w:val="auto"/>
          <w:sz w:val="21"/>
          <w:szCs w:val="21"/>
          <w:lang w:val="en-US" w:eastAsia="zh-CN"/>
        </w:rPr>
        <w:t>化粪池废水渗漏到达污染监测井氨氮浓度变化表</w:t>
      </w:r>
    </w:p>
    <w:tbl>
      <w:tblPr>
        <w:tblStyle w:val="22"/>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2"/>
        <w:gridCol w:w="3033"/>
        <w:gridCol w:w="3033"/>
      </w:tblGrid>
      <w:tr w14:paraId="0345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3032"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C7FC52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mc:AlternateContent>
                <mc:Choice Requires="wpsCustomData">
                  <wpsCustomData:diagonalParaType/>
                </mc:Choice>
              </mc:AlternateContent>
              <w:rPr>
                <w:rFonts w:hint="default" w:ascii="Times New Roman" w:hAnsi="Times New Roman" w:cs="Times New Roman" w:eastAsiaTheme="minorEastAsia"/>
                <w:color w:val="auto"/>
                <w:sz w:val="20"/>
                <w:szCs w:val="20"/>
                <w:vertAlign w:val="baseline"/>
                <w:lang w:val="en-US" w:eastAsia="zh-CN"/>
              </w:rPr>
            </w:pPr>
            <w:r>
              <w:rPr>
                <w:rFonts w:hint="default" w:ascii="Times New Roman" w:hAnsi="Times New Roman" w:cs="Times New Roman" w:eastAsiaTheme="minorEastAsia"/>
                <w:color w:val="auto"/>
                <w:sz w:val="20"/>
                <w:szCs w:val="20"/>
                <w:vertAlign w:val="baseline"/>
                <w:lang w:val="en-US" w:eastAsia="zh-CN"/>
              </w:rPr>
              <w:t>T（d）</w:t>
            </w:r>
          </w:p>
          <w:p w14:paraId="7A2C9D7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0"/>
                <w:szCs w:val="20"/>
                <w:vertAlign w:val="baseline"/>
                <w:lang w:val="en-US" w:eastAsia="zh-CN"/>
              </w:rPr>
            </w:pPr>
            <w:r>
              <w:rPr>
                <w:rFonts w:hint="default" w:ascii="Times New Roman" w:hAnsi="Times New Roman" w:cs="Times New Roman" w:eastAsiaTheme="minorEastAsia"/>
                <w:color w:val="auto"/>
                <w:sz w:val="20"/>
                <w:szCs w:val="20"/>
                <w:vertAlign w:val="baseline"/>
                <w:lang w:val="en-US" w:eastAsia="zh-CN"/>
              </w:rPr>
              <w:t>C（x，t）</w:t>
            </w:r>
          </w:p>
        </w:tc>
        <w:tc>
          <w:tcPr>
            <w:tcW w:w="3033" w:type="dxa"/>
            <w:vAlign w:val="center"/>
          </w:tcPr>
          <w:p w14:paraId="796CD06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氨氮浓度（mg/l）</w:t>
            </w:r>
          </w:p>
        </w:tc>
        <w:tc>
          <w:tcPr>
            <w:tcW w:w="3033" w:type="dxa"/>
            <w:vAlign w:val="center"/>
          </w:tcPr>
          <w:p w14:paraId="3766179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备注</w:t>
            </w:r>
          </w:p>
        </w:tc>
      </w:tr>
      <w:tr w14:paraId="6B42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322A32E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3033" w:type="dxa"/>
            <w:vAlign w:val="center"/>
          </w:tcPr>
          <w:p w14:paraId="4A912E2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0.00E+00</w:t>
            </w:r>
          </w:p>
        </w:tc>
        <w:tc>
          <w:tcPr>
            <w:tcW w:w="3033" w:type="dxa"/>
            <w:vAlign w:val="center"/>
          </w:tcPr>
          <w:p w14:paraId="6DA4504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59B0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0C69DB4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100</w:t>
            </w:r>
          </w:p>
        </w:tc>
        <w:tc>
          <w:tcPr>
            <w:tcW w:w="3033" w:type="dxa"/>
            <w:vAlign w:val="center"/>
          </w:tcPr>
          <w:p w14:paraId="629C93C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2.88E-10</w:t>
            </w:r>
          </w:p>
        </w:tc>
        <w:tc>
          <w:tcPr>
            <w:tcW w:w="3033" w:type="dxa"/>
            <w:vAlign w:val="center"/>
          </w:tcPr>
          <w:p w14:paraId="6B3AC50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6D64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7E3B5A4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200</w:t>
            </w:r>
          </w:p>
        </w:tc>
        <w:tc>
          <w:tcPr>
            <w:tcW w:w="3033" w:type="dxa"/>
            <w:vAlign w:val="center"/>
          </w:tcPr>
          <w:p w14:paraId="5D60ABE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3.17E-04</w:t>
            </w:r>
          </w:p>
        </w:tc>
        <w:tc>
          <w:tcPr>
            <w:tcW w:w="3033" w:type="dxa"/>
            <w:vAlign w:val="center"/>
          </w:tcPr>
          <w:p w14:paraId="751C83D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37DD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30BB956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291</w:t>
            </w:r>
          </w:p>
        </w:tc>
        <w:tc>
          <w:tcPr>
            <w:tcW w:w="3033" w:type="dxa"/>
            <w:vAlign w:val="center"/>
          </w:tcPr>
          <w:p w14:paraId="713B251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2.44E-02</w:t>
            </w:r>
          </w:p>
        </w:tc>
        <w:tc>
          <w:tcPr>
            <w:tcW w:w="3033" w:type="dxa"/>
            <w:vAlign w:val="center"/>
          </w:tcPr>
          <w:p w14:paraId="159B5C9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541C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shd w:val="clear" w:color="auto" w:fill="auto"/>
            <w:vAlign w:val="center"/>
          </w:tcPr>
          <w:p w14:paraId="574235D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292</w:t>
            </w:r>
          </w:p>
        </w:tc>
        <w:tc>
          <w:tcPr>
            <w:tcW w:w="3033" w:type="dxa"/>
            <w:shd w:val="clear" w:color="auto" w:fill="auto"/>
            <w:vAlign w:val="center"/>
          </w:tcPr>
          <w:p w14:paraId="45EB449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2.52E-02</w:t>
            </w:r>
          </w:p>
        </w:tc>
        <w:tc>
          <w:tcPr>
            <w:tcW w:w="3033" w:type="dxa"/>
            <w:vAlign w:val="center"/>
          </w:tcPr>
          <w:p w14:paraId="7054311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b/>
                <w:bCs/>
                <w:color w:val="auto"/>
                <w:lang w:val="en-US" w:eastAsia="zh-CN"/>
              </w:rPr>
              <w:t>最早检出时间</w:t>
            </w:r>
          </w:p>
        </w:tc>
      </w:tr>
      <w:tr w14:paraId="0118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shd w:val="clear" w:color="auto" w:fill="auto"/>
            <w:vAlign w:val="center"/>
          </w:tcPr>
          <w:p w14:paraId="4792572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300</w:t>
            </w:r>
          </w:p>
        </w:tc>
        <w:tc>
          <w:tcPr>
            <w:tcW w:w="3033" w:type="dxa"/>
            <w:shd w:val="clear" w:color="auto" w:fill="auto"/>
            <w:vAlign w:val="center"/>
          </w:tcPr>
          <w:p w14:paraId="0449BB8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3.24E-02</w:t>
            </w:r>
          </w:p>
        </w:tc>
        <w:tc>
          <w:tcPr>
            <w:tcW w:w="3033" w:type="dxa"/>
            <w:vAlign w:val="center"/>
          </w:tcPr>
          <w:p w14:paraId="17FDE08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3462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3032" w:type="dxa"/>
            <w:vAlign w:val="center"/>
          </w:tcPr>
          <w:p w14:paraId="4C77A3D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400</w:t>
            </w:r>
          </w:p>
        </w:tc>
        <w:tc>
          <w:tcPr>
            <w:tcW w:w="3033" w:type="dxa"/>
            <w:vAlign w:val="center"/>
          </w:tcPr>
          <w:p w14:paraId="7907A5E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3.19E-01</w:t>
            </w:r>
          </w:p>
        </w:tc>
        <w:tc>
          <w:tcPr>
            <w:tcW w:w="3033" w:type="dxa"/>
            <w:vAlign w:val="center"/>
          </w:tcPr>
          <w:p w14:paraId="5C810F4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264C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78AC2C5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428</w:t>
            </w:r>
          </w:p>
        </w:tc>
        <w:tc>
          <w:tcPr>
            <w:tcW w:w="3033" w:type="dxa"/>
            <w:vAlign w:val="center"/>
          </w:tcPr>
          <w:p w14:paraId="33561D9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4.96E-01</w:t>
            </w:r>
          </w:p>
        </w:tc>
        <w:tc>
          <w:tcPr>
            <w:tcW w:w="3033" w:type="dxa"/>
            <w:vAlign w:val="center"/>
          </w:tcPr>
          <w:p w14:paraId="3CC0926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4BB7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05E2C4C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429</w:t>
            </w:r>
          </w:p>
        </w:tc>
        <w:tc>
          <w:tcPr>
            <w:tcW w:w="3033" w:type="dxa"/>
            <w:vAlign w:val="center"/>
          </w:tcPr>
          <w:p w14:paraId="7874FBD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5.03E-01</w:t>
            </w:r>
          </w:p>
        </w:tc>
        <w:tc>
          <w:tcPr>
            <w:tcW w:w="3033" w:type="dxa"/>
            <w:vAlign w:val="center"/>
          </w:tcPr>
          <w:p w14:paraId="3266EED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b/>
                <w:bCs/>
                <w:color w:val="auto"/>
                <w:lang w:val="en-US" w:eastAsia="zh-CN"/>
              </w:rPr>
              <w:t>最早超标时间</w:t>
            </w:r>
          </w:p>
        </w:tc>
      </w:tr>
      <w:tr w14:paraId="3457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shd w:val="clear" w:color="auto" w:fill="auto"/>
            <w:vAlign w:val="center"/>
          </w:tcPr>
          <w:p w14:paraId="7B4B79A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500</w:t>
            </w:r>
          </w:p>
        </w:tc>
        <w:tc>
          <w:tcPr>
            <w:tcW w:w="3033" w:type="dxa"/>
            <w:shd w:val="clear" w:color="auto" w:fill="auto"/>
            <w:vAlign w:val="center"/>
          </w:tcPr>
          <w:p w14:paraId="3FB454B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1.22E+00</w:t>
            </w:r>
          </w:p>
        </w:tc>
        <w:tc>
          <w:tcPr>
            <w:tcW w:w="3033" w:type="dxa"/>
            <w:vAlign w:val="center"/>
          </w:tcPr>
          <w:p w14:paraId="6D05400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27C7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3E151FF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600</w:t>
            </w:r>
          </w:p>
        </w:tc>
        <w:tc>
          <w:tcPr>
            <w:tcW w:w="3033" w:type="dxa"/>
            <w:vAlign w:val="center"/>
          </w:tcPr>
          <w:p w14:paraId="4A09345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2.92E+00</w:t>
            </w:r>
          </w:p>
        </w:tc>
        <w:tc>
          <w:tcPr>
            <w:tcW w:w="3033" w:type="dxa"/>
            <w:vAlign w:val="center"/>
          </w:tcPr>
          <w:p w14:paraId="06854E1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48CE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73380FE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800</w:t>
            </w:r>
          </w:p>
        </w:tc>
        <w:tc>
          <w:tcPr>
            <w:tcW w:w="3033" w:type="dxa"/>
            <w:vAlign w:val="center"/>
          </w:tcPr>
          <w:p w14:paraId="0801CFF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8.21E+00</w:t>
            </w:r>
          </w:p>
        </w:tc>
        <w:tc>
          <w:tcPr>
            <w:tcW w:w="3033" w:type="dxa"/>
            <w:vAlign w:val="center"/>
          </w:tcPr>
          <w:p w14:paraId="35FB56A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387F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3087E85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1000</w:t>
            </w:r>
          </w:p>
        </w:tc>
        <w:tc>
          <w:tcPr>
            <w:tcW w:w="3033" w:type="dxa"/>
            <w:vAlign w:val="center"/>
          </w:tcPr>
          <w:p w14:paraId="5302D9C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1.45E+01</w:t>
            </w:r>
          </w:p>
        </w:tc>
        <w:tc>
          <w:tcPr>
            <w:tcW w:w="3033" w:type="dxa"/>
            <w:vAlign w:val="center"/>
          </w:tcPr>
          <w:p w14:paraId="335FC6D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7F28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237E1DD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1200</w:t>
            </w:r>
          </w:p>
        </w:tc>
        <w:tc>
          <w:tcPr>
            <w:tcW w:w="3033" w:type="dxa"/>
            <w:vAlign w:val="center"/>
          </w:tcPr>
          <w:p w14:paraId="66E8388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2.03E+01</w:t>
            </w:r>
          </w:p>
        </w:tc>
        <w:tc>
          <w:tcPr>
            <w:tcW w:w="3033" w:type="dxa"/>
            <w:vAlign w:val="center"/>
          </w:tcPr>
          <w:p w14:paraId="63007A2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517A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521C1EA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1400</w:t>
            </w:r>
          </w:p>
        </w:tc>
        <w:tc>
          <w:tcPr>
            <w:tcW w:w="3033" w:type="dxa"/>
            <w:vAlign w:val="center"/>
          </w:tcPr>
          <w:p w14:paraId="1E24862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2.50E+01</w:t>
            </w:r>
          </w:p>
        </w:tc>
        <w:tc>
          <w:tcPr>
            <w:tcW w:w="3033" w:type="dxa"/>
            <w:vAlign w:val="center"/>
          </w:tcPr>
          <w:p w14:paraId="08E6305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56A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5DA1C2D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1600</w:t>
            </w:r>
          </w:p>
        </w:tc>
        <w:tc>
          <w:tcPr>
            <w:tcW w:w="3033" w:type="dxa"/>
            <w:vAlign w:val="center"/>
          </w:tcPr>
          <w:p w14:paraId="6116B0B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2.87E+01</w:t>
            </w:r>
          </w:p>
        </w:tc>
        <w:tc>
          <w:tcPr>
            <w:tcW w:w="3033" w:type="dxa"/>
            <w:vAlign w:val="center"/>
          </w:tcPr>
          <w:p w14:paraId="21CC6B6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51D0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06E07F67">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1800</w:t>
            </w:r>
          </w:p>
        </w:tc>
        <w:tc>
          <w:tcPr>
            <w:tcW w:w="3033" w:type="dxa"/>
            <w:vAlign w:val="center"/>
          </w:tcPr>
          <w:p w14:paraId="393E9BD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3.13E+01</w:t>
            </w:r>
          </w:p>
        </w:tc>
        <w:tc>
          <w:tcPr>
            <w:tcW w:w="3033" w:type="dxa"/>
            <w:vAlign w:val="center"/>
          </w:tcPr>
          <w:p w14:paraId="516A352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4912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0D8B8ED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2000</w:t>
            </w:r>
          </w:p>
        </w:tc>
        <w:tc>
          <w:tcPr>
            <w:tcW w:w="3033" w:type="dxa"/>
            <w:vAlign w:val="center"/>
          </w:tcPr>
          <w:p w14:paraId="092CB72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3.33E+01</w:t>
            </w:r>
          </w:p>
        </w:tc>
        <w:tc>
          <w:tcPr>
            <w:tcW w:w="3033" w:type="dxa"/>
            <w:vAlign w:val="center"/>
          </w:tcPr>
          <w:p w14:paraId="7997D17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08D1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3032" w:type="dxa"/>
            <w:vAlign w:val="center"/>
          </w:tcPr>
          <w:p w14:paraId="78F584D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2200</w:t>
            </w:r>
          </w:p>
        </w:tc>
        <w:tc>
          <w:tcPr>
            <w:tcW w:w="3033" w:type="dxa"/>
            <w:vAlign w:val="center"/>
          </w:tcPr>
          <w:p w14:paraId="0CE3D3D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3.46E+01</w:t>
            </w:r>
          </w:p>
        </w:tc>
        <w:tc>
          <w:tcPr>
            <w:tcW w:w="3033" w:type="dxa"/>
            <w:vAlign w:val="center"/>
          </w:tcPr>
          <w:p w14:paraId="0FAF933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7A01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4B4B934C">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2400</w:t>
            </w:r>
          </w:p>
        </w:tc>
        <w:tc>
          <w:tcPr>
            <w:tcW w:w="3033" w:type="dxa"/>
            <w:vAlign w:val="center"/>
          </w:tcPr>
          <w:p w14:paraId="1B76641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3.56E+01</w:t>
            </w:r>
          </w:p>
        </w:tc>
        <w:tc>
          <w:tcPr>
            <w:tcW w:w="3033" w:type="dxa"/>
            <w:vAlign w:val="center"/>
          </w:tcPr>
          <w:p w14:paraId="62D93A6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00D5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3DD47B7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2600</w:t>
            </w:r>
          </w:p>
        </w:tc>
        <w:tc>
          <w:tcPr>
            <w:tcW w:w="3033" w:type="dxa"/>
            <w:vAlign w:val="center"/>
          </w:tcPr>
          <w:p w14:paraId="6A253B7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3.62E+01</w:t>
            </w:r>
          </w:p>
        </w:tc>
        <w:tc>
          <w:tcPr>
            <w:tcW w:w="3033" w:type="dxa"/>
            <w:vAlign w:val="center"/>
          </w:tcPr>
          <w:p w14:paraId="655CE780">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3AB6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4D69EBA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2800</w:t>
            </w:r>
          </w:p>
        </w:tc>
        <w:tc>
          <w:tcPr>
            <w:tcW w:w="3033" w:type="dxa"/>
            <w:vAlign w:val="center"/>
          </w:tcPr>
          <w:p w14:paraId="009E5F6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3.67E+01</w:t>
            </w:r>
          </w:p>
        </w:tc>
        <w:tc>
          <w:tcPr>
            <w:tcW w:w="3033" w:type="dxa"/>
            <w:vAlign w:val="center"/>
          </w:tcPr>
          <w:p w14:paraId="5B0F1FD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571A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0099146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3000</w:t>
            </w:r>
          </w:p>
        </w:tc>
        <w:tc>
          <w:tcPr>
            <w:tcW w:w="3033" w:type="dxa"/>
            <w:vAlign w:val="center"/>
          </w:tcPr>
          <w:p w14:paraId="795E492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3.70E+01</w:t>
            </w:r>
          </w:p>
        </w:tc>
        <w:tc>
          <w:tcPr>
            <w:tcW w:w="3033" w:type="dxa"/>
            <w:vAlign w:val="center"/>
          </w:tcPr>
          <w:p w14:paraId="5D2080FB">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19DF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3032" w:type="dxa"/>
            <w:vAlign w:val="center"/>
          </w:tcPr>
          <w:p w14:paraId="44961D1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3200</w:t>
            </w:r>
          </w:p>
        </w:tc>
        <w:tc>
          <w:tcPr>
            <w:tcW w:w="3033" w:type="dxa"/>
            <w:vAlign w:val="center"/>
          </w:tcPr>
          <w:p w14:paraId="67BD239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3.72E+01</w:t>
            </w:r>
          </w:p>
        </w:tc>
        <w:tc>
          <w:tcPr>
            <w:tcW w:w="3033" w:type="dxa"/>
            <w:vAlign w:val="center"/>
          </w:tcPr>
          <w:p w14:paraId="26C9F90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71E3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137F63B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3400</w:t>
            </w:r>
          </w:p>
        </w:tc>
        <w:tc>
          <w:tcPr>
            <w:tcW w:w="3033" w:type="dxa"/>
            <w:vAlign w:val="center"/>
          </w:tcPr>
          <w:p w14:paraId="5C13BAC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3.74E+01</w:t>
            </w:r>
          </w:p>
        </w:tc>
        <w:tc>
          <w:tcPr>
            <w:tcW w:w="3033" w:type="dxa"/>
            <w:vAlign w:val="center"/>
          </w:tcPr>
          <w:p w14:paraId="7F17DA6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1782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56E96EC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3600</w:t>
            </w:r>
          </w:p>
        </w:tc>
        <w:tc>
          <w:tcPr>
            <w:tcW w:w="3033" w:type="dxa"/>
            <w:vAlign w:val="center"/>
          </w:tcPr>
          <w:p w14:paraId="40BDDF3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3.75E+01</w:t>
            </w:r>
          </w:p>
        </w:tc>
        <w:tc>
          <w:tcPr>
            <w:tcW w:w="3033" w:type="dxa"/>
            <w:vAlign w:val="center"/>
          </w:tcPr>
          <w:p w14:paraId="48F64EA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0A14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032" w:type="dxa"/>
            <w:vAlign w:val="center"/>
          </w:tcPr>
          <w:p w14:paraId="109EAC1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3800</w:t>
            </w:r>
          </w:p>
        </w:tc>
        <w:tc>
          <w:tcPr>
            <w:tcW w:w="3033" w:type="dxa"/>
            <w:vAlign w:val="center"/>
          </w:tcPr>
          <w:p w14:paraId="535837C5">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3.75E+01</w:t>
            </w:r>
          </w:p>
        </w:tc>
        <w:tc>
          <w:tcPr>
            <w:tcW w:w="3033" w:type="dxa"/>
            <w:vAlign w:val="center"/>
          </w:tcPr>
          <w:p w14:paraId="1A698784">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6551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32" w:type="dxa"/>
            <w:vAlign w:val="center"/>
          </w:tcPr>
          <w:p w14:paraId="536C0BF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4000</w:t>
            </w:r>
          </w:p>
        </w:tc>
        <w:tc>
          <w:tcPr>
            <w:tcW w:w="3033" w:type="dxa"/>
            <w:vAlign w:val="center"/>
          </w:tcPr>
          <w:p w14:paraId="40AA6E6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3.76E+01</w:t>
            </w:r>
          </w:p>
        </w:tc>
        <w:tc>
          <w:tcPr>
            <w:tcW w:w="3033" w:type="dxa"/>
            <w:vAlign w:val="center"/>
          </w:tcPr>
          <w:p w14:paraId="3F669C7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5A97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jc w:val="center"/>
        </w:trPr>
        <w:tc>
          <w:tcPr>
            <w:tcW w:w="3032" w:type="dxa"/>
            <w:vAlign w:val="center"/>
          </w:tcPr>
          <w:p w14:paraId="00998B41">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4200</w:t>
            </w:r>
          </w:p>
        </w:tc>
        <w:tc>
          <w:tcPr>
            <w:tcW w:w="3033" w:type="dxa"/>
            <w:vAlign w:val="center"/>
          </w:tcPr>
          <w:p w14:paraId="3AB1768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3.76E+01</w:t>
            </w:r>
          </w:p>
        </w:tc>
        <w:tc>
          <w:tcPr>
            <w:tcW w:w="3033" w:type="dxa"/>
            <w:vAlign w:val="center"/>
          </w:tcPr>
          <w:p w14:paraId="7EE456C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eastAsiaTheme="minorEastAsia"/>
                <w:color w:val="auto"/>
                <w:sz w:val="21"/>
                <w:szCs w:val="21"/>
                <w:vertAlign w:val="baseline"/>
                <w:lang w:val="en-US" w:eastAsia="zh-CN"/>
              </w:rPr>
            </w:pPr>
          </w:p>
        </w:tc>
      </w:tr>
      <w:tr w14:paraId="15C7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32" w:type="dxa"/>
            <w:vAlign w:val="center"/>
          </w:tcPr>
          <w:p w14:paraId="7D0DBE9E">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4400</w:t>
            </w:r>
          </w:p>
        </w:tc>
        <w:tc>
          <w:tcPr>
            <w:tcW w:w="3033" w:type="dxa"/>
            <w:vAlign w:val="center"/>
          </w:tcPr>
          <w:p w14:paraId="05CA5279">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3.77E+01</w:t>
            </w:r>
          </w:p>
        </w:tc>
        <w:tc>
          <w:tcPr>
            <w:tcW w:w="3033" w:type="dxa"/>
            <w:vAlign w:val="center"/>
          </w:tcPr>
          <w:p w14:paraId="0BFAB98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b/>
                <w:bCs/>
                <w:color w:val="auto"/>
                <w:sz w:val="21"/>
                <w:szCs w:val="21"/>
                <w:lang w:val="en-US" w:eastAsia="zh-CN"/>
              </w:rPr>
            </w:pPr>
          </w:p>
        </w:tc>
      </w:tr>
      <w:tr w14:paraId="4723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32" w:type="dxa"/>
            <w:vAlign w:val="center"/>
          </w:tcPr>
          <w:p w14:paraId="3C5A764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4600</w:t>
            </w:r>
          </w:p>
        </w:tc>
        <w:tc>
          <w:tcPr>
            <w:tcW w:w="3033" w:type="dxa"/>
            <w:vAlign w:val="center"/>
          </w:tcPr>
          <w:p w14:paraId="549276A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3.77E+01</w:t>
            </w:r>
          </w:p>
        </w:tc>
        <w:tc>
          <w:tcPr>
            <w:tcW w:w="3033" w:type="dxa"/>
            <w:vAlign w:val="center"/>
          </w:tcPr>
          <w:p w14:paraId="588B29B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最早达峰时间</w:t>
            </w:r>
          </w:p>
        </w:tc>
      </w:tr>
      <w:tr w14:paraId="0368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32" w:type="dxa"/>
            <w:vAlign w:val="center"/>
          </w:tcPr>
          <w:p w14:paraId="0C0C111D">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4800</w:t>
            </w:r>
          </w:p>
        </w:tc>
        <w:tc>
          <w:tcPr>
            <w:tcW w:w="3033" w:type="dxa"/>
            <w:vAlign w:val="center"/>
          </w:tcPr>
          <w:p w14:paraId="5863AEC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3.77E+01</w:t>
            </w:r>
          </w:p>
        </w:tc>
        <w:tc>
          <w:tcPr>
            <w:tcW w:w="3033" w:type="dxa"/>
            <w:vAlign w:val="center"/>
          </w:tcPr>
          <w:p w14:paraId="76CC5A23">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b/>
                <w:bCs/>
                <w:color w:val="auto"/>
                <w:sz w:val="21"/>
                <w:szCs w:val="21"/>
                <w:lang w:val="en-US" w:eastAsia="zh-CN"/>
              </w:rPr>
            </w:pPr>
          </w:p>
        </w:tc>
      </w:tr>
      <w:tr w14:paraId="5350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32" w:type="dxa"/>
            <w:vAlign w:val="center"/>
          </w:tcPr>
          <w:p w14:paraId="54BDD4C2">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5000</w:t>
            </w:r>
          </w:p>
        </w:tc>
        <w:tc>
          <w:tcPr>
            <w:tcW w:w="3033" w:type="dxa"/>
            <w:vAlign w:val="center"/>
          </w:tcPr>
          <w:p w14:paraId="00BCFA56">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3.77E+01</w:t>
            </w:r>
          </w:p>
        </w:tc>
        <w:tc>
          <w:tcPr>
            <w:tcW w:w="3033" w:type="dxa"/>
            <w:vAlign w:val="center"/>
          </w:tcPr>
          <w:p w14:paraId="70B2EE88">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default" w:ascii="Times New Roman" w:hAnsi="Times New Roman" w:cs="Times New Roman"/>
                <w:b/>
                <w:bCs/>
                <w:color w:val="auto"/>
                <w:sz w:val="21"/>
                <w:szCs w:val="21"/>
                <w:lang w:val="en-US" w:eastAsia="zh-CN"/>
              </w:rPr>
            </w:pPr>
          </w:p>
        </w:tc>
      </w:tr>
    </w:tbl>
    <w:p w14:paraId="353AE40F">
      <w:pPr>
        <w:keepNext w:val="0"/>
        <w:keepLines w:val="0"/>
        <w:pageBreakBefore w:val="0"/>
        <w:widowControl/>
        <w:kinsoku/>
        <w:wordWrap/>
        <w:overflowPunct/>
        <w:topLinePunct w:val="0"/>
        <w:autoSpaceDE w:val="0"/>
        <w:autoSpaceDN w:val="0"/>
        <w:bidi w:val="0"/>
        <w:adjustRightInd/>
        <w:snapToGrid/>
        <w:spacing w:line="360" w:lineRule="auto"/>
        <w:ind w:left="0" w:leftChars="0" w:firstLine="0" w:firstLineChars="0"/>
        <w:textAlignment w:val="baseline"/>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drawing>
          <wp:inline distT="0" distB="0" distL="114300" distR="114300">
            <wp:extent cx="5408295" cy="3585845"/>
            <wp:effectExtent l="0" t="0" r="1905" b="14605"/>
            <wp:docPr id="43" name="图片 43" descr="氨氮浓度变化曲线（5000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氨氮浓度变化曲线（5000天）"/>
                    <pic:cNvPicPr>
                      <a:picLocks noChangeAspect="1"/>
                    </pic:cNvPicPr>
                  </pic:nvPicPr>
                  <pic:blipFill>
                    <a:blip r:embed="rId107"/>
                    <a:stretch>
                      <a:fillRect/>
                    </a:stretch>
                  </pic:blipFill>
                  <pic:spPr>
                    <a:xfrm>
                      <a:off x="0" y="0"/>
                      <a:ext cx="5408295" cy="3585845"/>
                    </a:xfrm>
                    <a:prstGeom prst="rect">
                      <a:avLst/>
                    </a:prstGeom>
                  </pic:spPr>
                </pic:pic>
              </a:graphicData>
            </a:graphic>
          </wp:inline>
        </w:drawing>
      </w:r>
    </w:p>
    <w:p w14:paraId="0D53FF72">
      <w:pPr>
        <w:ind w:firstLine="422"/>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图</w:t>
      </w:r>
      <w:r>
        <w:rPr>
          <w:rFonts w:hint="default" w:ascii="Times New Roman" w:hAnsi="Times New Roman" w:eastAsia="宋体" w:cs="Times New Roman"/>
          <w:b/>
          <w:color w:val="auto"/>
          <w:sz w:val="21"/>
          <w:szCs w:val="21"/>
          <w:lang w:val="en-US" w:eastAsia="zh-CN"/>
        </w:rPr>
        <w:t>4.8-</w:t>
      </w:r>
      <w:r>
        <w:rPr>
          <w:rFonts w:hint="eastAsia" w:ascii="Times New Roman" w:hAnsi="Times New Roman" w:eastAsia="宋体" w:cs="Times New Roman"/>
          <w:b/>
          <w:color w:val="auto"/>
          <w:sz w:val="21"/>
          <w:szCs w:val="21"/>
          <w:lang w:val="en-US" w:eastAsia="zh-CN"/>
        </w:rPr>
        <w:t>4</w:t>
      </w:r>
      <w:r>
        <w:rPr>
          <w:rFonts w:hint="default" w:ascii="Times New Roman" w:hAnsi="Times New Roman" w:cs="Times New Roman"/>
          <w:b/>
          <w:color w:val="auto"/>
          <w:sz w:val="21"/>
          <w:szCs w:val="21"/>
        </w:rPr>
        <w:t xml:space="preserve">  项目区污染物迁移</w:t>
      </w:r>
      <w:r>
        <w:rPr>
          <w:rFonts w:hint="eastAsia" w:ascii="Times New Roman" w:hAnsi="Times New Roman" w:eastAsia="宋体" w:cs="Times New Roman"/>
          <w:b/>
          <w:color w:val="auto"/>
          <w:sz w:val="21"/>
          <w:szCs w:val="21"/>
          <w:lang w:val="en-US" w:eastAsia="zh-CN"/>
        </w:rPr>
        <w:t>到污染监测井</w:t>
      </w:r>
      <w:r>
        <w:rPr>
          <w:rFonts w:hint="default" w:ascii="Times New Roman" w:hAnsi="Times New Roman" w:cs="Times New Roman"/>
          <w:b/>
          <w:color w:val="auto"/>
          <w:sz w:val="21"/>
          <w:szCs w:val="21"/>
        </w:rPr>
        <w:t>时间</w:t>
      </w:r>
    </w:p>
    <w:p w14:paraId="0984DC5F">
      <w:pPr>
        <w:keepNext w:val="0"/>
        <w:keepLines w:val="0"/>
        <w:pageBreakBefore w:val="0"/>
        <w:widowControl/>
        <w:kinsoku/>
        <w:wordWrap/>
        <w:overflowPunct/>
        <w:topLinePunct w:val="0"/>
        <w:autoSpaceDE w:val="0"/>
        <w:autoSpaceDN w:val="0"/>
        <w:bidi w:val="0"/>
        <w:adjustRightInd/>
        <w:snapToGrid/>
        <w:spacing w:line="360" w:lineRule="auto"/>
        <w:ind w:firstLine="480"/>
        <w:textAlignment w:val="baseline"/>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结合表4.8.7和图4.8-4综合分析可知，假设本项目化粪池生活废水发生意外泄露下渗进入含水层后，最快在泄漏事故发生292天后就能够从</w:t>
      </w:r>
      <w:r>
        <w:rPr>
          <w:rFonts w:hint="eastAsia" w:ascii="Times New Roman" w:hAnsi="Times New Roman" w:cs="Times New Roman" w:eastAsiaTheme="minorEastAsia"/>
          <w:color w:val="auto"/>
          <w:sz w:val="24"/>
          <w:szCs w:val="24"/>
          <w:lang w:val="en-US" w:eastAsia="zh-CN"/>
        </w:rPr>
        <w:t>污染监测井</w:t>
      </w:r>
      <w:r>
        <w:rPr>
          <w:rFonts w:hint="eastAsia" w:ascii="Times New Roman" w:hAnsi="Times New Roman" w:cs="Times New Roman"/>
          <w:color w:val="auto"/>
          <w:sz w:val="24"/>
          <w:szCs w:val="24"/>
          <w:lang w:val="en-US" w:eastAsia="zh-CN"/>
        </w:rPr>
        <w:t>中检测到特征污染因子氨氮浓度异常，在泄漏事故发生429天后</w:t>
      </w:r>
      <w:r>
        <w:rPr>
          <w:rFonts w:hint="eastAsia" w:ascii="Times New Roman" w:hAnsi="Times New Roman" w:cs="Times New Roman" w:eastAsiaTheme="minorEastAsia"/>
          <w:color w:val="auto"/>
          <w:sz w:val="24"/>
          <w:szCs w:val="24"/>
          <w:lang w:val="en-US" w:eastAsia="zh-CN"/>
        </w:rPr>
        <w:t>污染监测井</w:t>
      </w:r>
      <w:r>
        <w:rPr>
          <w:rFonts w:hint="eastAsia" w:ascii="Times New Roman" w:hAnsi="Times New Roman" w:cs="Times New Roman"/>
          <w:color w:val="auto"/>
          <w:sz w:val="24"/>
          <w:szCs w:val="24"/>
          <w:lang w:val="en-US" w:eastAsia="zh-CN"/>
        </w:rPr>
        <w:t>中氨氮浓度将超过《地下水量标准》（</w:t>
      </w:r>
      <w:r>
        <w:rPr>
          <w:rFonts w:hint="default" w:ascii="Times New Roman" w:hAnsi="Times New Roman" w:cs="Times New Roman"/>
          <w:color w:val="auto"/>
          <w:sz w:val="24"/>
          <w:szCs w:val="24"/>
          <w:lang w:val="en-US" w:eastAsia="zh-CN"/>
        </w:rPr>
        <w:t>GB/T14848-2017</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Ⅲ</w:t>
      </w:r>
      <w:r>
        <w:rPr>
          <w:rFonts w:hint="eastAsia" w:ascii="Times New Roman" w:hAnsi="Times New Roman" w:cs="Times New Roman"/>
          <w:color w:val="auto"/>
          <w:sz w:val="24"/>
          <w:szCs w:val="24"/>
          <w:lang w:val="en-US" w:eastAsia="zh-CN"/>
        </w:rPr>
        <w:t>类标准。由此可见，假设本项目化粪池防渗工程失效的模拟情景中，在不考虑非饱和带阻滞作用的情况下</w:t>
      </w:r>
      <w:r>
        <w:rPr>
          <w:rFonts w:hint="eastAsia" w:ascii="Times New Roman" w:hAnsi="Times New Roman" w:cs="Times New Roman" w:eastAsiaTheme="minorEastAsia"/>
          <w:color w:val="auto"/>
          <w:sz w:val="24"/>
          <w:szCs w:val="24"/>
          <w:lang w:val="en-US" w:eastAsia="zh-CN"/>
        </w:rPr>
        <w:t>污染监测井</w:t>
      </w:r>
      <w:r>
        <w:rPr>
          <w:rFonts w:hint="eastAsia" w:ascii="Times New Roman" w:hAnsi="Times New Roman" w:cs="Times New Roman"/>
          <w:color w:val="auto"/>
          <w:sz w:val="24"/>
          <w:szCs w:val="24"/>
          <w:lang w:val="en-US" w:eastAsia="zh-CN"/>
        </w:rPr>
        <w:t>可及时预报本项目特征污染因子氨氮浓度超标，预报信息反馈及时，能够满足地下水环境污染监测的要求。</w:t>
      </w:r>
    </w:p>
    <w:p w14:paraId="082401AB">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因此，运营期应定期检查防渗层及管道的破损或破裂情况，若发生有破损或破裂部位须及时进行修补，项目运行期间，需加强管理和监督检查，杜绝非正常情况的发生，避免污染物进入土壤及地下水含水层中。</w:t>
      </w:r>
    </w:p>
    <w:p w14:paraId="78235D6C">
      <w:pPr>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outlineLvl w:val="2"/>
        <w:rPr>
          <w:rFonts w:hint="default" w:ascii="Times New Roman" w:hAnsi="Times New Roman" w:cs="Times New Roman" w:eastAsiaTheme="minorEastAsia"/>
          <w:b/>
          <w:color w:val="auto"/>
          <w:sz w:val="24"/>
          <w:szCs w:val="24"/>
          <w:lang w:val="en-US" w:eastAsia="zh-CN"/>
        </w:rPr>
      </w:pPr>
      <w:bookmarkStart w:id="192" w:name="_Toc2953"/>
      <w:r>
        <w:rPr>
          <w:rFonts w:hint="default" w:ascii="Times New Roman" w:hAnsi="Times New Roman" w:cs="Times New Roman" w:eastAsiaTheme="minorEastAsia"/>
          <w:b/>
          <w:color w:val="auto"/>
          <w:sz w:val="24"/>
          <w:szCs w:val="24"/>
          <w:lang w:val="en-US" w:eastAsia="zh-CN"/>
        </w:rPr>
        <w:t>4.8.5地下水污染防治措施</w:t>
      </w:r>
      <w:bookmarkEnd w:id="192"/>
    </w:p>
    <w:p w14:paraId="4C2E7747">
      <w:pPr>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color w:val="auto"/>
          <w:sz w:val="24"/>
          <w:szCs w:val="24"/>
        </w:rPr>
        <w:t>1、源头控制措施</w:t>
      </w:r>
    </w:p>
    <w:p w14:paraId="318942B6">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采用先进的防渗材料、技术和实施手段，最大限度地强化防渗防污能力；加强对设备设施检查、维护，制定严格的检修标准、检修周期和考核标准，落实责任人，检查、维修人员要按照相关标准认真执行，定检后要验收，并做好记录；</w:t>
      </w:r>
    </w:p>
    <w:p w14:paraId="25287102">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rPr>
        <w:t>）做好重点污染防渗区的基础稳定性及防渗工作，严防初期雨水收集池及化粪池等</w:t>
      </w:r>
      <w:r>
        <w:rPr>
          <w:rFonts w:hint="default" w:ascii="Times New Roman" w:hAnsi="Times New Roman" w:cs="Times New Roman" w:eastAsiaTheme="minorEastAsia"/>
          <w:color w:val="auto"/>
          <w:sz w:val="24"/>
          <w:szCs w:val="24"/>
          <w:lang w:val="en-US" w:eastAsia="zh-CN"/>
        </w:rPr>
        <w:t>一般</w:t>
      </w:r>
      <w:r>
        <w:rPr>
          <w:rFonts w:hint="default" w:ascii="Times New Roman" w:hAnsi="Times New Roman" w:cs="Times New Roman" w:eastAsiaTheme="minorEastAsia"/>
          <w:color w:val="auto"/>
          <w:sz w:val="24"/>
          <w:szCs w:val="24"/>
        </w:rPr>
        <w:t>防渗区底部发生不均匀沉降造成防渗膜破损造成地下水污染；</w:t>
      </w:r>
    </w:p>
    <w:p w14:paraId="6BC18795">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3</w:t>
      </w:r>
      <w:r>
        <w:rPr>
          <w:rFonts w:hint="default" w:ascii="Times New Roman" w:hAnsi="Times New Roman" w:cs="Times New Roman" w:eastAsiaTheme="minorEastAsia"/>
          <w:color w:val="auto"/>
          <w:sz w:val="24"/>
          <w:szCs w:val="24"/>
        </w:rPr>
        <w:t>）本项目区所在区域主要含水层地下水位埋深相对较深，人工杂填土夯填层厚度分布不均，项目建设过程中除做好分区防渗工作外，开挖边坡和基坑应及时回填，如基岩裸露无法避免应对裸露部分实施工程防渗。</w:t>
      </w:r>
    </w:p>
    <w:p w14:paraId="362C90E5">
      <w:pPr>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color w:val="auto"/>
          <w:sz w:val="24"/>
          <w:szCs w:val="24"/>
        </w:rPr>
        <w:t>2、分区防控措施</w:t>
      </w:r>
    </w:p>
    <w:p w14:paraId="0D571F57">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根据前述分析，本项目施工中要严格按照以下防渗要求分区进行防渗。特别是项目区防渗施工过程中，企业应确保</w:t>
      </w:r>
      <w:r>
        <w:rPr>
          <w:rFonts w:hint="default" w:ascii="Times New Roman" w:hAnsi="Times New Roman" w:cs="Times New Roman" w:eastAsiaTheme="minorEastAsia"/>
          <w:color w:val="auto"/>
          <w:sz w:val="24"/>
          <w:szCs w:val="24"/>
          <w:lang w:val="en-US" w:eastAsia="zh-CN"/>
        </w:rPr>
        <w:t>危废暂存间</w:t>
      </w: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正面吊维修区</w:t>
      </w:r>
      <w:r>
        <w:rPr>
          <w:rFonts w:hint="default" w:ascii="Times New Roman" w:hAnsi="Times New Roman" w:cs="Times New Roman" w:eastAsiaTheme="minorEastAsia"/>
          <w:color w:val="auto"/>
          <w:sz w:val="24"/>
          <w:szCs w:val="24"/>
        </w:rPr>
        <w:t>等重点污染防渗区的防渗工程措施到位和环保监理及记录，录像相关影像资料存档备查。</w:t>
      </w:r>
    </w:p>
    <w:p w14:paraId="3A67E476">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根据工程</w:t>
      </w:r>
      <w:r>
        <w:rPr>
          <w:rFonts w:hint="default" w:ascii="Times New Roman" w:hAnsi="Times New Roman" w:cs="Times New Roman"/>
          <w:color w:val="auto"/>
          <w:sz w:val="24"/>
          <w:szCs w:val="24"/>
          <w:lang w:val="en-US" w:eastAsia="zh-CN"/>
        </w:rPr>
        <w:t>分析</w:t>
      </w:r>
      <w:r>
        <w:rPr>
          <w:rFonts w:hint="default" w:ascii="Times New Roman" w:hAnsi="Times New Roman" w:cs="Times New Roman"/>
          <w:color w:val="auto"/>
          <w:sz w:val="24"/>
          <w:szCs w:val="24"/>
        </w:rPr>
        <w:t>，本项目进行分区防渗，</w:t>
      </w:r>
      <w:r>
        <w:rPr>
          <w:rFonts w:hint="default" w:ascii="Times New Roman" w:hAnsi="Times New Roman" w:cs="Times New Roman"/>
          <w:color w:val="auto"/>
          <w:sz w:val="24"/>
          <w:szCs w:val="24"/>
          <w:lang w:val="en-US" w:eastAsia="zh-CN"/>
        </w:rPr>
        <w:t>将</w:t>
      </w:r>
      <w:r>
        <w:rPr>
          <w:rFonts w:hint="default" w:ascii="Times New Roman" w:hAnsi="Times New Roman" w:cs="Times New Roman"/>
          <w:color w:val="auto"/>
          <w:sz w:val="24"/>
          <w:szCs w:val="24"/>
        </w:rPr>
        <w:t>危废暂存间、正面吊维修区</w:t>
      </w:r>
      <w:r>
        <w:rPr>
          <w:rFonts w:hint="default" w:ascii="Times New Roman" w:hAnsi="Times New Roman" w:cs="Times New Roman"/>
          <w:color w:val="auto"/>
          <w:sz w:val="24"/>
          <w:szCs w:val="24"/>
          <w:lang w:val="en-US" w:eastAsia="zh-CN"/>
        </w:rPr>
        <w:t>涉及暂存和产生废矿物油的区域</w:t>
      </w:r>
      <w:r>
        <w:rPr>
          <w:rFonts w:hint="default" w:ascii="Times New Roman" w:hAnsi="Times New Roman" w:cs="Times New Roman"/>
          <w:color w:val="auto"/>
          <w:sz w:val="24"/>
          <w:szCs w:val="24"/>
        </w:rPr>
        <w:t>划分为重点防渗区</w:t>
      </w:r>
      <w:r>
        <w:rPr>
          <w:rFonts w:hint="eastAsia" w:ascii="Times New Roman" w:hAnsi="Times New Roman" w:eastAsia="宋体" w:cs="Times New Roman"/>
          <w:color w:val="auto"/>
          <w:sz w:val="24"/>
          <w:szCs w:val="24"/>
          <w:lang w:val="en-US" w:eastAsia="zh-CN"/>
        </w:rPr>
        <w:t>。</w:t>
      </w:r>
    </w:p>
    <w:p w14:paraId="61FEFF04">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正面吊维修区</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采用强度等级C30抗渗等级P6的商品混凝土浇筑，厚度40cm-50cm，</w:t>
      </w:r>
      <w:r>
        <w:rPr>
          <w:rFonts w:hint="eastAsia" w:ascii="Times New Roman" w:hAnsi="Times New Roman" w:eastAsia="宋体" w:cs="Times New Roman"/>
          <w:color w:val="auto"/>
          <w:sz w:val="24"/>
          <w:szCs w:val="24"/>
          <w:lang w:eastAsia="zh-CN"/>
        </w:rPr>
        <w:t>地面</w:t>
      </w:r>
      <w:r>
        <w:rPr>
          <w:rFonts w:hint="default" w:ascii="Times New Roman" w:hAnsi="Times New Roman" w:cs="Times New Roman"/>
          <w:color w:val="auto"/>
          <w:sz w:val="24"/>
          <w:szCs w:val="24"/>
        </w:rPr>
        <w:t>使用防渗、防腐砂浆抹面</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后期施工</w:t>
      </w:r>
      <w:r>
        <w:rPr>
          <w:rFonts w:hint="default" w:ascii="Times New Roman" w:hAnsi="Times New Roman" w:cs="Times New Roman"/>
          <w:color w:val="auto"/>
          <w:sz w:val="24"/>
          <w:szCs w:val="24"/>
          <w:lang w:val="en-US" w:eastAsia="zh-CN"/>
        </w:rPr>
        <w:t>地面还需采用防渗涂料刷漆</w:t>
      </w:r>
      <w:r>
        <w:rPr>
          <w:rFonts w:hint="eastAsia" w:ascii="Times New Roman" w:hAnsi="Times New Roman" w:cs="Times New Roman"/>
          <w:color w:val="auto"/>
          <w:sz w:val="24"/>
          <w:szCs w:val="24"/>
          <w:lang w:val="en-US" w:eastAsia="zh-CN"/>
        </w:rPr>
        <w:t>，使其</w:t>
      </w:r>
      <w:r>
        <w:rPr>
          <w:rFonts w:hint="default" w:ascii="Times New Roman" w:hAnsi="Times New Roman" w:eastAsia="宋体" w:cs="Times New Roman"/>
          <w:color w:val="auto"/>
          <w:sz w:val="24"/>
          <w:szCs w:val="24"/>
          <w:highlight w:val="none"/>
          <w:lang w:val="en-US" w:eastAsia="zh-CN"/>
        </w:rPr>
        <w:t>渗透系数不大于10</w:t>
      </w:r>
      <w:r>
        <w:rPr>
          <w:rFonts w:hint="default" w:ascii="Times New Roman" w:hAnsi="Times New Roman" w:eastAsia="宋体" w:cs="Times New Roman"/>
          <w:color w:val="auto"/>
          <w:sz w:val="24"/>
          <w:szCs w:val="24"/>
          <w:highlight w:val="none"/>
          <w:vertAlign w:val="superscript"/>
          <w:lang w:val="en-US" w:eastAsia="zh-CN"/>
        </w:rPr>
        <w:t xml:space="preserve"> -7</w:t>
      </w:r>
      <w:r>
        <w:rPr>
          <w:rFonts w:hint="default" w:ascii="Times New Roman" w:hAnsi="Times New Roman" w:eastAsia="宋体" w:cs="Times New Roman"/>
          <w:color w:val="auto"/>
          <w:sz w:val="24"/>
          <w:szCs w:val="24"/>
          <w:highlight w:val="none"/>
          <w:lang w:val="en-US" w:eastAsia="zh-CN"/>
        </w:rPr>
        <w:t>cm/s</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危废暂存间根据《危险废物贮存污染控制标准》（GB 18597-2023）防渗技术要求进行防渗，防渗层为至少1m厚黏土层（渗透系数不大于10</w:t>
      </w:r>
      <w:r>
        <w:rPr>
          <w:rFonts w:hint="default" w:ascii="Times New Roman" w:hAnsi="Times New Roman" w:cs="Times New Roman"/>
          <w:color w:val="auto"/>
          <w:sz w:val="24"/>
          <w:szCs w:val="24"/>
          <w:vertAlign w:val="superscript"/>
        </w:rPr>
        <w:t>-7</w:t>
      </w:r>
      <w:r>
        <w:rPr>
          <w:rFonts w:hint="default" w:ascii="Times New Roman" w:hAnsi="Times New Roman" w:cs="Times New Roman"/>
          <w:color w:val="auto"/>
          <w:sz w:val="24"/>
          <w:szCs w:val="24"/>
        </w:rPr>
        <w:t>cm/s），或至少2mm厚高密度聚乙烯膜等人工防渗材料（渗透系数不大于10</w:t>
      </w:r>
      <w:r>
        <w:rPr>
          <w:rFonts w:hint="default" w:ascii="Times New Roman" w:hAnsi="Times New Roman" w:cs="Times New Roman"/>
          <w:color w:val="auto"/>
          <w:sz w:val="24"/>
          <w:szCs w:val="24"/>
          <w:vertAlign w:val="superscript"/>
        </w:rPr>
        <w:t>-10</w:t>
      </w:r>
      <w:r>
        <w:rPr>
          <w:rFonts w:hint="default" w:ascii="Times New Roman" w:hAnsi="Times New Roman" w:cs="Times New Roman"/>
          <w:color w:val="auto"/>
          <w:sz w:val="24"/>
          <w:szCs w:val="24"/>
        </w:rPr>
        <w:t>cm/s），或其他防渗性能等效的材料</w:t>
      </w:r>
      <w:r>
        <w:rPr>
          <w:rFonts w:hint="eastAsia" w:ascii="Times New Roman" w:hAnsi="Times New Roman" w:eastAsia="宋体" w:cs="Times New Roman"/>
          <w:color w:val="auto"/>
          <w:sz w:val="24"/>
          <w:szCs w:val="24"/>
          <w:lang w:eastAsia="zh-CN"/>
        </w:rPr>
        <w:t>。</w:t>
      </w:r>
    </w:p>
    <w:p w14:paraId="5CE227FA">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将</w:t>
      </w:r>
      <w:r>
        <w:rPr>
          <w:rFonts w:hint="default" w:ascii="Times New Roman" w:hAnsi="Times New Roman" w:cs="Times New Roman"/>
          <w:color w:val="auto"/>
          <w:sz w:val="24"/>
          <w:szCs w:val="24"/>
        </w:rPr>
        <w:t>化粪池、初期雨水收集池</w:t>
      </w:r>
      <w:r>
        <w:rPr>
          <w:rFonts w:hint="default" w:ascii="Times New Roman" w:hAnsi="Times New Roman" w:cs="Times New Roman"/>
          <w:color w:val="auto"/>
          <w:sz w:val="24"/>
          <w:szCs w:val="24"/>
          <w:lang w:val="en-US" w:eastAsia="zh-CN"/>
        </w:rPr>
        <w:t>因涉及生活废水和初期雨水产生，考虑污染影响较小，</w:t>
      </w:r>
      <w:r>
        <w:rPr>
          <w:rFonts w:hint="default" w:ascii="Times New Roman" w:hAnsi="Times New Roman" w:cs="Times New Roman"/>
          <w:color w:val="auto"/>
          <w:sz w:val="24"/>
          <w:szCs w:val="24"/>
        </w:rPr>
        <w:t>划分为一般防渗区，</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采取粘土铺底，再在上层铺10~15cm的水泥进行硬化</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满足防渗达到“黏土防渗层Mb≥1.5m，K≤10</w:t>
      </w:r>
      <w:r>
        <w:rPr>
          <w:rFonts w:hint="eastAsia" w:ascii="Times New Roman" w:hAnsi="Times New Roman" w:eastAsia="宋体" w:cs="Times New Roman"/>
          <w:color w:val="auto"/>
          <w:sz w:val="24"/>
          <w:szCs w:val="24"/>
          <w:vertAlign w:val="superscript"/>
          <w:lang w:val="en-US" w:eastAsia="zh-CN"/>
        </w:rPr>
        <w:t>-7</w:t>
      </w:r>
      <w:r>
        <w:rPr>
          <w:rFonts w:hint="eastAsia" w:ascii="Times New Roman" w:hAnsi="Times New Roman" w:eastAsia="宋体" w:cs="Times New Roman"/>
          <w:color w:val="auto"/>
          <w:sz w:val="24"/>
          <w:szCs w:val="24"/>
          <w:lang w:val="en-US" w:eastAsia="zh-CN"/>
        </w:rPr>
        <w:t>cm/s”的技术要求。</w:t>
      </w:r>
    </w:p>
    <w:p w14:paraId="3DAC4888">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color w:val="auto"/>
          <w:sz w:val="24"/>
          <w:szCs w:val="24"/>
          <w:lang w:val="en-US" w:eastAsia="zh-CN"/>
        </w:rPr>
        <w:t>简单防渗区：除绿化外的其他区域，</w:t>
      </w:r>
      <w:r>
        <w:rPr>
          <w:rFonts w:hint="eastAsia" w:ascii="Times New Roman" w:hAnsi="Times New Roman" w:cs="Times New Roman"/>
          <w:color w:val="auto"/>
          <w:sz w:val="24"/>
          <w:szCs w:val="24"/>
          <w:lang w:val="en-US" w:eastAsia="zh-CN"/>
        </w:rPr>
        <w:t>已</w:t>
      </w:r>
      <w:r>
        <w:rPr>
          <w:rFonts w:hint="default" w:ascii="Times New Roman" w:hAnsi="Times New Roman" w:cs="Times New Roman"/>
          <w:color w:val="auto"/>
          <w:sz w:val="24"/>
          <w:szCs w:val="24"/>
          <w:lang w:val="en-US" w:eastAsia="zh-CN"/>
        </w:rPr>
        <w:t>采用</w:t>
      </w:r>
      <w:r>
        <w:rPr>
          <w:rFonts w:hint="default" w:ascii="Times New Roman" w:hAnsi="Times New Roman" w:cs="Times New Roman"/>
          <w:color w:val="auto"/>
          <w:sz w:val="24"/>
          <w:szCs w:val="24"/>
        </w:rPr>
        <w:t>铺10~15cm的水泥进行硬化</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满足防渗达到“一般地面硬化”的技术要求。</w:t>
      </w:r>
    </w:p>
    <w:p w14:paraId="494F1D74">
      <w:pPr>
        <w:pStyle w:val="48"/>
        <w:keepNext w:val="0"/>
        <w:keepLines w:val="0"/>
        <w:pageBreakBefore w:val="0"/>
        <w:wordWrap/>
        <w:overflowPunct/>
        <w:topLinePunct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3、地下水污染监控</w:t>
      </w:r>
    </w:p>
    <w:p w14:paraId="21FA51F0">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为了及时了解项目区对周围地下水污染控制情况，需建立</w:t>
      </w:r>
      <w:r>
        <w:rPr>
          <w:rFonts w:hint="default" w:ascii="Times New Roman" w:hAnsi="Times New Roman" w:cs="Times New Roman" w:eastAsiaTheme="minorEastAsia"/>
          <w:color w:val="auto"/>
          <w:sz w:val="24"/>
          <w:szCs w:val="24"/>
        </w:rPr>
        <w:t>项目区</w:t>
      </w:r>
      <w:r>
        <w:rPr>
          <w:rFonts w:hint="default" w:ascii="Times New Roman" w:hAnsi="Times New Roman" w:cs="Times New Roman" w:eastAsiaTheme="minorEastAsia"/>
          <w:color w:val="auto"/>
          <w:sz w:val="24"/>
          <w:szCs w:val="24"/>
          <w:lang w:val="zh-CN"/>
        </w:rPr>
        <w:t>地下水</w:t>
      </w:r>
      <w:r>
        <w:rPr>
          <w:rFonts w:hint="default" w:ascii="Times New Roman" w:hAnsi="Times New Roman" w:cs="Times New Roman" w:eastAsiaTheme="minorEastAsia"/>
          <w:color w:val="auto"/>
          <w:sz w:val="24"/>
          <w:szCs w:val="24"/>
        </w:rPr>
        <w:t>长期跟踪</w:t>
      </w:r>
      <w:r>
        <w:rPr>
          <w:rFonts w:hint="default" w:ascii="Times New Roman" w:hAnsi="Times New Roman" w:cs="Times New Roman" w:eastAsiaTheme="minorEastAsia"/>
          <w:color w:val="auto"/>
          <w:sz w:val="24"/>
          <w:szCs w:val="24"/>
          <w:lang w:val="zh-CN"/>
        </w:rPr>
        <w:t>监控体系。</w:t>
      </w:r>
    </w:p>
    <w:p w14:paraId="44B95E28">
      <w:pPr>
        <w:pStyle w:val="48"/>
        <w:keepNext w:val="0"/>
        <w:keepLines w:val="0"/>
        <w:pageBreakBefore w:val="0"/>
        <w:wordWrap/>
        <w:overflowPunct/>
        <w:topLinePunct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zh-CN" w:eastAsia="zh-CN"/>
        </w:rPr>
        <w:t>（</w:t>
      </w:r>
      <w:r>
        <w:rPr>
          <w:rFonts w:hint="default" w:ascii="Times New Roman" w:hAnsi="Times New Roman" w:cs="Times New Roman" w:eastAsiaTheme="minorEastAsia"/>
          <w:b/>
          <w:bCs/>
          <w:color w:val="auto"/>
          <w:sz w:val="24"/>
          <w:szCs w:val="24"/>
          <w:lang w:val="en-US" w:eastAsia="zh-CN"/>
        </w:rPr>
        <w:t>1</w:t>
      </w:r>
      <w:r>
        <w:rPr>
          <w:rFonts w:hint="default" w:ascii="Times New Roman" w:hAnsi="Times New Roman" w:cs="Times New Roman" w:eastAsiaTheme="minorEastAsia"/>
          <w:b/>
          <w:bCs/>
          <w:color w:val="auto"/>
          <w:sz w:val="24"/>
          <w:szCs w:val="24"/>
          <w:lang w:val="zh-CN" w:eastAsia="zh-CN"/>
        </w:rPr>
        <w:t>）地下水</w:t>
      </w:r>
      <w:r>
        <w:rPr>
          <w:rFonts w:hint="default" w:ascii="Times New Roman" w:hAnsi="Times New Roman" w:cs="Times New Roman" w:eastAsiaTheme="minorEastAsia"/>
          <w:b/>
          <w:bCs/>
          <w:color w:val="auto"/>
          <w:sz w:val="24"/>
          <w:szCs w:val="24"/>
          <w:lang w:val="en-US" w:eastAsia="zh-CN"/>
        </w:rPr>
        <w:t>跟踪</w:t>
      </w:r>
      <w:r>
        <w:rPr>
          <w:rFonts w:hint="default" w:ascii="Times New Roman" w:hAnsi="Times New Roman" w:cs="Times New Roman" w:eastAsiaTheme="minorEastAsia"/>
          <w:b/>
          <w:bCs/>
          <w:color w:val="auto"/>
          <w:sz w:val="24"/>
          <w:szCs w:val="24"/>
          <w:lang w:val="zh-CN" w:eastAsia="zh-CN"/>
        </w:rPr>
        <w:t>监测井布设原则</w:t>
      </w:r>
    </w:p>
    <w:p w14:paraId="23A1C309">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根据《地下水环境监测技术规范》（HJ/T164-20</w:t>
      </w:r>
      <w:r>
        <w:rPr>
          <w:rFonts w:hint="default" w:ascii="Times New Roman" w:hAnsi="Times New Roman" w:cs="Times New Roman" w:eastAsiaTheme="minorEastAsia"/>
          <w:color w:val="auto"/>
          <w:sz w:val="24"/>
          <w:szCs w:val="24"/>
        </w:rPr>
        <w:t>20</w:t>
      </w:r>
      <w:r>
        <w:rPr>
          <w:rFonts w:hint="default" w:ascii="Times New Roman" w:hAnsi="Times New Roman" w:cs="Times New Roman" w:eastAsiaTheme="minorEastAsia"/>
          <w:color w:val="auto"/>
          <w:sz w:val="24"/>
          <w:szCs w:val="24"/>
          <w:lang w:val="zh-CN"/>
        </w:rPr>
        <w:t>）</w:t>
      </w:r>
      <w:r>
        <w:rPr>
          <w:rFonts w:hint="default" w:ascii="Times New Roman" w:hAnsi="Times New Roman" w:cs="Times New Roman" w:eastAsiaTheme="minorEastAsia"/>
          <w:color w:val="auto"/>
          <w:sz w:val="24"/>
          <w:szCs w:val="24"/>
        </w:rPr>
        <w:t>和</w:t>
      </w:r>
      <w:r>
        <w:rPr>
          <w:rFonts w:hint="default" w:ascii="Times New Roman" w:hAnsi="Times New Roman" w:cs="Times New Roman" w:eastAsiaTheme="minorEastAsia"/>
          <w:color w:val="auto"/>
          <w:sz w:val="24"/>
          <w:szCs w:val="24"/>
          <w:lang w:val="zh-CN"/>
        </w:rPr>
        <w:t>《</w:t>
      </w:r>
      <w:r>
        <w:rPr>
          <w:rFonts w:hint="default" w:ascii="Times New Roman" w:hAnsi="Times New Roman" w:cs="Times New Roman" w:eastAsiaTheme="minorEastAsia"/>
          <w:color w:val="auto"/>
          <w:sz w:val="24"/>
          <w:szCs w:val="24"/>
        </w:rPr>
        <w:t>工业企业土壤和地下水自行监测技术指南</w:t>
      </w:r>
      <w:r>
        <w:rPr>
          <w:rFonts w:hint="default" w:ascii="Times New Roman" w:hAnsi="Times New Roman" w:cs="Times New Roman" w:eastAsiaTheme="minorEastAsia"/>
          <w:color w:val="auto"/>
          <w:sz w:val="24"/>
          <w:szCs w:val="24"/>
          <w:lang w:val="zh-CN"/>
        </w:rPr>
        <w:t>》（HJ</w:t>
      </w:r>
      <w:r>
        <w:rPr>
          <w:rFonts w:hint="default" w:ascii="Times New Roman" w:hAnsi="Times New Roman" w:cs="Times New Roman" w:eastAsiaTheme="minorEastAsia"/>
          <w:color w:val="auto"/>
          <w:sz w:val="24"/>
          <w:szCs w:val="24"/>
        </w:rPr>
        <w:t>1209</w:t>
      </w:r>
      <w:r>
        <w:rPr>
          <w:rFonts w:hint="default" w:ascii="Times New Roman" w:hAnsi="Times New Roman" w:cs="Times New Roman" w:eastAsiaTheme="minorEastAsia"/>
          <w:color w:val="auto"/>
          <w:sz w:val="24"/>
          <w:szCs w:val="24"/>
          <w:lang w:val="zh-CN"/>
        </w:rPr>
        <w:t>-20</w:t>
      </w:r>
      <w:r>
        <w:rPr>
          <w:rFonts w:hint="default" w:ascii="Times New Roman" w:hAnsi="Times New Roman" w:cs="Times New Roman" w:eastAsiaTheme="minorEastAsia"/>
          <w:color w:val="auto"/>
          <w:sz w:val="24"/>
          <w:szCs w:val="24"/>
        </w:rPr>
        <w:t>21</w:t>
      </w:r>
      <w:r>
        <w:rPr>
          <w:rFonts w:hint="default" w:ascii="Times New Roman" w:hAnsi="Times New Roman" w:cs="Times New Roman" w:eastAsiaTheme="minorEastAsia"/>
          <w:color w:val="auto"/>
          <w:sz w:val="24"/>
          <w:szCs w:val="24"/>
          <w:lang w:val="zh-CN"/>
        </w:rPr>
        <w:t>）的要求，</w:t>
      </w:r>
      <w:r>
        <w:rPr>
          <w:rFonts w:hint="default" w:ascii="Times New Roman" w:hAnsi="Times New Roman" w:cs="Times New Roman" w:eastAsiaTheme="minorEastAsia"/>
          <w:color w:val="auto"/>
          <w:sz w:val="24"/>
          <w:szCs w:val="24"/>
        </w:rPr>
        <w:t>结合本项目所在区域地下水的径流方向、流量及水化学特征制定总体</w:t>
      </w:r>
      <w:r>
        <w:rPr>
          <w:rFonts w:hint="default" w:ascii="Times New Roman" w:hAnsi="Times New Roman" w:cs="Times New Roman" w:eastAsiaTheme="minorEastAsia"/>
          <w:color w:val="auto"/>
          <w:sz w:val="24"/>
          <w:szCs w:val="24"/>
          <w:lang w:val="zh-CN"/>
        </w:rPr>
        <w:t>布设原则如下：</w:t>
      </w:r>
    </w:p>
    <w:p w14:paraId="31210027">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①重点污染区加密监测原则；</w:t>
      </w:r>
    </w:p>
    <w:p w14:paraId="6D83616C">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②重点监测潜水含水层，兼顾监测深部含水层为原则；</w:t>
      </w:r>
    </w:p>
    <w:p w14:paraId="120A5CA3">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eastAsia="zh-CN"/>
        </w:rPr>
      </w:pPr>
      <w:r>
        <w:rPr>
          <w:rFonts w:hint="default" w:ascii="Times New Roman" w:hAnsi="Times New Roman" w:cs="Times New Roman" w:eastAsiaTheme="minorEastAsia"/>
          <w:color w:val="auto"/>
          <w:sz w:val="24"/>
          <w:szCs w:val="24"/>
          <w:lang w:val="zh-CN" w:eastAsia="zh-CN"/>
        </w:rPr>
        <w:t>③重点污染区上下游同步对比原则监测。</w:t>
      </w:r>
    </w:p>
    <w:p w14:paraId="53F35B81">
      <w:pPr>
        <w:pStyle w:val="48"/>
        <w:keepNext w:val="0"/>
        <w:keepLines w:val="0"/>
        <w:pageBreakBefore w:val="0"/>
        <w:wordWrap/>
        <w:overflowPunct/>
        <w:topLinePunct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zh-CN" w:eastAsia="zh-CN"/>
        </w:rPr>
        <w:t>（</w:t>
      </w:r>
      <w:r>
        <w:rPr>
          <w:rFonts w:hint="default" w:ascii="Times New Roman" w:hAnsi="Times New Roman" w:cs="Times New Roman" w:eastAsiaTheme="minorEastAsia"/>
          <w:b/>
          <w:bCs/>
          <w:color w:val="auto"/>
          <w:sz w:val="24"/>
          <w:szCs w:val="24"/>
          <w:lang w:val="en-US" w:eastAsia="zh-CN"/>
        </w:rPr>
        <w:t>2</w:t>
      </w:r>
      <w:r>
        <w:rPr>
          <w:rFonts w:hint="default" w:ascii="Times New Roman" w:hAnsi="Times New Roman" w:cs="Times New Roman" w:eastAsiaTheme="minorEastAsia"/>
          <w:b/>
          <w:bCs/>
          <w:color w:val="auto"/>
          <w:sz w:val="24"/>
          <w:szCs w:val="24"/>
          <w:lang w:val="zh-CN" w:eastAsia="zh-CN"/>
        </w:rPr>
        <w:t>）地下水跟踪监测方案</w:t>
      </w:r>
    </w:p>
    <w:p w14:paraId="15B6E3B0">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结合场地周边主要含水层分布特征及地下水径流规律，综合考虑项目区地下水环境风险源分布情况，在满足本项目长期污染跟踪监测需求，提高监测数据可靠性的前提下，本次评价提出将</w:t>
      </w:r>
      <w:r>
        <w:rPr>
          <w:rFonts w:hint="eastAsia" w:ascii="Times New Roman" w:hAnsi="Times New Roman" w:cs="Times New Roman" w:eastAsiaTheme="minorEastAsia"/>
          <w:color w:val="auto"/>
          <w:sz w:val="24"/>
          <w:szCs w:val="24"/>
          <w:lang w:val="en-US" w:eastAsia="zh-CN"/>
        </w:rPr>
        <w:t>项目</w:t>
      </w:r>
      <w:r>
        <w:rPr>
          <w:rFonts w:hint="eastAsia" w:cs="Times New Roman" w:eastAsiaTheme="minorEastAsia"/>
          <w:color w:val="auto"/>
          <w:sz w:val="24"/>
          <w:szCs w:val="24"/>
          <w:lang w:val="en-US" w:eastAsia="zh-CN"/>
        </w:rPr>
        <w:t>项目区</w:t>
      </w:r>
      <w:r>
        <w:rPr>
          <w:rFonts w:hint="eastAsia" w:ascii="Times New Roman" w:hAnsi="Times New Roman" w:cs="Times New Roman" w:eastAsiaTheme="minorEastAsia"/>
          <w:color w:val="auto"/>
          <w:sz w:val="24"/>
          <w:szCs w:val="24"/>
          <w:lang w:val="en-US" w:eastAsia="zh-CN"/>
        </w:rPr>
        <w:t>污染监测井J2改造，主要改造井台、井盖、井牌等地下水标志牌内容。以及将</w:t>
      </w:r>
      <w:r>
        <w:rPr>
          <w:rFonts w:hint="eastAsia" w:cs="Times New Roman" w:eastAsiaTheme="minorEastAsia"/>
          <w:color w:val="auto"/>
          <w:sz w:val="24"/>
          <w:szCs w:val="24"/>
          <w:lang w:val="en-US" w:eastAsia="zh-CN"/>
        </w:rPr>
        <w:t>J3下游污染扩散监测井（</w:t>
      </w:r>
      <w:r>
        <w:rPr>
          <w:rFonts w:hint="default" w:ascii="Times New Roman" w:hAnsi="Times New Roman" w:cs="Times New Roman" w:eastAsiaTheme="minorEastAsia"/>
          <w:color w:val="auto"/>
          <w:sz w:val="24"/>
          <w:szCs w:val="24"/>
          <w:lang w:val="en-US" w:eastAsia="zh-CN"/>
        </w:rPr>
        <w:t>曲靖大为焦化制气地下水监测井DX01</w:t>
      </w:r>
      <w:r>
        <w:rPr>
          <w:rFonts w:hint="eastAsia"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val="en-US" w:eastAsia="zh-CN"/>
        </w:rPr>
        <w:t>也作</w:t>
      </w:r>
      <w:r>
        <w:rPr>
          <w:rFonts w:hint="default" w:ascii="Times New Roman" w:hAnsi="Times New Roman" w:cs="Times New Roman" w:eastAsiaTheme="minorEastAsia"/>
          <w:color w:val="auto"/>
          <w:sz w:val="24"/>
          <w:szCs w:val="24"/>
          <w:lang w:val="en-US" w:eastAsia="zh-CN"/>
        </w:rPr>
        <w:t>为</w:t>
      </w:r>
      <w:r>
        <w:rPr>
          <w:rFonts w:hint="eastAsia" w:ascii="Times New Roman" w:hAnsi="Times New Roman" w:cs="Times New Roman" w:eastAsiaTheme="minorEastAsia"/>
          <w:color w:val="auto"/>
          <w:sz w:val="24"/>
          <w:szCs w:val="24"/>
          <w:lang w:val="en-US" w:eastAsia="zh-CN"/>
        </w:rPr>
        <w:t>本项目</w:t>
      </w:r>
      <w:r>
        <w:rPr>
          <w:rFonts w:hint="default" w:ascii="Times New Roman" w:hAnsi="Times New Roman" w:cs="Times New Roman" w:eastAsiaTheme="minorEastAsia"/>
          <w:color w:val="auto"/>
          <w:sz w:val="24"/>
          <w:szCs w:val="24"/>
          <w:lang w:val="en-US" w:eastAsia="zh-CN"/>
        </w:rPr>
        <w:t>地下水跟踪监测井</w:t>
      </w:r>
      <w:r>
        <w:rPr>
          <w:rFonts w:hint="eastAsia" w:ascii="Times New Roman" w:hAnsi="Times New Roman" w:cs="Times New Roman" w:eastAsiaTheme="minorEastAsia"/>
          <w:color w:val="auto"/>
          <w:sz w:val="24"/>
          <w:szCs w:val="24"/>
          <w:lang w:val="en-US" w:eastAsia="zh-CN"/>
        </w:rPr>
        <w:t>使用</w:t>
      </w:r>
      <w:r>
        <w:rPr>
          <w:rFonts w:hint="default"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val="en-US" w:eastAsia="zh-CN"/>
        </w:rPr>
        <w:t>跟踪监测井设计参数见表</w:t>
      </w:r>
      <w:r>
        <w:rPr>
          <w:rFonts w:hint="eastAsia" w:cs="Times New Roman" w:eastAsiaTheme="minorEastAsia"/>
          <w:color w:val="auto"/>
          <w:sz w:val="24"/>
          <w:szCs w:val="24"/>
          <w:lang w:val="en-US" w:eastAsia="zh-CN"/>
        </w:rPr>
        <w:t>4.8-8</w:t>
      </w:r>
      <w:r>
        <w:rPr>
          <w:rFonts w:hint="eastAsia" w:ascii="Times New Roman" w:hAnsi="Times New Roman" w:cs="Times New Roman" w:eastAsiaTheme="minorEastAsia"/>
          <w:color w:val="auto"/>
          <w:sz w:val="24"/>
          <w:szCs w:val="24"/>
          <w:lang w:val="en-US" w:eastAsia="zh-CN"/>
        </w:rPr>
        <w:t>。</w:t>
      </w:r>
    </w:p>
    <w:p w14:paraId="4BDA4D1F">
      <w:pPr>
        <w:keepNext w:val="0"/>
        <w:keepLines w:val="0"/>
        <w:pageBreakBefore w:val="0"/>
        <w:widowControl/>
        <w:suppressLineNumbers w:val="0"/>
        <w:kinsoku w:val="0"/>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snapToGrid w:val="0"/>
          <w:color w:val="auto"/>
          <w:kern w:val="0"/>
          <w:sz w:val="21"/>
          <w:szCs w:val="21"/>
          <w:lang w:val="en-US" w:eastAsia="zh-CN" w:bidi="ar"/>
        </w:rPr>
        <w:t>表4.8</w:t>
      </w:r>
      <w:r>
        <w:rPr>
          <w:rFonts w:hint="eastAsia" w:ascii="Times New Roman" w:hAnsi="Times New Roman" w:cs="Times New Roman" w:eastAsiaTheme="minorEastAsia"/>
          <w:b/>
          <w:bCs/>
          <w:snapToGrid w:val="0"/>
          <w:color w:val="auto"/>
          <w:kern w:val="0"/>
          <w:sz w:val="21"/>
          <w:szCs w:val="21"/>
          <w:lang w:val="en-US" w:eastAsia="zh-CN" w:bidi="ar"/>
        </w:rPr>
        <w:t>-8</w:t>
      </w:r>
      <w:r>
        <w:rPr>
          <w:rFonts w:hint="default" w:ascii="Times New Roman" w:hAnsi="Times New Roman" w:cs="Times New Roman" w:eastAsiaTheme="minorEastAsia"/>
          <w:b/>
          <w:bCs/>
          <w:snapToGrid w:val="0"/>
          <w:color w:val="auto"/>
          <w:kern w:val="0"/>
          <w:sz w:val="21"/>
          <w:szCs w:val="21"/>
          <w:lang w:val="en-US" w:eastAsia="zh-CN" w:bidi="ar"/>
        </w:rPr>
        <w:t>新建地下水跟踪监测井设计参数一览表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1920"/>
        <w:gridCol w:w="1488"/>
        <w:gridCol w:w="1396"/>
        <w:gridCol w:w="1664"/>
        <w:gridCol w:w="1149"/>
      </w:tblGrid>
      <w:tr w14:paraId="15FC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2422" w:type="dxa"/>
            <w:gridSpan w:val="2"/>
            <w:vAlign w:val="center"/>
          </w:tcPr>
          <w:p w14:paraId="7EF52733">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编号</w:t>
            </w:r>
          </w:p>
        </w:tc>
        <w:tc>
          <w:tcPr>
            <w:tcW w:w="2884" w:type="dxa"/>
            <w:gridSpan w:val="2"/>
            <w:vAlign w:val="center"/>
          </w:tcPr>
          <w:p w14:paraId="6942898D">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经纬度</w:t>
            </w:r>
          </w:p>
        </w:tc>
        <w:tc>
          <w:tcPr>
            <w:tcW w:w="1664" w:type="dxa"/>
            <w:vAlign w:val="center"/>
          </w:tcPr>
          <w:p w14:paraId="5E84E49F">
            <w:pPr>
              <w:keepNext w:val="0"/>
              <w:keepLines w:val="0"/>
              <w:pageBreakBefore w:val="0"/>
              <w:widowControl/>
              <w:suppressLineNumbers w:val="0"/>
              <w:wordWrap/>
              <w:overflowPunct/>
              <w:topLinePunct w:val="0"/>
              <w:bidi w:val="0"/>
              <w:spacing w:line="240" w:lineRule="auto"/>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eastAsia" w:ascii="宋体" w:hAnsi="宋体" w:eastAsia="宋体" w:cs="宋体"/>
                <w:b w:val="0"/>
                <w:bCs w:val="0"/>
                <w:snapToGrid w:val="0"/>
                <w:color w:val="auto"/>
                <w:kern w:val="0"/>
                <w:sz w:val="21"/>
                <w:szCs w:val="21"/>
                <w:lang w:val="en-US" w:eastAsia="zh-CN" w:bidi="ar"/>
              </w:rPr>
              <w:t>设计井深（</w:t>
            </w:r>
            <w:r>
              <w:rPr>
                <w:rFonts w:hint="default" w:ascii="Times New Roman" w:hAnsi="Times New Roman" w:eastAsia="宋体" w:cs="Times New Roman"/>
                <w:b w:val="0"/>
                <w:bCs w:val="0"/>
                <w:snapToGrid w:val="0"/>
                <w:color w:val="auto"/>
                <w:kern w:val="0"/>
                <w:sz w:val="21"/>
                <w:szCs w:val="21"/>
                <w:lang w:val="en-US" w:eastAsia="zh-CN" w:bidi="ar"/>
              </w:rPr>
              <w:t>m</w:t>
            </w:r>
            <w:r>
              <w:rPr>
                <w:rFonts w:hint="eastAsia" w:ascii="宋体" w:hAnsi="宋体" w:eastAsia="宋体" w:cs="宋体"/>
                <w:b w:val="0"/>
                <w:bCs w:val="0"/>
                <w:snapToGrid w:val="0"/>
                <w:color w:val="auto"/>
                <w:kern w:val="0"/>
                <w:sz w:val="21"/>
                <w:szCs w:val="21"/>
                <w:lang w:val="en-US" w:eastAsia="zh-CN" w:bidi="ar"/>
              </w:rPr>
              <w:t>）</w:t>
            </w:r>
          </w:p>
        </w:tc>
        <w:tc>
          <w:tcPr>
            <w:tcW w:w="1149" w:type="dxa"/>
            <w:vAlign w:val="center"/>
          </w:tcPr>
          <w:p w14:paraId="5A22663B">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监测层位</w:t>
            </w:r>
          </w:p>
        </w:tc>
      </w:tr>
      <w:tr w14:paraId="3989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02" w:type="dxa"/>
            <w:vAlign w:val="center"/>
          </w:tcPr>
          <w:p w14:paraId="307F535F">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J2</w:t>
            </w:r>
          </w:p>
        </w:tc>
        <w:tc>
          <w:tcPr>
            <w:tcW w:w="1920" w:type="dxa"/>
            <w:vAlign w:val="center"/>
          </w:tcPr>
          <w:p w14:paraId="1152FFB9">
            <w:pPr>
              <w:pStyle w:val="4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color w:val="auto"/>
                <w:sz w:val="21"/>
                <w:szCs w:val="21"/>
                <w:lang w:val="en-US" w:eastAsia="zh-CN"/>
              </w:rPr>
              <w:t>项目区</w:t>
            </w:r>
            <w:r>
              <w:rPr>
                <w:rFonts w:hint="eastAsia" w:ascii="Times New Roman" w:hAnsi="Times New Roman" w:cs="Times New Roman" w:eastAsiaTheme="minorEastAsia"/>
                <w:color w:val="auto"/>
                <w:sz w:val="21"/>
                <w:szCs w:val="21"/>
                <w:lang w:val="en-US" w:eastAsia="zh-CN"/>
              </w:rPr>
              <w:t>污染监测井</w:t>
            </w:r>
          </w:p>
        </w:tc>
        <w:tc>
          <w:tcPr>
            <w:tcW w:w="1488" w:type="dxa"/>
            <w:vAlign w:val="center"/>
          </w:tcPr>
          <w:p w14:paraId="031F6B2A">
            <w:pPr>
              <w:pStyle w:val="45"/>
              <w:bidi w:val="0"/>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103°52'45.98"</w:t>
            </w:r>
          </w:p>
        </w:tc>
        <w:tc>
          <w:tcPr>
            <w:tcW w:w="1396" w:type="dxa"/>
            <w:vAlign w:val="center"/>
          </w:tcPr>
          <w:p w14:paraId="43E9CEFB">
            <w:pPr>
              <w:pStyle w:val="45"/>
              <w:bidi w:val="0"/>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25°44'52.92"</w:t>
            </w:r>
          </w:p>
        </w:tc>
        <w:tc>
          <w:tcPr>
            <w:tcW w:w="1664" w:type="dxa"/>
            <w:vAlign w:val="center"/>
          </w:tcPr>
          <w:p w14:paraId="6EE136F0">
            <w:pPr>
              <w:pStyle w:val="45"/>
              <w:bidi w:val="0"/>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eastAsia" w:eastAsia="宋体" w:cs="Times New Roman"/>
                <w:b w:val="0"/>
                <w:bCs w:val="0"/>
                <w:color w:val="auto"/>
                <w:kern w:val="2"/>
                <w:sz w:val="21"/>
                <w:szCs w:val="21"/>
                <w:highlight w:val="none"/>
                <w:lang w:val="en-US" w:eastAsia="zh-CN" w:bidi="ar-SA"/>
              </w:rPr>
              <w:t>32.4</w:t>
            </w:r>
          </w:p>
        </w:tc>
        <w:tc>
          <w:tcPr>
            <w:tcW w:w="1149" w:type="dxa"/>
            <w:vAlign w:val="center"/>
          </w:tcPr>
          <w:p w14:paraId="1A65AEF7">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P₁q+m</w:t>
            </w:r>
          </w:p>
        </w:tc>
      </w:tr>
      <w:tr w14:paraId="11E0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502" w:type="dxa"/>
            <w:vAlign w:val="center"/>
          </w:tcPr>
          <w:p w14:paraId="131D5770">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J3</w:t>
            </w:r>
          </w:p>
        </w:tc>
        <w:tc>
          <w:tcPr>
            <w:tcW w:w="1920" w:type="dxa"/>
            <w:vAlign w:val="center"/>
          </w:tcPr>
          <w:p w14:paraId="2073F449">
            <w:pPr>
              <w:pStyle w:val="4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color w:val="auto"/>
                <w:sz w:val="21"/>
                <w:szCs w:val="21"/>
                <w:lang w:val="en-US" w:eastAsia="zh-CN"/>
              </w:rPr>
              <w:t>下游污染扩散监测井</w:t>
            </w:r>
            <w:r>
              <w:rPr>
                <w:rFonts w:hint="eastAsia" w:cs="Times New Roman" w:eastAsiaTheme="minorEastAsia"/>
                <w:b w:val="0"/>
                <w:bCs w:val="0"/>
                <w:color w:val="auto"/>
                <w:sz w:val="21"/>
                <w:szCs w:val="21"/>
                <w:vertAlign w:val="baseline"/>
                <w:lang w:val="en-US" w:eastAsia="zh-CN"/>
              </w:rPr>
              <w:t>(</w:t>
            </w:r>
            <w:r>
              <w:rPr>
                <w:rFonts w:hint="default" w:ascii="Times New Roman" w:hAnsi="Times New Roman" w:cs="Times New Roman" w:eastAsiaTheme="minorEastAsia"/>
                <w:b w:val="0"/>
                <w:bCs w:val="0"/>
                <w:color w:val="auto"/>
                <w:sz w:val="21"/>
                <w:szCs w:val="21"/>
                <w:lang w:val="en-US" w:eastAsia="zh-CN"/>
              </w:rPr>
              <w:t>曲靖大为焦化制气地下水监测井DX01</w:t>
            </w:r>
            <w:r>
              <w:rPr>
                <w:rFonts w:hint="eastAsia" w:cs="Times New Roman" w:eastAsiaTheme="minorEastAsia"/>
                <w:b w:val="0"/>
                <w:bCs w:val="0"/>
                <w:color w:val="auto"/>
                <w:sz w:val="21"/>
                <w:szCs w:val="21"/>
                <w:lang w:val="en-US" w:eastAsia="zh-CN"/>
              </w:rPr>
              <w:t>)</w:t>
            </w:r>
          </w:p>
        </w:tc>
        <w:tc>
          <w:tcPr>
            <w:tcW w:w="1488" w:type="dxa"/>
            <w:vAlign w:val="center"/>
          </w:tcPr>
          <w:p w14:paraId="2E0C33D6">
            <w:pPr>
              <w:keepNext w:val="0"/>
              <w:keepLines w:val="0"/>
              <w:widowControl/>
              <w:suppressLineNumbers w:val="0"/>
              <w:wordWrap/>
              <w:jc w:val="center"/>
              <w:textAlignment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strike w:val="0"/>
                <w:dstrike w:val="0"/>
                <w:color w:val="auto"/>
                <w:sz w:val="21"/>
                <w:szCs w:val="21"/>
              </w:rPr>
              <w:t>103°52'41.97"</w:t>
            </w:r>
          </w:p>
        </w:tc>
        <w:tc>
          <w:tcPr>
            <w:tcW w:w="1396" w:type="dxa"/>
            <w:vAlign w:val="center"/>
          </w:tcPr>
          <w:p w14:paraId="6615CE95">
            <w:pPr>
              <w:keepNext w:val="0"/>
              <w:keepLines w:val="0"/>
              <w:widowControl/>
              <w:suppressLineNumbers w:val="0"/>
              <w:wordWrap/>
              <w:jc w:val="center"/>
              <w:textAlignment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strike w:val="0"/>
                <w:dstrike w:val="0"/>
                <w:color w:val="auto"/>
                <w:sz w:val="21"/>
                <w:szCs w:val="21"/>
              </w:rPr>
              <w:t>25°44'45.68"</w:t>
            </w:r>
          </w:p>
        </w:tc>
        <w:tc>
          <w:tcPr>
            <w:tcW w:w="1664" w:type="dxa"/>
            <w:vAlign w:val="center"/>
          </w:tcPr>
          <w:p w14:paraId="4BC70C3A">
            <w:pPr>
              <w:keepNext w:val="0"/>
              <w:keepLines w:val="0"/>
              <w:widowControl/>
              <w:suppressLineNumbers w:val="0"/>
              <w:wordWrap/>
              <w:jc w:val="center"/>
              <w:textAlignment w:val="center"/>
              <w:rPr>
                <w:rFonts w:hint="default" w:ascii="Times New Roman" w:hAnsi="Times New Roman" w:cs="Times New Roman" w:eastAsiaTheme="minorEastAsia"/>
                <w:b w:val="0"/>
                <w:bCs w:val="0"/>
                <w:color w:val="auto"/>
                <w:sz w:val="21"/>
                <w:szCs w:val="21"/>
                <w:vertAlign w:val="baseline"/>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30.4</w:t>
            </w:r>
          </w:p>
        </w:tc>
        <w:tc>
          <w:tcPr>
            <w:tcW w:w="1149" w:type="dxa"/>
            <w:vAlign w:val="center"/>
          </w:tcPr>
          <w:p w14:paraId="0EF3A3D4">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P₁q+m</w:t>
            </w:r>
          </w:p>
        </w:tc>
      </w:tr>
    </w:tbl>
    <w:p w14:paraId="178973FA">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除完成本项目后续跟踪监测需求外，兼具厘清项目与下游其他项目间地下水环境水力联系的功能，对本项目后续运营有着积极意义。</w:t>
      </w:r>
      <w:r>
        <w:rPr>
          <w:rFonts w:hint="default" w:ascii="Times New Roman" w:hAnsi="Times New Roman" w:cs="Times New Roman" w:eastAsiaTheme="minorEastAsia"/>
          <w:color w:val="auto"/>
          <w:sz w:val="24"/>
          <w:szCs w:val="24"/>
        </w:rPr>
        <w:t>地下水</w:t>
      </w:r>
      <w:r>
        <w:rPr>
          <w:rFonts w:hint="default" w:ascii="Times New Roman" w:hAnsi="Times New Roman" w:cs="Times New Roman" w:eastAsiaTheme="minorEastAsia"/>
          <w:color w:val="auto"/>
          <w:sz w:val="24"/>
          <w:szCs w:val="24"/>
          <w:lang w:val="en-US" w:eastAsia="zh-CN"/>
        </w:rPr>
        <w:t>跟踪</w:t>
      </w:r>
      <w:r>
        <w:rPr>
          <w:rFonts w:hint="default" w:ascii="Times New Roman" w:hAnsi="Times New Roman" w:cs="Times New Roman" w:eastAsiaTheme="minorEastAsia"/>
          <w:color w:val="auto"/>
          <w:sz w:val="24"/>
          <w:szCs w:val="24"/>
        </w:rPr>
        <w:t>监测井</w:t>
      </w:r>
      <w:r>
        <w:rPr>
          <w:rFonts w:hint="default" w:ascii="Times New Roman" w:hAnsi="Times New Roman" w:cs="Times New Roman" w:eastAsiaTheme="minorEastAsia"/>
          <w:color w:val="auto"/>
          <w:sz w:val="24"/>
          <w:szCs w:val="24"/>
          <w:lang w:val="en-US" w:eastAsia="zh-CN"/>
        </w:rPr>
        <w:t>须</w:t>
      </w:r>
      <w:r>
        <w:rPr>
          <w:rFonts w:hint="default" w:ascii="Times New Roman" w:hAnsi="Times New Roman" w:cs="Times New Roman" w:eastAsiaTheme="minorEastAsia"/>
          <w:color w:val="auto"/>
          <w:sz w:val="24"/>
          <w:szCs w:val="24"/>
        </w:rPr>
        <w:t>按照</w:t>
      </w:r>
      <w:r>
        <w:rPr>
          <w:rFonts w:hint="default" w:ascii="Times New Roman" w:hAnsi="Times New Roman" w:cs="Times New Roman" w:eastAsiaTheme="minorEastAsia"/>
          <w:color w:val="auto"/>
          <w:sz w:val="24"/>
          <w:szCs w:val="24"/>
          <w:lang w:val="zh-CN"/>
        </w:rPr>
        <w:t>《地下水环境监测技术规范》（HJ/T164-20</w:t>
      </w:r>
      <w:r>
        <w:rPr>
          <w:rFonts w:hint="default" w:ascii="Times New Roman" w:hAnsi="Times New Roman" w:cs="Times New Roman" w:eastAsiaTheme="minorEastAsia"/>
          <w:color w:val="auto"/>
          <w:sz w:val="24"/>
          <w:szCs w:val="24"/>
        </w:rPr>
        <w:t>20</w:t>
      </w:r>
      <w:r>
        <w:rPr>
          <w:rFonts w:hint="default" w:ascii="Times New Roman" w:hAnsi="Times New Roman" w:cs="Times New Roman" w:eastAsiaTheme="minorEastAsia"/>
          <w:color w:val="auto"/>
          <w:sz w:val="24"/>
          <w:szCs w:val="24"/>
          <w:lang w:val="zh-CN"/>
        </w:rPr>
        <w:t>）</w:t>
      </w:r>
      <w:r>
        <w:rPr>
          <w:rFonts w:hint="default" w:ascii="Times New Roman" w:hAnsi="Times New Roman" w:cs="Times New Roman" w:eastAsiaTheme="minorEastAsia"/>
          <w:color w:val="auto"/>
          <w:sz w:val="24"/>
          <w:szCs w:val="24"/>
        </w:rPr>
        <w:t>相关技术</w:t>
      </w:r>
      <w:r>
        <w:rPr>
          <w:rFonts w:hint="default" w:ascii="Times New Roman" w:hAnsi="Times New Roman" w:cs="Times New Roman" w:eastAsiaTheme="minorEastAsia"/>
          <w:color w:val="auto"/>
          <w:sz w:val="24"/>
          <w:szCs w:val="24"/>
          <w:lang w:val="en-US" w:eastAsia="zh-CN"/>
        </w:rPr>
        <w:t>进行建设改造，并开展</w:t>
      </w:r>
      <w:r>
        <w:rPr>
          <w:rFonts w:hint="default" w:ascii="Times New Roman" w:hAnsi="Times New Roman" w:cs="Times New Roman" w:eastAsiaTheme="minorEastAsia"/>
          <w:color w:val="auto"/>
          <w:sz w:val="24"/>
          <w:szCs w:val="24"/>
        </w:rPr>
        <w:t>长期跟踪监测和数据分析，</w:t>
      </w:r>
      <w:r>
        <w:rPr>
          <w:rFonts w:hint="default" w:ascii="Times New Roman" w:hAnsi="Times New Roman" w:cs="Times New Roman" w:eastAsiaTheme="minorEastAsia"/>
          <w:color w:val="auto"/>
          <w:sz w:val="24"/>
          <w:szCs w:val="24"/>
          <w:lang w:val="en-US" w:eastAsia="zh-CN"/>
        </w:rPr>
        <w:t>以便及时</w:t>
      </w:r>
      <w:r>
        <w:rPr>
          <w:rFonts w:hint="default" w:ascii="Times New Roman" w:hAnsi="Times New Roman" w:cs="Times New Roman" w:eastAsiaTheme="minorEastAsia"/>
          <w:color w:val="auto"/>
          <w:sz w:val="24"/>
          <w:szCs w:val="24"/>
          <w:lang w:eastAsia="zh-CN"/>
        </w:rPr>
        <w:t>有效地获取</w:t>
      </w:r>
      <w:r>
        <w:rPr>
          <w:rFonts w:hint="default" w:ascii="Times New Roman" w:hAnsi="Times New Roman" w:cs="Times New Roman" w:eastAsiaTheme="minorEastAsia"/>
          <w:color w:val="auto"/>
          <w:sz w:val="24"/>
          <w:szCs w:val="24"/>
        </w:rPr>
        <w:t>项目区地下水环境变化情况，</w:t>
      </w:r>
      <w:r>
        <w:rPr>
          <w:rFonts w:hint="default" w:ascii="Times New Roman" w:hAnsi="Times New Roman" w:cs="Times New Roman" w:eastAsiaTheme="minorEastAsia"/>
          <w:color w:val="auto"/>
          <w:sz w:val="24"/>
          <w:szCs w:val="24"/>
          <w:lang w:val="en-US" w:eastAsia="zh-CN"/>
        </w:rPr>
        <w:t>为</w:t>
      </w:r>
      <w:r>
        <w:rPr>
          <w:rFonts w:hint="default" w:ascii="Times New Roman" w:hAnsi="Times New Roman" w:cs="Times New Roman" w:eastAsiaTheme="minorEastAsia"/>
          <w:color w:val="auto"/>
          <w:sz w:val="24"/>
          <w:szCs w:val="24"/>
        </w:rPr>
        <w:t>周边地下水环境保护</w:t>
      </w:r>
      <w:r>
        <w:rPr>
          <w:rFonts w:hint="default" w:ascii="Times New Roman" w:hAnsi="Times New Roman" w:cs="Times New Roman" w:eastAsiaTheme="minorEastAsia"/>
          <w:color w:val="auto"/>
          <w:sz w:val="24"/>
          <w:szCs w:val="24"/>
          <w:lang w:val="en-US" w:eastAsia="zh-CN"/>
        </w:rPr>
        <w:t>提供数据支撑</w:t>
      </w:r>
      <w:r>
        <w:rPr>
          <w:rFonts w:hint="default" w:ascii="Times New Roman" w:hAnsi="Times New Roman" w:cs="Times New Roman" w:eastAsiaTheme="minorEastAsia"/>
          <w:color w:val="auto"/>
          <w:sz w:val="24"/>
          <w:szCs w:val="24"/>
        </w:rPr>
        <w:t>。</w:t>
      </w:r>
    </w:p>
    <w:p w14:paraId="4A88A25D">
      <w:pPr>
        <w:pStyle w:val="48"/>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zh-CN" w:eastAsia="zh-CN"/>
        </w:rPr>
        <w:t>（</w:t>
      </w:r>
      <w:r>
        <w:rPr>
          <w:rFonts w:hint="default" w:ascii="Times New Roman" w:hAnsi="Times New Roman" w:cs="Times New Roman" w:eastAsiaTheme="minorEastAsia"/>
          <w:b/>
          <w:bCs/>
          <w:color w:val="auto"/>
          <w:sz w:val="24"/>
          <w:szCs w:val="24"/>
          <w:lang w:val="en-US" w:eastAsia="zh-CN"/>
        </w:rPr>
        <w:t>3</w:t>
      </w:r>
      <w:r>
        <w:rPr>
          <w:rFonts w:hint="default" w:ascii="Times New Roman" w:hAnsi="Times New Roman" w:cs="Times New Roman" w:eastAsiaTheme="minorEastAsia"/>
          <w:b/>
          <w:bCs/>
          <w:color w:val="auto"/>
          <w:sz w:val="24"/>
          <w:szCs w:val="24"/>
          <w:lang w:val="zh-CN" w:eastAsia="zh-CN"/>
        </w:rPr>
        <w:t>）地下水监测计划</w:t>
      </w:r>
    </w:p>
    <w:p w14:paraId="2CFABC63">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监测对象为：</w:t>
      </w:r>
      <w:r>
        <w:rPr>
          <w:rFonts w:hint="default" w:ascii="Times New Roman" w:hAnsi="Times New Roman" w:cs="Times New Roman" w:eastAsiaTheme="minorEastAsia"/>
          <w:color w:val="auto"/>
          <w:kern w:val="2"/>
          <w:sz w:val="24"/>
          <w:szCs w:val="24"/>
          <w:lang w:val="en-US" w:eastAsia="zh-CN" w:bidi="ar-SA"/>
        </w:rPr>
        <w:t>碳酸盐岩岩溶水</w:t>
      </w:r>
      <w:r>
        <w:rPr>
          <w:rFonts w:hint="default" w:ascii="Times New Roman" w:hAnsi="Times New Roman" w:cs="Times New Roman" w:eastAsiaTheme="minorEastAsia"/>
          <w:color w:val="auto"/>
          <w:sz w:val="24"/>
          <w:szCs w:val="24"/>
        </w:rPr>
        <w:t>。监测孔应配置地下水水位监测装置和抽水装置，项目实施后委托有资质的环保监测部门实施监测。</w:t>
      </w:r>
    </w:p>
    <w:p w14:paraId="6576CC96">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根据本项目潜在污染特征，地下水污染监测项目主要应该包括：</w:t>
      </w:r>
      <w:r>
        <w:rPr>
          <w:rFonts w:hint="eastAsia" w:cs="Times New Roman" w:eastAsiaTheme="minorEastAsia"/>
          <w:color w:val="auto"/>
          <w:sz w:val="24"/>
          <w:szCs w:val="24"/>
          <w:lang w:val="en-US" w:eastAsia="zh-CN"/>
        </w:rPr>
        <w:t>水位、</w:t>
      </w:r>
      <w:r>
        <w:rPr>
          <w:rFonts w:hint="default" w:ascii="Times New Roman" w:hAnsi="Times New Roman" w:cs="Times New Roman" w:eastAsiaTheme="minorEastAsia"/>
          <w:color w:val="auto"/>
          <w:sz w:val="24"/>
          <w:szCs w:val="24"/>
        </w:rPr>
        <w:t>pH、总磷、耗氧量、氨氮、动植物油、SS和BOD。</w:t>
      </w:r>
    </w:p>
    <w:p w14:paraId="043055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监测频次：</w:t>
      </w:r>
      <w:r>
        <w:rPr>
          <w:rFonts w:hint="eastAsia" w:ascii="Times New Roman" w:hAnsi="Times New Roman" w:cs="Times New Roman" w:eastAsiaTheme="minorEastAsia"/>
          <w:color w:val="auto"/>
          <w:sz w:val="24"/>
          <w:szCs w:val="24"/>
          <w:lang w:val="en-US" w:eastAsia="zh-CN"/>
        </w:rPr>
        <w:t>每年一次</w:t>
      </w:r>
      <w:r>
        <w:rPr>
          <w:rFonts w:hint="default" w:ascii="Times New Roman" w:hAnsi="Times New Roman" w:cs="Times New Roman" w:eastAsiaTheme="minorEastAsia"/>
          <w:color w:val="auto"/>
          <w:sz w:val="24"/>
          <w:szCs w:val="24"/>
          <w:lang w:eastAsia="zh-CN"/>
        </w:rPr>
        <w:t>。</w:t>
      </w:r>
    </w:p>
    <w:p w14:paraId="7809C343">
      <w:pPr>
        <w:pStyle w:val="48"/>
        <w:keepNext w:val="0"/>
        <w:keepLines w:val="0"/>
        <w:pageBreakBefore w:val="0"/>
        <w:wordWrap/>
        <w:overflowPunct/>
        <w:topLinePunct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en-US" w:eastAsia="zh-CN"/>
        </w:rPr>
        <w:t>（4）</w:t>
      </w:r>
      <w:r>
        <w:rPr>
          <w:rFonts w:hint="default" w:ascii="Times New Roman" w:hAnsi="Times New Roman" w:cs="Times New Roman" w:eastAsiaTheme="minorEastAsia"/>
          <w:b/>
          <w:bCs/>
          <w:color w:val="auto"/>
          <w:sz w:val="24"/>
          <w:szCs w:val="24"/>
          <w:lang w:val="zh-CN" w:eastAsia="zh-CN"/>
        </w:rPr>
        <w:t>事故后处置措施</w:t>
      </w:r>
    </w:p>
    <w:p w14:paraId="3952F485">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1）企业应在后续加强</w:t>
      </w:r>
      <w:r>
        <w:rPr>
          <w:rFonts w:hint="default" w:ascii="Times New Roman" w:hAnsi="Times New Roman" w:cs="Times New Roman" w:eastAsiaTheme="minorEastAsia"/>
          <w:color w:val="auto"/>
          <w:sz w:val="24"/>
          <w:szCs w:val="24"/>
          <w:lang w:val="en-US" w:eastAsia="zh-CN"/>
        </w:rPr>
        <w:t>厂内改建地下水监测井的</w:t>
      </w:r>
      <w:r>
        <w:rPr>
          <w:rFonts w:hint="default" w:ascii="Times New Roman" w:hAnsi="Times New Roman" w:cs="Times New Roman" w:eastAsiaTheme="minorEastAsia"/>
          <w:color w:val="auto"/>
          <w:sz w:val="24"/>
          <w:szCs w:val="24"/>
        </w:rPr>
        <w:t>跟踪监测工作，一旦发现</w:t>
      </w:r>
      <w:r>
        <w:rPr>
          <w:rFonts w:hint="default" w:ascii="Times New Roman" w:hAnsi="Times New Roman" w:cs="Times New Roman" w:eastAsiaTheme="minorEastAsia"/>
          <w:color w:val="auto"/>
          <w:sz w:val="24"/>
          <w:szCs w:val="24"/>
          <w:lang w:val="en-US" w:eastAsia="zh-CN"/>
        </w:rPr>
        <w:t>井内</w:t>
      </w:r>
      <w:r>
        <w:rPr>
          <w:rFonts w:hint="default" w:ascii="Times New Roman" w:hAnsi="Times New Roman" w:cs="Times New Roman" w:eastAsiaTheme="minorEastAsia"/>
          <w:color w:val="auto"/>
          <w:sz w:val="24"/>
          <w:szCs w:val="24"/>
        </w:rPr>
        <w:t>地下水质出现异常现象时，</w:t>
      </w:r>
      <w:r>
        <w:rPr>
          <w:rFonts w:hint="default" w:ascii="Times New Roman" w:hAnsi="Times New Roman" w:cs="Times New Roman" w:eastAsiaTheme="minorEastAsia"/>
          <w:color w:val="auto"/>
          <w:sz w:val="24"/>
          <w:szCs w:val="24"/>
          <w:lang w:val="en-US" w:eastAsia="zh-CN"/>
        </w:rPr>
        <w:t>须</w:t>
      </w:r>
      <w:r>
        <w:rPr>
          <w:rFonts w:hint="default" w:ascii="Times New Roman" w:hAnsi="Times New Roman" w:cs="Times New Roman" w:eastAsiaTheme="minorEastAsia"/>
          <w:color w:val="auto"/>
          <w:sz w:val="24"/>
          <w:szCs w:val="24"/>
        </w:rPr>
        <w:t>加大取样频率，并根据实际情况增加监测项目，查出原因以便进行补救；同时</w:t>
      </w:r>
      <w:r>
        <w:rPr>
          <w:rFonts w:hint="default" w:ascii="Times New Roman" w:hAnsi="Times New Roman" w:cs="Times New Roman" w:eastAsiaTheme="minorEastAsia"/>
          <w:color w:val="auto"/>
          <w:sz w:val="24"/>
          <w:szCs w:val="24"/>
          <w:lang w:eastAsia="zh-CN"/>
        </w:rPr>
        <w:t>及时</w:t>
      </w:r>
      <w:r>
        <w:rPr>
          <w:rFonts w:hint="default" w:ascii="Times New Roman" w:hAnsi="Times New Roman" w:cs="Times New Roman" w:eastAsiaTheme="minorEastAsia"/>
          <w:color w:val="auto"/>
          <w:sz w:val="24"/>
          <w:szCs w:val="24"/>
        </w:rPr>
        <w:t>上报当地</w:t>
      </w:r>
      <w:r>
        <w:rPr>
          <w:rFonts w:hint="eastAsia" w:cs="Times New Roman" w:eastAsiaTheme="minorEastAsia"/>
          <w:color w:val="auto"/>
          <w:sz w:val="24"/>
          <w:szCs w:val="24"/>
          <w:lang w:eastAsia="zh-CN"/>
        </w:rPr>
        <w:t>生态环境部门</w:t>
      </w:r>
      <w:r>
        <w:rPr>
          <w:rFonts w:hint="default" w:ascii="Times New Roman" w:hAnsi="Times New Roman" w:cs="Times New Roman" w:eastAsiaTheme="minorEastAsia"/>
          <w:color w:val="auto"/>
          <w:sz w:val="24"/>
          <w:szCs w:val="24"/>
        </w:rPr>
        <w:t>及其他相关部门，采取应急措施，查出原因以便进行补救。</w:t>
      </w:r>
    </w:p>
    <w:p w14:paraId="3472638B">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2）一旦发生地下水污染事故，应及时查明地下水污染原因，如是项目区渗漏造成，应及时采取补救防渗措施。</w:t>
      </w:r>
    </w:p>
    <w:p w14:paraId="409CC380">
      <w:pPr>
        <w:pStyle w:val="48"/>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b/>
          <w:color w:val="auto"/>
          <w:sz w:val="24"/>
          <w:szCs w:val="24"/>
        </w:rPr>
      </w:pPr>
      <w:r>
        <w:rPr>
          <w:rFonts w:hint="default" w:ascii="Times New Roman" w:hAnsi="Times New Roman" w:cs="Times New Roman" w:eastAsiaTheme="minorEastAsia"/>
          <w:color w:val="auto"/>
          <w:sz w:val="24"/>
          <w:szCs w:val="24"/>
        </w:rPr>
        <w:t>3）一旦</w:t>
      </w:r>
      <w:r>
        <w:rPr>
          <w:rFonts w:hint="default" w:ascii="Times New Roman" w:hAnsi="Times New Roman" w:cs="Times New Roman" w:eastAsiaTheme="minorEastAsia"/>
          <w:color w:val="auto"/>
          <w:sz w:val="24"/>
          <w:szCs w:val="24"/>
          <w:lang w:val="en-US" w:eastAsia="zh-CN"/>
        </w:rPr>
        <w:t>跟踪监测井</w:t>
      </w:r>
      <w:r>
        <w:rPr>
          <w:rFonts w:hint="default" w:ascii="Times New Roman" w:hAnsi="Times New Roman" w:cs="Times New Roman" w:eastAsiaTheme="minorEastAsia"/>
          <w:color w:val="auto"/>
          <w:sz w:val="24"/>
          <w:szCs w:val="24"/>
        </w:rPr>
        <w:t>监测到</w:t>
      </w:r>
      <w:r>
        <w:rPr>
          <w:rFonts w:hint="default" w:ascii="Times New Roman" w:hAnsi="Times New Roman" w:cs="Times New Roman" w:eastAsiaTheme="minorEastAsia"/>
          <w:color w:val="auto"/>
          <w:sz w:val="24"/>
          <w:szCs w:val="24"/>
          <w:lang w:eastAsia="zh-CN"/>
        </w:rPr>
        <w:t>耗氧量</w:t>
      </w:r>
      <w:r>
        <w:rPr>
          <w:rFonts w:hint="default" w:ascii="Times New Roman" w:hAnsi="Times New Roman" w:cs="Times New Roman" w:eastAsiaTheme="minorEastAsia"/>
          <w:color w:val="auto"/>
          <w:sz w:val="24"/>
          <w:szCs w:val="24"/>
        </w:rPr>
        <w:t>污染异常，应及时在项目区</w:t>
      </w:r>
      <w:r>
        <w:rPr>
          <w:rFonts w:hint="default" w:ascii="Times New Roman" w:hAnsi="Times New Roman" w:cs="Times New Roman" w:eastAsiaTheme="minorEastAsia"/>
          <w:color w:val="auto"/>
          <w:sz w:val="24"/>
          <w:szCs w:val="24"/>
          <w:lang w:val="en-US" w:eastAsia="zh-CN"/>
        </w:rPr>
        <w:t>北</w:t>
      </w:r>
      <w:r>
        <w:rPr>
          <w:rFonts w:hint="default" w:ascii="Times New Roman" w:hAnsi="Times New Roman" w:cs="Times New Roman" w:eastAsiaTheme="minorEastAsia"/>
          <w:color w:val="auto"/>
          <w:sz w:val="24"/>
          <w:szCs w:val="24"/>
        </w:rPr>
        <w:t>侧厂界边缘地带采取地下水污染修复补救措施，如通过</w:t>
      </w:r>
      <w:r>
        <w:rPr>
          <w:rFonts w:hint="default" w:ascii="Times New Roman" w:hAnsi="Times New Roman" w:cs="Times New Roman" w:eastAsiaTheme="minorEastAsia"/>
          <w:color w:val="auto"/>
          <w:sz w:val="24"/>
          <w:szCs w:val="24"/>
          <w:lang w:val="en-US" w:eastAsia="zh-CN"/>
        </w:rPr>
        <w:t>建设排渗群井或通过</w:t>
      </w:r>
      <w:r>
        <w:rPr>
          <w:rFonts w:hint="default" w:ascii="Times New Roman" w:hAnsi="Times New Roman" w:cs="Times New Roman" w:eastAsiaTheme="minorEastAsia"/>
          <w:color w:val="auto"/>
          <w:sz w:val="24"/>
          <w:szCs w:val="24"/>
        </w:rPr>
        <w:t>渗透性反应墙等污染修复技术进行地下水污染修复。</w:t>
      </w:r>
    </w:p>
    <w:p w14:paraId="5487BC23">
      <w:pPr>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outlineLvl w:val="2"/>
        <w:rPr>
          <w:rFonts w:hint="default" w:ascii="Times New Roman" w:hAnsi="Times New Roman" w:cs="Times New Roman" w:eastAsiaTheme="minorEastAsia"/>
          <w:b/>
          <w:color w:val="auto"/>
          <w:sz w:val="24"/>
          <w:szCs w:val="24"/>
          <w:lang w:val="en-US" w:eastAsia="zh-CN"/>
        </w:rPr>
      </w:pPr>
      <w:bookmarkStart w:id="193" w:name="_Toc9199"/>
      <w:r>
        <w:rPr>
          <w:rFonts w:hint="default" w:ascii="Times New Roman" w:hAnsi="Times New Roman" w:cs="Times New Roman" w:eastAsiaTheme="minorEastAsia"/>
          <w:b/>
          <w:color w:val="auto"/>
          <w:sz w:val="24"/>
          <w:szCs w:val="24"/>
          <w:lang w:val="en-US" w:eastAsia="zh-CN"/>
        </w:rPr>
        <w:t>4.8.6地下水环境影响评价结论</w:t>
      </w:r>
      <w:bookmarkEnd w:id="193"/>
    </w:p>
    <w:p w14:paraId="404DC6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根据《环境影响评价技术导则</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地下水环境》（HJ610-2016）要求，在对项目进行水文地质调查、水文地质勘查、地下水环境现状监测和预测的基础上得出以下结论：</w:t>
      </w:r>
    </w:p>
    <w:p w14:paraId="06E323FC">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根据水文地质调查成果，调查范围内主要含水层为</w:t>
      </w:r>
      <w:r>
        <w:rPr>
          <w:rFonts w:hint="default" w:ascii="Times New Roman" w:hAnsi="Times New Roman" w:cs="Times New Roman"/>
          <w:color w:val="auto"/>
          <w:sz w:val="24"/>
          <w:szCs w:val="24"/>
          <w:highlight w:val="none"/>
          <w:lang w:val="zh-CN"/>
        </w:rPr>
        <w:t>碳酸盐岩岩溶水含水层</w:t>
      </w:r>
      <w:r>
        <w:rPr>
          <w:rFonts w:hint="default" w:ascii="Times New Roman" w:hAnsi="Times New Roman" w:cs="Times New Roman"/>
          <w:color w:val="auto"/>
          <w:sz w:val="24"/>
          <w:szCs w:val="24"/>
          <w:highlight w:val="none"/>
        </w:rPr>
        <w:t>，其中主要含水层富水层位埋深较浅，风化层厚度变化较大，具备一定防污防渗性，能够有效阻滞各污染因子下渗污染周边地下水环境。总体判定，评价区范围内地下水环境不敏感。</w:t>
      </w:r>
      <w:r>
        <w:rPr>
          <w:rFonts w:hint="default" w:ascii="Times New Roman" w:hAnsi="Times New Roman"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rPr>
        <w:t>须按照国家现行法律法规和技术导则的要求建设</w:t>
      </w:r>
      <w:r>
        <w:rPr>
          <w:rFonts w:hint="default" w:ascii="Times New Roman" w:hAnsi="Times New Roman" w:cs="Times New Roman"/>
          <w:color w:val="auto"/>
          <w:sz w:val="24"/>
          <w:szCs w:val="24"/>
          <w:highlight w:val="none"/>
          <w:lang w:val="zh-CN"/>
        </w:rPr>
        <w:t>相应环保</w:t>
      </w:r>
      <w:r>
        <w:rPr>
          <w:rFonts w:hint="default" w:ascii="Times New Roman" w:hAnsi="Times New Roman" w:cs="Times New Roman"/>
          <w:color w:val="auto"/>
          <w:sz w:val="24"/>
          <w:szCs w:val="24"/>
          <w:highlight w:val="none"/>
        </w:rPr>
        <w:t>设施</w:t>
      </w:r>
      <w:r>
        <w:rPr>
          <w:rFonts w:hint="default" w:ascii="Times New Roman" w:hAnsi="Times New Roman" w:cs="Times New Roman"/>
          <w:color w:val="auto"/>
          <w:sz w:val="24"/>
          <w:szCs w:val="24"/>
          <w:highlight w:val="none"/>
          <w:lang w:val="zh-CN"/>
        </w:rPr>
        <w:t>，</w:t>
      </w:r>
      <w:r>
        <w:rPr>
          <w:rFonts w:hint="default" w:ascii="Times New Roman" w:hAnsi="Times New Roman" w:cs="Times New Roman"/>
          <w:color w:val="auto"/>
          <w:sz w:val="24"/>
          <w:szCs w:val="24"/>
          <w:highlight w:val="none"/>
        </w:rPr>
        <w:t>实施项目区分区防渗，按照“三同时”相关要求设计、建设和使用防渗工程，同时在项目运营过程中严格执行本项目监测计划对评价区内松散堆积层孔隙潜水</w:t>
      </w:r>
      <w:r>
        <w:rPr>
          <w:rFonts w:hint="default" w:ascii="Times New Roman" w:hAnsi="Times New Roman" w:cs="Times New Roman"/>
          <w:color w:val="auto"/>
          <w:sz w:val="24"/>
          <w:szCs w:val="24"/>
          <w:highlight w:val="none"/>
          <w:lang w:val="zh-CN"/>
        </w:rPr>
        <w:t>含水层</w:t>
      </w:r>
      <w:r>
        <w:rPr>
          <w:rFonts w:hint="default" w:ascii="Times New Roman" w:hAnsi="Times New Roman" w:cs="Times New Roman"/>
          <w:color w:val="auto"/>
          <w:sz w:val="24"/>
          <w:szCs w:val="24"/>
          <w:highlight w:val="none"/>
        </w:rPr>
        <w:t>开展连续跟踪监测，本项目对周边地下水环境影响的风险总体可控。</w:t>
      </w:r>
    </w:p>
    <w:p w14:paraId="21299A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（2）根据</w:t>
      </w:r>
      <w:r>
        <w:rPr>
          <w:rFonts w:hint="default" w:ascii="Times New Roman" w:hAnsi="Times New Roman" w:cs="Times New Roman"/>
          <w:color w:val="auto"/>
          <w:sz w:val="24"/>
          <w:szCs w:val="24"/>
          <w:highlight w:val="none"/>
          <w:lang w:val="en-US" w:eastAsia="zh-CN"/>
        </w:rPr>
        <w:t>补充监测</w:t>
      </w:r>
      <w:r>
        <w:rPr>
          <w:rFonts w:hint="default" w:ascii="Times New Roman" w:hAnsi="Times New Roman" w:cs="Times New Roman"/>
          <w:color w:val="auto"/>
          <w:sz w:val="24"/>
          <w:szCs w:val="24"/>
          <w:highlight w:val="none"/>
        </w:rPr>
        <w:t>地下水</w:t>
      </w:r>
      <w:r>
        <w:rPr>
          <w:rFonts w:hint="default" w:ascii="Times New Roman" w:hAnsi="Times New Roman" w:cs="Times New Roman"/>
          <w:color w:val="auto"/>
          <w:sz w:val="24"/>
          <w:szCs w:val="24"/>
          <w:highlight w:val="none"/>
          <w:lang w:val="en-US" w:eastAsia="zh-CN"/>
        </w:rPr>
        <w:t>质量</w:t>
      </w:r>
      <w:r>
        <w:rPr>
          <w:rFonts w:hint="default" w:ascii="Times New Roman" w:hAnsi="Times New Roman" w:cs="Times New Roman"/>
          <w:color w:val="auto"/>
          <w:sz w:val="24"/>
          <w:szCs w:val="24"/>
          <w:highlight w:val="none"/>
        </w:rPr>
        <w:t>现状</w:t>
      </w:r>
      <w:r>
        <w:rPr>
          <w:rFonts w:hint="default" w:ascii="Times New Roman" w:hAnsi="Times New Roman" w:cs="Times New Roman"/>
          <w:color w:val="auto"/>
          <w:sz w:val="24"/>
          <w:szCs w:val="24"/>
          <w:highlight w:val="none"/>
          <w:lang w:val="en-US" w:eastAsia="zh-CN"/>
        </w:rPr>
        <w:t>检测</w:t>
      </w:r>
      <w:r>
        <w:rPr>
          <w:rFonts w:hint="default" w:ascii="Times New Roman" w:hAnsi="Times New Roman" w:cs="Times New Roman"/>
          <w:color w:val="auto"/>
          <w:sz w:val="24"/>
          <w:szCs w:val="24"/>
          <w:highlight w:val="none"/>
        </w:rPr>
        <w:t>结果，</w:t>
      </w:r>
      <w:r>
        <w:rPr>
          <w:rFonts w:hint="default" w:ascii="Times New Roman" w:hAnsi="Times New Roman" w:cs="Times New Roman"/>
          <w:color w:val="auto"/>
          <w:sz w:val="24"/>
          <w:szCs w:val="24"/>
          <w:highlight w:val="none"/>
          <w:lang w:val="en-US" w:eastAsia="zh-CN"/>
        </w:rPr>
        <w:t>本次评价选用的</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个地下水监测点水质</w:t>
      </w:r>
      <w:r>
        <w:rPr>
          <w:rFonts w:hint="default" w:ascii="Times New Roman" w:hAnsi="Times New Roman" w:cs="Times New Roman"/>
          <w:color w:val="auto"/>
          <w:sz w:val="24"/>
          <w:szCs w:val="24"/>
          <w:highlight w:val="none"/>
        </w:rPr>
        <w:t>现状各项指标均能达到《地下水质量标准》（GB/T14848-2017）Ⅲ类标准要求，</w:t>
      </w:r>
      <w:r>
        <w:rPr>
          <w:rFonts w:hint="eastAsia" w:ascii="Times New Roman" w:hAnsi="Times New Roman" w:cs="Times New Roman"/>
          <w:color w:val="auto"/>
          <w:sz w:val="24"/>
          <w:szCs w:val="24"/>
          <w:highlight w:val="none"/>
          <w:lang w:val="en-US" w:eastAsia="zh-CN"/>
        </w:rPr>
        <w:t>建设</w:t>
      </w:r>
      <w:r>
        <w:rPr>
          <w:rFonts w:hint="default" w:ascii="Times New Roman" w:hAnsi="Times New Roman" w:cs="Times New Roman"/>
          <w:color w:val="auto"/>
          <w:sz w:val="24"/>
          <w:szCs w:val="24"/>
          <w:highlight w:val="none"/>
          <w:lang w:val="en-US" w:eastAsia="zh-CN"/>
        </w:rPr>
        <w:t>区域内</w:t>
      </w:r>
      <w:r>
        <w:rPr>
          <w:rFonts w:hint="default" w:ascii="Times New Roman" w:hAnsi="Times New Roman" w:cs="Times New Roman"/>
          <w:color w:val="auto"/>
          <w:sz w:val="24"/>
          <w:szCs w:val="24"/>
          <w:highlight w:val="none"/>
        </w:rPr>
        <w:t>地下水环境质量现状良好。</w:t>
      </w:r>
    </w:p>
    <w:p w14:paraId="131B16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（3）本项目运营期内，正常工况下对周边地下水环境影响较小；在事故工况下，</w:t>
      </w:r>
      <w:r>
        <w:rPr>
          <w:rFonts w:hint="eastAsia" w:ascii="Times New Roman" w:hAnsi="Times New Roman" w:cs="Times New Roman"/>
          <w:color w:val="auto"/>
          <w:sz w:val="24"/>
          <w:szCs w:val="24"/>
          <w:highlight w:val="none"/>
          <w:lang w:val="en-US" w:eastAsia="zh-CN"/>
        </w:rPr>
        <w:t>生活</w:t>
      </w:r>
      <w:r>
        <w:rPr>
          <w:rFonts w:hint="default" w:ascii="Times New Roman" w:hAnsi="Times New Roman" w:cs="Times New Roman"/>
          <w:color w:val="auto"/>
          <w:sz w:val="24"/>
          <w:szCs w:val="24"/>
          <w:highlight w:val="none"/>
        </w:rPr>
        <w:t>废水发生意外泄漏时会将会首先受到风化层的阻隔，短时间内难以下渗进入周边地下水环境，对地下水影响程度较低，影响范围也较小，但伴随渗漏时间周期的叠加，废水进入下伏主要含水层的风险也将逐步升高。因此，本项目建设过程中须做好各项防渗措施，严防重点防渗区域因设备故障及防渗工程破损</w:t>
      </w:r>
      <w:r>
        <w:rPr>
          <w:rFonts w:hint="default" w:ascii="Times New Roman" w:hAnsi="Times New Roman" w:cs="Times New Roman"/>
          <w:color w:val="auto"/>
          <w:sz w:val="24"/>
          <w:szCs w:val="24"/>
          <w:highlight w:val="none"/>
          <w:lang w:val="en-US" w:eastAsia="zh-CN"/>
        </w:rPr>
        <w:t>导致的</w:t>
      </w:r>
      <w:r>
        <w:rPr>
          <w:rFonts w:hint="default" w:ascii="Times New Roman" w:hAnsi="Times New Roman" w:cs="Times New Roman"/>
          <w:color w:val="auto"/>
          <w:sz w:val="24"/>
          <w:szCs w:val="24"/>
          <w:highlight w:val="none"/>
        </w:rPr>
        <w:t>意外渗漏</w:t>
      </w:r>
      <w:r>
        <w:rPr>
          <w:rFonts w:hint="default" w:ascii="Times New Roman" w:hAnsi="Times New Roman" w:cs="Times New Roman"/>
          <w:color w:val="auto"/>
          <w:sz w:val="24"/>
          <w:szCs w:val="24"/>
          <w:highlight w:val="none"/>
          <w:lang w:val="en-US" w:eastAsia="zh-CN"/>
        </w:rPr>
        <w:t>事故</w:t>
      </w:r>
      <w:r>
        <w:rPr>
          <w:rFonts w:hint="default" w:ascii="Times New Roman" w:hAnsi="Times New Roman" w:cs="Times New Roman"/>
          <w:color w:val="auto"/>
          <w:sz w:val="24"/>
          <w:szCs w:val="24"/>
          <w:highlight w:val="none"/>
        </w:rPr>
        <w:t>。</w:t>
      </w:r>
    </w:p>
    <w:p w14:paraId="483AA6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zh-CN"/>
        </w:rPr>
      </w:pP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zh-CN"/>
        </w:rPr>
        <w:t>结合现场调查，本项目区所</w:t>
      </w:r>
      <w:r>
        <w:rPr>
          <w:rFonts w:hint="default" w:ascii="Times New Roman" w:hAnsi="Times New Roman" w:cs="Times New Roman"/>
          <w:color w:val="auto"/>
          <w:sz w:val="24"/>
          <w:szCs w:val="24"/>
          <w:highlight w:val="none"/>
        </w:rPr>
        <w:t>在</w:t>
      </w:r>
      <w:r>
        <w:rPr>
          <w:rFonts w:hint="default" w:ascii="Times New Roman" w:hAnsi="Times New Roman" w:cs="Times New Roman"/>
          <w:color w:val="auto"/>
          <w:sz w:val="24"/>
          <w:szCs w:val="24"/>
          <w:highlight w:val="none"/>
          <w:lang w:val="zh-CN"/>
        </w:rPr>
        <w:t>区域</w:t>
      </w:r>
      <w:r>
        <w:rPr>
          <w:rFonts w:hint="default" w:ascii="Times New Roman" w:hAnsi="Times New Roman" w:cs="Times New Roman"/>
          <w:color w:val="auto"/>
          <w:sz w:val="24"/>
          <w:szCs w:val="24"/>
          <w:highlight w:val="none"/>
        </w:rPr>
        <w:t>主要含水层为</w:t>
      </w:r>
      <w:r>
        <w:rPr>
          <w:rFonts w:hint="default" w:ascii="Times New Roman" w:hAnsi="Times New Roman" w:cs="Times New Roman"/>
          <w:color w:val="auto"/>
          <w:sz w:val="24"/>
          <w:szCs w:val="24"/>
          <w:highlight w:val="none"/>
          <w:lang w:val="zh-CN"/>
        </w:rPr>
        <w:t>碳酸盐岩岩溶水含水层</w:t>
      </w:r>
      <w:r>
        <w:rPr>
          <w:rFonts w:hint="default" w:ascii="Times New Roman" w:hAnsi="Times New Roman" w:cs="Times New Roman"/>
          <w:color w:val="auto"/>
          <w:sz w:val="24"/>
          <w:szCs w:val="24"/>
          <w:highlight w:val="none"/>
        </w:rPr>
        <w:t>，覆盖层</w:t>
      </w:r>
      <w:r>
        <w:rPr>
          <w:rFonts w:hint="default" w:ascii="Times New Roman" w:hAnsi="Times New Roman" w:cs="Times New Roman"/>
          <w:color w:val="auto"/>
          <w:sz w:val="24"/>
          <w:szCs w:val="24"/>
          <w:highlight w:val="none"/>
          <w:lang w:val="zh-CN"/>
        </w:rPr>
        <w:t>厚度</w:t>
      </w:r>
      <w:r>
        <w:rPr>
          <w:rFonts w:hint="default" w:ascii="Times New Roman" w:hAnsi="Times New Roman" w:cs="Times New Roman"/>
          <w:color w:val="auto"/>
          <w:sz w:val="24"/>
          <w:szCs w:val="24"/>
          <w:highlight w:val="none"/>
        </w:rPr>
        <w:t>变化较大</w:t>
      </w:r>
      <w:r>
        <w:rPr>
          <w:rFonts w:hint="default" w:ascii="Times New Roman" w:hAnsi="Times New Roman" w:cs="Times New Roman"/>
          <w:color w:val="auto"/>
          <w:sz w:val="24"/>
          <w:szCs w:val="24"/>
          <w:highlight w:val="none"/>
          <w:lang w:val="zh-CN"/>
        </w:rPr>
        <w:t>，</w:t>
      </w:r>
      <w:r>
        <w:rPr>
          <w:rFonts w:hint="default" w:ascii="Times New Roman" w:hAnsi="Times New Roman" w:cs="Times New Roman"/>
          <w:color w:val="auto"/>
          <w:sz w:val="24"/>
          <w:szCs w:val="24"/>
          <w:highlight w:val="none"/>
        </w:rPr>
        <w:t>岩土结构密实</w:t>
      </w:r>
      <w:r>
        <w:rPr>
          <w:rFonts w:hint="default" w:ascii="Times New Roman" w:hAnsi="Times New Roman" w:cs="Times New Roman"/>
          <w:color w:val="auto"/>
          <w:sz w:val="24"/>
          <w:szCs w:val="24"/>
          <w:highlight w:val="none"/>
          <w:lang w:val="zh-CN"/>
        </w:rPr>
        <w:t>，</w:t>
      </w:r>
      <w:r>
        <w:rPr>
          <w:rFonts w:hint="default" w:ascii="Times New Roman" w:hAnsi="Times New Roman" w:cs="Times New Roman"/>
          <w:color w:val="auto"/>
          <w:sz w:val="24"/>
          <w:szCs w:val="24"/>
          <w:highlight w:val="none"/>
          <w:lang w:val="en-US" w:eastAsia="zh-CN"/>
        </w:rPr>
        <w:t>进行夯填改造后将</w:t>
      </w:r>
      <w:r>
        <w:rPr>
          <w:rFonts w:hint="default" w:ascii="Times New Roman" w:hAnsi="Times New Roman" w:cs="Times New Roman"/>
          <w:color w:val="auto"/>
          <w:sz w:val="24"/>
          <w:szCs w:val="24"/>
          <w:highlight w:val="none"/>
        </w:rPr>
        <w:t>具备一定防污防渗性能，</w:t>
      </w:r>
      <w:r>
        <w:rPr>
          <w:rFonts w:hint="default" w:ascii="Times New Roman" w:hAnsi="Times New Roman" w:cs="Times New Roman"/>
          <w:color w:val="auto"/>
          <w:sz w:val="24"/>
          <w:szCs w:val="24"/>
          <w:highlight w:val="none"/>
          <w:lang w:val="zh-CN"/>
        </w:rPr>
        <w:t>项目建设过程中</w:t>
      </w:r>
      <w:r>
        <w:rPr>
          <w:rFonts w:hint="default" w:ascii="Times New Roman" w:hAnsi="Times New Roman" w:cs="Times New Roman"/>
          <w:color w:val="auto"/>
          <w:sz w:val="24"/>
          <w:szCs w:val="24"/>
          <w:highlight w:val="none"/>
        </w:rPr>
        <w:t>应利用好该层岩土特性，同时</w:t>
      </w:r>
      <w:r>
        <w:rPr>
          <w:rFonts w:hint="default" w:ascii="Times New Roman" w:hAnsi="Times New Roman" w:cs="Times New Roman"/>
          <w:color w:val="auto"/>
          <w:sz w:val="24"/>
          <w:szCs w:val="24"/>
          <w:highlight w:val="none"/>
          <w:lang w:val="zh-CN"/>
        </w:rPr>
        <w:t>按照相关规范严格做好分区防渗工作，</w:t>
      </w:r>
      <w:r>
        <w:rPr>
          <w:rFonts w:hint="default" w:ascii="Times New Roman" w:hAnsi="Times New Roman" w:cs="Times New Roman"/>
          <w:color w:val="auto"/>
          <w:sz w:val="24"/>
          <w:szCs w:val="24"/>
          <w:highlight w:val="none"/>
        </w:rPr>
        <w:t>定期开展防渗工程有效性排查和重点防渗区域地基沉降观测，保证防渗工程安全有效运行</w:t>
      </w:r>
      <w:r>
        <w:rPr>
          <w:rFonts w:hint="default" w:ascii="Times New Roman" w:hAnsi="Times New Roman" w:cs="Times New Roman"/>
          <w:color w:val="auto"/>
          <w:sz w:val="24"/>
          <w:szCs w:val="24"/>
          <w:highlight w:val="none"/>
          <w:lang w:val="zh-CN"/>
        </w:rPr>
        <w:t>。</w:t>
      </w:r>
      <w:r>
        <w:rPr>
          <w:rFonts w:hint="default" w:ascii="Times New Roman" w:hAnsi="Times New Roman" w:cs="Times New Roman"/>
          <w:color w:val="auto"/>
          <w:sz w:val="24"/>
          <w:szCs w:val="24"/>
          <w:highlight w:val="none"/>
        </w:rPr>
        <w:t>认真执行本项目地下水监测计划，降低本项目建设和运营对项目区周边地下水环境的影响。</w:t>
      </w:r>
    </w:p>
    <w:p w14:paraId="605D70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lang w:val="zh-CN"/>
        </w:rPr>
        <w:t>本项目区所</w:t>
      </w:r>
      <w:r>
        <w:rPr>
          <w:rFonts w:hint="default" w:ascii="Times New Roman" w:hAnsi="Times New Roman" w:cs="Times New Roman"/>
          <w:color w:val="auto"/>
          <w:sz w:val="24"/>
          <w:szCs w:val="24"/>
          <w:highlight w:val="none"/>
        </w:rPr>
        <w:t>在</w:t>
      </w:r>
      <w:r>
        <w:rPr>
          <w:rFonts w:hint="default" w:ascii="Times New Roman" w:hAnsi="Times New Roman" w:cs="Times New Roman"/>
          <w:color w:val="auto"/>
          <w:sz w:val="24"/>
          <w:szCs w:val="24"/>
          <w:highlight w:val="none"/>
          <w:lang w:val="zh-CN"/>
        </w:rPr>
        <w:t>区域</w:t>
      </w:r>
      <w:r>
        <w:rPr>
          <w:rFonts w:hint="default" w:ascii="Times New Roman" w:hAnsi="Times New Roman" w:cs="Times New Roman"/>
          <w:color w:val="auto"/>
          <w:sz w:val="24"/>
          <w:szCs w:val="24"/>
          <w:highlight w:val="none"/>
        </w:rPr>
        <w:t>主要含水层岩性为</w:t>
      </w:r>
      <w:r>
        <w:rPr>
          <w:rFonts w:hint="default" w:ascii="Times New Roman" w:hAnsi="Times New Roman" w:cs="Times New Roman"/>
          <w:color w:val="auto"/>
          <w:sz w:val="24"/>
          <w:szCs w:val="24"/>
          <w:highlight w:val="none"/>
          <w:lang w:val="zh-CN"/>
        </w:rPr>
        <w:t>碳酸盐岩岩溶水</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浅表</w:t>
      </w:r>
      <w:r>
        <w:rPr>
          <w:rFonts w:hint="default" w:ascii="Times New Roman" w:hAnsi="Times New Roman" w:cs="Times New Roman"/>
          <w:color w:val="auto"/>
          <w:sz w:val="24"/>
          <w:szCs w:val="24"/>
          <w:highlight w:val="none"/>
        </w:rPr>
        <w:t>不存在岩溶、地面沉降和地裂缝等不良地质作用发育，也不存在开采地下水使用的情形，地下水监测井的设置符合《地下水管理条例》（国务院令第748号）的管理规定，项目建设地点的选址符合《地下水管理条例》的选址要求。</w:t>
      </w:r>
    </w:p>
    <w:p w14:paraId="4408D2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color w:val="auto"/>
          <w:sz w:val="24"/>
          <w:szCs w:val="24"/>
          <w:highlight w:val="none"/>
        </w:rPr>
        <w:t>（8）总体来说，只要本项目充分落实分区防渗措施，严格按照防渗等级设计、建设和使用防渗工程，严格按照地下水监测计划对项目区周边地下水开展长期持续的跟踪监测，发现监测数据异常立即查明原因并迅速处置，本项目的建设和运营对地下水环境影响可以接受。</w:t>
      </w:r>
    </w:p>
    <w:p w14:paraId="37C4A705">
      <w:pPr>
        <w:pStyle w:val="9"/>
        <w:keepNext w:val="0"/>
        <w:keepLines w:val="0"/>
        <w:pageBreakBefore w:val="0"/>
        <w:widowControl/>
        <w:kinsoku w:val="0"/>
        <w:wordWrap/>
        <w:overflowPunct/>
        <w:topLinePunct w:val="0"/>
        <w:autoSpaceDE w:val="0"/>
        <w:autoSpaceDN w:val="0"/>
        <w:bidi w:val="0"/>
        <w:adjustRightInd w:val="0"/>
        <w:snapToGrid w:val="0"/>
        <w:spacing w:before="3" w:line="221" w:lineRule="auto"/>
        <w:ind w:left="238"/>
        <w:textAlignment w:val="baseline"/>
        <w:outlineLvl w:val="1"/>
        <w:rPr>
          <w:rFonts w:hint="eastAsia" w:ascii="Times New Roman" w:hAnsi="Times New Roman" w:eastAsia="Times New Roman" w:cs="Times New Roman"/>
          <w:b/>
          <w:bCs/>
          <w:color w:val="auto"/>
          <w:spacing w:val="-3"/>
          <w:sz w:val="30"/>
          <w:szCs w:val="30"/>
          <w:lang w:val="en-US" w:eastAsia="zh-CN"/>
        </w:rPr>
      </w:pPr>
      <w:bookmarkStart w:id="194" w:name="bookmark34"/>
      <w:bookmarkEnd w:id="194"/>
      <w:bookmarkStart w:id="195" w:name="_Toc9210"/>
      <w:r>
        <w:rPr>
          <w:rFonts w:hint="eastAsia" w:ascii="Times New Roman" w:hAnsi="Times New Roman" w:eastAsia="Times New Roman" w:cs="Times New Roman"/>
          <w:b/>
          <w:bCs/>
          <w:color w:val="auto"/>
          <w:spacing w:val="-3"/>
          <w:sz w:val="30"/>
          <w:szCs w:val="30"/>
          <w:lang w:val="en-US" w:eastAsia="zh-CN"/>
        </w:rPr>
        <w:t>4.9.运营期土壤环境影响分析</w:t>
      </w:r>
      <w:bookmarkEnd w:id="195"/>
    </w:p>
    <w:p w14:paraId="46623E7D">
      <w:pPr>
        <w:pStyle w:val="9"/>
        <w:keepNext w:val="0"/>
        <w:keepLines w:val="0"/>
        <w:pageBreakBefore w:val="0"/>
        <w:widowControl/>
        <w:kinsoku/>
        <w:wordWrap/>
        <w:overflowPunct/>
        <w:topLinePunct w:val="0"/>
        <w:autoSpaceDE w:val="0"/>
        <w:autoSpaceDN w:val="0"/>
        <w:bidi w:val="0"/>
        <w:adjustRightInd w:val="0"/>
        <w:snapToGrid w:val="0"/>
        <w:spacing w:before="205" w:line="359" w:lineRule="auto"/>
        <w:ind w:left="21" w:right="23" w:firstLine="480"/>
        <w:jc w:val="both"/>
        <w:textAlignment w:val="baseline"/>
        <w:rPr>
          <w:color w:val="auto"/>
          <w:sz w:val="24"/>
          <w:szCs w:val="24"/>
        </w:rPr>
      </w:pPr>
      <w:r>
        <w:rPr>
          <w:color w:val="auto"/>
          <w:sz w:val="24"/>
          <w:szCs w:val="24"/>
        </w:rPr>
        <w:t>根据《环境影响评价技术导则 土壤环境》（</w:t>
      </w:r>
      <w:r>
        <w:rPr>
          <w:rFonts w:ascii="Times New Roman" w:hAnsi="Times New Roman" w:eastAsia="Times New Roman" w:cs="Times New Roman"/>
          <w:color w:val="auto"/>
          <w:sz w:val="24"/>
          <w:szCs w:val="24"/>
        </w:rPr>
        <w:t>HJ96</w:t>
      </w:r>
      <w:r>
        <w:rPr>
          <w:rFonts w:ascii="Times New Roman" w:hAnsi="Times New Roman" w:eastAsia="Times New Roman" w:cs="Times New Roman"/>
          <w:color w:val="auto"/>
          <w:spacing w:val="-1"/>
          <w:sz w:val="24"/>
          <w:szCs w:val="24"/>
        </w:rPr>
        <w:t>4</w:t>
      </w:r>
      <w:r>
        <w:rPr>
          <w:color w:val="auto"/>
          <w:spacing w:val="-1"/>
          <w:sz w:val="24"/>
          <w:szCs w:val="24"/>
        </w:rPr>
        <w:t>－</w:t>
      </w:r>
      <w:r>
        <w:rPr>
          <w:rFonts w:ascii="Times New Roman" w:hAnsi="Times New Roman" w:eastAsia="Times New Roman" w:cs="Times New Roman"/>
          <w:color w:val="auto"/>
          <w:spacing w:val="-1"/>
          <w:sz w:val="24"/>
          <w:szCs w:val="24"/>
        </w:rPr>
        <w:t>2018</w:t>
      </w:r>
      <w:r>
        <w:rPr>
          <w:color w:val="auto"/>
          <w:spacing w:val="-1"/>
          <w:sz w:val="24"/>
          <w:szCs w:val="24"/>
        </w:rPr>
        <w:t>）附录</w:t>
      </w:r>
      <w:r>
        <w:rPr>
          <w:color w:val="auto"/>
          <w:spacing w:val="-58"/>
          <w:sz w:val="24"/>
          <w:szCs w:val="24"/>
        </w:rPr>
        <w:t xml:space="preserve"> </w:t>
      </w:r>
      <w:r>
        <w:rPr>
          <w:rFonts w:ascii="Times New Roman" w:hAnsi="Times New Roman" w:eastAsia="Times New Roman" w:cs="Times New Roman"/>
          <w:color w:val="auto"/>
          <w:spacing w:val="-1"/>
          <w:sz w:val="24"/>
          <w:szCs w:val="24"/>
        </w:rPr>
        <w:t xml:space="preserve">A </w:t>
      </w:r>
      <w:r>
        <w:rPr>
          <w:color w:val="auto"/>
          <w:spacing w:val="-1"/>
          <w:sz w:val="24"/>
          <w:szCs w:val="24"/>
        </w:rPr>
        <w:t>土壤环</w:t>
      </w:r>
      <w:r>
        <w:rPr>
          <w:color w:val="auto"/>
          <w:spacing w:val="-3"/>
          <w:sz w:val="24"/>
          <w:szCs w:val="24"/>
        </w:rPr>
        <w:t>境影响评价项目类别，项目新建铁路属于交通运输仓储邮政业，铁路项目中除维修场所为</w:t>
      </w:r>
      <w:r>
        <w:rPr>
          <w:rFonts w:ascii="Times New Roman" w:hAnsi="Times New Roman" w:eastAsia="Times New Roman" w:cs="Times New Roman"/>
          <w:color w:val="auto"/>
          <w:spacing w:val="-3"/>
          <w:sz w:val="24"/>
          <w:szCs w:val="24"/>
        </w:rPr>
        <w:t>Ⅲ</w:t>
      </w:r>
      <w:r>
        <w:rPr>
          <w:color w:val="auto"/>
          <w:spacing w:val="-3"/>
          <w:sz w:val="24"/>
          <w:szCs w:val="24"/>
        </w:rPr>
        <w:t>类外，其余均为</w:t>
      </w:r>
      <w:r>
        <w:rPr>
          <w:rFonts w:ascii="Times New Roman" w:hAnsi="Times New Roman" w:eastAsia="Times New Roman" w:cs="Times New Roman"/>
          <w:color w:val="auto"/>
          <w:spacing w:val="-3"/>
          <w:sz w:val="24"/>
          <w:szCs w:val="24"/>
        </w:rPr>
        <w:t>Ⅳ</w:t>
      </w:r>
      <w:r>
        <w:rPr>
          <w:color w:val="auto"/>
          <w:spacing w:val="-3"/>
          <w:sz w:val="24"/>
          <w:szCs w:val="24"/>
        </w:rPr>
        <w:t>类。项目不涉及机车检修等</w:t>
      </w:r>
      <w:r>
        <w:rPr>
          <w:color w:val="auto"/>
          <w:spacing w:val="-4"/>
          <w:sz w:val="24"/>
          <w:szCs w:val="24"/>
        </w:rPr>
        <w:t>工作，本工程属于</w:t>
      </w:r>
      <w:r>
        <w:rPr>
          <w:rFonts w:ascii="Times New Roman" w:hAnsi="Times New Roman" w:eastAsia="Times New Roman" w:cs="Times New Roman"/>
          <w:color w:val="auto"/>
          <w:spacing w:val="-4"/>
          <w:sz w:val="24"/>
          <w:szCs w:val="24"/>
        </w:rPr>
        <w:t>Ⅳ</w:t>
      </w:r>
      <w:r>
        <w:rPr>
          <w:color w:val="auto"/>
          <w:spacing w:val="-4"/>
          <w:sz w:val="24"/>
          <w:szCs w:val="24"/>
        </w:rPr>
        <w:t>类</w:t>
      </w:r>
      <w:r>
        <w:rPr>
          <w:color w:val="auto"/>
          <w:spacing w:val="-1"/>
          <w:sz w:val="24"/>
          <w:szCs w:val="24"/>
        </w:rPr>
        <w:t>建设项目，无需开展土壤环境影响评价。</w:t>
      </w:r>
    </w:p>
    <w:p w14:paraId="28E0589F">
      <w:pPr>
        <w:pStyle w:val="9"/>
        <w:keepNext w:val="0"/>
        <w:keepLines w:val="0"/>
        <w:pageBreakBefore w:val="0"/>
        <w:widowControl/>
        <w:kinsoku/>
        <w:wordWrap/>
        <w:overflowPunct/>
        <w:topLinePunct w:val="0"/>
        <w:autoSpaceDE w:val="0"/>
        <w:autoSpaceDN w:val="0"/>
        <w:bidi w:val="0"/>
        <w:adjustRightInd w:val="0"/>
        <w:snapToGrid w:val="0"/>
        <w:spacing w:before="3" w:line="344" w:lineRule="auto"/>
        <w:ind w:left="20" w:right="23" w:firstLine="481"/>
        <w:jc w:val="both"/>
        <w:textAlignment w:val="baseline"/>
        <w:rPr>
          <w:color w:val="auto"/>
          <w:sz w:val="24"/>
          <w:szCs w:val="24"/>
        </w:rPr>
      </w:pPr>
      <w:r>
        <w:rPr>
          <w:color w:val="auto"/>
          <w:spacing w:val="-3"/>
          <w:sz w:val="24"/>
          <w:szCs w:val="24"/>
        </w:rPr>
        <w:t>本项目选址位于</w:t>
      </w:r>
      <w:r>
        <w:rPr>
          <w:rFonts w:hint="eastAsia" w:eastAsia="宋体"/>
          <w:color w:val="auto"/>
          <w:spacing w:val="-3"/>
          <w:sz w:val="24"/>
          <w:szCs w:val="24"/>
          <w:lang w:eastAsia="zh-CN"/>
        </w:rPr>
        <w:t>曲靖高新技术产业开发区花山片区</w:t>
      </w:r>
      <w:r>
        <w:rPr>
          <w:color w:val="auto"/>
          <w:spacing w:val="-3"/>
          <w:sz w:val="24"/>
          <w:szCs w:val="24"/>
        </w:rPr>
        <w:t>，建设用地属于铁路用</w:t>
      </w:r>
      <w:r>
        <w:rPr>
          <w:color w:val="auto"/>
          <w:spacing w:val="-4"/>
          <w:sz w:val="24"/>
          <w:szCs w:val="24"/>
        </w:rPr>
        <w:t>地及</w:t>
      </w:r>
      <w:r>
        <w:rPr>
          <w:color w:val="auto"/>
          <w:spacing w:val="-3"/>
          <w:sz w:val="24"/>
          <w:szCs w:val="24"/>
        </w:rPr>
        <w:t>仓储物流用地，项目针对各类污染物均采取了对应的污染治理措施，可确保污染物的达标排放，可从源头上控制项目对区域土壤环境的污染源强，确保项目对区域土壤环境的影响处于可接受水平。其次，项目</w:t>
      </w:r>
      <w:r>
        <w:rPr>
          <w:rFonts w:hint="eastAsia" w:eastAsia="宋体"/>
          <w:color w:val="auto"/>
          <w:spacing w:val="-2"/>
          <w:sz w:val="24"/>
          <w:szCs w:val="24"/>
          <w:lang w:val="en-US" w:eastAsia="zh-CN"/>
        </w:rPr>
        <w:t>维修区</w:t>
      </w:r>
      <w:r>
        <w:rPr>
          <w:color w:val="auto"/>
          <w:spacing w:val="-2"/>
          <w:sz w:val="24"/>
          <w:szCs w:val="24"/>
        </w:rPr>
        <w:t>、</w:t>
      </w:r>
      <w:r>
        <w:rPr>
          <w:rFonts w:hint="eastAsia" w:eastAsia="宋体"/>
          <w:color w:val="auto"/>
          <w:spacing w:val="-2"/>
          <w:sz w:val="24"/>
          <w:szCs w:val="24"/>
          <w:lang w:eastAsia="zh-CN"/>
        </w:rPr>
        <w:t>危废暂存间</w:t>
      </w:r>
      <w:r>
        <w:rPr>
          <w:color w:val="auto"/>
          <w:spacing w:val="-2"/>
          <w:sz w:val="24"/>
          <w:szCs w:val="24"/>
        </w:rPr>
        <w:t>、</w:t>
      </w:r>
      <w:r>
        <w:rPr>
          <w:color w:val="auto"/>
          <w:sz w:val="24"/>
          <w:szCs w:val="24"/>
        </w:rPr>
        <w:t>化粪池、</w:t>
      </w:r>
      <w:r>
        <w:rPr>
          <w:rFonts w:hint="eastAsia" w:eastAsia="宋体"/>
          <w:color w:val="auto"/>
          <w:sz w:val="24"/>
          <w:szCs w:val="24"/>
          <w:lang w:val="en-US" w:eastAsia="zh-CN"/>
        </w:rPr>
        <w:t>初期雨水收集池</w:t>
      </w:r>
      <w:r>
        <w:rPr>
          <w:color w:val="auto"/>
          <w:sz w:val="24"/>
          <w:szCs w:val="24"/>
        </w:rPr>
        <w:t>等</w:t>
      </w:r>
      <w:r>
        <w:rPr>
          <w:color w:val="auto"/>
          <w:spacing w:val="-1"/>
          <w:sz w:val="24"/>
          <w:szCs w:val="24"/>
        </w:rPr>
        <w:t>区域按照《环境影响评价技术导则 地下水环境》</w:t>
      </w:r>
      <w:r>
        <w:rPr>
          <w:color w:val="auto"/>
          <w:spacing w:val="-2"/>
          <w:sz w:val="24"/>
          <w:szCs w:val="24"/>
        </w:rPr>
        <w:t>（</w:t>
      </w:r>
      <w:r>
        <w:rPr>
          <w:rFonts w:ascii="Times New Roman" w:hAnsi="Times New Roman" w:eastAsia="Times New Roman" w:cs="Times New Roman"/>
          <w:color w:val="auto"/>
          <w:spacing w:val="-2"/>
          <w:sz w:val="24"/>
          <w:szCs w:val="24"/>
        </w:rPr>
        <w:t>HJ610-2016</w:t>
      </w:r>
      <w:r>
        <w:rPr>
          <w:color w:val="auto"/>
          <w:spacing w:val="-2"/>
          <w:sz w:val="24"/>
          <w:szCs w:val="24"/>
        </w:rPr>
        <w:t>）的防渗要求进行建设，</w:t>
      </w:r>
      <w:r>
        <w:rPr>
          <w:color w:val="auto"/>
          <w:spacing w:val="-3"/>
          <w:sz w:val="24"/>
          <w:szCs w:val="24"/>
        </w:rPr>
        <w:t>加之落实污染防治措施和环境风险应急预</w:t>
      </w:r>
      <w:r>
        <w:rPr>
          <w:color w:val="auto"/>
          <w:spacing w:val="-8"/>
          <w:sz w:val="24"/>
          <w:szCs w:val="24"/>
        </w:rPr>
        <w:t>案防止泄漏发生，可以有效防止跑、冒、滴、漏对厂区土壤环境造成的不利影响，</w:t>
      </w:r>
      <w:r>
        <w:rPr>
          <w:color w:val="auto"/>
          <w:spacing w:val="-1"/>
          <w:sz w:val="24"/>
          <w:szCs w:val="24"/>
        </w:rPr>
        <w:t>本项目运行对土壤环境影响较小。</w:t>
      </w:r>
    </w:p>
    <w:p w14:paraId="05C76430">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1"/>
        <w:rPr>
          <w:rFonts w:hint="eastAsia" w:ascii="Times New Roman" w:hAnsi="Times New Roman" w:eastAsia="Times New Roman" w:cs="Times New Roman"/>
          <w:b/>
          <w:bCs/>
          <w:color w:val="auto"/>
          <w:spacing w:val="-3"/>
          <w:sz w:val="30"/>
          <w:szCs w:val="30"/>
          <w:lang w:val="en-US" w:eastAsia="zh-CN"/>
        </w:rPr>
      </w:pPr>
      <w:bookmarkStart w:id="196" w:name="bookmark35"/>
      <w:bookmarkEnd w:id="196"/>
      <w:bookmarkStart w:id="197" w:name="_Toc8398"/>
      <w:r>
        <w:rPr>
          <w:rFonts w:hint="eastAsia" w:ascii="Times New Roman" w:hAnsi="Times New Roman" w:eastAsia="Times New Roman" w:cs="Times New Roman"/>
          <w:b/>
          <w:bCs/>
          <w:color w:val="auto"/>
          <w:spacing w:val="-3"/>
          <w:sz w:val="30"/>
          <w:szCs w:val="30"/>
          <w:lang w:val="en-US" w:eastAsia="zh-CN"/>
        </w:rPr>
        <w:t>4.10.运营期生态环境影响分析</w:t>
      </w:r>
      <w:bookmarkEnd w:id="197"/>
    </w:p>
    <w:p w14:paraId="77D0B2A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pacing w:val="0"/>
          <w:sz w:val="24"/>
          <w:szCs w:val="24"/>
        </w:rPr>
      </w:pPr>
      <w:r>
        <w:rPr>
          <w:color w:val="auto"/>
          <w:spacing w:val="0"/>
          <w:sz w:val="24"/>
          <w:szCs w:val="24"/>
        </w:rPr>
        <w:t>本项目位于</w:t>
      </w:r>
      <w:r>
        <w:rPr>
          <w:rFonts w:hint="eastAsia"/>
          <w:color w:val="auto"/>
          <w:spacing w:val="0"/>
          <w:sz w:val="24"/>
          <w:szCs w:val="24"/>
          <w:lang w:val="en-US" w:eastAsia="zh-CN"/>
        </w:rPr>
        <w:t>产业园区内</w:t>
      </w:r>
      <w:r>
        <w:rPr>
          <w:color w:val="auto"/>
          <w:spacing w:val="0"/>
          <w:sz w:val="24"/>
          <w:szCs w:val="24"/>
        </w:rPr>
        <w:t>，因人类活动干扰及经济发展的需求，开发程度较大，评价区域已无自然植被，主要为人工植被，不合适大中型野生动物生存，且受人为干扰较大，导致评价区内野生动物的种类和数量均较少。</w:t>
      </w:r>
    </w:p>
    <w:p w14:paraId="62E51B9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pacing w:val="0"/>
          <w:sz w:val="24"/>
          <w:szCs w:val="24"/>
        </w:rPr>
      </w:pPr>
      <w:r>
        <w:rPr>
          <w:color w:val="auto"/>
          <w:spacing w:val="0"/>
          <w:sz w:val="24"/>
          <w:szCs w:val="24"/>
        </w:rPr>
        <w:t>本项目为铁路专线建设项目，营运期不会对植被及植物造成影响，主要影响集中于对评价区域野生动物的影响。主要影响表现为铁路的建设使动物迁移受阻，铁路运行产生的振动及噪声对沿线动物产生的影响</w:t>
      </w:r>
      <w:r>
        <w:rPr>
          <w:rFonts w:hint="eastAsia" w:eastAsia="宋体"/>
          <w:color w:val="auto"/>
          <w:spacing w:val="0"/>
          <w:sz w:val="24"/>
          <w:szCs w:val="24"/>
          <w:lang w:val="en-US" w:eastAsia="zh-CN"/>
        </w:rPr>
        <w:t>以及水土流失的影响</w:t>
      </w:r>
      <w:r>
        <w:rPr>
          <w:color w:val="auto"/>
          <w:spacing w:val="0"/>
          <w:sz w:val="24"/>
          <w:szCs w:val="24"/>
        </w:rPr>
        <w:t>。</w:t>
      </w:r>
    </w:p>
    <w:p w14:paraId="0AFC961F">
      <w:pPr>
        <w:pStyle w:val="9"/>
        <w:keepNext w:val="0"/>
        <w:keepLines w:val="0"/>
        <w:pageBreakBefore w:val="0"/>
        <w:widowControl/>
        <w:kinsoku w:val="0"/>
        <w:wordWrap/>
        <w:overflowPunct/>
        <w:topLinePunct w:val="0"/>
        <w:autoSpaceDE w:val="0"/>
        <w:autoSpaceDN w:val="0"/>
        <w:bidi w:val="0"/>
        <w:adjustRightInd/>
        <w:snapToGrid/>
        <w:spacing w:before="97" w:line="360" w:lineRule="auto"/>
        <w:ind w:left="119"/>
        <w:textAlignment w:val="baseline"/>
        <w:outlineLvl w:val="2"/>
        <w:rPr>
          <w:rFonts w:hint="default" w:ascii="Times New Roman" w:hAnsi="Times New Roman" w:eastAsia="宋体" w:cs="Times New Roman"/>
          <w:b/>
          <w:bCs/>
          <w:color w:val="auto"/>
          <w:spacing w:val="-2"/>
          <w:sz w:val="28"/>
          <w:szCs w:val="28"/>
          <w:lang w:val="en-US" w:eastAsia="zh-CN"/>
        </w:rPr>
      </w:pPr>
      <w:bookmarkStart w:id="198" w:name="_Toc26980"/>
      <w:r>
        <w:rPr>
          <w:rFonts w:hint="eastAsia" w:ascii="Times New Roman" w:hAnsi="Times New Roman" w:eastAsia="宋体" w:cs="Times New Roman"/>
          <w:b/>
          <w:bCs/>
          <w:color w:val="auto"/>
          <w:spacing w:val="-2"/>
          <w:sz w:val="28"/>
          <w:szCs w:val="28"/>
          <w:lang w:val="en-US" w:eastAsia="zh-CN"/>
        </w:rPr>
        <w:t>4.10.1 对于陆生动物的影响</w:t>
      </w:r>
      <w:bookmarkEnd w:id="198"/>
    </w:p>
    <w:p w14:paraId="601761C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pacing w:val="-5"/>
          <w:sz w:val="24"/>
          <w:szCs w:val="24"/>
        </w:rPr>
      </w:pPr>
      <w:r>
        <w:rPr>
          <w:color w:val="auto"/>
          <w:spacing w:val="0"/>
          <w:sz w:val="24"/>
          <w:szCs w:val="24"/>
        </w:rPr>
        <w:t>项目铁路运行对于善于飞行的鸟类而言所产生的阻隔效应不明显。但是对于两栖类、爬行类和哺乳类动物等运动能力较弱的种类，铁路的建设对其将造成一定的障碍。但由于为城市开发区域，现已有四通八达的交通网，阻隔早已存在，</w:t>
      </w:r>
      <w:r>
        <w:rPr>
          <w:color w:val="auto"/>
          <w:spacing w:val="-3"/>
          <w:sz w:val="24"/>
          <w:szCs w:val="24"/>
        </w:rPr>
        <w:t>加之动</w:t>
      </w:r>
      <w:r>
        <w:rPr>
          <w:color w:val="auto"/>
          <w:spacing w:val="-9"/>
          <w:sz w:val="24"/>
          <w:szCs w:val="24"/>
        </w:rPr>
        <w:t>物适应能力较强，因此，本项目运营期对于陆生动物的隔离效</w:t>
      </w:r>
      <w:r>
        <w:rPr>
          <w:color w:val="auto"/>
          <w:spacing w:val="-10"/>
          <w:sz w:val="24"/>
          <w:szCs w:val="24"/>
        </w:rPr>
        <w:t>应较建设前增加不显</w:t>
      </w:r>
      <w:r>
        <w:rPr>
          <w:color w:val="auto"/>
          <w:spacing w:val="-5"/>
          <w:sz w:val="24"/>
          <w:szCs w:val="24"/>
        </w:rPr>
        <w:t>著。</w:t>
      </w:r>
    </w:p>
    <w:p w14:paraId="5F059542">
      <w:pPr>
        <w:keepNext w:val="0"/>
        <w:keepLines w:val="0"/>
        <w:pageBreakBefore w:val="0"/>
        <w:widowControl/>
        <w:kinsoku w:val="0"/>
        <w:wordWrap/>
        <w:overflowPunct/>
        <w:topLinePunct w:val="0"/>
        <w:autoSpaceDE w:val="0"/>
        <w:autoSpaceDN w:val="0"/>
        <w:bidi w:val="0"/>
        <w:adjustRightInd w:val="0"/>
        <w:snapToGrid w:val="0"/>
        <w:spacing w:before="1" w:line="360" w:lineRule="auto"/>
        <w:ind w:left="7" w:firstLine="48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此外，铁路本身及施工中临时设施、临时房屋</w:t>
      </w:r>
      <w:r>
        <w:rPr>
          <w:rFonts w:hint="default" w:ascii="Times New Roman" w:hAnsi="Times New Roman" w:eastAsia="宋体" w:cs="Times New Roman"/>
          <w:color w:val="auto"/>
          <w:spacing w:val="-7"/>
          <w:sz w:val="24"/>
          <w:szCs w:val="24"/>
        </w:rPr>
        <w:t>占用一定的土地；开挖路堑、去土填筑路堤对地表的扰动，施工噪声、</w:t>
      </w:r>
      <w:r>
        <w:rPr>
          <w:rFonts w:hint="default" w:ascii="Times New Roman" w:hAnsi="Times New Roman" w:eastAsia="宋体" w:cs="Times New Roman"/>
          <w:color w:val="auto"/>
          <w:spacing w:val="-2"/>
          <w:sz w:val="24"/>
          <w:szCs w:val="24"/>
        </w:rPr>
        <w:t>振动影响，对动物生境也有一定的破坏作用。</w:t>
      </w:r>
    </w:p>
    <w:p w14:paraId="15F86FCF">
      <w:pPr>
        <w:spacing w:line="369" w:lineRule="auto"/>
        <w:ind w:left="8" w:right="98" w:firstLine="509"/>
        <w:jc w:val="both"/>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1"/>
          <w:sz w:val="24"/>
          <w:szCs w:val="24"/>
        </w:rPr>
        <w:t>由于项目区域动物资源以常见种为主，</w:t>
      </w:r>
      <w:r>
        <w:rPr>
          <w:rFonts w:hint="eastAsia" w:ascii="Times New Roman" w:hAnsi="Times New Roman" w:eastAsia="宋体" w:cs="Times New Roman"/>
          <w:color w:val="auto"/>
          <w:spacing w:val="1"/>
          <w:sz w:val="24"/>
          <w:szCs w:val="24"/>
          <w:lang w:val="en-US" w:eastAsia="zh-CN"/>
        </w:rPr>
        <w:t>未见</w:t>
      </w:r>
      <w:r>
        <w:rPr>
          <w:rFonts w:hint="default" w:ascii="Times New Roman" w:hAnsi="Times New Roman" w:eastAsia="宋体" w:cs="Times New Roman"/>
          <w:color w:val="auto"/>
          <w:spacing w:val="1"/>
          <w:sz w:val="24"/>
          <w:szCs w:val="24"/>
        </w:rPr>
        <w:t>列入国家重点</w:t>
      </w:r>
      <w:r>
        <w:rPr>
          <w:rFonts w:hint="default" w:ascii="Times New Roman" w:hAnsi="Times New Roman" w:eastAsia="宋体" w:cs="Times New Roman"/>
          <w:color w:val="auto"/>
          <w:sz w:val="24"/>
          <w:szCs w:val="24"/>
        </w:rPr>
        <w:t>保护野生动物名录的物种存在，也不涉及固定的动物迁徙路线，综上所述，</w:t>
      </w:r>
      <w:r>
        <w:rPr>
          <w:rFonts w:hint="default" w:ascii="Times New Roman" w:hAnsi="Times New Roman" w:eastAsia="宋体" w:cs="Times New Roman"/>
          <w:color w:val="auto"/>
          <w:spacing w:val="-3"/>
          <w:sz w:val="24"/>
          <w:szCs w:val="24"/>
        </w:rPr>
        <w:t>本工程的建设对上述野生动物影响不大。</w:t>
      </w:r>
    </w:p>
    <w:p w14:paraId="4E7A99EA">
      <w:pPr>
        <w:keepNext w:val="0"/>
        <w:keepLines w:val="0"/>
        <w:pageBreakBefore w:val="0"/>
        <w:widowControl/>
        <w:kinsoku/>
        <w:wordWrap/>
        <w:overflowPunct/>
        <w:topLinePunct w:val="0"/>
        <w:autoSpaceDE w:val="0"/>
        <w:autoSpaceDN w:val="0"/>
        <w:bidi w:val="0"/>
        <w:adjustRightInd w:val="0"/>
        <w:snapToGrid w:val="0"/>
        <w:spacing w:line="370" w:lineRule="auto"/>
        <w:ind w:left="6" w:right="96" w:firstLine="510"/>
        <w:jc w:val="both"/>
        <w:textAlignment w:val="baseline"/>
        <w:rPr>
          <w:rFonts w:hint="eastAsia" w:ascii="Times New Roman" w:hAnsi="Times New Roman" w:eastAsia="宋体" w:cs="Times New Roman"/>
          <w:color w:val="auto"/>
          <w:spacing w:val="1"/>
          <w:sz w:val="24"/>
          <w:szCs w:val="24"/>
          <w:lang w:val="en-US" w:eastAsia="zh-CN"/>
        </w:rPr>
      </w:pPr>
      <w:r>
        <w:rPr>
          <w:rFonts w:hint="default" w:ascii="Times New Roman" w:hAnsi="Times New Roman" w:eastAsia="宋体" w:cs="Times New Roman"/>
          <w:color w:val="auto"/>
          <w:spacing w:val="1"/>
          <w:sz w:val="24"/>
          <w:szCs w:val="24"/>
        </w:rPr>
        <w:t>总之，该项目的建设实施主要在人类已经开发的土地区域，在这里栖息的均为小型动物，它们对人类的干扰已相对适应。所以噪声和尾气对当地野生动物的不良影响将是不显著，不会造成动物种类的灭绝，也不会使动物在这一区域绝迹。不利的影响也可以通过采取有针对性的措施而加以减缓、消除。因此，项目建设对当地动植物影响很小。</w:t>
      </w:r>
    </w:p>
    <w:p w14:paraId="25707EEB">
      <w:pPr>
        <w:pStyle w:val="9"/>
        <w:keepNext w:val="0"/>
        <w:keepLines w:val="0"/>
        <w:pageBreakBefore w:val="0"/>
        <w:widowControl/>
        <w:kinsoku w:val="0"/>
        <w:wordWrap/>
        <w:overflowPunct/>
        <w:topLinePunct w:val="0"/>
        <w:autoSpaceDE w:val="0"/>
        <w:autoSpaceDN w:val="0"/>
        <w:bidi w:val="0"/>
        <w:adjustRightInd/>
        <w:snapToGrid/>
        <w:spacing w:before="97" w:line="360" w:lineRule="auto"/>
        <w:ind w:left="119"/>
        <w:textAlignment w:val="baseline"/>
        <w:outlineLvl w:val="2"/>
        <w:rPr>
          <w:rFonts w:hint="eastAsia" w:ascii="Times New Roman" w:hAnsi="Times New Roman" w:eastAsia="宋体" w:cs="Times New Roman"/>
          <w:b/>
          <w:bCs/>
          <w:color w:val="auto"/>
          <w:spacing w:val="-2"/>
          <w:sz w:val="28"/>
          <w:szCs w:val="28"/>
          <w:lang w:val="en-US" w:eastAsia="zh-CN"/>
        </w:rPr>
      </w:pPr>
      <w:bookmarkStart w:id="199" w:name="_Toc28830"/>
      <w:r>
        <w:rPr>
          <w:rFonts w:hint="eastAsia" w:ascii="Times New Roman" w:hAnsi="Times New Roman" w:eastAsia="宋体" w:cs="Times New Roman"/>
          <w:b/>
          <w:bCs/>
          <w:color w:val="auto"/>
          <w:spacing w:val="-2"/>
          <w:sz w:val="28"/>
          <w:szCs w:val="28"/>
          <w:lang w:val="en-US" w:eastAsia="zh-CN"/>
        </w:rPr>
        <w:t>4.10.2 对于植被的影响</w:t>
      </w:r>
      <w:bookmarkEnd w:id="199"/>
    </w:p>
    <w:p w14:paraId="3C565C8F">
      <w:pPr>
        <w:pStyle w:val="9"/>
        <w:spacing w:line="359" w:lineRule="auto"/>
        <w:ind w:left="22" w:right="171" w:firstLine="466"/>
        <w:jc w:val="both"/>
        <w:rPr>
          <w:color w:val="auto"/>
          <w:sz w:val="24"/>
          <w:szCs w:val="24"/>
        </w:rPr>
      </w:pPr>
      <w:r>
        <w:rPr>
          <w:color w:val="auto"/>
          <w:spacing w:val="-9"/>
          <w:sz w:val="24"/>
          <w:szCs w:val="24"/>
        </w:rPr>
        <w:t>项目所在区域均为人工植被，铁路运行过程中</w:t>
      </w:r>
      <w:r>
        <w:rPr>
          <w:color w:val="auto"/>
          <w:spacing w:val="-10"/>
          <w:sz w:val="24"/>
          <w:szCs w:val="24"/>
        </w:rPr>
        <w:t>产生的振动及噪声对于周边栖息</w:t>
      </w:r>
      <w:r>
        <w:rPr>
          <w:color w:val="auto"/>
          <w:spacing w:val="-9"/>
          <w:sz w:val="24"/>
          <w:szCs w:val="24"/>
        </w:rPr>
        <w:t>的鸟类有一定的影响，会造成动物远离铁路，导致可利用的生境面</w:t>
      </w:r>
      <w:r>
        <w:rPr>
          <w:color w:val="auto"/>
          <w:spacing w:val="-10"/>
          <w:sz w:val="24"/>
          <w:szCs w:val="24"/>
        </w:rPr>
        <w:t>积下降等。考虑</w:t>
      </w:r>
      <w:r>
        <w:rPr>
          <w:color w:val="auto"/>
          <w:spacing w:val="-9"/>
          <w:sz w:val="24"/>
          <w:szCs w:val="24"/>
        </w:rPr>
        <w:t>到动物具有主动回避干扰的习性，对铁路列车经过一段时间</w:t>
      </w:r>
      <w:r>
        <w:rPr>
          <w:color w:val="auto"/>
          <w:spacing w:val="-10"/>
          <w:sz w:val="24"/>
          <w:szCs w:val="24"/>
        </w:rPr>
        <w:t>的适应后会进一步习惯</w:t>
      </w:r>
      <w:r>
        <w:rPr>
          <w:color w:val="auto"/>
          <w:spacing w:val="-8"/>
          <w:sz w:val="24"/>
          <w:szCs w:val="24"/>
        </w:rPr>
        <w:t>化。因此，本项目运营期交通噪声对陆生动物的影响不大。</w:t>
      </w:r>
    </w:p>
    <w:p w14:paraId="7468A7C0">
      <w:pPr>
        <w:pStyle w:val="9"/>
        <w:keepNext w:val="0"/>
        <w:keepLines w:val="0"/>
        <w:pageBreakBefore w:val="0"/>
        <w:widowControl/>
        <w:kinsoku w:val="0"/>
        <w:wordWrap/>
        <w:overflowPunct/>
        <w:topLinePunct w:val="0"/>
        <w:autoSpaceDE w:val="0"/>
        <w:autoSpaceDN w:val="0"/>
        <w:bidi w:val="0"/>
        <w:adjustRightInd/>
        <w:snapToGrid/>
        <w:spacing w:line="360" w:lineRule="auto"/>
        <w:ind w:left="125"/>
        <w:textAlignment w:val="baseline"/>
        <w:outlineLvl w:val="2"/>
        <w:rPr>
          <w:rFonts w:hint="default" w:ascii="Times New Roman" w:hAnsi="Times New Roman" w:eastAsia="宋体" w:cs="Times New Roman"/>
          <w:b/>
          <w:bCs/>
          <w:color w:val="auto"/>
          <w:spacing w:val="-2"/>
          <w:sz w:val="28"/>
          <w:szCs w:val="28"/>
          <w:lang w:val="en-US" w:eastAsia="zh-CN"/>
        </w:rPr>
      </w:pPr>
      <w:bookmarkStart w:id="200" w:name="bookmark36"/>
      <w:bookmarkEnd w:id="200"/>
      <w:bookmarkStart w:id="201" w:name="_Toc7535"/>
      <w:r>
        <w:rPr>
          <w:rFonts w:hint="eastAsia" w:ascii="Times New Roman" w:hAnsi="Times New Roman" w:eastAsia="宋体" w:cs="Times New Roman"/>
          <w:b/>
          <w:bCs/>
          <w:color w:val="auto"/>
          <w:spacing w:val="-2"/>
          <w:sz w:val="28"/>
          <w:szCs w:val="28"/>
          <w:lang w:val="en-US" w:eastAsia="zh-CN"/>
        </w:rPr>
        <w:t>4.10.3</w:t>
      </w:r>
      <w:r>
        <w:rPr>
          <w:rFonts w:hint="eastAsia" w:ascii="Times New Roman" w:hAnsi="Times New Roman" w:eastAsia="Times New Roman" w:cs="Times New Roman"/>
          <w:b/>
          <w:bCs/>
          <w:color w:val="auto"/>
          <w:spacing w:val="-3"/>
          <w:sz w:val="30"/>
          <w:szCs w:val="30"/>
          <w:lang w:val="en-US" w:eastAsia="zh-CN"/>
        </w:rPr>
        <w:t>水土保持影响分析</w:t>
      </w:r>
      <w:bookmarkEnd w:id="201"/>
    </w:p>
    <w:p w14:paraId="5C49EF31">
      <w:pPr>
        <w:keepNext w:val="0"/>
        <w:keepLines w:val="0"/>
        <w:pageBreakBefore w:val="0"/>
        <w:widowControl/>
        <w:kinsoku w:val="0"/>
        <w:wordWrap/>
        <w:overflowPunct/>
        <w:topLinePunct w:val="0"/>
        <w:autoSpaceDE w:val="0"/>
        <w:autoSpaceDN w:val="0"/>
        <w:bidi w:val="0"/>
        <w:adjustRightInd w:val="0"/>
        <w:snapToGrid w:val="0"/>
        <w:spacing w:before="1" w:line="360" w:lineRule="auto"/>
        <w:ind w:left="7" w:firstLine="480"/>
        <w:jc w:val="both"/>
        <w:textAlignment w:val="baseline"/>
        <w:rPr>
          <w:rFonts w:hint="eastAsia" w:ascii="Times New Roman" w:hAnsi="Times New Roman" w:eastAsia="宋体" w:cs="Times New Roman"/>
          <w:color w:val="auto"/>
          <w:spacing w:val="1"/>
          <w:sz w:val="24"/>
          <w:szCs w:val="24"/>
          <w:lang w:val="en-US" w:eastAsia="zh-CN"/>
        </w:rPr>
      </w:pPr>
      <w:bookmarkStart w:id="202" w:name="_Toc8666"/>
      <w:bookmarkStart w:id="203" w:name="_Toc25483"/>
      <w:r>
        <w:rPr>
          <w:rFonts w:hint="eastAsia" w:ascii="Times New Roman" w:hAnsi="Times New Roman" w:eastAsia="宋体" w:cs="Times New Roman"/>
          <w:color w:val="auto"/>
          <w:spacing w:val="1"/>
          <w:sz w:val="24"/>
          <w:szCs w:val="24"/>
          <w:lang w:val="en-US" w:eastAsia="zh-CN"/>
        </w:rPr>
        <w:t>根据建设单位提供《云南曲煤焦化实业发展有限公司集装箱堆场提质改造项目水土保持方案报告书》，该报告书处于编制待审批阶段，方案已最终批复内容为准。本项目水土保持方案符合国家及地方相关水土保持法律法规要求，通过实施各项水土保持措施，可有效控制项目建设过程中的水土流失，达到水土流失防治目标，从水土保持角度分析，项目建设是可行的。</w:t>
      </w:r>
    </w:p>
    <w:p w14:paraId="1400F7F5">
      <w:pPr>
        <w:pStyle w:val="9"/>
        <w:keepNext w:val="0"/>
        <w:keepLines w:val="0"/>
        <w:pageBreakBefore w:val="0"/>
        <w:widowControl/>
        <w:kinsoku w:val="0"/>
        <w:wordWrap/>
        <w:overflowPunct/>
        <w:topLinePunct w:val="0"/>
        <w:autoSpaceDE w:val="0"/>
        <w:autoSpaceDN w:val="0"/>
        <w:bidi w:val="0"/>
        <w:adjustRightInd/>
        <w:snapToGrid/>
        <w:spacing w:line="360" w:lineRule="auto"/>
        <w:ind w:left="122"/>
        <w:textAlignment w:val="baseline"/>
        <w:outlineLvl w:val="3"/>
        <w:rPr>
          <w:rFonts w:hint="eastAsia" w:ascii="Times New Roman" w:hAnsi="Times New Roman" w:eastAsia="宋体" w:cs="Times New Roman"/>
          <w:b/>
          <w:bCs/>
          <w:color w:val="auto"/>
          <w:spacing w:val="-2"/>
          <w:sz w:val="28"/>
          <w:szCs w:val="28"/>
          <w:lang w:val="en-US" w:eastAsia="zh-CN"/>
        </w:rPr>
      </w:pPr>
      <w:r>
        <w:rPr>
          <w:rFonts w:hint="eastAsia" w:ascii="Times New Roman" w:hAnsi="Times New Roman" w:eastAsia="宋体" w:cs="Times New Roman"/>
          <w:b/>
          <w:bCs/>
          <w:color w:val="auto"/>
          <w:spacing w:val="-2"/>
          <w:sz w:val="28"/>
          <w:szCs w:val="28"/>
          <w:lang w:val="en-US" w:eastAsia="zh-CN"/>
        </w:rPr>
        <w:t>4.10.3.1水土保持评价</w:t>
      </w:r>
    </w:p>
    <w:p w14:paraId="2C67146B">
      <w:pPr>
        <w:pStyle w:val="9"/>
        <w:keepNext w:val="0"/>
        <w:keepLines w:val="0"/>
        <w:pageBreakBefore w:val="0"/>
        <w:widowControl/>
        <w:kinsoku w:val="0"/>
        <w:wordWrap/>
        <w:overflowPunct/>
        <w:topLinePunct w:val="0"/>
        <w:autoSpaceDE w:val="0"/>
        <w:autoSpaceDN w:val="0"/>
        <w:bidi w:val="0"/>
        <w:adjustRightInd/>
        <w:snapToGrid/>
        <w:spacing w:line="360" w:lineRule="auto"/>
        <w:ind w:left="125"/>
        <w:textAlignment w:val="baseline"/>
        <w:outlineLvl w:val="9"/>
        <w:rPr>
          <w:rFonts w:hint="eastAsia" w:ascii="Times New Roman" w:hAnsi="Times New Roman" w:eastAsia="宋体" w:cs="Times New Roman"/>
          <w:b/>
          <w:bCs/>
          <w:color w:val="auto"/>
          <w:spacing w:val="-2"/>
          <w:sz w:val="24"/>
          <w:szCs w:val="24"/>
          <w:lang w:val="en-US" w:eastAsia="zh-CN"/>
        </w:rPr>
      </w:pPr>
      <w:r>
        <w:rPr>
          <w:rFonts w:hint="eastAsia" w:ascii="Times New Roman" w:hAnsi="Times New Roman" w:eastAsia="宋体" w:cs="Times New Roman"/>
          <w:b/>
          <w:bCs/>
          <w:color w:val="auto"/>
          <w:spacing w:val="-2"/>
          <w:sz w:val="24"/>
          <w:szCs w:val="24"/>
          <w:lang w:val="en-US" w:eastAsia="zh-CN"/>
        </w:rPr>
        <w:t>1、项目选址水土保持评价</w:t>
      </w:r>
    </w:p>
    <w:p w14:paraId="4295ADA3">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本项目选址位于曲靖市高新技术产业开发区花山片区，用地为原云南沾益化肥厂空地，不存在水土保持制约因素：</w:t>
      </w:r>
    </w:p>
    <w:p w14:paraId="4C482EAB">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1、项目区周边无生态脆弱区、泥石流易发区等易引起严重水土流失和生态恶化的区域；</w:t>
      </w:r>
    </w:p>
    <w:p w14:paraId="057ED191">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2、项目所在地沾益区属于“滇黔桂岩溶石漠化国家级水土流失重点治理区”，水土流失防治执行建设类项目一级标准；</w:t>
      </w:r>
    </w:p>
    <w:p w14:paraId="6E6E7E75">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3、项目用地为工业建设用地，不占用基本农田、生态保护红线等敏感区域；</w:t>
      </w:r>
    </w:p>
    <w:p w14:paraId="7397934C">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4、选址符合国家产业政策及区域总体规划，与《中华人民共和国水土保持法》相关规定相符。</w:t>
      </w:r>
    </w:p>
    <w:p w14:paraId="20DE2F39">
      <w:pPr>
        <w:pStyle w:val="9"/>
        <w:keepNext w:val="0"/>
        <w:keepLines w:val="0"/>
        <w:pageBreakBefore w:val="0"/>
        <w:widowControl/>
        <w:kinsoku w:val="0"/>
        <w:wordWrap/>
        <w:overflowPunct/>
        <w:topLinePunct w:val="0"/>
        <w:autoSpaceDE w:val="0"/>
        <w:autoSpaceDN w:val="0"/>
        <w:bidi w:val="0"/>
        <w:adjustRightInd/>
        <w:snapToGrid/>
        <w:spacing w:line="360" w:lineRule="auto"/>
        <w:ind w:left="125"/>
        <w:textAlignment w:val="baseline"/>
        <w:outlineLvl w:val="9"/>
        <w:rPr>
          <w:rFonts w:hint="eastAsia" w:ascii="Times New Roman" w:hAnsi="Times New Roman" w:eastAsia="宋体" w:cs="Times New Roman"/>
          <w:b/>
          <w:bCs/>
          <w:color w:val="auto"/>
          <w:spacing w:val="-2"/>
          <w:sz w:val="28"/>
          <w:szCs w:val="28"/>
          <w:lang w:val="en-US" w:eastAsia="zh-CN"/>
        </w:rPr>
      </w:pPr>
      <w:r>
        <w:rPr>
          <w:rFonts w:hint="eastAsia" w:ascii="Times New Roman" w:hAnsi="Times New Roman" w:eastAsia="宋体" w:cs="Times New Roman"/>
          <w:b/>
          <w:bCs/>
          <w:color w:val="auto"/>
          <w:spacing w:val="-2"/>
          <w:sz w:val="28"/>
          <w:szCs w:val="28"/>
          <w:lang w:val="en-US" w:eastAsia="zh-CN"/>
        </w:rPr>
        <w:t>2、建设方案水土保持评价</w:t>
      </w:r>
    </w:p>
    <w:p w14:paraId="4CCC127C">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1、项目总布置紧凑，充分利用原有场地条件，减少了土石方开挖量和地表扰动范围；</w:t>
      </w:r>
    </w:p>
    <w:p w14:paraId="2BF7C125">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2、施工场地、材料堆放区均布置在项目用地范围内，不新增临时占地，减少对周边地表的扰动；</w:t>
      </w:r>
    </w:p>
    <w:p w14:paraId="2D89B858">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3、施工营地依托厂区现有生活设施，避免新增临时建设和占地；</w:t>
      </w:r>
    </w:p>
    <w:p w14:paraId="332D0292">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4、项目建成后大部分区域为硬化地面，可有效减少水土流失。</w:t>
      </w:r>
    </w:p>
    <w:p w14:paraId="0B267B95">
      <w:pPr>
        <w:pStyle w:val="9"/>
        <w:keepNext w:val="0"/>
        <w:keepLines w:val="0"/>
        <w:pageBreakBefore w:val="0"/>
        <w:widowControl/>
        <w:kinsoku w:val="0"/>
        <w:wordWrap/>
        <w:overflowPunct/>
        <w:topLinePunct w:val="0"/>
        <w:autoSpaceDE w:val="0"/>
        <w:autoSpaceDN w:val="0"/>
        <w:bidi w:val="0"/>
        <w:adjustRightInd/>
        <w:snapToGrid/>
        <w:spacing w:line="360" w:lineRule="auto"/>
        <w:ind w:left="119"/>
        <w:textAlignment w:val="baseline"/>
        <w:outlineLvl w:val="3"/>
        <w:rPr>
          <w:rFonts w:hint="eastAsia" w:ascii="Times New Roman" w:hAnsi="Times New Roman" w:eastAsia="宋体" w:cs="Times New Roman"/>
          <w:b/>
          <w:bCs/>
          <w:color w:val="auto"/>
          <w:spacing w:val="-2"/>
          <w:sz w:val="28"/>
          <w:szCs w:val="28"/>
          <w:lang w:val="en-US" w:eastAsia="zh-CN"/>
        </w:rPr>
      </w:pPr>
      <w:r>
        <w:rPr>
          <w:rFonts w:hint="eastAsia" w:ascii="Times New Roman" w:hAnsi="Times New Roman" w:eastAsia="宋体" w:cs="Times New Roman"/>
          <w:b/>
          <w:bCs/>
          <w:color w:val="auto"/>
          <w:spacing w:val="-2"/>
          <w:sz w:val="28"/>
          <w:szCs w:val="28"/>
          <w:lang w:val="en-US" w:eastAsia="zh-CN"/>
        </w:rPr>
        <w:t>4.10.3.2水土流失防治目标</w:t>
      </w:r>
    </w:p>
    <w:p w14:paraId="53B17D82">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根据《生产建设项目水土流失防治标准》（GB/T50434-2018），本项目执行西南岩溶区建设类一级防治标准，结合项目特点确定防治目标如下：</w:t>
      </w:r>
    </w:p>
    <w:p w14:paraId="4A9CFF47">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1、水土流失治理度≥97%</w:t>
      </w:r>
    </w:p>
    <w:p w14:paraId="6E580F89">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2、土壤流失控制比≥1.0</w:t>
      </w:r>
    </w:p>
    <w:p w14:paraId="08409400">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3、渣土防护率≥95%</w:t>
      </w:r>
    </w:p>
    <w:p w14:paraId="524C06E9">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4、本项目为工业堆场改造项目，场地全部硬化，不涉及表土保护及林草植被建设，表土保护率、林草植被恢复率、林草覆盖率不做要求。</w:t>
      </w:r>
    </w:p>
    <w:p w14:paraId="57812EA5">
      <w:pPr>
        <w:pStyle w:val="9"/>
        <w:keepNext w:val="0"/>
        <w:keepLines w:val="0"/>
        <w:pageBreakBefore w:val="0"/>
        <w:widowControl/>
        <w:kinsoku w:val="0"/>
        <w:wordWrap/>
        <w:overflowPunct/>
        <w:topLinePunct w:val="0"/>
        <w:autoSpaceDE w:val="0"/>
        <w:autoSpaceDN w:val="0"/>
        <w:bidi w:val="0"/>
        <w:adjustRightInd/>
        <w:snapToGrid/>
        <w:spacing w:line="360" w:lineRule="auto"/>
        <w:ind w:left="119"/>
        <w:textAlignment w:val="baseline"/>
        <w:outlineLvl w:val="3"/>
        <w:rPr>
          <w:rFonts w:hint="eastAsia" w:ascii="Times New Roman" w:hAnsi="Times New Roman" w:eastAsia="宋体" w:cs="Times New Roman"/>
          <w:b/>
          <w:bCs/>
          <w:color w:val="auto"/>
          <w:spacing w:val="-2"/>
          <w:sz w:val="28"/>
          <w:szCs w:val="28"/>
          <w:lang w:val="en-US" w:eastAsia="zh-CN"/>
        </w:rPr>
      </w:pPr>
      <w:r>
        <w:rPr>
          <w:rFonts w:hint="eastAsia" w:ascii="Times New Roman" w:hAnsi="Times New Roman" w:eastAsia="宋体" w:cs="Times New Roman"/>
          <w:b/>
          <w:bCs/>
          <w:color w:val="auto"/>
          <w:spacing w:val="-2"/>
          <w:sz w:val="28"/>
          <w:szCs w:val="28"/>
          <w:lang w:val="en-US" w:eastAsia="zh-CN"/>
        </w:rPr>
        <w:t>4.10.3.3水土保持措施布设</w:t>
      </w:r>
    </w:p>
    <w:p w14:paraId="6AD9D4D3">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1、主体工程已有水土保持功能措施</w:t>
      </w:r>
    </w:p>
    <w:p w14:paraId="2A3B7540">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主体工程设计中已考虑的具有水土保持功能的措施包括：</w:t>
      </w:r>
    </w:p>
    <w:p w14:paraId="66491A70">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①堆场及道路硬化：总面积约5.2万m²，可有效防止地表径流冲刷，减少土壤流失；</w:t>
      </w:r>
    </w:p>
    <w:p w14:paraId="6AE01CCB">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②永久排水沟：沿堆场及道路周边设置，总长约1200m，采用钢筋混凝土矩形断面，尺寸0.6m×0.6m，可有效收集和排放场地雨水。</w:t>
      </w:r>
    </w:p>
    <w:p w14:paraId="60530C28">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③硬化区域抗冲刷及裂缝防护设计：针对集装箱堆场重载作业、重型车辆高频通行特点，堆场及道路硬化采用”40cm厚C45混凝土面层+1cm沥青封层+50cm水稳层 +20cm厚级配碎石基层”结构，混凝土原浆收官，接缝处设置胀缝板及施工缝提高抗冲刷能力；日常运营中每季度排查1次硬化面裂缝情况，宽度小于2mm用沥青油膏灌缝处理，防止雨水渗入造成基层冲刷破坏。</w:t>
      </w:r>
    </w:p>
    <w:p w14:paraId="0137B7B4">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2、方案新增水土保持措施</w:t>
      </w:r>
    </w:p>
    <w:p w14:paraId="0E95BE2E">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①工程措施补充：针对项目临近东干渠的区位特点，在现有永久排水沟末端增设两级串联沉砂池，每级沉砂池尺寸为6m×3m×1.8m，前端设置孔径5cm的拦污栅，末端设置溢流式出水堰，沉砂池内泥沙淤积厚度达到30cm时及时清掏，确保雨水经沉淀处理后再排入下游水体，避免泥沙进入东干渠。</w:t>
      </w:r>
    </w:p>
    <w:p w14:paraId="6D2F2F77">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②裸露地表覆盖：施工期对堆场、道路等区域的裸露地表采用无纺布覆盖，覆盖面积约6.5hm²，防止雨季雨水冲刷造成水土流失。</w:t>
      </w:r>
    </w:p>
    <w:p w14:paraId="1ACF6186">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③临时排水沟：施工期沿施工区域周边设置临时排水沟，总长约1200m，采用梯形断面，底宽0.3m，深0.4m，边坡1:0.5，开挖土方约240m³，雨水经临时排水沟汇入沉砂池处理后排放。</w:t>
      </w:r>
    </w:p>
    <w:p w14:paraId="10664623">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④临时沉砂池：在临时排水沟末端设置临时沉砂池3口，每口尺寸为5m×2m×1.5m，采用粘土砖砌筑，总土方开挖量45m³，砖砌体21m³，抹面39m²，对雨水携带的泥沙进行沉淀处理，防止泥沙进入周边管网和水体。</w:t>
      </w:r>
    </w:p>
    <w:p w14:paraId="463C2A61">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⑤车辆清洁池：在项目出入口设置车辆清洁池1座，尺寸为6m×4m，采用C20混凝土浇筑，配置高压冲洗设备1套，对出场车辆进行清洗，防止车辆带泥上路，污染周边道路。</w:t>
      </w:r>
    </w:p>
    <w:p w14:paraId="265839A0">
      <w:pPr>
        <w:keepNext w:val="0"/>
        <w:keepLines w:val="0"/>
        <w:pageBreakBefore w:val="0"/>
        <w:widowControl/>
        <w:kinsoku/>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⑥临时措施施工时序要求：施工准备期优先完成临时排水沟、沉砂池及车辆清洁池建设，再开展场地平整、基础开挖等作业；主体工程硬化施工完成后，逐步拆除临时防护措施，拆除过程中产生的建筑垃圾及时清运，严禁随意堆放。</w:t>
      </w:r>
    </w:p>
    <w:p w14:paraId="5BC799FD">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⑦雨季施工专项防护预案：雨季施工前提前储备无纺布、沙袋等应急防护物资，对已开挖的基坑、沟槽采用沙袋围挡边坡，裸露地表提前覆盖无纺布；降雨过程中安排专人24小时巡查临时排水系统通畅情况，及时清理排水沟内堵塞的杂物，发现积水、溃堤风险立即采取疏浚、加固措施；雨后及时排查边坡稳定情况，对被冲刷破坏的临时防护设施第一时间修复，对淤积的沉砂池及时清掏。</w:t>
      </w:r>
    </w:p>
    <w:p w14:paraId="6683C35D">
      <w:pPr>
        <w:pStyle w:val="9"/>
        <w:keepNext w:val="0"/>
        <w:keepLines w:val="0"/>
        <w:pageBreakBefore w:val="0"/>
        <w:widowControl/>
        <w:kinsoku w:val="0"/>
        <w:wordWrap/>
        <w:overflowPunct/>
        <w:topLinePunct w:val="0"/>
        <w:autoSpaceDE w:val="0"/>
        <w:autoSpaceDN w:val="0"/>
        <w:bidi w:val="0"/>
        <w:adjustRightInd/>
        <w:snapToGrid/>
        <w:spacing w:line="360" w:lineRule="auto"/>
        <w:ind w:left="119"/>
        <w:textAlignment w:val="baseline"/>
        <w:outlineLvl w:val="3"/>
        <w:rPr>
          <w:rFonts w:hint="eastAsia" w:ascii="Times New Roman" w:hAnsi="Times New Roman" w:eastAsia="宋体" w:cs="Times New Roman"/>
          <w:b/>
          <w:bCs/>
          <w:color w:val="auto"/>
          <w:spacing w:val="-2"/>
          <w:sz w:val="28"/>
          <w:szCs w:val="28"/>
          <w:lang w:val="en-US" w:eastAsia="zh-CN"/>
        </w:rPr>
      </w:pPr>
      <w:r>
        <w:rPr>
          <w:rFonts w:hint="eastAsia" w:ascii="Times New Roman" w:hAnsi="Times New Roman" w:eastAsia="宋体" w:cs="Times New Roman"/>
          <w:b/>
          <w:bCs/>
          <w:color w:val="auto"/>
          <w:spacing w:val="-2"/>
          <w:sz w:val="28"/>
          <w:szCs w:val="28"/>
          <w:lang w:val="en-US" w:eastAsia="zh-CN"/>
        </w:rPr>
        <w:t>4.10.3.4水土保持管理</w:t>
      </w:r>
    </w:p>
    <w:p w14:paraId="0ED7600E">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1、组织管理</w:t>
      </w:r>
    </w:p>
    <w:p w14:paraId="0AD5EA71">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建设单位需建立水土保持管理体系，配备专职人员负责水土保持方案的实施，落实“三同时”制度，确保水土保持措施与主体工程同时设计、同时施工、同时投入使用。</w:t>
      </w:r>
    </w:p>
    <w:p w14:paraId="714A29DC">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2、监理与施工管理</w:t>
      </w:r>
    </w:p>
    <w:p w14:paraId="1DC0F006">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委托具有相应资质的监理单位开展水土保持工程监理，监督施工单位严格按照水土保持措施设计要求施工，加强施工期水土保持管理，减少施工过程中的水土流失。</w:t>
      </w:r>
    </w:p>
    <w:p w14:paraId="0100B33F">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3、设施验收</w:t>
      </w:r>
    </w:p>
    <w:p w14:paraId="309CF0FC">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项目建成后，建设单位需按规定组织水土保持设施自主验收，验收合格后报水行政主管部门备案，水土保持设施未经验收或验收不合格的，主体工程不得投入使用。</w:t>
      </w:r>
    </w:p>
    <w:p w14:paraId="4E1FCA05">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4、运营期水土保持管理</w:t>
      </w:r>
    </w:p>
    <w:p w14:paraId="17991E0A">
      <w:pPr>
        <w:keepNext w:val="0"/>
        <w:keepLines w:val="0"/>
        <w:pageBreakBefore w:val="0"/>
        <w:widowControl/>
        <w:kinsoku w:val="0"/>
        <w:wordWrap/>
        <w:overflowPunct/>
        <w:topLinePunct w:val="0"/>
        <w:autoSpaceDE w:val="0"/>
        <w:autoSpaceDN w:val="0"/>
        <w:bidi w:val="0"/>
        <w:adjustRightInd/>
        <w:snapToGrid/>
        <w:spacing w:line="360" w:lineRule="auto"/>
        <w:ind w:left="0" w:firstLine="482"/>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运营期水土保持日常巡检维护由建设单位运维部门负责，明确1名专职管理人员作为责任主体：日常巡检每季度开展1次，雨季每月增加1次专项巡检，重点检查硬化面完整性、排水系统通畅性、沉砂池淤积情况等；发现硬化面裂缝、排水沟堵塞、沉砂池淤积超标的，需在7个工作日内完成整改，确保各项水土保持设施持续发挥效用。</w:t>
      </w:r>
    </w:p>
    <w:p w14:paraId="4988C8D0">
      <w:pPr>
        <w:pStyle w:val="25"/>
        <w:rPr>
          <w:rFonts w:hint="eastAsia" w:ascii="Times New Roman" w:hAnsi="Times New Roman" w:eastAsia="宋体" w:cs="Times New Roman"/>
          <w:color w:val="auto"/>
          <w:spacing w:val="1"/>
          <w:sz w:val="24"/>
          <w:szCs w:val="24"/>
          <w:lang w:val="en-US" w:eastAsia="zh-CN"/>
        </w:rPr>
      </w:pPr>
    </w:p>
    <w:p w14:paraId="36A8B9AF">
      <w:pPr>
        <w:pStyle w:val="25"/>
        <w:rPr>
          <w:rFonts w:hint="eastAsia" w:ascii="Times New Roman" w:hAnsi="Times New Roman" w:eastAsia="宋体" w:cs="Times New Roman"/>
          <w:color w:val="auto"/>
          <w:spacing w:val="1"/>
          <w:sz w:val="24"/>
          <w:szCs w:val="24"/>
          <w:lang w:val="en-US" w:eastAsia="zh-CN"/>
        </w:rPr>
      </w:pPr>
    </w:p>
    <w:p w14:paraId="0D4AE657">
      <w:pPr>
        <w:pStyle w:val="25"/>
        <w:rPr>
          <w:rFonts w:hint="default" w:ascii="Times New Roman" w:hAnsi="Times New Roman" w:eastAsia="宋体" w:cs="Times New Roman"/>
          <w:color w:val="auto"/>
          <w:spacing w:val="1"/>
          <w:sz w:val="24"/>
          <w:szCs w:val="24"/>
          <w:lang w:val="en-US" w:eastAsia="zh-CN"/>
        </w:rPr>
      </w:pPr>
    </w:p>
    <w:p w14:paraId="44EEB767">
      <w:pPr>
        <w:pStyle w:val="25"/>
        <w:rPr>
          <w:rFonts w:hint="default" w:ascii="Times New Roman" w:hAnsi="Times New Roman" w:eastAsia="宋体" w:cs="Times New Roman"/>
          <w:b/>
          <w:bCs/>
          <w:color w:val="auto"/>
          <w:spacing w:val="5"/>
          <w:sz w:val="43"/>
          <w:szCs w:val="43"/>
          <w:lang w:val="en-US" w:eastAsia="zh-CN"/>
        </w:rPr>
      </w:pPr>
    </w:p>
    <w:p w14:paraId="3BA1F5A4">
      <w:pPr>
        <w:pStyle w:val="25"/>
        <w:rPr>
          <w:rFonts w:hint="default" w:ascii="Times New Roman" w:hAnsi="Times New Roman" w:eastAsia="宋体" w:cs="Times New Roman"/>
          <w:b/>
          <w:bCs/>
          <w:color w:val="auto"/>
          <w:spacing w:val="5"/>
          <w:sz w:val="43"/>
          <w:szCs w:val="43"/>
          <w:lang w:val="en-US" w:eastAsia="zh-CN"/>
        </w:rPr>
        <w:sectPr>
          <w:pgSz w:w="11906" w:h="16839"/>
          <w:pgMar w:top="1169" w:right="1596" w:bottom="1243" w:left="1785" w:header="845" w:footer="1026" w:gutter="0"/>
          <w:pgNumType w:fmt="decimal"/>
          <w:cols w:space="720" w:num="1"/>
        </w:sectPr>
      </w:pPr>
    </w:p>
    <w:p w14:paraId="0B39D204">
      <w:pPr>
        <w:spacing w:before="140" w:line="225" w:lineRule="auto"/>
        <w:ind w:left="1457"/>
        <w:outlineLvl w:val="0"/>
        <w:rPr>
          <w:rFonts w:hint="default" w:ascii="Times New Roman" w:hAnsi="Times New Roman" w:eastAsia="宋体" w:cs="Times New Roman"/>
          <w:color w:val="auto"/>
          <w:sz w:val="43"/>
          <w:szCs w:val="43"/>
        </w:rPr>
      </w:pPr>
      <w:bookmarkStart w:id="204" w:name="_Toc24364"/>
      <w:r>
        <w:rPr>
          <w:rFonts w:hint="eastAsia" w:ascii="Times New Roman" w:hAnsi="Times New Roman" w:eastAsia="宋体" w:cs="Times New Roman"/>
          <w:b/>
          <w:bCs/>
          <w:color w:val="auto"/>
          <w:spacing w:val="5"/>
          <w:sz w:val="43"/>
          <w:szCs w:val="43"/>
          <w:lang w:val="en-US" w:eastAsia="zh-CN"/>
        </w:rPr>
        <w:t>5</w:t>
      </w:r>
      <w:r>
        <w:rPr>
          <w:rFonts w:hint="default" w:ascii="Times New Roman" w:hAnsi="Times New Roman" w:eastAsia="Times New Roman" w:cs="Times New Roman"/>
          <w:b/>
          <w:bCs/>
          <w:color w:val="auto"/>
          <w:spacing w:val="5"/>
          <w:sz w:val="43"/>
          <w:szCs w:val="43"/>
        </w:rPr>
        <w:t>.</w:t>
      </w:r>
      <w:r>
        <w:rPr>
          <w:rFonts w:hint="default" w:ascii="Times New Roman" w:hAnsi="Times New Roman" w:eastAsia="宋体" w:cs="Times New Roman"/>
          <w:b/>
          <w:bCs/>
          <w:color w:val="auto"/>
          <w:spacing w:val="5"/>
          <w:sz w:val="43"/>
          <w:szCs w:val="43"/>
        </w:rPr>
        <w:t>环境保护措施及其可行性论证</w:t>
      </w:r>
      <w:bookmarkEnd w:id="202"/>
      <w:bookmarkEnd w:id="203"/>
      <w:bookmarkEnd w:id="204"/>
    </w:p>
    <w:p w14:paraId="6F5A0826">
      <w:pPr>
        <w:pStyle w:val="9"/>
        <w:spacing w:line="343" w:lineRule="auto"/>
        <w:rPr>
          <w:rFonts w:hint="default" w:ascii="Times New Roman" w:hAnsi="Times New Roman" w:cs="Times New Roman"/>
          <w:color w:val="auto"/>
        </w:rPr>
      </w:pPr>
    </w:p>
    <w:p w14:paraId="7194DB48">
      <w:pPr>
        <w:pStyle w:val="9"/>
        <w:keepNext w:val="0"/>
        <w:keepLines w:val="0"/>
        <w:pageBreakBefore w:val="0"/>
        <w:widowControl/>
        <w:wordWrap/>
        <w:overflowPunct/>
        <w:topLinePunct w:val="0"/>
        <w:autoSpaceDE w:val="0"/>
        <w:autoSpaceDN w:val="0"/>
        <w:bidi w:val="0"/>
        <w:adjustRightInd/>
        <w:snapToGrid/>
        <w:spacing w:line="360" w:lineRule="auto"/>
        <w:ind w:left="0"/>
        <w:textAlignment w:val="baseline"/>
        <w:outlineLvl w:val="1"/>
        <w:rPr>
          <w:color w:val="auto"/>
          <w:sz w:val="24"/>
          <w:szCs w:val="24"/>
        </w:rPr>
      </w:pPr>
      <w:bookmarkStart w:id="205" w:name="_Toc21079"/>
      <w:r>
        <w:rPr>
          <w:rFonts w:hint="eastAsia" w:ascii="Times New Roman" w:hAnsi="Times New Roman" w:eastAsia="宋体" w:cs="Times New Roman"/>
          <w:b/>
          <w:bCs/>
          <w:color w:val="auto"/>
          <w:spacing w:val="-3"/>
          <w:sz w:val="24"/>
          <w:szCs w:val="24"/>
          <w:lang w:val="en-US" w:eastAsia="zh-CN"/>
        </w:rPr>
        <w:t>5</w:t>
      </w:r>
      <w:r>
        <w:rPr>
          <w:rFonts w:ascii="Times New Roman" w:hAnsi="Times New Roman" w:eastAsia="Times New Roman" w:cs="Times New Roman"/>
          <w:b/>
          <w:bCs/>
          <w:color w:val="auto"/>
          <w:spacing w:val="-3"/>
          <w:sz w:val="24"/>
          <w:szCs w:val="24"/>
        </w:rPr>
        <w:t xml:space="preserve">.1 </w:t>
      </w:r>
      <w:r>
        <w:rPr>
          <w:b/>
          <w:bCs/>
          <w:color w:val="auto"/>
          <w:spacing w:val="-3"/>
          <w:sz w:val="24"/>
          <w:szCs w:val="24"/>
        </w:rPr>
        <w:t>施工期污染防治措施</w:t>
      </w:r>
      <w:bookmarkEnd w:id="205"/>
    </w:p>
    <w:p w14:paraId="4225A0BF">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color w:val="auto"/>
          <w:sz w:val="24"/>
          <w:szCs w:val="24"/>
        </w:rPr>
      </w:pPr>
      <w:bookmarkStart w:id="206" w:name="_Toc23776"/>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.1.1 </w:t>
      </w:r>
      <w:r>
        <w:rPr>
          <w:rFonts w:hint="eastAsia"/>
          <w:b/>
          <w:bCs/>
          <w:color w:val="auto"/>
          <w:spacing w:val="-2"/>
          <w:sz w:val="24"/>
          <w:szCs w:val="24"/>
        </w:rPr>
        <w:t>大气防治措施及可行性论证</w:t>
      </w:r>
      <w:bookmarkEnd w:id="206"/>
    </w:p>
    <w:p w14:paraId="55AFFB1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eastAsia" w:ascii="Times New Roman" w:hAnsi="Times New Roman" w:cs="Times New Roman"/>
          <w:b/>
          <w:bCs/>
          <w:color w:val="auto"/>
          <w:spacing w:val="0"/>
          <w:sz w:val="24"/>
          <w:szCs w:val="24"/>
          <w:lang w:val="en-US" w:eastAsia="zh-CN"/>
        </w:rPr>
      </w:pPr>
      <w:r>
        <w:rPr>
          <w:color w:val="auto"/>
          <w:spacing w:val="0"/>
          <w:sz w:val="24"/>
          <w:szCs w:val="24"/>
        </w:rPr>
        <w:t>项目施工期废气主要来源于施工扬尘、施工机械和运输车辆燃油排放的尾气以及施工焊接烟尘。</w:t>
      </w:r>
    </w:p>
    <w:p w14:paraId="5EF65D3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3"/>
        <w:rPr>
          <w:rFonts w:hint="default"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5.1.1.1已采取措施回顾</w:t>
      </w:r>
    </w:p>
    <w:p w14:paraId="274BB2C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（1）</w:t>
      </w:r>
      <w:r>
        <w:rPr>
          <w:rFonts w:hint="default" w:ascii="Times New Roman" w:hAnsi="Times New Roman" w:cs="Times New Roman"/>
          <w:color w:val="auto"/>
          <w:spacing w:val="0"/>
          <w:sz w:val="24"/>
          <w:szCs w:val="24"/>
        </w:rPr>
        <w:t>施工单位</w:t>
      </w:r>
      <w:r>
        <w:rPr>
          <w:rFonts w:hint="default" w:ascii="Times New Roman" w:hAnsi="Times New Roman" w:cs="Times New Roman"/>
          <w:color w:val="auto"/>
          <w:spacing w:val="0"/>
          <w:sz w:val="24"/>
          <w:szCs w:val="24"/>
          <w:lang w:val="en-US" w:eastAsia="zh-CN"/>
        </w:rPr>
        <w:t>已</w:t>
      </w:r>
      <w:r>
        <w:rPr>
          <w:rFonts w:hint="default" w:ascii="Times New Roman" w:hAnsi="Times New Roman" w:cs="Times New Roman"/>
          <w:color w:val="auto"/>
          <w:spacing w:val="0"/>
          <w:sz w:val="24"/>
          <w:szCs w:val="24"/>
        </w:rPr>
        <w:t>根据《建设工程施工现场管理规定》的规定</w:t>
      </w:r>
      <w:r>
        <w:rPr>
          <w:rFonts w:hint="default" w:ascii="Times New Roman" w:hAnsi="Times New Roman" w:cs="Times New Roman"/>
          <w:color w:val="auto"/>
          <w:spacing w:val="0"/>
          <w:sz w:val="24"/>
          <w:szCs w:val="24"/>
          <w:lang w:val="en-US" w:eastAsia="zh-CN"/>
        </w:rPr>
        <w:t>在施工场地出入口</w:t>
      </w:r>
      <w:r>
        <w:rPr>
          <w:rFonts w:hint="default" w:ascii="Times New Roman" w:hAnsi="Times New Roman" w:cs="Times New Roman"/>
          <w:color w:val="auto"/>
          <w:spacing w:val="0"/>
          <w:sz w:val="24"/>
          <w:szCs w:val="24"/>
        </w:rPr>
        <w:t>设置现场平面布置图、工程概况牌、安全生产牌、文明施工牌、环境保护牌、管理人员名单及监督电话牌等；</w:t>
      </w:r>
    </w:p>
    <w:p w14:paraId="3C5FEB5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lang w:val="en-US" w:eastAsia="zh-CN"/>
        </w:rPr>
      </w:pPr>
      <w:r>
        <w:rPr>
          <w:rFonts w:hint="default" w:ascii="Times New Roman" w:hAnsi="Times New Roman" w:cs="Times New Roman"/>
          <w:color w:val="auto"/>
          <w:spacing w:val="0"/>
          <w:sz w:val="24"/>
          <w:szCs w:val="24"/>
          <w:lang w:val="en-US" w:eastAsia="zh-CN"/>
        </w:rPr>
        <w:t>（2）</w:t>
      </w:r>
      <w:r>
        <w:rPr>
          <w:rFonts w:hint="default" w:ascii="Times New Roman" w:hAnsi="Times New Roman" w:cs="Times New Roman"/>
          <w:color w:val="auto"/>
          <w:spacing w:val="0"/>
          <w:sz w:val="24"/>
          <w:szCs w:val="24"/>
        </w:rPr>
        <w:t>土方开挖、运输和填筑等施工过程，</w:t>
      </w:r>
      <w:r>
        <w:rPr>
          <w:rFonts w:hint="default" w:ascii="Times New Roman" w:hAnsi="Times New Roman" w:cs="Times New Roman"/>
          <w:color w:val="auto"/>
          <w:spacing w:val="0"/>
          <w:sz w:val="24"/>
          <w:szCs w:val="24"/>
          <w:lang w:val="en-US" w:eastAsia="zh-CN"/>
        </w:rPr>
        <w:t>已</w:t>
      </w:r>
      <w:r>
        <w:rPr>
          <w:rFonts w:hint="default" w:ascii="Times New Roman" w:hAnsi="Times New Roman" w:cs="Times New Roman"/>
          <w:color w:val="auto"/>
          <w:spacing w:val="0"/>
          <w:sz w:val="24"/>
          <w:szCs w:val="24"/>
        </w:rPr>
        <w:t>辅以洒水降尘，进出工地的运输车辆应</w:t>
      </w:r>
      <w:r>
        <w:rPr>
          <w:rFonts w:hint="eastAsia" w:ascii="Times New Roman" w:hAnsi="Times New Roman" w:eastAsia="宋体" w:cs="Times New Roman"/>
          <w:color w:val="auto"/>
          <w:spacing w:val="0"/>
          <w:sz w:val="24"/>
          <w:szCs w:val="24"/>
          <w:lang w:val="en-US" w:eastAsia="zh-CN"/>
        </w:rPr>
        <w:t>已</w:t>
      </w:r>
      <w:r>
        <w:rPr>
          <w:rFonts w:hint="default" w:ascii="Times New Roman" w:hAnsi="Times New Roman" w:cs="Times New Roman"/>
          <w:color w:val="auto"/>
          <w:spacing w:val="0"/>
          <w:sz w:val="24"/>
          <w:szCs w:val="24"/>
        </w:rPr>
        <w:t>采用密闭车斗；当车辆无密闭车斗时，装载高度</w:t>
      </w:r>
      <w:r>
        <w:rPr>
          <w:rFonts w:hint="eastAsia" w:ascii="Times New Roman" w:hAnsi="Times New Roman" w:eastAsia="宋体" w:cs="Times New Roman"/>
          <w:color w:val="auto"/>
          <w:spacing w:val="0"/>
          <w:sz w:val="24"/>
          <w:szCs w:val="24"/>
          <w:lang w:val="en-US" w:eastAsia="zh-CN"/>
        </w:rPr>
        <w:t>无</w:t>
      </w:r>
      <w:r>
        <w:rPr>
          <w:rFonts w:hint="default" w:ascii="Times New Roman" w:hAnsi="Times New Roman" w:cs="Times New Roman"/>
          <w:color w:val="auto"/>
          <w:spacing w:val="0"/>
          <w:sz w:val="24"/>
          <w:szCs w:val="24"/>
        </w:rPr>
        <w:t>超过车辆槽帮上沿</w:t>
      </w:r>
      <w:r>
        <w:rPr>
          <w:rFonts w:hint="eastAsia" w:ascii="Times New Roman" w:hAnsi="Times New Roman" w:eastAsia="宋体" w:cs="Times New Roman"/>
          <w:color w:val="auto"/>
          <w:spacing w:val="0"/>
          <w:sz w:val="24"/>
          <w:szCs w:val="24"/>
          <w:lang w:val="en-US" w:eastAsia="zh-CN"/>
        </w:rPr>
        <w:t>的情况</w:t>
      </w:r>
      <w:r>
        <w:rPr>
          <w:rFonts w:hint="default" w:ascii="Times New Roman" w:hAnsi="Times New Roman"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已</w:t>
      </w:r>
      <w:r>
        <w:rPr>
          <w:rFonts w:hint="default" w:ascii="Times New Roman" w:hAnsi="Times New Roman" w:cs="Times New Roman"/>
          <w:color w:val="auto"/>
          <w:spacing w:val="0"/>
          <w:sz w:val="24"/>
          <w:szCs w:val="24"/>
        </w:rPr>
        <w:t>用篷布遮盖；运输车辆</w:t>
      </w:r>
      <w:r>
        <w:rPr>
          <w:rFonts w:hint="eastAsia" w:ascii="Times New Roman" w:hAnsi="Times New Roman" w:eastAsia="宋体" w:cs="Times New Roman"/>
          <w:color w:val="auto"/>
          <w:spacing w:val="0"/>
          <w:sz w:val="24"/>
          <w:szCs w:val="24"/>
          <w:lang w:val="en-US" w:eastAsia="zh-CN"/>
        </w:rPr>
        <w:t>已</w:t>
      </w:r>
      <w:r>
        <w:rPr>
          <w:rFonts w:hint="default" w:ascii="Times New Roman" w:hAnsi="Times New Roman" w:cs="Times New Roman"/>
          <w:color w:val="auto"/>
          <w:spacing w:val="0"/>
          <w:sz w:val="24"/>
          <w:szCs w:val="24"/>
        </w:rPr>
        <w:t>严格按照规定的行车路线和时间进行物料的输送</w:t>
      </w:r>
      <w:r>
        <w:rPr>
          <w:rFonts w:hint="default" w:ascii="Times New Roman" w:hAnsi="Times New Roman" w:cs="Times New Roman"/>
          <w:color w:val="auto"/>
          <w:spacing w:val="0"/>
          <w:sz w:val="24"/>
          <w:szCs w:val="24"/>
          <w:lang w:eastAsia="zh-CN"/>
        </w:rPr>
        <w:t>；</w:t>
      </w:r>
    </w:p>
    <w:p w14:paraId="46BC729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（3）</w:t>
      </w:r>
      <w:r>
        <w:rPr>
          <w:rFonts w:hint="default" w:ascii="Times New Roman" w:hAnsi="Times New Roman" w:cs="Times New Roman"/>
          <w:color w:val="auto"/>
          <w:spacing w:val="0"/>
          <w:sz w:val="24"/>
          <w:szCs w:val="24"/>
        </w:rPr>
        <w:t>施工过程中使用水泥、砂石、涂料、铺装材料等易产生扬尘的建筑材料，</w:t>
      </w:r>
      <w:r>
        <w:rPr>
          <w:rFonts w:hint="default" w:ascii="Times New Roman" w:hAnsi="Times New Roman" w:cs="Times New Roman"/>
          <w:color w:val="auto"/>
          <w:spacing w:val="0"/>
          <w:sz w:val="24"/>
          <w:szCs w:val="24"/>
          <w:lang w:val="en-US" w:eastAsia="zh-CN"/>
        </w:rPr>
        <w:t>已</w:t>
      </w:r>
      <w:r>
        <w:rPr>
          <w:rFonts w:hint="default" w:ascii="Times New Roman" w:hAnsi="Times New Roman" w:cs="Times New Roman"/>
          <w:color w:val="auto"/>
          <w:spacing w:val="0"/>
          <w:sz w:val="24"/>
          <w:szCs w:val="24"/>
        </w:rPr>
        <w:t>采取下列措施：</w:t>
      </w:r>
      <w:r>
        <w:rPr>
          <w:rFonts w:hint="default" w:ascii="Times New Roman" w:hAnsi="Times New Roman" w:cs="Times New Roman"/>
          <w:color w:val="auto"/>
          <w:spacing w:val="0"/>
          <w:sz w:val="24"/>
          <w:szCs w:val="24"/>
          <w:lang w:val="en-US" w:eastAsia="zh-CN"/>
        </w:rPr>
        <w:t>①</w:t>
      </w:r>
      <w:r>
        <w:rPr>
          <w:rFonts w:hint="default" w:ascii="Times New Roman" w:hAnsi="Times New Roman" w:cs="Times New Roman"/>
          <w:color w:val="auto"/>
          <w:spacing w:val="0"/>
          <w:sz w:val="24"/>
          <w:szCs w:val="24"/>
        </w:rPr>
        <w:t>密闭存储；</w:t>
      </w:r>
      <w:r>
        <w:rPr>
          <w:rFonts w:hint="default" w:ascii="Times New Roman" w:hAnsi="Times New Roman" w:cs="Times New Roman"/>
          <w:color w:val="auto"/>
          <w:spacing w:val="0"/>
          <w:sz w:val="24"/>
          <w:szCs w:val="24"/>
          <w:lang w:val="en-US" w:eastAsia="zh-CN"/>
        </w:rPr>
        <w:t>②厂界四周设置</w:t>
      </w:r>
      <w:r>
        <w:rPr>
          <w:rFonts w:hint="default" w:ascii="Times New Roman" w:hAnsi="Times New Roman" w:cs="Times New Roman"/>
          <w:color w:val="auto"/>
          <w:spacing w:val="0"/>
          <w:sz w:val="24"/>
          <w:szCs w:val="24"/>
        </w:rPr>
        <w:t>堆砌围墙；</w:t>
      </w:r>
      <w:r>
        <w:rPr>
          <w:rFonts w:hint="default" w:ascii="Times New Roman" w:hAnsi="Times New Roman" w:cs="Times New Roman"/>
          <w:color w:val="auto"/>
          <w:spacing w:val="0"/>
          <w:sz w:val="24"/>
          <w:szCs w:val="24"/>
          <w:lang w:val="en-US" w:eastAsia="zh-CN"/>
        </w:rPr>
        <w:t>③主体工程</w:t>
      </w:r>
      <w:r>
        <w:rPr>
          <w:rFonts w:hint="default" w:ascii="Times New Roman" w:hAnsi="Times New Roman" w:cs="Times New Roman"/>
          <w:color w:val="auto"/>
          <w:spacing w:val="0"/>
          <w:sz w:val="24"/>
          <w:szCs w:val="24"/>
        </w:rPr>
        <w:t>采用防尘布覆盖；</w:t>
      </w:r>
    </w:p>
    <w:p w14:paraId="7AD9646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eastAsia="zh-CN"/>
        </w:rPr>
        <w:t>（</w:t>
      </w:r>
      <w:r>
        <w:rPr>
          <w:rFonts w:hint="eastAsia" w:ascii="Times New Roman" w:hAnsi="Times New Roman" w:cs="Times New Roman"/>
          <w:color w:val="auto"/>
          <w:spacing w:val="0"/>
          <w:sz w:val="24"/>
          <w:szCs w:val="24"/>
          <w:lang w:val="en-US" w:eastAsia="zh-CN"/>
        </w:rPr>
        <w:t>4</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rPr>
        <w:t>进出工地的物料、渣土、垃圾运输车辆，采用密闭车斗，并保证物料不遗撒外漏</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设置车辆清洗池</w:t>
      </w:r>
      <w:r>
        <w:rPr>
          <w:rFonts w:hint="default" w:ascii="Times New Roman" w:hAnsi="Times New Roman"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保证了</w:t>
      </w:r>
      <w:r>
        <w:rPr>
          <w:rFonts w:hint="default" w:ascii="Times New Roman" w:hAnsi="Times New Roman" w:cs="Times New Roman"/>
          <w:color w:val="auto"/>
          <w:spacing w:val="0"/>
          <w:sz w:val="24"/>
          <w:szCs w:val="24"/>
        </w:rPr>
        <w:t>车辆不带泥土驶出工地；</w:t>
      </w:r>
    </w:p>
    <w:p w14:paraId="3118522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3"/>
        <w:rPr>
          <w:rFonts w:hint="default"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5.1.1.2后期施工拟采取的措施及可行性分析</w:t>
      </w:r>
    </w:p>
    <w:p w14:paraId="3C5CAA6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根据《云南省空气质量持续改善行动实施方案》（云政发〔2024〕14 号）以及《云南省建筑施工和城市道路扬尘污染治理攻坚三年行动计划（2023—2025年）的通知》（云建执〔2023〕22 号）等，</w:t>
      </w:r>
      <w:r>
        <w:rPr>
          <w:rFonts w:hint="eastAsia" w:ascii="Times New Roman" w:hAnsi="Times New Roman" w:eastAsia="宋体" w:cs="Times New Roman"/>
          <w:color w:val="auto"/>
          <w:spacing w:val="0"/>
          <w:sz w:val="24"/>
          <w:szCs w:val="24"/>
          <w:lang w:val="en-US" w:eastAsia="zh-CN"/>
        </w:rPr>
        <w:t>后期施工除延续采取前期施工措施外，还拟增加</w:t>
      </w:r>
      <w:r>
        <w:rPr>
          <w:rFonts w:hint="default" w:ascii="Times New Roman" w:hAnsi="Times New Roman" w:cs="Times New Roman"/>
          <w:color w:val="auto"/>
          <w:spacing w:val="0"/>
          <w:sz w:val="24"/>
          <w:szCs w:val="24"/>
        </w:rPr>
        <w:t>如下扬尘污染防治措施：</w:t>
      </w:r>
    </w:p>
    <w:p w14:paraId="165C585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1</w:t>
      </w:r>
      <w:r>
        <w:rPr>
          <w:rFonts w:hint="default" w:ascii="Times New Roman" w:hAnsi="Times New Roman" w:cs="Times New Roman"/>
          <w:color w:val="auto"/>
          <w:spacing w:val="0"/>
          <w:sz w:val="24"/>
          <w:szCs w:val="24"/>
        </w:rPr>
        <w:t>）当施工过程中遇到干燥、易起尘的工程作业时，应洒水抑尘，尽量缩短起尘操作时间，遇到风力较大天气时应停止作业。</w:t>
      </w:r>
    </w:p>
    <w:p w14:paraId="7AFD4F2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2</w:t>
      </w:r>
      <w:r>
        <w:rPr>
          <w:rFonts w:hint="default" w:ascii="Times New Roman" w:hAnsi="Times New Roman"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后期</w:t>
      </w:r>
      <w:r>
        <w:rPr>
          <w:rFonts w:hint="default" w:ascii="Times New Roman" w:hAnsi="Times New Roman" w:cs="Times New Roman"/>
          <w:color w:val="auto"/>
          <w:spacing w:val="0"/>
          <w:sz w:val="24"/>
          <w:szCs w:val="24"/>
        </w:rPr>
        <w:t>施工期间的工地内及出口处铺设钢板、水泥混凝土、细石等，并配以洒水、道路清扫等措施保证路面清洁，减少车辆行驶过程的道路扬尘。</w:t>
      </w:r>
    </w:p>
    <w:p w14:paraId="6D754EC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3</w:t>
      </w:r>
      <w:r>
        <w:rPr>
          <w:rFonts w:hint="default" w:ascii="Times New Roman" w:hAnsi="Times New Roman" w:cs="Times New Roman"/>
          <w:color w:val="auto"/>
          <w:spacing w:val="0"/>
          <w:sz w:val="24"/>
          <w:szCs w:val="24"/>
        </w:rPr>
        <w:t>）施工物料运输车辆必须按照交通部门核准的运输路线和时间运行，本项目建设单位有责任对运输车辆的线路进行监督，不得图便利自行选择其他线路。</w:t>
      </w:r>
    </w:p>
    <w:p w14:paraId="5DBCBD8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施工期废气污染防治措施简单易行，且为常见污染防治措施，工程建设过程简单，措施可行。</w:t>
      </w:r>
    </w:p>
    <w:p w14:paraId="7FA72EF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施工单位严格按照以上各项措施完成施工，对关心点大气环境的影响不大，且将随施工期的结束而结束。施工机械和运输车辆燃油排放的尾气废气排放量不大，排放源较为分散，污染物在环境空气中自然扩散、稀释后，对评价区域的环境空气影响不大。</w:t>
      </w:r>
    </w:p>
    <w:p w14:paraId="2EFE0A84">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color w:val="auto"/>
          <w:sz w:val="24"/>
          <w:szCs w:val="24"/>
        </w:rPr>
      </w:pPr>
      <w:bookmarkStart w:id="207" w:name="_Toc10643"/>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.1.2 </w:t>
      </w:r>
      <w:r>
        <w:rPr>
          <w:b/>
          <w:bCs/>
          <w:color w:val="auto"/>
          <w:spacing w:val="-2"/>
          <w:sz w:val="24"/>
          <w:szCs w:val="24"/>
        </w:rPr>
        <w:t>废水污染防治措施</w:t>
      </w:r>
      <w:bookmarkEnd w:id="207"/>
    </w:p>
    <w:p w14:paraId="68294DE2">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76" w:firstLineChars="200"/>
        <w:textAlignment w:val="baseline"/>
        <w:rPr>
          <w:rFonts w:hint="eastAsia" w:eastAsia="宋体"/>
          <w:color w:val="auto"/>
          <w:spacing w:val="-1"/>
          <w:sz w:val="24"/>
          <w:szCs w:val="24"/>
          <w:lang w:val="en-US" w:eastAsia="zh-CN"/>
        </w:rPr>
      </w:pPr>
      <w:r>
        <w:rPr>
          <w:color w:val="auto"/>
          <w:spacing w:val="-1"/>
          <w:sz w:val="24"/>
          <w:szCs w:val="24"/>
        </w:rPr>
        <w:t>施工期废水主要是建筑施工废水及施工人员生活污水。</w:t>
      </w:r>
    </w:p>
    <w:p w14:paraId="64C2668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3"/>
        <w:rPr>
          <w:rFonts w:hint="default"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5.1.2.1已采取措施回顾</w:t>
      </w:r>
    </w:p>
    <w:p w14:paraId="022C0ED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lang w:eastAsia="zh-CN"/>
        </w:rPr>
      </w:pPr>
      <w:r>
        <w:rPr>
          <w:rFonts w:hint="default" w:ascii="Times New Roman" w:hAnsi="Times New Roman" w:cs="Times New Roman"/>
          <w:color w:val="auto"/>
          <w:spacing w:val="0"/>
          <w:sz w:val="24"/>
          <w:szCs w:val="24"/>
          <w:lang w:eastAsia="zh-CN"/>
        </w:rPr>
        <w:t>（</w:t>
      </w:r>
      <w:r>
        <w:rPr>
          <w:rFonts w:hint="eastAsia" w:ascii="Times New Roman" w:hAnsi="Times New Roman" w:cs="Times New Roman"/>
          <w:color w:val="auto"/>
          <w:spacing w:val="0"/>
          <w:sz w:val="24"/>
          <w:szCs w:val="24"/>
          <w:lang w:val="en-US" w:eastAsia="zh-CN"/>
        </w:rPr>
        <w:t>1</w:t>
      </w:r>
      <w:r>
        <w:rPr>
          <w:rFonts w:hint="default" w:ascii="Times New Roman" w:hAnsi="Times New Roman" w:cs="Times New Roman"/>
          <w:color w:val="auto"/>
          <w:spacing w:val="0"/>
          <w:sz w:val="24"/>
          <w:szCs w:val="24"/>
          <w:lang w:eastAsia="zh-CN"/>
        </w:rPr>
        <w:t>）</w:t>
      </w:r>
      <w:r>
        <w:rPr>
          <w:rFonts w:hint="eastAsia" w:ascii="Times New Roman" w:hAnsi="Times New Roman" w:cs="Times New Roman"/>
          <w:color w:val="auto"/>
          <w:spacing w:val="0"/>
          <w:sz w:val="24"/>
          <w:szCs w:val="24"/>
          <w:lang w:val="en-US" w:eastAsia="zh-CN"/>
        </w:rPr>
        <w:t>已在</w:t>
      </w:r>
      <w:r>
        <w:rPr>
          <w:rFonts w:hint="default" w:ascii="Times New Roman" w:hAnsi="Times New Roman" w:cs="Times New Roman"/>
          <w:color w:val="auto"/>
          <w:spacing w:val="0"/>
          <w:sz w:val="24"/>
          <w:szCs w:val="24"/>
          <w:lang w:eastAsia="zh-CN"/>
        </w:rPr>
        <w:t>装卸区地势低洼处设置</w:t>
      </w:r>
      <w:r>
        <w:rPr>
          <w:rFonts w:hint="eastAsia" w:ascii="Times New Roman" w:hAnsi="Times New Roman" w:cs="Times New Roman"/>
          <w:color w:val="auto"/>
          <w:spacing w:val="0"/>
          <w:sz w:val="24"/>
          <w:szCs w:val="24"/>
          <w:lang w:val="en-US" w:eastAsia="zh-CN"/>
        </w:rPr>
        <w:t>了</w:t>
      </w:r>
      <w:r>
        <w:rPr>
          <w:rFonts w:hint="default" w:ascii="Times New Roman" w:hAnsi="Times New Roman" w:cs="Times New Roman"/>
          <w:color w:val="auto"/>
          <w:spacing w:val="0"/>
          <w:sz w:val="24"/>
          <w:szCs w:val="24"/>
          <w:lang w:eastAsia="zh-CN"/>
        </w:rPr>
        <w:t>1个</w:t>
      </w:r>
      <w:r>
        <w:rPr>
          <w:rFonts w:hint="eastAsia" w:ascii="Times New Roman" w:hAnsi="Times New Roman" w:cs="Times New Roman"/>
          <w:color w:val="auto"/>
          <w:spacing w:val="0"/>
          <w:sz w:val="24"/>
          <w:szCs w:val="24"/>
          <w:lang w:val="en-US" w:eastAsia="zh-CN"/>
        </w:rPr>
        <w:t>2</w:t>
      </w:r>
      <w:r>
        <w:rPr>
          <w:rFonts w:hint="default" w:ascii="Times New Roman" w:hAnsi="Times New Roman" w:cs="Times New Roman"/>
          <w:color w:val="auto"/>
          <w:spacing w:val="0"/>
          <w:sz w:val="24"/>
          <w:szCs w:val="24"/>
          <w:lang w:eastAsia="zh-CN"/>
        </w:rPr>
        <w:t>m</w:t>
      </w:r>
      <w:r>
        <w:rPr>
          <w:rFonts w:hint="eastAsia" w:ascii="Times New Roman" w:hAnsi="Times New Roman" w:cs="Times New Roman"/>
          <w:color w:val="auto"/>
          <w:spacing w:val="0"/>
          <w:sz w:val="24"/>
          <w:szCs w:val="24"/>
          <w:vertAlign w:val="superscript"/>
          <w:lang w:val="en-US" w:eastAsia="zh-CN"/>
        </w:rPr>
        <w:t>3</w:t>
      </w:r>
      <w:r>
        <w:rPr>
          <w:rFonts w:hint="default" w:ascii="Times New Roman" w:hAnsi="Times New Roman" w:cs="Times New Roman"/>
          <w:color w:val="auto"/>
          <w:spacing w:val="0"/>
          <w:sz w:val="24"/>
          <w:szCs w:val="24"/>
          <w:lang w:eastAsia="zh-CN"/>
        </w:rPr>
        <w:t>的临时沉淀池，建筑施工废水</w:t>
      </w:r>
      <w:r>
        <w:rPr>
          <w:rFonts w:hint="eastAsia" w:ascii="Times New Roman" w:hAnsi="Times New Roman" w:cs="Times New Roman"/>
          <w:color w:val="auto"/>
          <w:spacing w:val="0"/>
          <w:sz w:val="24"/>
          <w:szCs w:val="24"/>
          <w:lang w:val="en-US" w:eastAsia="zh-CN"/>
        </w:rPr>
        <w:t>和员工清洗生活废水</w:t>
      </w:r>
      <w:r>
        <w:rPr>
          <w:rFonts w:hint="default" w:ascii="Times New Roman" w:hAnsi="Times New Roman" w:cs="Times New Roman"/>
          <w:color w:val="auto"/>
          <w:spacing w:val="0"/>
          <w:sz w:val="24"/>
          <w:szCs w:val="24"/>
          <w:lang w:eastAsia="zh-CN"/>
        </w:rPr>
        <w:t>经临时沉淀池沉淀处理后，回用于施工过程、车辆冲洗及场地洒水降尘等，</w:t>
      </w:r>
      <w:r>
        <w:rPr>
          <w:rFonts w:hint="eastAsia" w:ascii="Times New Roman" w:hAnsi="Times New Roman" w:cs="Times New Roman"/>
          <w:color w:val="auto"/>
          <w:spacing w:val="0"/>
          <w:sz w:val="24"/>
          <w:szCs w:val="24"/>
          <w:lang w:val="en-US" w:eastAsia="zh-CN"/>
        </w:rPr>
        <w:t>未产生外排情况</w:t>
      </w:r>
      <w:r>
        <w:rPr>
          <w:rFonts w:hint="default" w:ascii="Times New Roman" w:hAnsi="Times New Roman" w:cs="Times New Roman"/>
          <w:color w:val="auto"/>
          <w:spacing w:val="0"/>
          <w:sz w:val="24"/>
          <w:szCs w:val="24"/>
          <w:lang w:eastAsia="zh-CN"/>
        </w:rPr>
        <w:t>。</w:t>
      </w:r>
    </w:p>
    <w:p w14:paraId="3755635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3"/>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5.1.2.2后期施工拟采取的措施及可行性分析</w:t>
      </w:r>
    </w:p>
    <w:p w14:paraId="111DDB2D">
      <w:pPr>
        <w:pStyle w:val="9"/>
        <w:keepNext w:val="0"/>
        <w:keepLines w:val="0"/>
        <w:pageBreakBefore w:val="0"/>
        <w:widowControl/>
        <w:wordWrap/>
        <w:overflowPunct/>
        <w:topLinePunct w:val="0"/>
        <w:autoSpaceDE w:val="0"/>
        <w:autoSpaceDN w:val="0"/>
        <w:bidi w:val="0"/>
        <w:adjustRightInd/>
        <w:snapToGrid/>
        <w:spacing w:line="360" w:lineRule="auto"/>
        <w:ind w:left="0" w:right="0" w:firstLine="491"/>
        <w:textAlignment w:val="baseline"/>
        <w:rPr>
          <w:rFonts w:hint="eastAsia" w:eastAsia="宋体"/>
          <w:color w:val="auto"/>
          <w:sz w:val="24"/>
          <w:szCs w:val="24"/>
          <w:lang w:val="en-US" w:eastAsia="zh-CN"/>
        </w:rPr>
      </w:pPr>
      <w:r>
        <w:rPr>
          <w:rFonts w:hint="eastAsia" w:eastAsia="宋体"/>
          <w:color w:val="auto"/>
          <w:sz w:val="24"/>
          <w:szCs w:val="24"/>
          <w:lang w:val="en-US" w:eastAsia="zh-CN"/>
        </w:rPr>
        <w:t>由于后期施工期施工时间较短，施工量较小，</w:t>
      </w:r>
      <w:r>
        <w:rPr>
          <w:rFonts w:hint="eastAsia" w:ascii="Times New Roman" w:hAnsi="Times New Roman" w:eastAsia="宋体" w:cs="Times New Roman"/>
          <w:color w:val="auto"/>
          <w:spacing w:val="0"/>
          <w:sz w:val="24"/>
          <w:szCs w:val="24"/>
          <w:lang w:val="en-US" w:eastAsia="zh-CN"/>
        </w:rPr>
        <w:t>后期施工将延续采取前期施工措施，不再新增废水</w:t>
      </w:r>
      <w:r>
        <w:rPr>
          <w:rFonts w:hint="default" w:ascii="Times New Roman" w:hAnsi="Times New Roman" w:cs="Times New Roman"/>
          <w:color w:val="auto"/>
          <w:spacing w:val="0"/>
          <w:sz w:val="24"/>
          <w:szCs w:val="24"/>
        </w:rPr>
        <w:t>污染防治措施</w:t>
      </w:r>
      <w:r>
        <w:rPr>
          <w:rFonts w:hint="eastAsia" w:ascii="Times New Roman" w:hAnsi="Times New Roman" w:eastAsia="宋体" w:cs="Times New Roman"/>
          <w:color w:val="auto"/>
          <w:spacing w:val="0"/>
          <w:sz w:val="24"/>
          <w:szCs w:val="24"/>
          <w:lang w:eastAsia="zh-CN"/>
        </w:rPr>
        <w:t>。</w:t>
      </w:r>
    </w:p>
    <w:p w14:paraId="5F648E4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本</w:t>
      </w:r>
      <w:r>
        <w:rPr>
          <w:rFonts w:hint="default" w:ascii="Times New Roman" w:hAnsi="Times New Roman" w:cs="Times New Roman"/>
          <w:color w:val="auto"/>
          <w:spacing w:val="0"/>
          <w:sz w:val="24"/>
          <w:szCs w:val="24"/>
        </w:rPr>
        <w:t>项目施工期产生的废水，产生量很小，水质简单，污染物浓度较低，</w:t>
      </w:r>
      <w:r>
        <w:rPr>
          <w:rFonts w:hint="default" w:ascii="Times New Roman" w:hAnsi="Times New Roman" w:cs="Times New Roman"/>
          <w:color w:val="auto"/>
          <w:spacing w:val="0"/>
          <w:sz w:val="24"/>
          <w:szCs w:val="24"/>
          <w:lang w:eastAsia="zh-CN"/>
        </w:rPr>
        <w:t>经临时沉淀池处理后</w:t>
      </w:r>
      <w:r>
        <w:rPr>
          <w:rFonts w:hint="default" w:ascii="Times New Roman" w:hAnsi="Times New Roman" w:cs="Times New Roman"/>
          <w:color w:val="auto"/>
          <w:spacing w:val="0"/>
          <w:sz w:val="24"/>
          <w:szCs w:val="24"/>
        </w:rPr>
        <w:t>全部回用于施工场地洒水降尘，</w:t>
      </w:r>
      <w:r>
        <w:rPr>
          <w:rFonts w:hint="default" w:ascii="Times New Roman" w:hAnsi="Times New Roman" w:cs="Times New Roman"/>
          <w:color w:val="auto"/>
          <w:spacing w:val="0"/>
          <w:sz w:val="24"/>
          <w:szCs w:val="24"/>
          <w:lang w:val="en-US" w:eastAsia="zh-CN"/>
        </w:rPr>
        <w:t>少量废水随地表蒸发，</w:t>
      </w:r>
      <w:r>
        <w:rPr>
          <w:rFonts w:hint="default" w:ascii="Times New Roman" w:hAnsi="Times New Roman" w:cs="Times New Roman"/>
          <w:color w:val="auto"/>
          <w:spacing w:val="0"/>
          <w:sz w:val="24"/>
          <w:szCs w:val="24"/>
        </w:rPr>
        <w:t>不外排</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rPr>
        <w:t>同时在施工管理上避开雨天施工，</w:t>
      </w:r>
      <w:r>
        <w:rPr>
          <w:rFonts w:hint="default" w:ascii="Times New Roman" w:hAnsi="Times New Roman" w:cs="Times New Roman"/>
          <w:color w:val="auto"/>
          <w:spacing w:val="0"/>
          <w:sz w:val="24"/>
          <w:szCs w:val="24"/>
          <w:lang w:val="en-US" w:eastAsia="zh-CN"/>
        </w:rPr>
        <w:t>设置临时排水沟，</w:t>
      </w:r>
      <w:r>
        <w:rPr>
          <w:rFonts w:hint="default" w:ascii="Times New Roman" w:hAnsi="Times New Roman" w:cs="Times New Roman"/>
          <w:color w:val="auto"/>
          <w:spacing w:val="0"/>
          <w:sz w:val="24"/>
          <w:szCs w:val="24"/>
        </w:rPr>
        <w:t>可以减少雨水产生的地表径流对下游地表水的影响</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rPr>
        <w:t>且投资小，易实施，因此以上措施是可行的。</w:t>
      </w:r>
    </w:p>
    <w:p w14:paraId="38CC340D">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rFonts w:hint="eastAsia" w:ascii="Times New Roman" w:hAnsi="Times New Roman" w:eastAsia="宋体" w:cs="Times New Roman"/>
          <w:b/>
          <w:bCs/>
          <w:color w:val="auto"/>
          <w:spacing w:val="-2"/>
          <w:sz w:val="24"/>
          <w:szCs w:val="24"/>
          <w:lang w:val="en-US" w:eastAsia="zh-CN"/>
        </w:rPr>
      </w:pPr>
      <w:bookmarkStart w:id="208" w:name="_Toc30017"/>
      <w:r>
        <w:rPr>
          <w:rFonts w:hint="eastAsia" w:ascii="Times New Roman" w:hAnsi="Times New Roman" w:eastAsia="宋体" w:cs="Times New Roman"/>
          <w:b/>
          <w:bCs/>
          <w:color w:val="auto"/>
          <w:spacing w:val="-2"/>
          <w:sz w:val="24"/>
          <w:szCs w:val="24"/>
          <w:lang w:val="en-US" w:eastAsia="zh-CN"/>
        </w:rPr>
        <w:t>5.1.3 噪声污染防治措施</w:t>
      </w:r>
      <w:bookmarkEnd w:id="208"/>
    </w:p>
    <w:p w14:paraId="17A73CBC">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Arial" w:cs="Times New Roman"/>
          <w:snapToGrid w:val="0"/>
          <w:color w:val="auto"/>
          <w:spacing w:val="0"/>
          <w:kern w:val="0"/>
          <w:sz w:val="24"/>
          <w:szCs w:val="24"/>
          <w:lang w:val="en-US" w:eastAsia="zh-CN" w:bidi="ar-SA"/>
        </w:rPr>
      </w:pPr>
      <w:r>
        <w:rPr>
          <w:rFonts w:hint="default" w:ascii="Times New Roman" w:hAnsi="Times New Roman" w:eastAsia="宋体" w:cs="Times New Roman"/>
          <w:color w:val="auto"/>
          <w:sz w:val="24"/>
          <w:szCs w:val="24"/>
          <w:lang w:val="en-US" w:eastAsia="zh-CN"/>
        </w:rPr>
        <w:t>本项目施工噪声主要来自</w:t>
      </w:r>
      <w:r>
        <w:rPr>
          <w:rFonts w:hint="eastAsia" w:ascii="Times New Roman" w:hAnsi="Times New Roman" w:eastAsia="宋体" w:cs="Times New Roman"/>
          <w:color w:val="auto"/>
          <w:sz w:val="24"/>
          <w:szCs w:val="24"/>
          <w:lang w:val="en-US" w:eastAsia="zh-CN"/>
        </w:rPr>
        <w:t>构建筑施工、</w:t>
      </w:r>
      <w:r>
        <w:rPr>
          <w:rFonts w:hint="default" w:ascii="Times New Roman" w:hAnsi="Times New Roman" w:eastAsia="宋体" w:cs="Times New Roman"/>
          <w:color w:val="auto"/>
          <w:sz w:val="24"/>
          <w:szCs w:val="24"/>
          <w:lang w:val="en-US" w:eastAsia="zh-CN"/>
        </w:rPr>
        <w:t>施工车辆运输、装修等施工过程。施工期间使用的主要施工机械有振捣机、</w:t>
      </w:r>
      <w:r>
        <w:rPr>
          <w:rFonts w:hint="default" w:ascii="Times New Roman" w:hAnsi="Times New Roman" w:eastAsia="宋体" w:cs="Times New Roman"/>
          <w:color w:val="auto"/>
          <w:sz w:val="24"/>
          <w:szCs w:val="24"/>
          <w:lang w:val="zh-CN" w:eastAsia="zh-CN"/>
        </w:rPr>
        <w:t>电焊机、自卸汽车</w:t>
      </w:r>
      <w:r>
        <w:rPr>
          <w:rFonts w:hint="default" w:ascii="Times New Roman" w:hAnsi="Times New Roman" w:eastAsia="宋体" w:cs="Times New Roman"/>
          <w:color w:val="auto"/>
          <w:sz w:val="24"/>
          <w:szCs w:val="24"/>
          <w:lang w:val="en-US" w:eastAsia="zh-CN"/>
        </w:rPr>
        <w:t>等。</w:t>
      </w:r>
    </w:p>
    <w:p w14:paraId="0657808D">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outlineLvl w:val="3"/>
        <w:rPr>
          <w:rFonts w:hint="default" w:ascii="Times New Roman" w:hAnsi="Times New Roman" w:eastAsia="Arial" w:cs="Times New Roman"/>
          <w:b/>
          <w:bCs/>
          <w:snapToGrid w:val="0"/>
          <w:color w:val="auto"/>
          <w:spacing w:val="0"/>
          <w:kern w:val="0"/>
          <w:sz w:val="24"/>
          <w:szCs w:val="24"/>
          <w:lang w:val="en-US" w:eastAsia="zh-CN" w:bidi="ar-SA"/>
        </w:rPr>
      </w:pPr>
      <w:r>
        <w:rPr>
          <w:rFonts w:hint="eastAsia" w:ascii="Times New Roman" w:hAnsi="Times New Roman" w:cs="Times New Roman"/>
          <w:b/>
          <w:bCs/>
          <w:snapToGrid w:val="0"/>
          <w:color w:val="auto"/>
          <w:spacing w:val="0"/>
          <w:kern w:val="0"/>
          <w:sz w:val="24"/>
          <w:szCs w:val="24"/>
          <w:lang w:val="en-US" w:eastAsia="zh-CN" w:bidi="ar-SA"/>
        </w:rPr>
        <w:t>5.1.3.1</w:t>
      </w:r>
      <w:r>
        <w:rPr>
          <w:rFonts w:hint="eastAsia" w:ascii="Times New Roman" w:hAnsi="Times New Roman" w:cs="Times New Roman"/>
          <w:b/>
          <w:bCs/>
          <w:color w:val="auto"/>
          <w:spacing w:val="0"/>
          <w:sz w:val="24"/>
          <w:szCs w:val="24"/>
          <w:lang w:val="en-US" w:eastAsia="zh-CN"/>
        </w:rPr>
        <w:t>已采取措施回顾</w:t>
      </w:r>
    </w:p>
    <w:p w14:paraId="78D562F9">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Arial" w:cs="Times New Roman"/>
          <w:snapToGrid w:val="0"/>
          <w:color w:val="auto"/>
          <w:spacing w:val="0"/>
          <w:kern w:val="0"/>
          <w:sz w:val="24"/>
          <w:szCs w:val="24"/>
          <w:lang w:val="en-US" w:eastAsia="zh-CN" w:bidi="ar-SA"/>
        </w:rPr>
      </w:pPr>
      <w:r>
        <w:rPr>
          <w:rFonts w:hint="default" w:ascii="Times New Roman" w:hAnsi="Times New Roman" w:eastAsia="Arial" w:cs="Times New Roman"/>
          <w:snapToGrid w:val="0"/>
          <w:color w:val="auto"/>
          <w:spacing w:val="0"/>
          <w:kern w:val="0"/>
          <w:sz w:val="24"/>
          <w:szCs w:val="24"/>
          <w:lang w:val="en-US" w:eastAsia="zh-CN" w:bidi="ar-SA"/>
        </w:rPr>
        <w:t>（1）</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eastAsia="Arial" w:cs="Times New Roman"/>
          <w:snapToGrid w:val="0"/>
          <w:color w:val="auto"/>
          <w:spacing w:val="0"/>
          <w:kern w:val="0"/>
          <w:sz w:val="24"/>
          <w:szCs w:val="24"/>
          <w:lang w:val="en-US" w:eastAsia="zh-CN" w:bidi="ar-SA"/>
        </w:rPr>
        <w:t>合理布局施工现场，</w:t>
      </w:r>
      <w:r>
        <w:rPr>
          <w:rFonts w:hint="eastAsia" w:ascii="Times New Roman" w:hAnsi="Times New Roman" w:cs="Times New Roman"/>
          <w:snapToGrid w:val="0"/>
          <w:color w:val="auto"/>
          <w:spacing w:val="0"/>
          <w:kern w:val="0"/>
          <w:sz w:val="24"/>
          <w:szCs w:val="24"/>
          <w:lang w:val="en-US" w:eastAsia="zh-CN" w:bidi="ar-SA"/>
        </w:rPr>
        <w:t>不</w:t>
      </w:r>
      <w:r>
        <w:rPr>
          <w:rFonts w:hint="default" w:ascii="Times New Roman" w:hAnsi="Times New Roman" w:eastAsia="Arial" w:cs="Times New Roman"/>
          <w:snapToGrid w:val="0"/>
          <w:color w:val="auto"/>
          <w:spacing w:val="0"/>
          <w:kern w:val="0"/>
          <w:sz w:val="24"/>
          <w:szCs w:val="24"/>
          <w:lang w:val="en-US" w:eastAsia="zh-CN" w:bidi="ar-SA"/>
        </w:rPr>
        <w:t>在同一地点安排大量动力机械设备，</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eastAsia="Arial" w:cs="Times New Roman"/>
          <w:snapToGrid w:val="0"/>
          <w:color w:val="auto"/>
          <w:spacing w:val="0"/>
          <w:kern w:val="0"/>
          <w:sz w:val="24"/>
          <w:szCs w:val="24"/>
          <w:lang w:val="en-US" w:eastAsia="zh-CN" w:bidi="ar-SA"/>
        </w:rPr>
        <w:t>将高噪声级机械置于地块较中间的位置；</w:t>
      </w:r>
    </w:p>
    <w:p w14:paraId="74009FB7">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Arial" w:cs="Times New Roman"/>
          <w:snapToGrid w:val="0"/>
          <w:color w:val="auto"/>
          <w:spacing w:val="0"/>
          <w:kern w:val="0"/>
          <w:sz w:val="24"/>
          <w:szCs w:val="24"/>
          <w:lang w:val="en-US" w:eastAsia="zh-CN" w:bidi="ar-SA"/>
        </w:rPr>
      </w:pPr>
      <w:r>
        <w:rPr>
          <w:rFonts w:hint="default" w:ascii="Times New Roman" w:hAnsi="Times New Roman" w:eastAsia="Arial" w:cs="Times New Roman"/>
          <w:snapToGrid w:val="0"/>
          <w:color w:val="auto"/>
          <w:spacing w:val="0"/>
          <w:kern w:val="0"/>
          <w:sz w:val="24"/>
          <w:szCs w:val="24"/>
          <w:lang w:val="en-US" w:eastAsia="zh-CN" w:bidi="ar-SA"/>
        </w:rPr>
        <w:t>（2）</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eastAsia="Arial" w:cs="Times New Roman"/>
          <w:snapToGrid w:val="0"/>
          <w:color w:val="auto"/>
          <w:spacing w:val="0"/>
          <w:kern w:val="0"/>
          <w:sz w:val="24"/>
          <w:szCs w:val="24"/>
          <w:lang w:val="en-US" w:eastAsia="zh-CN" w:bidi="ar-SA"/>
        </w:rPr>
        <w:t>合理安排施工时间，制定施工计划时，</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eastAsia="Arial" w:cs="Times New Roman"/>
          <w:snapToGrid w:val="0"/>
          <w:color w:val="auto"/>
          <w:spacing w:val="0"/>
          <w:kern w:val="0"/>
          <w:sz w:val="24"/>
          <w:szCs w:val="24"/>
          <w:lang w:val="en-US" w:eastAsia="zh-CN" w:bidi="ar-SA"/>
        </w:rPr>
        <w:t>避免高噪声设备同时施工；</w:t>
      </w:r>
      <w:r>
        <w:rPr>
          <w:rFonts w:hint="eastAsia" w:ascii="Times New Roman" w:hAnsi="Times New Roman" w:cs="Times New Roman"/>
          <w:snapToGrid w:val="0"/>
          <w:color w:val="auto"/>
          <w:spacing w:val="0"/>
          <w:kern w:val="0"/>
          <w:sz w:val="24"/>
          <w:szCs w:val="24"/>
          <w:lang w:val="en-US" w:eastAsia="zh-CN" w:bidi="ar-SA"/>
        </w:rPr>
        <w:t>未在夜间进行过施工</w:t>
      </w:r>
      <w:r>
        <w:rPr>
          <w:rFonts w:hint="default" w:ascii="Times New Roman" w:hAnsi="Times New Roman" w:eastAsia="Arial" w:cs="Times New Roman"/>
          <w:snapToGrid w:val="0"/>
          <w:color w:val="auto"/>
          <w:spacing w:val="0"/>
          <w:kern w:val="0"/>
          <w:sz w:val="24"/>
          <w:szCs w:val="24"/>
          <w:lang w:val="en-US" w:eastAsia="zh-CN" w:bidi="ar-SA"/>
        </w:rPr>
        <w:t>；</w:t>
      </w:r>
    </w:p>
    <w:p w14:paraId="75607287">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Arial" w:cs="Times New Roman"/>
          <w:snapToGrid w:val="0"/>
          <w:color w:val="auto"/>
          <w:spacing w:val="0"/>
          <w:kern w:val="0"/>
          <w:sz w:val="24"/>
          <w:szCs w:val="24"/>
          <w:lang w:val="en-US" w:eastAsia="zh-CN" w:bidi="ar-SA"/>
        </w:rPr>
      </w:pPr>
      <w:r>
        <w:rPr>
          <w:rFonts w:hint="default" w:ascii="Times New Roman" w:hAnsi="Times New Roman" w:eastAsia="Arial" w:cs="Times New Roman"/>
          <w:snapToGrid w:val="0"/>
          <w:color w:val="auto"/>
          <w:spacing w:val="0"/>
          <w:kern w:val="0"/>
          <w:sz w:val="24"/>
          <w:szCs w:val="24"/>
          <w:lang w:val="en-US" w:eastAsia="zh-CN" w:bidi="ar-SA"/>
        </w:rPr>
        <w:t>（3）施工机械选型时</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eastAsia="Arial" w:cs="Times New Roman"/>
          <w:snapToGrid w:val="0"/>
          <w:color w:val="auto"/>
          <w:spacing w:val="0"/>
          <w:kern w:val="0"/>
          <w:sz w:val="24"/>
          <w:szCs w:val="24"/>
          <w:lang w:val="en-US" w:eastAsia="zh-CN" w:bidi="ar-SA"/>
        </w:rPr>
        <w:t>选用低噪声的设备，</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eastAsia="Arial" w:cs="Times New Roman"/>
          <w:snapToGrid w:val="0"/>
          <w:color w:val="auto"/>
          <w:spacing w:val="0"/>
          <w:kern w:val="0"/>
          <w:sz w:val="24"/>
          <w:szCs w:val="24"/>
          <w:lang w:val="en-US" w:eastAsia="zh-CN" w:bidi="ar-SA"/>
        </w:rPr>
        <w:t>对动力机械设备进行定期维修、养护，</w:t>
      </w:r>
      <w:r>
        <w:rPr>
          <w:rFonts w:hint="eastAsia" w:ascii="Times New Roman" w:hAnsi="Times New Roman" w:cs="Times New Roman"/>
          <w:snapToGrid w:val="0"/>
          <w:color w:val="auto"/>
          <w:spacing w:val="0"/>
          <w:kern w:val="0"/>
          <w:sz w:val="24"/>
          <w:szCs w:val="24"/>
          <w:lang w:val="en-US" w:eastAsia="zh-CN" w:bidi="ar-SA"/>
        </w:rPr>
        <w:t>在</w:t>
      </w:r>
      <w:r>
        <w:rPr>
          <w:rFonts w:hint="default" w:ascii="Times New Roman" w:hAnsi="Times New Roman" w:eastAsia="Arial" w:cs="Times New Roman"/>
          <w:snapToGrid w:val="0"/>
          <w:color w:val="auto"/>
          <w:spacing w:val="0"/>
          <w:kern w:val="0"/>
          <w:sz w:val="24"/>
          <w:szCs w:val="24"/>
          <w:lang w:val="en-US" w:eastAsia="zh-CN" w:bidi="ar-SA"/>
        </w:rPr>
        <w:t>设备用完后或不用时</w:t>
      </w:r>
      <w:r>
        <w:rPr>
          <w:rFonts w:hint="eastAsia" w:ascii="Times New Roman" w:hAnsi="Times New Roman" w:cs="Times New Roman"/>
          <w:snapToGrid w:val="0"/>
          <w:color w:val="auto"/>
          <w:spacing w:val="0"/>
          <w:kern w:val="0"/>
          <w:sz w:val="24"/>
          <w:szCs w:val="24"/>
          <w:lang w:val="en-US" w:eastAsia="zh-CN" w:bidi="ar-SA"/>
        </w:rPr>
        <w:t>已采取</w:t>
      </w:r>
      <w:r>
        <w:rPr>
          <w:rFonts w:hint="default" w:ascii="Times New Roman" w:hAnsi="Times New Roman" w:eastAsia="Arial" w:cs="Times New Roman"/>
          <w:snapToGrid w:val="0"/>
          <w:color w:val="auto"/>
          <w:spacing w:val="0"/>
          <w:kern w:val="0"/>
          <w:sz w:val="24"/>
          <w:szCs w:val="24"/>
          <w:lang w:val="en-US" w:eastAsia="zh-CN" w:bidi="ar-SA"/>
        </w:rPr>
        <w:t>立即关闭</w:t>
      </w:r>
      <w:r>
        <w:rPr>
          <w:rFonts w:hint="eastAsia" w:ascii="Times New Roman" w:hAnsi="Times New Roman" w:cs="Times New Roman"/>
          <w:snapToGrid w:val="0"/>
          <w:color w:val="auto"/>
          <w:spacing w:val="0"/>
          <w:kern w:val="0"/>
          <w:sz w:val="24"/>
          <w:szCs w:val="24"/>
          <w:lang w:val="en-US" w:eastAsia="zh-CN" w:bidi="ar-SA"/>
        </w:rPr>
        <w:t>的措施</w:t>
      </w:r>
      <w:r>
        <w:rPr>
          <w:rFonts w:hint="default" w:ascii="Times New Roman" w:hAnsi="Times New Roman" w:eastAsia="Arial" w:cs="Times New Roman"/>
          <w:snapToGrid w:val="0"/>
          <w:color w:val="auto"/>
          <w:spacing w:val="0"/>
          <w:kern w:val="0"/>
          <w:sz w:val="24"/>
          <w:szCs w:val="24"/>
          <w:lang w:val="en-US" w:eastAsia="zh-CN" w:bidi="ar-SA"/>
        </w:rPr>
        <w:t>；</w:t>
      </w:r>
    </w:p>
    <w:p w14:paraId="245174C5">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outlineLvl w:val="3"/>
        <w:rPr>
          <w:rFonts w:hint="default" w:ascii="Times New Roman" w:hAnsi="Times New Roman" w:eastAsia="Arial" w:cs="Times New Roman"/>
          <w:b/>
          <w:bCs/>
          <w:snapToGrid w:val="0"/>
          <w:color w:val="auto"/>
          <w:spacing w:val="0"/>
          <w:kern w:val="0"/>
          <w:sz w:val="24"/>
          <w:szCs w:val="24"/>
          <w:lang w:val="en-US" w:eastAsia="zh-CN" w:bidi="ar-SA"/>
        </w:rPr>
      </w:pPr>
      <w:r>
        <w:rPr>
          <w:rFonts w:hint="eastAsia" w:ascii="Times New Roman" w:hAnsi="Times New Roman" w:cs="Times New Roman"/>
          <w:b/>
          <w:bCs/>
          <w:snapToGrid w:val="0"/>
          <w:color w:val="auto"/>
          <w:spacing w:val="0"/>
          <w:kern w:val="0"/>
          <w:sz w:val="24"/>
          <w:szCs w:val="24"/>
          <w:lang w:val="en-US" w:eastAsia="zh-CN" w:bidi="ar-SA"/>
        </w:rPr>
        <w:t>5.1.3.2</w:t>
      </w:r>
      <w:r>
        <w:rPr>
          <w:rFonts w:hint="eastAsia" w:ascii="Times New Roman" w:hAnsi="Times New Roman" w:cs="Times New Roman"/>
          <w:b/>
          <w:bCs/>
          <w:color w:val="auto"/>
          <w:spacing w:val="0"/>
          <w:sz w:val="24"/>
          <w:szCs w:val="24"/>
          <w:lang w:val="en-US" w:eastAsia="zh-CN"/>
        </w:rPr>
        <w:t>后期施工拟采取的措施及可行性分析</w:t>
      </w:r>
    </w:p>
    <w:p w14:paraId="09989ECC">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Arial" w:cs="Times New Roman"/>
          <w:snapToGrid w:val="0"/>
          <w:color w:val="auto"/>
          <w:spacing w:val="0"/>
          <w:kern w:val="0"/>
          <w:sz w:val="24"/>
          <w:szCs w:val="24"/>
          <w:lang w:val="en-US" w:eastAsia="zh-CN" w:bidi="ar-SA"/>
        </w:rPr>
      </w:pPr>
      <w:r>
        <w:rPr>
          <w:rFonts w:hint="eastAsia" w:ascii="Times New Roman" w:hAnsi="Times New Roman" w:eastAsia="宋体" w:cs="Times New Roman"/>
          <w:color w:val="auto"/>
          <w:spacing w:val="0"/>
          <w:sz w:val="24"/>
          <w:szCs w:val="24"/>
          <w:lang w:val="en-US" w:eastAsia="zh-CN"/>
        </w:rPr>
        <w:t>后期施工除延续采取前期施工措施外，还拟增加</w:t>
      </w:r>
      <w:r>
        <w:rPr>
          <w:rFonts w:hint="default" w:ascii="Times New Roman" w:hAnsi="Times New Roman" w:cs="Times New Roman"/>
          <w:color w:val="auto"/>
          <w:spacing w:val="0"/>
          <w:sz w:val="24"/>
          <w:szCs w:val="24"/>
        </w:rPr>
        <w:t>如下</w:t>
      </w:r>
      <w:r>
        <w:rPr>
          <w:rFonts w:hint="eastAsia" w:ascii="Times New Roman" w:hAnsi="Times New Roman" w:eastAsia="宋体" w:cs="Times New Roman"/>
          <w:color w:val="auto"/>
          <w:spacing w:val="0"/>
          <w:sz w:val="24"/>
          <w:szCs w:val="24"/>
          <w:lang w:val="en-US" w:eastAsia="zh-CN"/>
        </w:rPr>
        <w:t>噪声</w:t>
      </w:r>
      <w:r>
        <w:rPr>
          <w:rFonts w:hint="default" w:ascii="Times New Roman" w:hAnsi="Times New Roman" w:cs="Times New Roman"/>
          <w:color w:val="auto"/>
          <w:spacing w:val="0"/>
          <w:sz w:val="24"/>
          <w:szCs w:val="24"/>
        </w:rPr>
        <w:t>污染防治措施：</w:t>
      </w:r>
    </w:p>
    <w:p w14:paraId="6F265800">
      <w:pPr>
        <w:keepNext w:val="0"/>
        <w:keepLines w:val="0"/>
        <w:pageBreakBefore w:val="0"/>
        <w:widowControl/>
        <w:numPr>
          <w:ilvl w:val="0"/>
          <w:numId w:val="19"/>
        </w:numPr>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Arial" w:cs="Times New Roman"/>
          <w:snapToGrid w:val="0"/>
          <w:color w:val="auto"/>
          <w:spacing w:val="0"/>
          <w:kern w:val="0"/>
          <w:sz w:val="24"/>
          <w:szCs w:val="24"/>
          <w:lang w:val="en-US" w:eastAsia="zh-CN" w:bidi="ar-SA"/>
        </w:rPr>
      </w:pPr>
      <w:r>
        <w:rPr>
          <w:rFonts w:hint="eastAsia" w:ascii="Times New Roman" w:hAnsi="Times New Roman" w:cs="Times New Roman"/>
          <w:snapToGrid w:val="0"/>
          <w:color w:val="auto"/>
          <w:spacing w:val="0"/>
          <w:kern w:val="0"/>
          <w:sz w:val="24"/>
          <w:szCs w:val="24"/>
          <w:lang w:val="en-US" w:eastAsia="zh-CN" w:bidi="ar-SA"/>
        </w:rPr>
        <w:t>要</w:t>
      </w:r>
      <w:r>
        <w:rPr>
          <w:rFonts w:hint="default" w:ascii="Times New Roman" w:hAnsi="Times New Roman" w:eastAsia="Arial" w:cs="Times New Roman"/>
          <w:snapToGrid w:val="0"/>
          <w:color w:val="auto"/>
          <w:spacing w:val="0"/>
          <w:kern w:val="0"/>
          <w:sz w:val="24"/>
          <w:szCs w:val="24"/>
          <w:lang w:val="en-US" w:eastAsia="zh-CN" w:bidi="ar-SA"/>
        </w:rPr>
        <w:t>加强施工机械的维护保养，避免由于设备性能差而使机械噪声增大的现象发生。</w:t>
      </w:r>
    </w:p>
    <w:p w14:paraId="6DE75858">
      <w:pPr>
        <w:keepNext w:val="0"/>
        <w:keepLines w:val="0"/>
        <w:pageBreakBefore w:val="0"/>
        <w:widowControl/>
        <w:numPr>
          <w:ilvl w:val="0"/>
          <w:numId w:val="19"/>
        </w:numPr>
        <w:kinsoku w:val="0"/>
        <w:wordWrap/>
        <w:overflowPunct/>
        <w:topLinePunct w:val="0"/>
        <w:autoSpaceDE w:val="0"/>
        <w:autoSpaceDN w:val="0"/>
        <w:bidi w:val="0"/>
        <w:adjustRightInd/>
        <w:snapToGrid/>
        <w:spacing w:line="360" w:lineRule="auto"/>
        <w:ind w:left="0" w:firstLine="480" w:firstLineChars="200"/>
        <w:textAlignment w:val="baseline"/>
        <w:rPr>
          <w:rFonts w:hint="default" w:ascii="Times New Roman" w:hAnsi="Times New Roman" w:eastAsia="Arial" w:cs="Times New Roman"/>
          <w:snapToGrid w:val="0"/>
          <w:color w:val="auto"/>
          <w:spacing w:val="0"/>
          <w:kern w:val="0"/>
          <w:sz w:val="24"/>
          <w:szCs w:val="24"/>
          <w:lang w:val="en-US" w:eastAsia="zh-CN" w:bidi="ar-SA"/>
        </w:rPr>
      </w:pPr>
      <w:r>
        <w:rPr>
          <w:rFonts w:hint="default" w:ascii="Times New Roman" w:hAnsi="Times New Roman" w:eastAsia="Arial" w:cs="Times New Roman"/>
          <w:snapToGrid w:val="0"/>
          <w:color w:val="auto"/>
          <w:spacing w:val="0"/>
          <w:kern w:val="0"/>
          <w:sz w:val="24"/>
          <w:szCs w:val="24"/>
          <w:lang w:val="en-US" w:eastAsia="zh-CN" w:bidi="ar-SA"/>
        </w:rPr>
        <w:t>运输车辆进入现场应减速、减少鸣笛等。</w:t>
      </w:r>
    </w:p>
    <w:p w14:paraId="4D10E03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lang w:val="en-US" w:eastAsia="zh-CN"/>
        </w:rPr>
      </w:pPr>
      <w:r>
        <w:rPr>
          <w:rFonts w:hint="default" w:ascii="Times New Roman" w:hAnsi="Times New Roman" w:cs="Times New Roman"/>
          <w:color w:val="auto"/>
          <w:spacing w:val="0"/>
          <w:sz w:val="24"/>
          <w:szCs w:val="24"/>
          <w:lang w:val="en-US" w:eastAsia="zh-CN"/>
        </w:rPr>
        <w:t>本项目施工期产生的噪声主要通过选用低噪声的设备、合理布局施工现场、合理安排施工时间、加强施工机械的维护保养及控制车辆减速和减少鸣笛等措施进行噪声防治，多为管理措施，措施简单，投资很少。因此施工期噪声污染防治措施在技术上和经济上是可行的。</w:t>
      </w:r>
    </w:p>
    <w:p w14:paraId="1AB158D4">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color w:val="auto"/>
          <w:sz w:val="24"/>
          <w:szCs w:val="24"/>
        </w:rPr>
      </w:pPr>
      <w:bookmarkStart w:id="209" w:name="_Toc22741"/>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.1.4 </w:t>
      </w:r>
      <w:r>
        <w:rPr>
          <w:b/>
          <w:bCs/>
          <w:color w:val="auto"/>
          <w:spacing w:val="-2"/>
          <w:sz w:val="24"/>
          <w:szCs w:val="24"/>
        </w:rPr>
        <w:t>振动污染防治措施</w:t>
      </w:r>
      <w:bookmarkEnd w:id="209"/>
    </w:p>
    <w:p w14:paraId="646AB43C">
      <w:pPr>
        <w:keepNext w:val="0"/>
        <w:keepLines w:val="0"/>
        <w:pageBreakBefore w:val="0"/>
        <w:widowControl/>
        <w:kinsoku w:val="0"/>
        <w:wordWrap/>
        <w:overflowPunct/>
        <w:topLinePunct w:val="0"/>
        <w:autoSpaceDE w:val="0"/>
        <w:autoSpaceDN w:val="0"/>
        <w:bidi w:val="0"/>
        <w:adjustRightInd/>
        <w:snapToGrid/>
        <w:spacing w:line="360" w:lineRule="auto"/>
        <w:ind w:left="0" w:firstLine="480" w:firstLineChars="200"/>
        <w:textAlignment w:val="baseline"/>
        <w:outlineLvl w:val="3"/>
        <w:rPr>
          <w:rFonts w:hint="default" w:ascii="Times New Roman" w:hAnsi="Times New Roman" w:eastAsia="Arial" w:cs="Times New Roman"/>
          <w:b/>
          <w:bCs/>
          <w:snapToGrid w:val="0"/>
          <w:color w:val="auto"/>
          <w:spacing w:val="0"/>
          <w:kern w:val="0"/>
          <w:sz w:val="24"/>
          <w:szCs w:val="24"/>
          <w:lang w:val="en-US" w:eastAsia="zh-CN" w:bidi="ar-SA"/>
        </w:rPr>
      </w:pPr>
      <w:r>
        <w:rPr>
          <w:rFonts w:hint="eastAsia" w:ascii="Times New Roman" w:hAnsi="Times New Roman" w:cs="Times New Roman"/>
          <w:b/>
          <w:bCs/>
          <w:snapToGrid w:val="0"/>
          <w:color w:val="auto"/>
          <w:spacing w:val="0"/>
          <w:kern w:val="0"/>
          <w:sz w:val="24"/>
          <w:szCs w:val="24"/>
          <w:lang w:val="en-US" w:eastAsia="zh-CN" w:bidi="ar-SA"/>
        </w:rPr>
        <w:t>5.1.4.1</w:t>
      </w:r>
      <w:r>
        <w:rPr>
          <w:rFonts w:hint="eastAsia" w:ascii="Times New Roman" w:hAnsi="Times New Roman" w:cs="Times New Roman"/>
          <w:b/>
          <w:bCs/>
          <w:color w:val="auto"/>
          <w:spacing w:val="0"/>
          <w:sz w:val="24"/>
          <w:szCs w:val="24"/>
          <w:lang w:val="en-US" w:eastAsia="zh-CN"/>
        </w:rPr>
        <w:t>已采取措施回顾</w:t>
      </w:r>
    </w:p>
    <w:p w14:paraId="21C65ED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1</w:t>
      </w:r>
      <w:r>
        <w:rPr>
          <w:rFonts w:hint="eastAsia" w:ascii="Times New Roman" w:hAnsi="Times New Roman" w:eastAsia="宋体" w:cs="Times New Roman"/>
          <w:color w:val="auto"/>
          <w:spacing w:val="0"/>
          <w:sz w:val="24"/>
          <w:szCs w:val="24"/>
          <w:lang w:eastAsia="zh-CN"/>
        </w:rPr>
        <w:t>）</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cs="Times New Roman"/>
          <w:color w:val="auto"/>
          <w:spacing w:val="0"/>
          <w:sz w:val="24"/>
          <w:szCs w:val="24"/>
        </w:rPr>
        <w:t>在保证施工进度的前提下，合理安排</w:t>
      </w:r>
      <w:r>
        <w:rPr>
          <w:rFonts w:hint="eastAsia" w:ascii="Times New Roman" w:hAnsi="Times New Roman" w:eastAsia="宋体" w:cs="Times New Roman"/>
          <w:color w:val="auto"/>
          <w:spacing w:val="0"/>
          <w:sz w:val="24"/>
          <w:szCs w:val="24"/>
          <w:lang w:val="en-US" w:eastAsia="zh-CN"/>
        </w:rPr>
        <w:t>了</w:t>
      </w:r>
      <w:r>
        <w:rPr>
          <w:rFonts w:hint="default" w:ascii="Times New Roman" w:hAnsi="Times New Roman" w:cs="Times New Roman"/>
          <w:color w:val="auto"/>
          <w:spacing w:val="0"/>
          <w:sz w:val="24"/>
          <w:szCs w:val="24"/>
        </w:rPr>
        <w:t>施工作业时间。</w:t>
      </w:r>
      <w:r>
        <w:rPr>
          <w:rFonts w:hint="eastAsia" w:ascii="Times New Roman" w:hAnsi="Times New Roman" w:eastAsia="宋体" w:cs="Times New Roman"/>
          <w:color w:val="auto"/>
          <w:spacing w:val="0"/>
          <w:sz w:val="24"/>
          <w:szCs w:val="24"/>
          <w:lang w:val="en-US" w:eastAsia="zh-CN"/>
        </w:rPr>
        <w:t>已对</w:t>
      </w:r>
      <w:r>
        <w:rPr>
          <w:rFonts w:hint="default" w:ascii="Times New Roman" w:hAnsi="Times New Roman" w:cs="Times New Roman"/>
          <w:color w:val="auto"/>
          <w:spacing w:val="0"/>
          <w:sz w:val="24"/>
          <w:szCs w:val="24"/>
        </w:rPr>
        <w:t>施工人员的环境保护意识</w:t>
      </w:r>
      <w:r>
        <w:rPr>
          <w:rFonts w:hint="eastAsia" w:ascii="Times New Roman" w:hAnsi="Times New Roman" w:eastAsia="宋体" w:cs="Times New Roman"/>
          <w:color w:val="auto"/>
          <w:spacing w:val="0"/>
          <w:sz w:val="24"/>
          <w:szCs w:val="24"/>
          <w:lang w:val="en-US" w:eastAsia="zh-CN"/>
        </w:rPr>
        <w:t>进行了</w:t>
      </w:r>
      <w:r>
        <w:rPr>
          <w:rFonts w:hint="default" w:ascii="Times New Roman" w:hAnsi="Times New Roman" w:cs="Times New Roman"/>
          <w:color w:val="auto"/>
          <w:spacing w:val="0"/>
          <w:sz w:val="24"/>
          <w:szCs w:val="24"/>
        </w:rPr>
        <w:t>教育。</w:t>
      </w:r>
    </w:p>
    <w:p w14:paraId="52624FE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2</w:t>
      </w:r>
      <w:r>
        <w:rPr>
          <w:rFonts w:hint="eastAsia" w:ascii="Times New Roman" w:hAnsi="Times New Roman" w:eastAsia="宋体" w:cs="Times New Roman"/>
          <w:color w:val="auto"/>
          <w:spacing w:val="0"/>
          <w:sz w:val="24"/>
          <w:szCs w:val="24"/>
          <w:lang w:eastAsia="zh-CN"/>
        </w:rPr>
        <w:t>）</w:t>
      </w:r>
      <w:r>
        <w:rPr>
          <w:rFonts w:hint="default" w:ascii="Times New Roman" w:hAnsi="Times New Roman" w:cs="Times New Roman"/>
          <w:color w:val="auto"/>
          <w:spacing w:val="0"/>
          <w:sz w:val="24"/>
          <w:szCs w:val="24"/>
        </w:rPr>
        <w:t>施工单位</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cs="Times New Roman"/>
          <w:color w:val="auto"/>
          <w:spacing w:val="0"/>
          <w:sz w:val="24"/>
          <w:szCs w:val="24"/>
        </w:rPr>
        <w:t>对打桩机类的强振动施工机械的使用加强</w:t>
      </w:r>
      <w:r>
        <w:rPr>
          <w:rFonts w:hint="eastAsia" w:ascii="Times New Roman" w:hAnsi="Times New Roman" w:eastAsia="宋体" w:cs="Times New Roman"/>
          <w:color w:val="auto"/>
          <w:spacing w:val="0"/>
          <w:sz w:val="24"/>
          <w:szCs w:val="24"/>
          <w:lang w:val="en-US" w:eastAsia="zh-CN"/>
        </w:rPr>
        <w:t>了</w:t>
      </w:r>
      <w:r>
        <w:rPr>
          <w:rFonts w:hint="default" w:ascii="Times New Roman" w:hAnsi="Times New Roman" w:cs="Times New Roman"/>
          <w:color w:val="auto"/>
          <w:spacing w:val="0"/>
          <w:sz w:val="24"/>
          <w:szCs w:val="24"/>
        </w:rPr>
        <w:t>控制和管理，同时施工中各种振动性作业</w:t>
      </w:r>
      <w:r>
        <w:rPr>
          <w:rFonts w:hint="eastAsia" w:ascii="Times New Roman" w:hAnsi="Times New Roman" w:eastAsia="宋体" w:cs="Times New Roman"/>
          <w:color w:val="auto"/>
          <w:spacing w:val="0"/>
          <w:sz w:val="24"/>
          <w:szCs w:val="24"/>
          <w:lang w:val="en-US" w:eastAsia="zh-CN"/>
        </w:rPr>
        <w:t>到做到了</w:t>
      </w:r>
      <w:r>
        <w:rPr>
          <w:rFonts w:hint="default" w:ascii="Times New Roman" w:hAnsi="Times New Roman" w:cs="Times New Roman"/>
          <w:color w:val="auto"/>
          <w:spacing w:val="0"/>
          <w:sz w:val="24"/>
          <w:szCs w:val="24"/>
        </w:rPr>
        <w:t>在昼间进行。在建筑结构较差的房屋附近施工时，</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cs="Times New Roman"/>
          <w:color w:val="auto"/>
          <w:spacing w:val="0"/>
          <w:sz w:val="24"/>
          <w:szCs w:val="24"/>
        </w:rPr>
        <w:t>使用低振动设备。</w:t>
      </w:r>
      <w:r>
        <w:rPr>
          <w:rFonts w:hint="eastAsia" w:ascii="Times New Roman" w:hAnsi="Times New Roman" w:cs="Times New Roman"/>
          <w:snapToGrid w:val="0"/>
          <w:color w:val="auto"/>
          <w:spacing w:val="0"/>
          <w:kern w:val="0"/>
          <w:sz w:val="24"/>
          <w:szCs w:val="24"/>
          <w:lang w:val="en-US" w:eastAsia="zh-CN" w:bidi="ar-SA"/>
        </w:rPr>
        <w:t>已</w:t>
      </w:r>
      <w:r>
        <w:rPr>
          <w:rFonts w:hint="default" w:ascii="Times New Roman" w:hAnsi="Times New Roman" w:cs="Times New Roman"/>
          <w:color w:val="auto"/>
          <w:spacing w:val="0"/>
          <w:sz w:val="24"/>
          <w:szCs w:val="24"/>
        </w:rPr>
        <w:t>对强振动施工机械要加强控制和管理。</w:t>
      </w:r>
    </w:p>
    <w:p w14:paraId="5518A8C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3"/>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5.1.4.2后期施工拟采取的措施及可行性分析</w:t>
      </w:r>
    </w:p>
    <w:p w14:paraId="4A97CECF">
      <w:pPr>
        <w:pStyle w:val="9"/>
        <w:keepNext w:val="0"/>
        <w:keepLines w:val="0"/>
        <w:pageBreakBefore w:val="0"/>
        <w:widowControl/>
        <w:wordWrap/>
        <w:overflowPunct/>
        <w:topLinePunct w:val="0"/>
        <w:autoSpaceDE w:val="0"/>
        <w:autoSpaceDN w:val="0"/>
        <w:bidi w:val="0"/>
        <w:adjustRightInd/>
        <w:snapToGrid/>
        <w:spacing w:line="360" w:lineRule="auto"/>
        <w:ind w:left="0" w:right="0" w:firstLine="491"/>
        <w:textAlignment w:val="baseline"/>
        <w:rPr>
          <w:rFonts w:hint="eastAsia" w:eastAsia="宋体"/>
          <w:color w:val="auto"/>
          <w:sz w:val="24"/>
          <w:szCs w:val="24"/>
          <w:lang w:val="en-US" w:eastAsia="zh-CN"/>
        </w:rPr>
      </w:pPr>
      <w:r>
        <w:rPr>
          <w:rFonts w:hint="eastAsia" w:eastAsia="宋体"/>
          <w:color w:val="auto"/>
          <w:sz w:val="24"/>
          <w:szCs w:val="24"/>
          <w:lang w:val="en-US" w:eastAsia="zh-CN"/>
        </w:rPr>
        <w:t>由于后期施工期施工时间较短，施工量较小，</w:t>
      </w:r>
      <w:r>
        <w:rPr>
          <w:rFonts w:hint="eastAsia" w:ascii="Times New Roman" w:hAnsi="Times New Roman" w:eastAsia="宋体" w:cs="Times New Roman"/>
          <w:color w:val="auto"/>
          <w:spacing w:val="0"/>
          <w:sz w:val="24"/>
          <w:szCs w:val="24"/>
          <w:lang w:val="en-US" w:eastAsia="zh-CN"/>
        </w:rPr>
        <w:t>后期施工将延续采取前期施工措施，不再新增振动</w:t>
      </w:r>
      <w:r>
        <w:rPr>
          <w:rFonts w:hint="default" w:ascii="Times New Roman" w:hAnsi="Times New Roman" w:cs="Times New Roman"/>
          <w:color w:val="auto"/>
          <w:spacing w:val="0"/>
          <w:sz w:val="24"/>
          <w:szCs w:val="24"/>
        </w:rPr>
        <w:t>污染防治措施</w:t>
      </w:r>
      <w:r>
        <w:rPr>
          <w:rFonts w:hint="eastAsia" w:ascii="Times New Roman" w:hAnsi="Times New Roman" w:eastAsia="宋体" w:cs="Times New Roman"/>
          <w:color w:val="auto"/>
          <w:spacing w:val="0"/>
          <w:sz w:val="24"/>
          <w:szCs w:val="24"/>
          <w:lang w:eastAsia="zh-CN"/>
        </w:rPr>
        <w:t>。</w:t>
      </w:r>
    </w:p>
    <w:p w14:paraId="1744B3B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本项目施工期产生的噪声主要通过合理布局施工现场、合理安排施工时间、加强施工机械的维护保养及控制车辆减速和减少鸣笛等措施进行噪声防治，多为管理措施，措施简单，投资很少。因此施工期</w:t>
      </w:r>
      <w:r>
        <w:rPr>
          <w:rFonts w:hint="eastAsia" w:ascii="Times New Roman" w:hAnsi="Times New Roman" w:cs="Times New Roman"/>
          <w:color w:val="auto"/>
          <w:spacing w:val="0"/>
          <w:sz w:val="24"/>
          <w:szCs w:val="24"/>
          <w:lang w:val="en-US" w:eastAsia="zh-CN"/>
        </w:rPr>
        <w:t>振动</w:t>
      </w:r>
      <w:r>
        <w:rPr>
          <w:rFonts w:hint="default" w:ascii="Times New Roman" w:hAnsi="Times New Roman" w:cs="Times New Roman"/>
          <w:color w:val="auto"/>
          <w:spacing w:val="0"/>
          <w:sz w:val="24"/>
          <w:szCs w:val="24"/>
          <w:lang w:val="en-US" w:eastAsia="zh-CN"/>
        </w:rPr>
        <w:t>污染防治措施在技术上和经济上是可行的。</w:t>
      </w:r>
    </w:p>
    <w:p w14:paraId="07DD8A3F">
      <w:pPr>
        <w:pStyle w:val="9"/>
        <w:keepNext w:val="0"/>
        <w:keepLines w:val="0"/>
        <w:pageBreakBefore w:val="0"/>
        <w:widowControl/>
        <w:kinsoku w:val="0"/>
        <w:wordWrap/>
        <w:overflowPunct/>
        <w:topLinePunct w:val="0"/>
        <w:autoSpaceDE w:val="0"/>
        <w:autoSpaceDN w:val="0"/>
        <w:bidi w:val="0"/>
        <w:adjustRightInd/>
        <w:snapToGrid/>
        <w:spacing w:before="1" w:line="360" w:lineRule="auto"/>
        <w:ind w:left="0" w:firstLine="462" w:firstLineChars="200"/>
        <w:textAlignment w:val="baseline"/>
        <w:outlineLvl w:val="2"/>
        <w:rPr>
          <w:color w:val="auto"/>
          <w:sz w:val="24"/>
          <w:szCs w:val="24"/>
        </w:rPr>
      </w:pPr>
      <w:bookmarkStart w:id="210" w:name="_Toc1648"/>
      <w:r>
        <w:rPr>
          <w:rFonts w:hint="eastAsia" w:ascii="Times New Roman" w:hAnsi="Times New Roman" w:eastAsia="宋体" w:cs="Times New Roman"/>
          <w:b/>
          <w:bCs/>
          <w:color w:val="auto"/>
          <w:spacing w:val="-5"/>
          <w:sz w:val="24"/>
          <w:szCs w:val="24"/>
          <w:lang w:val="en-US" w:eastAsia="zh-CN"/>
        </w:rPr>
        <w:t>5</w:t>
      </w:r>
      <w:r>
        <w:rPr>
          <w:rFonts w:ascii="Times New Roman" w:hAnsi="Times New Roman" w:eastAsia="Times New Roman" w:cs="Times New Roman"/>
          <w:b/>
          <w:bCs/>
          <w:color w:val="auto"/>
          <w:spacing w:val="-5"/>
          <w:sz w:val="24"/>
          <w:szCs w:val="24"/>
        </w:rPr>
        <w:t>.1.5</w:t>
      </w:r>
      <w:r>
        <w:rPr>
          <w:rFonts w:ascii="Times New Roman" w:hAnsi="Times New Roman" w:eastAsia="Times New Roman" w:cs="Times New Roman"/>
          <w:b/>
          <w:bCs/>
          <w:color w:val="auto"/>
          <w:spacing w:val="37"/>
          <w:w w:val="101"/>
          <w:sz w:val="24"/>
          <w:szCs w:val="24"/>
        </w:rPr>
        <w:t xml:space="preserve"> </w:t>
      </w:r>
      <w:r>
        <w:rPr>
          <w:b/>
          <w:bCs/>
          <w:color w:val="auto"/>
          <w:spacing w:val="-5"/>
          <w:sz w:val="24"/>
          <w:szCs w:val="24"/>
        </w:rPr>
        <w:t>固体废物处置措施</w:t>
      </w:r>
      <w:bookmarkEnd w:id="210"/>
    </w:p>
    <w:p w14:paraId="48F4C53E">
      <w:pPr>
        <w:pStyle w:val="9"/>
        <w:keepNext w:val="0"/>
        <w:keepLines w:val="0"/>
        <w:pageBreakBefore w:val="0"/>
        <w:widowControl/>
        <w:wordWrap/>
        <w:overflowPunct/>
        <w:topLinePunct w:val="0"/>
        <w:autoSpaceDE w:val="0"/>
        <w:autoSpaceDN w:val="0"/>
        <w:bidi w:val="0"/>
        <w:adjustRightInd/>
        <w:snapToGrid/>
        <w:spacing w:line="360" w:lineRule="auto"/>
        <w:ind w:left="0" w:right="0" w:firstLine="476" w:firstLineChars="200"/>
        <w:textAlignment w:val="baseline"/>
        <w:rPr>
          <w:color w:val="auto"/>
          <w:sz w:val="24"/>
          <w:szCs w:val="24"/>
        </w:rPr>
      </w:pPr>
      <w:r>
        <w:rPr>
          <w:color w:val="auto"/>
          <w:spacing w:val="-1"/>
          <w:sz w:val="24"/>
          <w:szCs w:val="24"/>
        </w:rPr>
        <w:t>施工期产生的固体废弃物主要是施工人员生活垃圾、建筑垃圾。</w:t>
      </w:r>
    </w:p>
    <w:p w14:paraId="41BA6E3E">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outlineLvl w:val="3"/>
        <w:rPr>
          <w:rFonts w:hint="default" w:ascii="Times New Roman" w:hAnsi="Times New Roman" w:eastAsia="Arial" w:cs="Times New Roman"/>
          <w:b/>
          <w:bCs/>
          <w:snapToGrid w:val="0"/>
          <w:color w:val="auto"/>
          <w:spacing w:val="0"/>
          <w:kern w:val="0"/>
          <w:sz w:val="24"/>
          <w:szCs w:val="24"/>
          <w:lang w:val="en-US" w:eastAsia="zh-CN" w:bidi="ar-SA"/>
        </w:rPr>
      </w:pPr>
      <w:r>
        <w:rPr>
          <w:rFonts w:hint="eastAsia" w:ascii="Times New Roman" w:hAnsi="Times New Roman" w:cs="Times New Roman"/>
          <w:b/>
          <w:bCs/>
          <w:snapToGrid w:val="0"/>
          <w:color w:val="auto"/>
          <w:spacing w:val="0"/>
          <w:kern w:val="0"/>
          <w:sz w:val="24"/>
          <w:szCs w:val="24"/>
          <w:lang w:val="en-US" w:eastAsia="zh-CN" w:bidi="ar-SA"/>
        </w:rPr>
        <w:t>5.1.5.1</w:t>
      </w:r>
      <w:r>
        <w:rPr>
          <w:rFonts w:hint="eastAsia" w:ascii="Times New Roman" w:hAnsi="Times New Roman" w:cs="Times New Roman"/>
          <w:b/>
          <w:bCs/>
          <w:color w:val="auto"/>
          <w:spacing w:val="0"/>
          <w:sz w:val="24"/>
          <w:szCs w:val="24"/>
          <w:lang w:val="en-US" w:eastAsia="zh-CN"/>
        </w:rPr>
        <w:t>已采取措施回顾</w:t>
      </w:r>
    </w:p>
    <w:p w14:paraId="0BC136C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r>
        <w:rPr>
          <w:rFonts w:hint="default" w:ascii="Times New Roman" w:hAnsi="Times New Roman" w:eastAsia="Times New Roman" w:cs="Times New Roman"/>
          <w:color w:val="auto"/>
          <w:sz w:val="24"/>
          <w:szCs w:val="24"/>
        </w:rPr>
        <w:t>1</w:t>
      </w:r>
      <w:r>
        <w:rPr>
          <w:rFonts w:hint="default" w:ascii="Times New Roman" w:hAnsi="Times New Roman" w:cs="Times New Roman"/>
          <w:color w:val="auto"/>
          <w:sz w:val="24"/>
          <w:szCs w:val="24"/>
        </w:rPr>
        <w:t>）</w:t>
      </w:r>
      <w:r>
        <w:rPr>
          <w:rFonts w:hint="default" w:ascii="Times New Roman" w:hAnsi="Times New Roman" w:eastAsia="宋体" w:cs="Times New Roman"/>
          <w:color w:val="auto"/>
          <w:sz w:val="24"/>
          <w:szCs w:val="24"/>
          <w:lang w:val="en-US" w:eastAsia="zh-CN"/>
        </w:rPr>
        <w:t>已在</w:t>
      </w:r>
      <w:r>
        <w:rPr>
          <w:rFonts w:hint="default" w:ascii="Times New Roman" w:hAnsi="Times New Roman" w:cs="Times New Roman"/>
          <w:color w:val="auto"/>
          <w:sz w:val="24"/>
          <w:szCs w:val="24"/>
        </w:rPr>
        <w:t>施工营地设置</w:t>
      </w:r>
      <w:r>
        <w:rPr>
          <w:rFonts w:hint="default" w:ascii="Times New Roman" w:hAnsi="Times New Roman" w:eastAsia="宋体" w:cs="Times New Roman"/>
          <w:color w:val="auto"/>
          <w:sz w:val="24"/>
          <w:szCs w:val="24"/>
          <w:lang w:val="en-US" w:eastAsia="zh-CN"/>
        </w:rPr>
        <w:t>了4个</w:t>
      </w:r>
      <w:r>
        <w:rPr>
          <w:rFonts w:hint="default" w:ascii="Times New Roman" w:hAnsi="Times New Roman" w:cs="Times New Roman"/>
          <w:color w:val="auto"/>
          <w:sz w:val="24"/>
          <w:szCs w:val="24"/>
        </w:rPr>
        <w:t>垃圾桶，施工期间产生的生活垃圾经垃圾桶收集</w:t>
      </w:r>
      <w:r>
        <w:rPr>
          <w:rFonts w:hint="default" w:ascii="Times New Roman" w:hAnsi="Times New Roman" w:cs="Times New Roman"/>
          <w:color w:val="auto"/>
          <w:spacing w:val="-1"/>
          <w:sz w:val="24"/>
          <w:szCs w:val="24"/>
        </w:rPr>
        <w:t>后，运往</w:t>
      </w:r>
      <w:r>
        <w:rPr>
          <w:rFonts w:hint="eastAsia" w:ascii="Times New Roman" w:hAnsi="Times New Roman" w:eastAsia="宋体" w:cs="Times New Roman"/>
          <w:color w:val="auto"/>
          <w:spacing w:val="-1"/>
          <w:sz w:val="24"/>
          <w:szCs w:val="24"/>
          <w:lang w:val="en-US" w:eastAsia="zh-CN"/>
        </w:rPr>
        <w:t>了</w:t>
      </w:r>
      <w:r>
        <w:rPr>
          <w:rFonts w:hint="default" w:ascii="Times New Roman" w:hAnsi="Times New Roman" w:eastAsia="宋体" w:cs="Times New Roman"/>
          <w:color w:val="auto"/>
          <w:spacing w:val="-1"/>
          <w:sz w:val="24"/>
          <w:szCs w:val="24"/>
          <w:lang w:eastAsia="zh-CN"/>
        </w:rPr>
        <w:t>园区环卫部门</w:t>
      </w:r>
      <w:r>
        <w:rPr>
          <w:rFonts w:hint="default" w:ascii="Times New Roman" w:hAnsi="Times New Roman" w:cs="Times New Roman"/>
          <w:color w:val="auto"/>
          <w:spacing w:val="-1"/>
          <w:sz w:val="24"/>
          <w:szCs w:val="24"/>
        </w:rPr>
        <w:t>指定地点，交由</w:t>
      </w:r>
      <w:r>
        <w:rPr>
          <w:rFonts w:hint="eastAsia" w:ascii="Times New Roman" w:hAnsi="Times New Roman" w:eastAsia="宋体" w:cs="Times New Roman"/>
          <w:color w:val="auto"/>
          <w:spacing w:val="-1"/>
          <w:sz w:val="24"/>
          <w:szCs w:val="24"/>
          <w:lang w:val="en-US" w:eastAsia="zh-CN"/>
        </w:rPr>
        <w:t>了</w:t>
      </w:r>
      <w:r>
        <w:rPr>
          <w:rFonts w:hint="default" w:ascii="Times New Roman" w:hAnsi="Times New Roman" w:cs="Times New Roman"/>
          <w:color w:val="auto"/>
          <w:spacing w:val="-1"/>
          <w:sz w:val="24"/>
          <w:szCs w:val="24"/>
        </w:rPr>
        <w:t>环卫部门统一处置；</w:t>
      </w:r>
    </w:p>
    <w:p w14:paraId="25B7751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r>
        <w:rPr>
          <w:rFonts w:hint="default" w:ascii="Times New Roman" w:hAnsi="Times New Roman" w:eastAsia="Times New Roman" w:cs="Times New Roman"/>
          <w:color w:val="auto"/>
          <w:sz w:val="24"/>
          <w:szCs w:val="24"/>
        </w:rPr>
        <w:t>2</w:t>
      </w:r>
      <w:r>
        <w:rPr>
          <w:rFonts w:hint="default" w:ascii="Times New Roman" w:hAnsi="Times New Roman" w:cs="Times New Roman"/>
          <w:color w:val="auto"/>
          <w:sz w:val="24"/>
          <w:szCs w:val="24"/>
        </w:rPr>
        <w:t>）建筑垃圾分类收集后</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外售给废品回收站，不可利</w:t>
      </w:r>
      <w:r>
        <w:rPr>
          <w:rFonts w:hint="default" w:ascii="Times New Roman" w:hAnsi="Times New Roman" w:cs="Times New Roman"/>
          <w:color w:val="auto"/>
          <w:spacing w:val="-1"/>
          <w:sz w:val="24"/>
          <w:szCs w:val="24"/>
        </w:rPr>
        <w:t>用</w:t>
      </w:r>
      <w:r>
        <w:rPr>
          <w:rFonts w:hint="eastAsia" w:ascii="Times New Roman" w:hAnsi="Times New Roman" w:eastAsia="宋体" w:cs="Times New Roman"/>
          <w:color w:val="auto"/>
          <w:spacing w:val="-1"/>
          <w:sz w:val="24"/>
          <w:szCs w:val="24"/>
          <w:lang w:val="en-US" w:eastAsia="zh-CN"/>
        </w:rPr>
        <w:t>的</w:t>
      </w:r>
      <w:r>
        <w:rPr>
          <w:rFonts w:hint="default" w:ascii="Times New Roman" w:hAnsi="Times New Roman" w:cs="Times New Roman"/>
          <w:color w:val="auto"/>
          <w:spacing w:val="-1"/>
          <w:sz w:val="24"/>
          <w:szCs w:val="24"/>
        </w:rPr>
        <w:t>部分</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pacing w:val="-1"/>
          <w:sz w:val="24"/>
          <w:szCs w:val="24"/>
        </w:rPr>
        <w:t>清运至</w:t>
      </w:r>
      <w:r>
        <w:rPr>
          <w:rFonts w:hint="default" w:ascii="Times New Roman" w:hAnsi="Times New Roman" w:eastAsia="宋体" w:cs="Times New Roman"/>
          <w:color w:val="auto"/>
          <w:spacing w:val="-1"/>
          <w:sz w:val="24"/>
          <w:szCs w:val="24"/>
          <w:lang w:val="en-US" w:eastAsia="zh-CN"/>
        </w:rPr>
        <w:t>园区</w:t>
      </w:r>
      <w:r>
        <w:rPr>
          <w:rFonts w:hint="default" w:ascii="Times New Roman" w:hAnsi="Times New Roman" w:cs="Times New Roman"/>
          <w:color w:val="auto"/>
          <w:spacing w:val="-1"/>
          <w:sz w:val="24"/>
          <w:szCs w:val="24"/>
        </w:rPr>
        <w:t>指定地点处置。</w:t>
      </w:r>
    </w:p>
    <w:p w14:paraId="16B868A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z w:val="24"/>
          <w:szCs w:val="24"/>
        </w:rPr>
        <w:t>（</w:t>
      </w:r>
      <w:r>
        <w:rPr>
          <w:rFonts w:hint="default" w:ascii="Times New Roman" w:hAnsi="Times New Roman" w:eastAsia="Times New Roman" w:cs="Times New Roman"/>
          <w:color w:val="auto"/>
          <w:sz w:val="24"/>
          <w:szCs w:val="24"/>
        </w:rPr>
        <w:t>3</w:t>
      </w:r>
      <w:r>
        <w:rPr>
          <w:rFonts w:hint="default" w:ascii="Times New Roman" w:hAnsi="Times New Roman" w:cs="Times New Roman"/>
          <w:color w:val="auto"/>
          <w:sz w:val="24"/>
          <w:szCs w:val="24"/>
        </w:rPr>
        <w:t>）施工开挖产生的土石方</w:t>
      </w:r>
      <w:r>
        <w:rPr>
          <w:rFonts w:hint="default"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全部回填，无弃方产生</w:t>
      </w:r>
      <w:r>
        <w:rPr>
          <w:rFonts w:hint="default" w:ascii="Times New Roman" w:hAnsi="Times New Roman" w:cs="Times New Roman"/>
          <w:color w:val="auto"/>
          <w:spacing w:val="-1"/>
          <w:sz w:val="24"/>
          <w:szCs w:val="24"/>
        </w:rPr>
        <w:t>。</w:t>
      </w:r>
    </w:p>
    <w:p w14:paraId="75A9E62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3"/>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5.1.5.2后期施工拟采取的措施及可行性分析</w:t>
      </w:r>
    </w:p>
    <w:p w14:paraId="614FCACE">
      <w:pPr>
        <w:pStyle w:val="9"/>
        <w:keepNext w:val="0"/>
        <w:keepLines w:val="0"/>
        <w:pageBreakBefore w:val="0"/>
        <w:widowControl/>
        <w:wordWrap/>
        <w:overflowPunct/>
        <w:topLinePunct w:val="0"/>
        <w:autoSpaceDE w:val="0"/>
        <w:autoSpaceDN w:val="0"/>
        <w:bidi w:val="0"/>
        <w:adjustRightInd/>
        <w:snapToGrid/>
        <w:spacing w:line="360" w:lineRule="auto"/>
        <w:ind w:left="0" w:right="0" w:firstLine="491"/>
        <w:textAlignment w:val="baseline"/>
        <w:rPr>
          <w:rFonts w:hint="eastAsia" w:eastAsia="宋体"/>
          <w:color w:val="auto"/>
          <w:sz w:val="24"/>
          <w:szCs w:val="24"/>
          <w:lang w:val="en-US" w:eastAsia="zh-CN"/>
        </w:rPr>
      </w:pPr>
      <w:r>
        <w:rPr>
          <w:rFonts w:hint="eastAsia" w:eastAsia="宋体"/>
          <w:color w:val="auto"/>
          <w:sz w:val="24"/>
          <w:szCs w:val="24"/>
          <w:lang w:val="en-US" w:eastAsia="zh-CN"/>
        </w:rPr>
        <w:t>由于后期施工期施工时间较短，施工量较小，</w:t>
      </w:r>
      <w:r>
        <w:rPr>
          <w:rFonts w:hint="eastAsia" w:ascii="Times New Roman" w:hAnsi="Times New Roman" w:eastAsia="宋体" w:cs="Times New Roman"/>
          <w:color w:val="auto"/>
          <w:spacing w:val="0"/>
          <w:sz w:val="24"/>
          <w:szCs w:val="24"/>
          <w:lang w:val="en-US" w:eastAsia="zh-CN"/>
        </w:rPr>
        <w:t>后期施工将延续采取前期施工措施，不再新增固废</w:t>
      </w:r>
      <w:r>
        <w:rPr>
          <w:rFonts w:hint="default" w:ascii="Times New Roman" w:hAnsi="Times New Roman" w:cs="Times New Roman"/>
          <w:color w:val="auto"/>
          <w:spacing w:val="0"/>
          <w:sz w:val="24"/>
          <w:szCs w:val="24"/>
        </w:rPr>
        <w:t>污染防治措施</w:t>
      </w:r>
      <w:r>
        <w:rPr>
          <w:rFonts w:hint="eastAsia" w:ascii="Times New Roman" w:hAnsi="Times New Roman" w:eastAsia="宋体" w:cs="Times New Roman"/>
          <w:color w:val="auto"/>
          <w:spacing w:val="0"/>
          <w:sz w:val="24"/>
          <w:szCs w:val="24"/>
          <w:lang w:eastAsia="zh-CN"/>
        </w:rPr>
        <w:t>。</w:t>
      </w:r>
    </w:p>
    <w:p w14:paraId="78074AE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lang w:val="en-US" w:eastAsia="zh-CN"/>
        </w:rPr>
      </w:pPr>
      <w:r>
        <w:rPr>
          <w:rFonts w:hint="default" w:ascii="Times New Roman" w:hAnsi="Times New Roman" w:cs="Times New Roman"/>
          <w:color w:val="auto"/>
          <w:spacing w:val="0"/>
          <w:sz w:val="24"/>
          <w:szCs w:val="24"/>
          <w:lang w:val="en-US" w:eastAsia="zh-CN"/>
        </w:rPr>
        <w:t>本项目采取的措施，</w:t>
      </w:r>
      <w:r>
        <w:rPr>
          <w:rFonts w:hint="eastAsia" w:ascii="Times New Roman" w:hAnsi="Times New Roman" w:cs="Times New Roman"/>
          <w:color w:val="auto"/>
          <w:spacing w:val="0"/>
          <w:sz w:val="24"/>
          <w:szCs w:val="24"/>
          <w:lang w:val="en-US" w:eastAsia="zh-CN"/>
        </w:rPr>
        <w:t>有效地利用了</w:t>
      </w:r>
      <w:r>
        <w:rPr>
          <w:rFonts w:hint="default" w:ascii="Times New Roman" w:hAnsi="Times New Roman" w:cs="Times New Roman"/>
          <w:color w:val="auto"/>
          <w:spacing w:val="0"/>
          <w:sz w:val="24"/>
          <w:szCs w:val="24"/>
          <w:lang w:val="en-US" w:eastAsia="zh-CN"/>
        </w:rPr>
        <w:t>施工期间产生的固体废物，减少了废弃物对周围环境的影响，措施经济可行。</w:t>
      </w:r>
    </w:p>
    <w:p w14:paraId="5526DA68">
      <w:pPr>
        <w:pStyle w:val="9"/>
        <w:keepNext w:val="0"/>
        <w:keepLines w:val="0"/>
        <w:pageBreakBefore w:val="0"/>
        <w:widowControl/>
        <w:kinsoku w:val="0"/>
        <w:wordWrap/>
        <w:overflowPunct/>
        <w:topLinePunct w:val="0"/>
        <w:autoSpaceDE w:val="0"/>
        <w:autoSpaceDN w:val="0"/>
        <w:bidi w:val="0"/>
        <w:adjustRightInd/>
        <w:snapToGrid/>
        <w:spacing w:before="1" w:line="360" w:lineRule="auto"/>
        <w:ind w:left="23"/>
        <w:textAlignment w:val="baseline"/>
        <w:outlineLvl w:val="2"/>
        <w:rPr>
          <w:color w:val="auto"/>
          <w:sz w:val="24"/>
          <w:szCs w:val="24"/>
        </w:rPr>
      </w:pPr>
      <w:bookmarkStart w:id="211" w:name="_Toc12297"/>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.1.6 </w:t>
      </w:r>
      <w:r>
        <w:rPr>
          <w:b/>
          <w:bCs/>
          <w:color w:val="auto"/>
          <w:spacing w:val="-2"/>
          <w:sz w:val="24"/>
          <w:szCs w:val="24"/>
        </w:rPr>
        <w:t>生态环境保护措施</w:t>
      </w:r>
      <w:bookmarkEnd w:id="211"/>
    </w:p>
    <w:p w14:paraId="62BEBD47">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outlineLvl w:val="3"/>
        <w:rPr>
          <w:rFonts w:hint="default" w:ascii="Times New Roman" w:hAnsi="Times New Roman" w:eastAsia="Arial" w:cs="Times New Roman"/>
          <w:b/>
          <w:bCs/>
          <w:snapToGrid w:val="0"/>
          <w:color w:val="auto"/>
          <w:spacing w:val="0"/>
          <w:kern w:val="0"/>
          <w:sz w:val="24"/>
          <w:szCs w:val="24"/>
          <w:lang w:val="en-US" w:eastAsia="zh-CN" w:bidi="ar-SA"/>
        </w:rPr>
      </w:pPr>
      <w:r>
        <w:rPr>
          <w:rFonts w:hint="eastAsia" w:ascii="Times New Roman" w:hAnsi="Times New Roman" w:cs="Times New Roman"/>
          <w:b/>
          <w:bCs/>
          <w:snapToGrid w:val="0"/>
          <w:color w:val="auto"/>
          <w:spacing w:val="0"/>
          <w:kern w:val="0"/>
          <w:sz w:val="24"/>
          <w:szCs w:val="24"/>
          <w:lang w:val="en-US" w:eastAsia="zh-CN" w:bidi="ar-SA"/>
        </w:rPr>
        <w:t>5.1.6.1</w:t>
      </w:r>
      <w:r>
        <w:rPr>
          <w:rFonts w:hint="eastAsia" w:ascii="Times New Roman" w:hAnsi="Times New Roman" w:cs="Times New Roman"/>
          <w:b/>
          <w:bCs/>
          <w:color w:val="auto"/>
          <w:spacing w:val="0"/>
          <w:sz w:val="24"/>
          <w:szCs w:val="24"/>
          <w:lang w:val="en-US" w:eastAsia="zh-CN"/>
        </w:rPr>
        <w:t>已采取措施回顾</w:t>
      </w:r>
    </w:p>
    <w:p w14:paraId="1F877C5B">
      <w:pPr>
        <w:pStyle w:val="9"/>
        <w:keepNext w:val="0"/>
        <w:keepLines w:val="0"/>
        <w:pageBreakBefore w:val="0"/>
        <w:widowControl/>
        <w:wordWrap/>
        <w:overflowPunct/>
        <w:topLinePunct w:val="0"/>
        <w:autoSpaceDE w:val="0"/>
        <w:autoSpaceDN w:val="0"/>
        <w:bidi w:val="0"/>
        <w:adjustRightInd/>
        <w:snapToGrid/>
        <w:spacing w:line="360" w:lineRule="auto"/>
        <w:ind w:left="0" w:right="0" w:firstLine="462" w:firstLineChars="200"/>
        <w:textAlignment w:val="baseline"/>
        <w:rPr>
          <w:color w:val="auto"/>
          <w:sz w:val="24"/>
          <w:szCs w:val="24"/>
        </w:rPr>
      </w:pPr>
      <w:r>
        <w:rPr>
          <w:rFonts w:hint="eastAsia" w:ascii="Times New Roman" w:hAnsi="Times New Roman" w:eastAsia="宋体" w:cs="Times New Roman"/>
          <w:b/>
          <w:bCs/>
          <w:color w:val="auto"/>
          <w:spacing w:val="-5"/>
          <w:sz w:val="24"/>
          <w:szCs w:val="24"/>
          <w:lang w:val="en-US" w:eastAsia="zh-CN"/>
        </w:rPr>
        <w:t>1</w:t>
      </w:r>
      <w:r>
        <w:rPr>
          <w:b/>
          <w:bCs/>
          <w:color w:val="auto"/>
          <w:spacing w:val="-5"/>
          <w:sz w:val="24"/>
          <w:szCs w:val="24"/>
        </w:rPr>
        <w:t>、</w:t>
      </w:r>
      <w:r>
        <w:rPr>
          <w:rFonts w:hint="eastAsia" w:eastAsia="宋体"/>
          <w:b/>
          <w:bCs/>
          <w:color w:val="auto"/>
          <w:spacing w:val="-5"/>
          <w:sz w:val="24"/>
          <w:szCs w:val="24"/>
          <w:lang w:val="en-US" w:eastAsia="zh-CN"/>
        </w:rPr>
        <w:t>已采取的</w:t>
      </w:r>
      <w:r>
        <w:rPr>
          <w:b/>
          <w:bCs/>
          <w:color w:val="auto"/>
          <w:spacing w:val="-5"/>
          <w:sz w:val="24"/>
          <w:szCs w:val="24"/>
        </w:rPr>
        <w:t>陆生生态环境的保护措施</w:t>
      </w:r>
    </w:p>
    <w:p w14:paraId="2BF5202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（1）植被植物保护措施</w:t>
      </w:r>
    </w:p>
    <w:p w14:paraId="4C7DC52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1）</w:t>
      </w:r>
      <w:r>
        <w:rPr>
          <w:rFonts w:hint="default" w:ascii="Times New Roman" w:hAnsi="Times New Roman" w:eastAsia="宋体" w:cs="Times New Roman"/>
          <w:color w:val="auto"/>
          <w:sz w:val="24"/>
          <w:szCs w:val="24"/>
          <w:lang w:val="en-US" w:eastAsia="zh-CN"/>
        </w:rPr>
        <w:t>已</w:t>
      </w:r>
      <w:r>
        <w:rPr>
          <w:rFonts w:hint="default" w:ascii="Times New Roman" w:hAnsi="Times New Roman" w:cs="Times New Roman"/>
          <w:color w:val="auto"/>
          <w:spacing w:val="0"/>
          <w:sz w:val="24"/>
          <w:szCs w:val="24"/>
        </w:rPr>
        <w:t>加强施工管理和环境宣传教育，</w:t>
      </w:r>
      <w:r>
        <w:rPr>
          <w:rFonts w:hint="default" w:ascii="Times New Roman" w:hAnsi="Times New Roman" w:eastAsia="宋体" w:cs="Times New Roman"/>
          <w:color w:val="auto"/>
          <w:sz w:val="24"/>
          <w:szCs w:val="24"/>
          <w:lang w:val="en-US" w:eastAsia="zh-CN"/>
        </w:rPr>
        <w:t>已</w:t>
      </w:r>
      <w:r>
        <w:rPr>
          <w:rFonts w:hint="default" w:ascii="Times New Roman" w:hAnsi="Times New Roman" w:cs="Times New Roman"/>
          <w:color w:val="auto"/>
          <w:spacing w:val="0"/>
          <w:sz w:val="24"/>
          <w:szCs w:val="24"/>
        </w:rPr>
        <w:t>对施工人员进行环境教育及有关法律法规的宣传教育及培训。</w:t>
      </w:r>
    </w:p>
    <w:p w14:paraId="5D57F41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2</w:t>
      </w:r>
      <w:r>
        <w:rPr>
          <w:rFonts w:hint="default" w:ascii="Times New Roman" w:hAnsi="Times New Roman" w:cs="Times New Roman"/>
          <w:color w:val="auto"/>
          <w:spacing w:val="0"/>
          <w:sz w:val="24"/>
          <w:szCs w:val="24"/>
        </w:rPr>
        <w:t>）</w:t>
      </w:r>
      <w:r>
        <w:rPr>
          <w:rFonts w:hint="default" w:ascii="Times New Roman" w:hAnsi="Times New Roman" w:eastAsia="宋体" w:cs="Times New Roman"/>
          <w:color w:val="auto"/>
          <w:sz w:val="24"/>
          <w:szCs w:val="24"/>
          <w:lang w:val="en-US" w:eastAsia="zh-CN"/>
        </w:rPr>
        <w:t>已</w:t>
      </w:r>
      <w:r>
        <w:rPr>
          <w:rFonts w:hint="default" w:ascii="Times New Roman" w:hAnsi="Times New Roman" w:cs="Times New Roman"/>
          <w:color w:val="auto"/>
          <w:spacing w:val="0"/>
          <w:sz w:val="24"/>
          <w:szCs w:val="24"/>
        </w:rPr>
        <w:t>严格施工区烟火管理，相关部门和管理单位要建立防火、火警警报管理制度，</w:t>
      </w:r>
      <w:r>
        <w:rPr>
          <w:rFonts w:hint="default" w:ascii="Times New Roman" w:hAnsi="Times New Roman" w:eastAsia="宋体" w:cs="Times New Roman"/>
          <w:color w:val="auto"/>
          <w:sz w:val="24"/>
          <w:szCs w:val="24"/>
          <w:lang w:val="en-US" w:eastAsia="zh-CN"/>
        </w:rPr>
        <w:t>已</w:t>
      </w:r>
      <w:r>
        <w:rPr>
          <w:rFonts w:hint="default" w:ascii="Times New Roman" w:hAnsi="Times New Roman" w:cs="Times New Roman"/>
          <w:color w:val="auto"/>
          <w:spacing w:val="0"/>
          <w:sz w:val="24"/>
          <w:szCs w:val="24"/>
        </w:rPr>
        <w:t>做好施工人员用火管理。</w:t>
      </w:r>
    </w:p>
    <w:p w14:paraId="1E76DCE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（2）动物保护措施</w:t>
      </w:r>
    </w:p>
    <w:p w14:paraId="2D60DCE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1</w:t>
      </w:r>
      <w:r>
        <w:rPr>
          <w:rFonts w:hint="default" w:ascii="Times New Roman" w:hAnsi="Times New Roman" w:cs="Times New Roman"/>
          <w:color w:val="auto"/>
          <w:spacing w:val="0"/>
          <w:sz w:val="24"/>
          <w:szCs w:val="24"/>
        </w:rPr>
        <w:t>）</w:t>
      </w:r>
      <w:r>
        <w:rPr>
          <w:rFonts w:hint="default" w:ascii="Times New Roman" w:hAnsi="Times New Roman" w:eastAsia="宋体" w:cs="Times New Roman"/>
          <w:color w:val="auto"/>
          <w:sz w:val="24"/>
          <w:szCs w:val="24"/>
          <w:lang w:val="en-US" w:eastAsia="zh-CN"/>
        </w:rPr>
        <w:t>已</w:t>
      </w:r>
      <w:r>
        <w:rPr>
          <w:rFonts w:hint="default" w:ascii="Times New Roman" w:hAnsi="Times New Roman" w:cs="Times New Roman"/>
          <w:color w:val="auto"/>
          <w:spacing w:val="0"/>
          <w:sz w:val="24"/>
          <w:szCs w:val="24"/>
        </w:rPr>
        <w:t>加强施工人员管理。</w:t>
      </w:r>
    </w:p>
    <w:p w14:paraId="5FD7838A">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2</w:t>
      </w:r>
      <w:r>
        <w:rPr>
          <w:rFonts w:hint="default" w:ascii="Times New Roman" w:hAnsi="Times New Roman" w:cs="Times New Roman"/>
          <w:color w:val="auto"/>
          <w:spacing w:val="0"/>
          <w:sz w:val="24"/>
          <w:szCs w:val="24"/>
        </w:rPr>
        <w:t>）</w:t>
      </w:r>
      <w:r>
        <w:rPr>
          <w:rFonts w:hint="default" w:ascii="Times New Roman" w:hAnsi="Times New Roman" w:eastAsia="宋体" w:cs="Times New Roman"/>
          <w:color w:val="auto"/>
          <w:sz w:val="24"/>
          <w:szCs w:val="24"/>
          <w:lang w:val="en-US" w:eastAsia="zh-CN"/>
        </w:rPr>
        <w:t>已</w:t>
      </w:r>
      <w:r>
        <w:rPr>
          <w:rFonts w:hint="default" w:ascii="Times New Roman" w:hAnsi="Times New Roman" w:cs="Times New Roman"/>
          <w:color w:val="auto"/>
          <w:spacing w:val="0"/>
          <w:sz w:val="24"/>
          <w:szCs w:val="24"/>
        </w:rPr>
        <w:t>合理安排施工工序、施工机械，严格按照</w:t>
      </w:r>
      <w:r>
        <w:rPr>
          <w:rFonts w:hint="eastAsia" w:ascii="Times New Roman" w:hAnsi="Times New Roman" w:eastAsia="宋体" w:cs="Times New Roman"/>
          <w:color w:val="auto"/>
          <w:spacing w:val="0"/>
          <w:sz w:val="24"/>
          <w:szCs w:val="24"/>
          <w:lang w:val="en-US" w:eastAsia="zh-CN"/>
        </w:rPr>
        <w:t>了</w:t>
      </w:r>
      <w:r>
        <w:rPr>
          <w:rFonts w:hint="default" w:ascii="Times New Roman" w:hAnsi="Times New Roman" w:cs="Times New Roman"/>
          <w:color w:val="auto"/>
          <w:spacing w:val="0"/>
          <w:sz w:val="24"/>
          <w:szCs w:val="24"/>
        </w:rPr>
        <w:t>施工规范进行操作。</w:t>
      </w:r>
    </w:p>
    <w:p w14:paraId="07017226">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rPr>
          <w:color w:val="auto"/>
          <w:sz w:val="24"/>
          <w:szCs w:val="24"/>
        </w:rPr>
      </w:pPr>
      <w:r>
        <w:rPr>
          <w:rFonts w:hint="eastAsia" w:ascii="Times New Roman" w:hAnsi="Times New Roman" w:eastAsia="宋体" w:cs="Times New Roman"/>
          <w:b/>
          <w:bCs/>
          <w:color w:val="auto"/>
          <w:spacing w:val="-4"/>
          <w:sz w:val="24"/>
          <w:szCs w:val="24"/>
          <w:lang w:val="en-US" w:eastAsia="zh-CN"/>
        </w:rPr>
        <w:t>2</w:t>
      </w:r>
      <w:r>
        <w:rPr>
          <w:rFonts w:ascii="Times New Roman" w:hAnsi="Times New Roman" w:eastAsia="Times New Roman" w:cs="Times New Roman"/>
          <w:b/>
          <w:bCs/>
          <w:color w:val="auto"/>
          <w:spacing w:val="-34"/>
          <w:sz w:val="24"/>
          <w:szCs w:val="24"/>
        </w:rPr>
        <w:t xml:space="preserve"> </w:t>
      </w:r>
      <w:r>
        <w:rPr>
          <w:b/>
          <w:bCs/>
          <w:color w:val="auto"/>
          <w:spacing w:val="-4"/>
          <w:sz w:val="24"/>
          <w:szCs w:val="24"/>
        </w:rPr>
        <w:t>、水生生态环境的保护措施</w:t>
      </w:r>
    </w:p>
    <w:p w14:paraId="02D19483">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项目区域主要地表水体为</w:t>
      </w:r>
      <w:r>
        <w:rPr>
          <w:rFonts w:hint="eastAsia" w:eastAsia="宋体"/>
          <w:color w:val="auto"/>
          <w:spacing w:val="-3"/>
          <w:sz w:val="24"/>
          <w:szCs w:val="24"/>
          <w:lang w:val="en-US" w:eastAsia="zh-CN"/>
        </w:rPr>
        <w:t>东干渠</w:t>
      </w:r>
      <w:r>
        <w:rPr>
          <w:color w:val="auto"/>
          <w:spacing w:val="-3"/>
          <w:sz w:val="24"/>
          <w:szCs w:val="24"/>
        </w:rPr>
        <w:t>，施工期不涉及涉水工程，施工废</w:t>
      </w:r>
      <w:r>
        <w:rPr>
          <w:color w:val="auto"/>
          <w:spacing w:val="-4"/>
          <w:sz w:val="24"/>
          <w:szCs w:val="24"/>
        </w:rPr>
        <w:t>水经沉淀</w:t>
      </w:r>
      <w:r>
        <w:rPr>
          <w:color w:val="auto"/>
          <w:spacing w:val="-3"/>
          <w:sz w:val="24"/>
          <w:szCs w:val="24"/>
        </w:rPr>
        <w:t>处理后全部回用，不外排；雨水经沉淀后回用于施工和洒水抑尘等。施工期废水</w:t>
      </w:r>
      <w:r>
        <w:rPr>
          <w:color w:val="auto"/>
          <w:spacing w:val="-1"/>
          <w:sz w:val="24"/>
          <w:szCs w:val="24"/>
        </w:rPr>
        <w:t>不会对</w:t>
      </w:r>
      <w:r>
        <w:rPr>
          <w:rFonts w:hint="eastAsia" w:eastAsia="宋体"/>
          <w:color w:val="auto"/>
          <w:spacing w:val="-3"/>
          <w:sz w:val="24"/>
          <w:szCs w:val="24"/>
          <w:lang w:val="en-US" w:eastAsia="zh-CN"/>
        </w:rPr>
        <w:t>东干渠</w:t>
      </w:r>
      <w:r>
        <w:rPr>
          <w:color w:val="auto"/>
          <w:spacing w:val="-1"/>
          <w:sz w:val="24"/>
          <w:szCs w:val="24"/>
        </w:rPr>
        <w:t>水质造成明显不利的影响。</w:t>
      </w:r>
    </w:p>
    <w:p w14:paraId="41F55294">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2" w:firstLineChars="200"/>
        <w:textAlignment w:val="baseline"/>
        <w:rPr>
          <w:color w:val="auto"/>
          <w:sz w:val="24"/>
          <w:szCs w:val="24"/>
        </w:rPr>
      </w:pPr>
      <w:r>
        <w:rPr>
          <w:rFonts w:hint="eastAsia" w:ascii="Times New Roman" w:hAnsi="Times New Roman" w:eastAsia="宋体" w:cs="Times New Roman"/>
          <w:b/>
          <w:bCs/>
          <w:color w:val="auto"/>
          <w:spacing w:val="-5"/>
          <w:sz w:val="24"/>
          <w:szCs w:val="24"/>
          <w:lang w:val="en-US" w:eastAsia="zh-CN"/>
        </w:rPr>
        <w:t>3</w:t>
      </w:r>
      <w:r>
        <w:rPr>
          <w:b/>
          <w:bCs/>
          <w:color w:val="auto"/>
          <w:spacing w:val="-5"/>
          <w:sz w:val="24"/>
          <w:szCs w:val="24"/>
        </w:rPr>
        <w:t>、</w:t>
      </w:r>
      <w:r>
        <w:rPr>
          <w:rFonts w:hint="eastAsia" w:eastAsia="宋体"/>
          <w:b/>
          <w:bCs/>
          <w:color w:val="auto"/>
          <w:spacing w:val="-5"/>
          <w:sz w:val="24"/>
          <w:szCs w:val="24"/>
          <w:lang w:val="en-US" w:eastAsia="zh-CN"/>
        </w:rPr>
        <w:t>已采取</w:t>
      </w:r>
      <w:r>
        <w:rPr>
          <w:b/>
          <w:bCs/>
          <w:color w:val="auto"/>
          <w:spacing w:val="-5"/>
          <w:sz w:val="24"/>
          <w:szCs w:val="24"/>
        </w:rPr>
        <w:t>水土流失保护措施</w:t>
      </w:r>
    </w:p>
    <w:p w14:paraId="3834457C">
      <w:pPr>
        <w:keepNext w:val="0"/>
        <w:keepLines w:val="0"/>
        <w:pageBreakBefore w:val="0"/>
        <w:widowControl/>
        <w:kinsoku w:val="0"/>
        <w:wordWrap/>
        <w:overflowPunct/>
        <w:topLinePunct w:val="0"/>
        <w:autoSpaceDE w:val="0"/>
        <w:autoSpaceDN w:val="0"/>
        <w:bidi w:val="0"/>
        <w:adjustRightInd/>
        <w:snapToGrid/>
        <w:spacing w:line="360" w:lineRule="auto"/>
        <w:ind w:left="0" w:right="0" w:firstLine="484" w:firstLineChars="200"/>
        <w:jc w:val="both"/>
        <w:textAlignment w:val="baseline"/>
        <w:rPr>
          <w:rFonts w:hint="eastAsia" w:ascii="Times New Roman" w:hAnsi="Times New Roman" w:eastAsia="宋体" w:cs="Times New Roman"/>
          <w:color w:val="auto"/>
          <w:spacing w:val="1"/>
          <w:sz w:val="24"/>
          <w:szCs w:val="24"/>
          <w:lang w:val="en-US" w:eastAsia="zh-CN"/>
        </w:rPr>
      </w:pPr>
      <w:bookmarkStart w:id="212" w:name="bookmark49"/>
      <w:bookmarkEnd w:id="212"/>
      <w:r>
        <w:rPr>
          <w:rFonts w:hint="eastAsia" w:ascii="Times New Roman" w:hAnsi="Times New Roman" w:eastAsia="宋体" w:cs="Times New Roman"/>
          <w:color w:val="auto"/>
          <w:spacing w:val="1"/>
          <w:sz w:val="24"/>
          <w:szCs w:val="24"/>
          <w:lang w:val="en-US" w:eastAsia="zh-CN"/>
        </w:rPr>
        <w:t>①堆场及道路硬化了约6.2万m²水泥地面；</w:t>
      </w:r>
    </w:p>
    <w:p w14:paraId="47954AC9">
      <w:pPr>
        <w:keepNext w:val="0"/>
        <w:keepLines w:val="0"/>
        <w:pageBreakBefore w:val="0"/>
        <w:widowControl/>
        <w:kinsoku w:val="0"/>
        <w:wordWrap/>
        <w:overflowPunct/>
        <w:topLinePunct w:val="0"/>
        <w:autoSpaceDE w:val="0"/>
        <w:autoSpaceDN w:val="0"/>
        <w:bidi w:val="0"/>
        <w:adjustRightInd/>
        <w:snapToGrid/>
        <w:spacing w:line="360" w:lineRule="auto"/>
        <w:ind w:left="0" w:right="0" w:firstLine="484" w:firstLineChars="200"/>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②沿堆场及道路周边设置了总长约1200m的排水沟，采用了钢筋混凝土矩形断面，尺寸0.6m×0.6m，有效收集和排放了场地雨水。</w:t>
      </w:r>
    </w:p>
    <w:p w14:paraId="14C6FF9F">
      <w:pPr>
        <w:keepNext w:val="0"/>
        <w:keepLines w:val="0"/>
        <w:pageBreakBefore w:val="0"/>
        <w:widowControl/>
        <w:kinsoku w:val="0"/>
        <w:wordWrap/>
        <w:overflowPunct/>
        <w:topLinePunct w:val="0"/>
        <w:autoSpaceDE w:val="0"/>
        <w:autoSpaceDN w:val="0"/>
        <w:bidi w:val="0"/>
        <w:adjustRightInd/>
        <w:snapToGrid/>
        <w:spacing w:line="360" w:lineRule="auto"/>
        <w:ind w:left="0" w:right="0" w:firstLine="484" w:firstLineChars="200"/>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③针对项目临近东干渠的区位特点，在排水沟末端增设了两级串联沉砂池，每级沉砂池尺寸为6m×3m×1.8m，前端设置孔径5cm的拦污栅，末端设置溢流式出水堰，沉砂池内泥沙淤积厚度达到30cm时及时清掏，确保雨水经沉淀处理后再排入下游水体，避免了泥沙进入东干渠。</w:t>
      </w:r>
    </w:p>
    <w:p w14:paraId="104F14D0">
      <w:pPr>
        <w:keepNext w:val="0"/>
        <w:keepLines w:val="0"/>
        <w:pageBreakBefore w:val="0"/>
        <w:widowControl/>
        <w:kinsoku w:val="0"/>
        <w:wordWrap/>
        <w:overflowPunct/>
        <w:topLinePunct w:val="0"/>
        <w:autoSpaceDE w:val="0"/>
        <w:autoSpaceDN w:val="0"/>
        <w:bidi w:val="0"/>
        <w:adjustRightInd/>
        <w:snapToGrid/>
        <w:spacing w:line="360" w:lineRule="auto"/>
        <w:ind w:left="0" w:right="0" w:firstLine="484" w:firstLineChars="200"/>
        <w:jc w:val="both"/>
        <w:textAlignment w:val="baseline"/>
        <w:rPr>
          <w:rFonts w:hint="eastAsia" w:ascii="Times New Roman" w:hAnsi="Times New Roman" w:eastAsia="宋体" w:cs="Times New Roman"/>
          <w:color w:val="auto"/>
          <w:spacing w:val="1"/>
          <w:sz w:val="24"/>
          <w:szCs w:val="24"/>
          <w:lang w:val="en-US" w:eastAsia="zh-CN"/>
        </w:rPr>
      </w:pPr>
      <w:r>
        <w:rPr>
          <w:rFonts w:hint="eastAsia" w:ascii="Times New Roman" w:hAnsi="Times New Roman" w:eastAsia="宋体" w:cs="Times New Roman"/>
          <w:color w:val="auto"/>
          <w:spacing w:val="1"/>
          <w:sz w:val="24"/>
          <w:szCs w:val="24"/>
          <w:lang w:val="en-US" w:eastAsia="zh-CN"/>
        </w:rPr>
        <w:t>⑤在项目出入口设置了车辆清洁池1座，尺寸为6m×4m，采用C20混凝土浇筑，配置高压冲洗设备1套，对出场车辆进行清洗，防止了车辆带泥上路，污染周边道路。</w:t>
      </w:r>
    </w:p>
    <w:p w14:paraId="63CE2F2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outlineLvl w:val="3"/>
        <w:rPr>
          <w:rFonts w:hint="eastAsia" w:ascii="Times New Roman" w:hAnsi="Times New Roman" w:cs="Times New Roman"/>
          <w:b/>
          <w:bCs/>
          <w:color w:val="auto"/>
          <w:spacing w:val="0"/>
          <w:sz w:val="24"/>
          <w:szCs w:val="24"/>
          <w:lang w:val="en-US" w:eastAsia="zh-CN"/>
        </w:rPr>
      </w:pPr>
      <w:r>
        <w:rPr>
          <w:rFonts w:hint="eastAsia" w:ascii="Times New Roman" w:hAnsi="Times New Roman" w:cs="Times New Roman"/>
          <w:b/>
          <w:bCs/>
          <w:color w:val="auto"/>
          <w:spacing w:val="0"/>
          <w:sz w:val="24"/>
          <w:szCs w:val="24"/>
          <w:lang w:val="en-US" w:eastAsia="zh-CN"/>
        </w:rPr>
        <w:t>5.1.6.2后期施工拟采取的措施及可行性分析</w:t>
      </w:r>
    </w:p>
    <w:p w14:paraId="5B570A65">
      <w:pPr>
        <w:pStyle w:val="9"/>
        <w:keepNext w:val="0"/>
        <w:keepLines w:val="0"/>
        <w:pageBreakBefore w:val="0"/>
        <w:widowControl/>
        <w:wordWrap/>
        <w:overflowPunct/>
        <w:topLinePunct w:val="0"/>
        <w:autoSpaceDE w:val="0"/>
        <w:autoSpaceDN w:val="0"/>
        <w:bidi w:val="0"/>
        <w:adjustRightInd/>
        <w:snapToGrid/>
        <w:spacing w:line="360" w:lineRule="auto"/>
        <w:ind w:left="0" w:right="0" w:firstLine="491"/>
        <w:textAlignment w:val="baseline"/>
        <w:rPr>
          <w:rFonts w:hint="eastAsia" w:eastAsia="宋体"/>
          <w:color w:val="auto"/>
          <w:sz w:val="24"/>
          <w:szCs w:val="24"/>
          <w:lang w:val="en-US" w:eastAsia="zh-CN"/>
        </w:rPr>
      </w:pPr>
      <w:r>
        <w:rPr>
          <w:rFonts w:hint="eastAsia" w:eastAsia="宋体"/>
          <w:color w:val="auto"/>
          <w:sz w:val="24"/>
          <w:szCs w:val="24"/>
          <w:lang w:val="en-US" w:eastAsia="zh-CN"/>
        </w:rPr>
        <w:t>由于后期施工期施工时间较短，施工量较小，</w:t>
      </w:r>
      <w:r>
        <w:rPr>
          <w:rFonts w:hint="eastAsia" w:ascii="Times New Roman" w:hAnsi="Times New Roman" w:eastAsia="宋体" w:cs="Times New Roman"/>
          <w:color w:val="auto"/>
          <w:spacing w:val="0"/>
          <w:sz w:val="24"/>
          <w:szCs w:val="24"/>
          <w:lang w:val="en-US" w:eastAsia="zh-CN"/>
        </w:rPr>
        <w:t>后期施工将延续采取前期施工措施，不再新增生态破坏</w:t>
      </w:r>
      <w:r>
        <w:rPr>
          <w:rFonts w:hint="default" w:ascii="Times New Roman" w:hAnsi="Times New Roman" w:cs="Times New Roman"/>
          <w:color w:val="auto"/>
          <w:spacing w:val="0"/>
          <w:sz w:val="24"/>
          <w:szCs w:val="24"/>
        </w:rPr>
        <w:t>污染防治措施</w:t>
      </w:r>
      <w:r>
        <w:rPr>
          <w:rFonts w:hint="eastAsia" w:ascii="Times New Roman" w:hAnsi="Times New Roman" w:eastAsia="宋体" w:cs="Times New Roman"/>
          <w:color w:val="auto"/>
          <w:spacing w:val="0"/>
          <w:sz w:val="24"/>
          <w:szCs w:val="24"/>
          <w:lang w:eastAsia="zh-CN"/>
        </w:rPr>
        <w:t>。</w:t>
      </w:r>
    </w:p>
    <w:p w14:paraId="1F3FD68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eastAsia"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经采取以上措施后，施工期生态环境影响小，且措施简单易行，措施可行</w:t>
      </w:r>
      <w:r>
        <w:rPr>
          <w:rFonts w:hint="eastAsia" w:ascii="Times New Roman" w:hAnsi="Times New Roman" w:eastAsia="宋体" w:cs="Times New Roman"/>
          <w:color w:val="auto"/>
          <w:spacing w:val="0"/>
          <w:sz w:val="24"/>
          <w:szCs w:val="24"/>
          <w:lang w:val="en-US" w:eastAsia="zh-CN"/>
        </w:rPr>
        <w:t>。</w:t>
      </w:r>
    </w:p>
    <w:p w14:paraId="74D1A3CF">
      <w:pPr>
        <w:pStyle w:val="9"/>
        <w:spacing w:before="98" w:line="220" w:lineRule="auto"/>
        <w:ind w:left="22"/>
        <w:outlineLvl w:val="1"/>
        <w:rPr>
          <w:rFonts w:hint="eastAsia" w:ascii="Times New Roman" w:hAnsi="Times New Roman" w:eastAsia="宋体" w:cs="Times New Roman"/>
          <w:b/>
          <w:bCs/>
          <w:color w:val="auto"/>
          <w:spacing w:val="-3"/>
          <w:sz w:val="24"/>
          <w:szCs w:val="24"/>
          <w:lang w:val="en-US" w:eastAsia="zh-CN"/>
        </w:rPr>
      </w:pPr>
      <w:bookmarkStart w:id="213" w:name="_Toc10679"/>
      <w:r>
        <w:rPr>
          <w:rFonts w:hint="eastAsia" w:ascii="Times New Roman" w:hAnsi="Times New Roman" w:eastAsia="宋体" w:cs="Times New Roman"/>
          <w:b/>
          <w:bCs/>
          <w:color w:val="auto"/>
          <w:spacing w:val="-3"/>
          <w:sz w:val="24"/>
          <w:szCs w:val="24"/>
          <w:lang w:val="en-US" w:eastAsia="zh-CN"/>
        </w:rPr>
        <w:t>5.2 运营期污染防治措施</w:t>
      </w:r>
      <w:bookmarkEnd w:id="213"/>
    </w:p>
    <w:p w14:paraId="25965EFF">
      <w:pPr>
        <w:pStyle w:val="9"/>
        <w:spacing w:before="222" w:line="221" w:lineRule="auto"/>
        <w:ind w:left="22"/>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.2.1 </w:t>
      </w:r>
      <w:r>
        <w:rPr>
          <w:b/>
          <w:bCs/>
          <w:color w:val="auto"/>
          <w:spacing w:val="-2"/>
          <w:sz w:val="24"/>
          <w:szCs w:val="24"/>
        </w:rPr>
        <w:t>大气污染防治措施</w:t>
      </w:r>
    </w:p>
    <w:p w14:paraId="5AB610CD">
      <w:pPr>
        <w:pStyle w:val="9"/>
        <w:spacing w:before="204" w:line="219" w:lineRule="auto"/>
        <w:ind w:left="512"/>
        <w:rPr>
          <w:color w:val="auto"/>
          <w:sz w:val="24"/>
          <w:szCs w:val="24"/>
        </w:rPr>
      </w:pPr>
      <w:r>
        <w:rPr>
          <w:b/>
          <w:bCs/>
          <w:color w:val="auto"/>
          <w:spacing w:val="-5"/>
          <w:sz w:val="24"/>
          <w:szCs w:val="24"/>
        </w:rPr>
        <w:t>（</w:t>
      </w:r>
      <w:r>
        <w:rPr>
          <w:rFonts w:ascii="Times New Roman" w:hAnsi="Times New Roman" w:eastAsia="Times New Roman" w:cs="Times New Roman"/>
          <w:b/>
          <w:bCs/>
          <w:color w:val="auto"/>
          <w:spacing w:val="-5"/>
          <w:sz w:val="24"/>
          <w:szCs w:val="24"/>
        </w:rPr>
        <w:t>1</w:t>
      </w:r>
      <w:r>
        <w:rPr>
          <w:b/>
          <w:bCs/>
          <w:color w:val="auto"/>
          <w:spacing w:val="-5"/>
          <w:sz w:val="24"/>
          <w:szCs w:val="24"/>
        </w:rPr>
        <w:t>）内燃机废气</w:t>
      </w:r>
    </w:p>
    <w:p w14:paraId="27661831">
      <w:pPr>
        <w:pStyle w:val="9"/>
        <w:spacing w:before="181" w:line="338" w:lineRule="auto"/>
        <w:ind w:left="24" w:right="99" w:firstLine="475"/>
        <w:rPr>
          <w:color w:val="auto"/>
          <w:sz w:val="24"/>
          <w:szCs w:val="24"/>
        </w:rPr>
      </w:pPr>
      <w:r>
        <w:rPr>
          <w:color w:val="auto"/>
          <w:spacing w:val="-2"/>
          <w:sz w:val="24"/>
          <w:szCs w:val="24"/>
        </w:rPr>
        <w:t>铁路内燃机车系流动污染源，主要污染物为烟尘（</w:t>
      </w:r>
      <w:r>
        <w:rPr>
          <w:rFonts w:ascii="Times New Roman" w:hAnsi="Times New Roman" w:eastAsia="Times New Roman" w:cs="Times New Roman"/>
          <w:color w:val="auto"/>
          <w:spacing w:val="-2"/>
          <w:sz w:val="24"/>
          <w:szCs w:val="24"/>
        </w:rPr>
        <w:t>TSP</w:t>
      </w:r>
      <w:r>
        <w:rPr>
          <w:color w:val="auto"/>
          <w:spacing w:val="-2"/>
          <w:sz w:val="24"/>
          <w:szCs w:val="24"/>
        </w:rPr>
        <w:t>）、</w:t>
      </w:r>
      <w:r>
        <w:rPr>
          <w:rFonts w:ascii="Times New Roman" w:hAnsi="Times New Roman" w:eastAsia="Times New Roman" w:cs="Times New Roman"/>
          <w:color w:val="auto"/>
          <w:spacing w:val="-2"/>
          <w:sz w:val="24"/>
          <w:szCs w:val="24"/>
        </w:rPr>
        <w:t>NOx</w:t>
      </w:r>
      <w:r>
        <w:rPr>
          <w:color w:val="auto"/>
          <w:spacing w:val="-2"/>
          <w:sz w:val="24"/>
          <w:szCs w:val="24"/>
        </w:rPr>
        <w:t>、</w:t>
      </w:r>
      <w:r>
        <w:rPr>
          <w:rFonts w:ascii="Times New Roman" w:hAnsi="Times New Roman" w:eastAsia="Times New Roman" w:cs="Times New Roman"/>
          <w:color w:val="auto"/>
          <w:spacing w:val="-2"/>
          <w:sz w:val="24"/>
          <w:szCs w:val="24"/>
        </w:rPr>
        <w:t>SO</w:t>
      </w:r>
      <w:r>
        <w:rPr>
          <w:rFonts w:ascii="Times New Roman" w:hAnsi="Times New Roman" w:eastAsia="Times New Roman" w:cs="Times New Roman"/>
          <w:color w:val="auto"/>
          <w:spacing w:val="-2"/>
          <w:position w:val="-1"/>
          <w:sz w:val="24"/>
          <w:szCs w:val="24"/>
          <w:vertAlign w:val="subscript"/>
        </w:rPr>
        <w:t>2</w:t>
      </w:r>
      <w:r>
        <w:rPr>
          <w:color w:val="auto"/>
          <w:spacing w:val="-2"/>
          <w:sz w:val="24"/>
          <w:szCs w:val="24"/>
        </w:rPr>
        <w:t>，由</w:t>
      </w:r>
      <w:r>
        <w:rPr>
          <w:color w:val="auto"/>
          <w:sz w:val="24"/>
          <w:szCs w:val="24"/>
        </w:rPr>
        <w:t>于本项目铁路专用线营运期车流量较小，项目</w:t>
      </w:r>
      <w:r>
        <w:rPr>
          <w:color w:val="auto"/>
          <w:spacing w:val="-1"/>
          <w:sz w:val="24"/>
          <w:szCs w:val="24"/>
        </w:rPr>
        <w:t>为</w:t>
      </w:r>
      <w:r>
        <w:rPr>
          <w:rFonts w:hint="eastAsia" w:ascii="Times New Roman" w:hAnsi="Times New Roman" w:eastAsia="宋体" w:cs="Times New Roman"/>
          <w:color w:val="auto"/>
          <w:spacing w:val="-1"/>
          <w:sz w:val="24"/>
          <w:szCs w:val="24"/>
          <w:lang w:val="en-US" w:eastAsia="zh-CN"/>
        </w:rPr>
        <w:t>19</w:t>
      </w:r>
      <w:r>
        <w:rPr>
          <w:color w:val="auto"/>
          <w:spacing w:val="-1"/>
          <w:sz w:val="24"/>
          <w:szCs w:val="24"/>
        </w:rPr>
        <w:t>对</w:t>
      </w:r>
      <w:r>
        <w:rPr>
          <w:rFonts w:ascii="Times New Roman" w:hAnsi="Times New Roman" w:eastAsia="Times New Roman" w:cs="Times New Roman"/>
          <w:color w:val="auto"/>
          <w:spacing w:val="-1"/>
          <w:sz w:val="24"/>
          <w:szCs w:val="24"/>
        </w:rPr>
        <w:t>/</w:t>
      </w:r>
      <w:r>
        <w:rPr>
          <w:color w:val="auto"/>
          <w:spacing w:val="-1"/>
          <w:sz w:val="24"/>
          <w:szCs w:val="24"/>
        </w:rPr>
        <w:t>日。其</w:t>
      </w:r>
      <w:r>
        <w:rPr>
          <w:color w:val="auto"/>
          <w:spacing w:val="-8"/>
          <w:sz w:val="24"/>
          <w:szCs w:val="24"/>
        </w:rPr>
        <w:t>排放属于间隙式排放，因此，内燃机废气产生量较少。加强对设备及车辆的维护，</w:t>
      </w:r>
      <w:r>
        <w:rPr>
          <w:color w:val="auto"/>
          <w:spacing w:val="-1"/>
          <w:sz w:val="24"/>
          <w:szCs w:val="24"/>
        </w:rPr>
        <w:t>使之处于良好运行状态；做好作业区绿化工作，消除裸露空地。</w:t>
      </w:r>
    </w:p>
    <w:p w14:paraId="57FAB92D">
      <w:pPr>
        <w:pStyle w:val="9"/>
        <w:spacing w:line="220" w:lineRule="auto"/>
        <w:ind w:left="512"/>
        <w:rPr>
          <w:color w:val="auto"/>
          <w:sz w:val="24"/>
          <w:szCs w:val="24"/>
        </w:rPr>
      </w:pPr>
      <w:r>
        <w:rPr>
          <w:b/>
          <w:bCs/>
          <w:color w:val="auto"/>
          <w:spacing w:val="-5"/>
          <w:sz w:val="24"/>
          <w:szCs w:val="24"/>
        </w:rPr>
        <w:t>（</w:t>
      </w:r>
      <w:r>
        <w:rPr>
          <w:rFonts w:ascii="Times New Roman" w:hAnsi="Times New Roman" w:eastAsia="Times New Roman" w:cs="Times New Roman"/>
          <w:b/>
          <w:bCs/>
          <w:color w:val="auto"/>
          <w:spacing w:val="-5"/>
          <w:sz w:val="24"/>
          <w:szCs w:val="24"/>
        </w:rPr>
        <w:t>2</w:t>
      </w:r>
      <w:r>
        <w:rPr>
          <w:b/>
          <w:bCs/>
          <w:color w:val="auto"/>
          <w:spacing w:val="-5"/>
          <w:sz w:val="24"/>
          <w:szCs w:val="24"/>
        </w:rPr>
        <w:t>）装卸扬尘</w:t>
      </w:r>
    </w:p>
    <w:p w14:paraId="5571B6F0">
      <w:pPr>
        <w:pStyle w:val="9"/>
        <w:spacing w:before="182" w:line="359" w:lineRule="auto"/>
        <w:ind w:left="22" w:right="80" w:firstLine="481"/>
        <w:rPr>
          <w:color w:val="auto"/>
          <w:sz w:val="24"/>
          <w:szCs w:val="24"/>
        </w:rPr>
      </w:pPr>
      <w:r>
        <w:rPr>
          <w:color w:val="auto"/>
          <w:spacing w:val="-3"/>
          <w:sz w:val="24"/>
          <w:szCs w:val="24"/>
        </w:rPr>
        <w:t>项目货物均由集装箱封闭，</w:t>
      </w:r>
      <w:r>
        <w:rPr>
          <w:color w:val="auto"/>
          <w:spacing w:val="-1"/>
          <w:sz w:val="24"/>
          <w:szCs w:val="24"/>
        </w:rPr>
        <w:t>产生的扬尘可忽略不计。</w:t>
      </w:r>
    </w:p>
    <w:p w14:paraId="1A32038A">
      <w:pPr>
        <w:pStyle w:val="9"/>
        <w:spacing w:line="219" w:lineRule="auto"/>
        <w:ind w:left="512"/>
        <w:rPr>
          <w:color w:val="auto"/>
          <w:sz w:val="24"/>
          <w:szCs w:val="24"/>
        </w:rPr>
      </w:pPr>
      <w:r>
        <w:rPr>
          <w:b/>
          <w:bCs/>
          <w:color w:val="auto"/>
          <w:spacing w:val="-5"/>
          <w:sz w:val="24"/>
          <w:szCs w:val="24"/>
        </w:rPr>
        <w:t>（</w:t>
      </w:r>
      <w:r>
        <w:rPr>
          <w:rFonts w:ascii="Times New Roman" w:hAnsi="Times New Roman" w:eastAsia="Times New Roman" w:cs="Times New Roman"/>
          <w:b/>
          <w:bCs/>
          <w:color w:val="auto"/>
          <w:spacing w:val="-5"/>
          <w:sz w:val="24"/>
          <w:szCs w:val="24"/>
        </w:rPr>
        <w:t>3</w:t>
      </w:r>
      <w:r>
        <w:rPr>
          <w:b/>
          <w:bCs/>
          <w:color w:val="auto"/>
          <w:spacing w:val="-5"/>
          <w:sz w:val="24"/>
          <w:szCs w:val="24"/>
        </w:rPr>
        <w:t>）运输车辆尾气</w:t>
      </w:r>
    </w:p>
    <w:p w14:paraId="2E5024BE">
      <w:pPr>
        <w:pStyle w:val="9"/>
        <w:spacing w:before="181" w:line="359" w:lineRule="auto"/>
        <w:ind w:left="8" w:firstLine="497"/>
        <w:jc w:val="both"/>
        <w:rPr>
          <w:color w:val="auto"/>
          <w:sz w:val="24"/>
          <w:szCs w:val="24"/>
        </w:rPr>
      </w:pPr>
      <w:r>
        <w:rPr>
          <w:color w:val="auto"/>
          <w:spacing w:val="-4"/>
          <w:sz w:val="24"/>
          <w:szCs w:val="24"/>
        </w:rPr>
        <w:t>货车运送货物在项目内会产生一定的汽车尾气，主要污染因子为</w:t>
      </w:r>
      <w:r>
        <w:rPr>
          <w:rFonts w:ascii="Times New Roman" w:hAnsi="Times New Roman" w:eastAsia="Times New Roman" w:cs="Times New Roman"/>
          <w:color w:val="auto"/>
          <w:spacing w:val="-4"/>
          <w:sz w:val="24"/>
          <w:szCs w:val="24"/>
        </w:rPr>
        <w:t>CO</w:t>
      </w:r>
      <w:r>
        <w:rPr>
          <w:color w:val="auto"/>
          <w:spacing w:val="-4"/>
          <w:sz w:val="24"/>
          <w:szCs w:val="24"/>
        </w:rPr>
        <w:t>、总烃、</w:t>
      </w:r>
      <w:r>
        <w:rPr>
          <w:color w:val="auto"/>
          <w:spacing w:val="17"/>
          <w:sz w:val="24"/>
          <w:szCs w:val="24"/>
        </w:rPr>
        <w:t xml:space="preserve"> </w:t>
      </w:r>
      <w:r>
        <w:rPr>
          <w:rFonts w:ascii="Times New Roman" w:hAnsi="Times New Roman" w:eastAsia="Times New Roman" w:cs="Times New Roman"/>
          <w:color w:val="auto"/>
          <w:spacing w:val="-2"/>
          <w:sz w:val="24"/>
          <w:szCs w:val="24"/>
        </w:rPr>
        <w:t>NO</w:t>
      </w:r>
      <w:r>
        <w:rPr>
          <w:rFonts w:ascii="Times New Roman" w:hAnsi="Times New Roman" w:eastAsia="Times New Roman" w:cs="Times New Roman"/>
          <w:color w:val="auto"/>
          <w:spacing w:val="-2"/>
          <w:position w:val="-1"/>
          <w:sz w:val="24"/>
          <w:szCs w:val="24"/>
        </w:rPr>
        <w:t>X</w:t>
      </w:r>
      <w:r>
        <w:rPr>
          <w:color w:val="auto"/>
          <w:spacing w:val="-2"/>
          <w:sz w:val="24"/>
          <w:szCs w:val="24"/>
        </w:rPr>
        <w:t>等，产生量较少，项目货车采用经审核合格的燃油运输车辆，尾气污染物可</w:t>
      </w:r>
      <w:r>
        <w:rPr>
          <w:color w:val="auto"/>
          <w:spacing w:val="-7"/>
          <w:sz w:val="24"/>
          <w:szCs w:val="24"/>
        </w:rPr>
        <w:t>达标排放，项目装卸场地较为宽阔，经过自然通风、大气稀释扩散，绿化吸收等。</w:t>
      </w:r>
    </w:p>
    <w:p w14:paraId="4BA89263">
      <w:pPr>
        <w:pStyle w:val="9"/>
        <w:spacing w:line="219" w:lineRule="auto"/>
        <w:ind w:left="512"/>
        <w:rPr>
          <w:color w:val="auto"/>
          <w:sz w:val="24"/>
          <w:szCs w:val="24"/>
        </w:rPr>
      </w:pPr>
      <w:r>
        <w:rPr>
          <w:b/>
          <w:bCs/>
          <w:color w:val="auto"/>
          <w:spacing w:val="-5"/>
          <w:sz w:val="24"/>
          <w:szCs w:val="24"/>
        </w:rPr>
        <w:t>（</w:t>
      </w:r>
      <w:r>
        <w:rPr>
          <w:rFonts w:ascii="Times New Roman" w:hAnsi="Times New Roman" w:eastAsia="Times New Roman" w:cs="Times New Roman"/>
          <w:b/>
          <w:bCs/>
          <w:color w:val="auto"/>
          <w:spacing w:val="-5"/>
          <w:sz w:val="24"/>
          <w:szCs w:val="24"/>
        </w:rPr>
        <w:t>4</w:t>
      </w:r>
      <w:r>
        <w:rPr>
          <w:b/>
          <w:bCs/>
          <w:color w:val="auto"/>
          <w:spacing w:val="-5"/>
          <w:sz w:val="24"/>
          <w:szCs w:val="24"/>
        </w:rPr>
        <w:t>）道路扬尘</w:t>
      </w:r>
    </w:p>
    <w:p w14:paraId="4DBCA688">
      <w:pPr>
        <w:pStyle w:val="9"/>
        <w:spacing w:before="182" w:line="359" w:lineRule="auto"/>
        <w:ind w:left="20" w:right="80" w:firstLine="486"/>
        <w:jc w:val="both"/>
        <w:rPr>
          <w:color w:val="auto"/>
          <w:sz w:val="24"/>
          <w:szCs w:val="24"/>
        </w:rPr>
      </w:pPr>
      <w:r>
        <w:rPr>
          <w:color w:val="auto"/>
          <w:spacing w:val="-2"/>
          <w:sz w:val="24"/>
          <w:szCs w:val="24"/>
        </w:rPr>
        <w:t>货物运输会产生间断的粉尘，主要污染因子为</w:t>
      </w:r>
      <w:r>
        <w:rPr>
          <w:rFonts w:ascii="Times New Roman" w:hAnsi="Times New Roman" w:eastAsia="Times New Roman" w:cs="Times New Roman"/>
          <w:color w:val="auto"/>
          <w:spacing w:val="-2"/>
          <w:sz w:val="24"/>
          <w:szCs w:val="24"/>
        </w:rPr>
        <w:t>TSP</w:t>
      </w:r>
      <w:r>
        <w:rPr>
          <w:rFonts w:ascii="Times New Roman" w:hAnsi="Times New Roman" w:eastAsia="Times New Roman" w:cs="Times New Roman"/>
          <w:color w:val="auto"/>
          <w:spacing w:val="-31"/>
          <w:sz w:val="24"/>
          <w:szCs w:val="24"/>
        </w:rPr>
        <w:t xml:space="preserve"> </w:t>
      </w:r>
      <w:r>
        <w:rPr>
          <w:color w:val="auto"/>
          <w:spacing w:val="-2"/>
          <w:sz w:val="24"/>
          <w:szCs w:val="24"/>
        </w:rPr>
        <w:t>，呈无组织排放，项目运</w:t>
      </w:r>
      <w:r>
        <w:rPr>
          <w:color w:val="auto"/>
          <w:spacing w:val="-3"/>
          <w:sz w:val="24"/>
          <w:szCs w:val="24"/>
        </w:rPr>
        <w:t>输道路晴天早、晚各洒水降尘</w:t>
      </w:r>
      <w:r>
        <w:rPr>
          <w:rFonts w:ascii="Times New Roman" w:hAnsi="Times New Roman" w:eastAsia="Times New Roman" w:cs="Times New Roman"/>
          <w:color w:val="auto"/>
          <w:spacing w:val="-3"/>
          <w:sz w:val="24"/>
          <w:szCs w:val="24"/>
        </w:rPr>
        <w:t>1</w:t>
      </w:r>
      <w:r>
        <w:rPr>
          <w:color w:val="auto"/>
          <w:spacing w:val="-3"/>
          <w:sz w:val="24"/>
          <w:szCs w:val="24"/>
        </w:rPr>
        <w:t>次，洒水</w:t>
      </w:r>
      <w:r>
        <w:rPr>
          <w:rFonts w:ascii="Times New Roman" w:hAnsi="Times New Roman" w:eastAsia="Times New Roman" w:cs="Times New Roman"/>
          <w:color w:val="auto"/>
          <w:spacing w:val="-3"/>
          <w:sz w:val="24"/>
          <w:szCs w:val="24"/>
        </w:rPr>
        <w:t>2</w:t>
      </w:r>
      <w:r>
        <w:rPr>
          <w:color w:val="auto"/>
          <w:spacing w:val="-3"/>
          <w:sz w:val="24"/>
          <w:szCs w:val="24"/>
        </w:rPr>
        <w:t>次</w:t>
      </w:r>
      <w:r>
        <w:rPr>
          <w:rFonts w:ascii="Times New Roman" w:hAnsi="Times New Roman" w:eastAsia="Times New Roman" w:cs="Times New Roman"/>
          <w:color w:val="auto"/>
          <w:spacing w:val="-3"/>
          <w:sz w:val="24"/>
          <w:szCs w:val="24"/>
        </w:rPr>
        <w:t>/</w:t>
      </w:r>
      <w:r>
        <w:rPr>
          <w:color w:val="auto"/>
          <w:spacing w:val="-3"/>
          <w:sz w:val="24"/>
          <w:szCs w:val="24"/>
        </w:rPr>
        <w:t>天可抑制</w:t>
      </w:r>
      <w:r>
        <w:rPr>
          <w:rFonts w:ascii="Times New Roman" w:hAnsi="Times New Roman" w:eastAsia="Times New Roman" w:cs="Times New Roman"/>
          <w:color w:val="auto"/>
          <w:spacing w:val="-3"/>
          <w:sz w:val="24"/>
          <w:szCs w:val="24"/>
        </w:rPr>
        <w:t>66</w:t>
      </w:r>
      <w:r>
        <w:rPr>
          <w:rFonts w:ascii="Times New Roman" w:hAnsi="Times New Roman" w:eastAsia="Times New Roman" w:cs="Times New Roman"/>
          <w:color w:val="auto"/>
          <w:spacing w:val="-4"/>
          <w:sz w:val="24"/>
          <w:szCs w:val="24"/>
        </w:rPr>
        <w:t>%</w:t>
      </w:r>
      <w:r>
        <w:rPr>
          <w:color w:val="auto"/>
          <w:spacing w:val="-4"/>
          <w:sz w:val="24"/>
          <w:szCs w:val="24"/>
        </w:rPr>
        <w:t>左右的粉尘，并由专人</w:t>
      </w:r>
      <w:r>
        <w:rPr>
          <w:color w:val="auto"/>
          <w:spacing w:val="-2"/>
          <w:sz w:val="24"/>
          <w:szCs w:val="24"/>
        </w:rPr>
        <w:t>定期清扫道路。</w:t>
      </w:r>
    </w:p>
    <w:p w14:paraId="05F8BBF6">
      <w:pPr>
        <w:pStyle w:val="9"/>
        <w:spacing w:line="220" w:lineRule="auto"/>
        <w:ind w:left="22"/>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2.2 </w:t>
      </w:r>
      <w:r>
        <w:rPr>
          <w:b/>
          <w:bCs/>
          <w:color w:val="auto"/>
          <w:spacing w:val="-2"/>
          <w:sz w:val="24"/>
          <w:szCs w:val="24"/>
        </w:rPr>
        <w:t>废水污染防治措施</w:t>
      </w:r>
    </w:p>
    <w:p w14:paraId="0FE40648">
      <w:pPr>
        <w:pStyle w:val="9"/>
        <w:keepNext w:val="0"/>
        <w:keepLines w:val="0"/>
        <w:pageBreakBefore w:val="0"/>
        <w:widowControl/>
        <w:kinsoku/>
        <w:wordWrap/>
        <w:overflowPunct/>
        <w:topLinePunct w:val="0"/>
        <w:autoSpaceDE w:val="0"/>
        <w:autoSpaceDN w:val="0"/>
        <w:bidi w:val="0"/>
        <w:adjustRightInd w:val="0"/>
        <w:snapToGrid w:val="0"/>
        <w:spacing w:before="205" w:line="360" w:lineRule="auto"/>
        <w:ind w:left="11" w:right="79" w:firstLine="493"/>
        <w:textAlignment w:val="baseline"/>
        <w:rPr>
          <w:color w:val="auto"/>
          <w:sz w:val="24"/>
          <w:szCs w:val="24"/>
        </w:rPr>
      </w:pPr>
      <w:r>
        <w:rPr>
          <w:rFonts w:hint="default" w:ascii="Times New Roman" w:hAnsi="Times New Roman" w:cs="Times New Roman"/>
          <w:bCs/>
          <w:color w:val="auto"/>
          <w:spacing w:val="10"/>
          <w:sz w:val="24"/>
          <w:szCs w:val="24"/>
        </w:rPr>
        <w:t>1）①前15分钟雨水经雨水沟收集，排入项目区</w:t>
      </w:r>
      <w:r>
        <w:rPr>
          <w:rFonts w:hint="eastAsia" w:cs="Times New Roman"/>
          <w:bCs/>
          <w:color w:val="auto"/>
          <w:spacing w:val="10"/>
          <w:sz w:val="24"/>
          <w:szCs w:val="24"/>
          <w:lang w:eastAsia="zh-CN"/>
        </w:rPr>
        <w:t>初期雨水收集池</w:t>
      </w:r>
      <w:r>
        <w:rPr>
          <w:rFonts w:hint="eastAsia" w:cs="Times New Roman"/>
          <w:bCs/>
          <w:color w:val="auto"/>
          <w:spacing w:val="10"/>
          <w:sz w:val="24"/>
          <w:szCs w:val="24"/>
          <w:lang w:val="en-US" w:eastAsia="zh-CN"/>
        </w:rPr>
        <w:t>沉淀处理后</w:t>
      </w:r>
      <w:r>
        <w:rPr>
          <w:rFonts w:hint="default" w:ascii="Times New Roman" w:hAnsi="Times New Roman" w:cs="Times New Roman"/>
          <w:bCs/>
          <w:color w:val="auto"/>
          <w:spacing w:val="10"/>
          <w:sz w:val="24"/>
          <w:szCs w:val="24"/>
        </w:rPr>
        <w:t>回用</w:t>
      </w:r>
      <w:r>
        <w:rPr>
          <w:rFonts w:hint="eastAsia" w:cs="Times New Roman"/>
          <w:bCs/>
          <w:color w:val="auto"/>
          <w:spacing w:val="10"/>
          <w:sz w:val="24"/>
          <w:szCs w:val="24"/>
          <w:lang w:val="en-US" w:eastAsia="zh-CN"/>
        </w:rPr>
        <w:t>于项目区绿化、洒水降尘</w:t>
      </w:r>
      <w:r>
        <w:rPr>
          <w:rFonts w:hint="default" w:ascii="Times New Roman" w:hAnsi="Times New Roman" w:cs="Times New Roman"/>
          <w:bCs/>
          <w:color w:val="auto"/>
          <w:spacing w:val="10"/>
          <w:sz w:val="24"/>
          <w:szCs w:val="24"/>
        </w:rPr>
        <w:t>，回用不完的由曲煤内部清运至铁路卸煤区洒水降尘；②生活废水排入化粪池处理</w:t>
      </w:r>
      <w:r>
        <w:rPr>
          <w:rFonts w:hint="eastAsia" w:cs="Times New Roman"/>
          <w:bCs/>
          <w:color w:val="auto"/>
          <w:spacing w:val="10"/>
          <w:sz w:val="24"/>
          <w:szCs w:val="24"/>
          <w:lang w:val="en-US" w:eastAsia="zh-CN"/>
        </w:rPr>
        <w:t>后</w:t>
      </w:r>
      <w:r>
        <w:rPr>
          <w:rFonts w:hint="default" w:ascii="Times New Roman" w:hAnsi="Times New Roman" w:cs="Times New Roman"/>
          <w:bCs/>
          <w:color w:val="auto"/>
          <w:spacing w:val="10"/>
          <w:sz w:val="24"/>
          <w:szCs w:val="24"/>
        </w:rPr>
        <w:t>委托</w:t>
      </w:r>
      <w:r>
        <w:rPr>
          <w:rFonts w:hint="eastAsia" w:cs="Times New Roman"/>
          <w:bCs/>
          <w:color w:val="auto"/>
          <w:spacing w:val="10"/>
          <w:sz w:val="24"/>
          <w:szCs w:val="24"/>
          <w:lang w:eastAsia="zh-CN"/>
        </w:rPr>
        <w:t>环卫部门清运处置</w:t>
      </w:r>
      <w:r>
        <w:rPr>
          <w:rFonts w:hint="default" w:ascii="Times New Roman" w:hAnsi="Times New Roman" w:eastAsia="宋体" w:cs="Times New Roman"/>
          <w:color w:val="auto"/>
          <w:sz w:val="24"/>
          <w:vertAlign w:val="baseline"/>
          <w:lang w:val="en-US" w:eastAsia="zh-CN"/>
        </w:rPr>
        <w:t>。</w:t>
      </w:r>
    </w:p>
    <w:p w14:paraId="06FEB590">
      <w:pPr>
        <w:pStyle w:val="9"/>
        <w:spacing w:before="183" w:line="219" w:lineRule="auto"/>
        <w:ind w:left="500"/>
        <w:outlineLvl w:val="4"/>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.2.2.3 </w:t>
      </w:r>
      <w:r>
        <w:rPr>
          <w:b/>
          <w:bCs/>
          <w:color w:val="auto"/>
          <w:spacing w:val="-2"/>
          <w:sz w:val="24"/>
          <w:szCs w:val="24"/>
        </w:rPr>
        <w:t>污水处理可行性论证</w:t>
      </w:r>
    </w:p>
    <w:p w14:paraId="552AE658">
      <w:pPr>
        <w:pStyle w:val="9"/>
        <w:spacing w:before="179" w:line="360" w:lineRule="auto"/>
        <w:ind w:left="22" w:firstLine="478"/>
        <w:jc w:val="both"/>
        <w:rPr>
          <w:color w:val="auto"/>
          <w:sz w:val="24"/>
          <w:szCs w:val="24"/>
        </w:rPr>
      </w:pPr>
      <w:r>
        <w:rPr>
          <w:rFonts w:hint="eastAsia" w:cs="Times New Roman"/>
          <w:bCs/>
          <w:color w:val="auto"/>
          <w:spacing w:val="10"/>
          <w:sz w:val="24"/>
          <w:szCs w:val="24"/>
          <w:lang w:val="en-US" w:eastAsia="zh-CN"/>
        </w:rPr>
        <w:t>根据前文分析</w:t>
      </w:r>
      <w:r>
        <w:rPr>
          <w:rFonts w:hint="default" w:ascii="Times New Roman" w:hAnsi="Times New Roman" w:cs="Times New Roman"/>
          <w:bCs/>
          <w:color w:val="auto"/>
          <w:sz w:val="24"/>
          <w:lang w:eastAsia="zh-CN"/>
        </w:rPr>
        <w:t>项目区</w:t>
      </w:r>
      <w:r>
        <w:rPr>
          <w:rFonts w:hint="default" w:ascii="Times New Roman" w:hAnsi="Times New Roman" w:cs="Times New Roman"/>
          <w:bCs/>
          <w:color w:val="auto"/>
          <w:sz w:val="24"/>
        </w:rPr>
        <w:t>设</w:t>
      </w:r>
      <w:r>
        <w:rPr>
          <w:rFonts w:hint="default" w:ascii="Times New Roman" w:hAnsi="Times New Roman" w:cs="Times New Roman"/>
          <w:bCs/>
          <w:color w:val="auto"/>
          <w:sz w:val="24"/>
          <w:lang w:eastAsia="zh-CN"/>
        </w:rPr>
        <w:t>置</w:t>
      </w:r>
      <w:r>
        <w:rPr>
          <w:rFonts w:hint="default" w:ascii="Times New Roman" w:hAnsi="Times New Roman" w:cs="Times New Roman"/>
          <w:bCs/>
          <w:color w:val="auto"/>
          <w:sz w:val="24"/>
        </w:rPr>
        <w:t>一个容积</w:t>
      </w:r>
      <w:r>
        <w:rPr>
          <w:rFonts w:hint="eastAsia" w:ascii="Times New Roman" w:hAnsi="Times New Roman" w:cs="Times New Roman"/>
          <w:bCs/>
          <w:color w:val="auto"/>
          <w:sz w:val="24"/>
          <w:lang w:val="en-US" w:eastAsia="zh-CN"/>
        </w:rPr>
        <w:t>10</w:t>
      </w:r>
      <w:r>
        <w:rPr>
          <w:rFonts w:hint="default" w:ascii="Times New Roman" w:hAnsi="Times New Roman" w:cs="Times New Roman"/>
          <w:bCs/>
          <w:color w:val="auto"/>
          <w:sz w:val="24"/>
        </w:rPr>
        <w:t>m³的</w:t>
      </w:r>
      <w:r>
        <w:rPr>
          <w:rFonts w:hint="default" w:ascii="Times New Roman" w:hAnsi="Times New Roman" w:cs="Times New Roman"/>
          <w:bCs/>
          <w:color w:val="auto"/>
          <w:sz w:val="24"/>
          <w:lang w:eastAsia="zh-CN"/>
        </w:rPr>
        <w:t>化粪池</w:t>
      </w:r>
      <w:r>
        <w:rPr>
          <w:rFonts w:hint="default" w:ascii="Times New Roman" w:hAnsi="Times New Roman" w:cs="Times New Roman"/>
          <w:bCs/>
          <w:color w:val="auto"/>
          <w:sz w:val="24"/>
        </w:rPr>
        <w:t>，</w:t>
      </w:r>
      <w:r>
        <w:rPr>
          <w:rFonts w:hint="eastAsia" w:cs="Times New Roman"/>
          <w:color w:val="auto"/>
          <w:sz w:val="24"/>
          <w:highlight w:val="none"/>
          <w:lang w:val="en-US" w:eastAsia="zh-CN"/>
        </w:rPr>
        <w:t>能够暂存</w:t>
      </w:r>
      <w:r>
        <w:rPr>
          <w:rFonts w:hint="default" w:ascii="Times New Roman" w:hAnsi="Times New Roman" w:cs="Times New Roman"/>
          <w:bCs/>
          <w:color w:val="auto"/>
          <w:spacing w:val="10"/>
          <w:sz w:val="24"/>
          <w:szCs w:val="24"/>
        </w:rPr>
        <w:t>生活废水</w:t>
      </w:r>
      <w:r>
        <w:rPr>
          <w:rFonts w:hint="eastAsia" w:cs="Times New Roman"/>
          <w:color w:val="auto"/>
          <w:sz w:val="24"/>
          <w:highlight w:val="none"/>
          <w:lang w:val="en-US" w:eastAsia="zh-CN"/>
        </w:rPr>
        <w:t>半个月</w:t>
      </w: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生活废水定期</w:t>
      </w:r>
      <w:r>
        <w:rPr>
          <w:rFonts w:hint="default" w:ascii="Times New Roman" w:hAnsi="Times New Roman" w:cs="Times New Roman"/>
          <w:bCs/>
          <w:color w:val="auto"/>
          <w:spacing w:val="10"/>
          <w:sz w:val="24"/>
          <w:szCs w:val="24"/>
        </w:rPr>
        <w:t>委托</w:t>
      </w:r>
      <w:r>
        <w:rPr>
          <w:rFonts w:hint="eastAsia" w:cs="Times New Roman"/>
          <w:bCs/>
          <w:color w:val="auto"/>
          <w:spacing w:val="10"/>
          <w:sz w:val="24"/>
          <w:szCs w:val="24"/>
          <w:lang w:eastAsia="zh-CN"/>
        </w:rPr>
        <w:t>环卫部门清运处置。</w:t>
      </w:r>
      <w:r>
        <w:rPr>
          <w:rFonts w:hint="eastAsia" w:cs="Times New Roman"/>
          <w:color w:val="auto"/>
          <w:sz w:val="24"/>
          <w:lang w:val="en-US" w:eastAsia="zh-CN"/>
        </w:rPr>
        <w:t>初期雨水收集池</w:t>
      </w:r>
      <w:r>
        <w:rPr>
          <w:rFonts w:hint="eastAsia" w:ascii="Times New Roman" w:hAnsi="Times New Roman" w:eastAsia="宋体" w:cs="Times New Roman"/>
          <w:color w:val="auto"/>
          <w:sz w:val="24"/>
          <w:lang w:val="en-US" w:eastAsia="zh-CN"/>
        </w:rPr>
        <w:t>1500m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vertAlign w:val="baseline"/>
          <w:lang w:val="en-US" w:eastAsia="zh-CN"/>
        </w:rPr>
        <w:t>，</w:t>
      </w:r>
      <w:r>
        <w:rPr>
          <w:rFonts w:hint="default" w:ascii="Times New Roman" w:hAnsi="Times New Roman" w:eastAsia="宋体" w:cs="Times New Roman"/>
          <w:color w:val="auto"/>
          <w:sz w:val="24"/>
          <w:vertAlign w:val="baseline"/>
          <w:lang w:val="en-US" w:eastAsia="zh-CN"/>
        </w:rPr>
        <w:t>可满足</w:t>
      </w:r>
      <w:r>
        <w:rPr>
          <w:rFonts w:hint="eastAsia" w:ascii="Times New Roman" w:hAnsi="Times New Roman" w:eastAsia="宋体" w:cs="Times New Roman"/>
          <w:color w:val="auto"/>
          <w:sz w:val="24"/>
          <w:vertAlign w:val="baseline"/>
          <w:lang w:val="en-US" w:eastAsia="zh-CN"/>
        </w:rPr>
        <w:t>初期雨水</w:t>
      </w:r>
      <w:r>
        <w:rPr>
          <w:rFonts w:hint="default" w:ascii="Times New Roman" w:hAnsi="Times New Roman" w:eastAsia="宋体" w:cs="Times New Roman"/>
          <w:color w:val="auto"/>
          <w:sz w:val="24"/>
          <w:vertAlign w:val="baseline"/>
          <w:lang w:val="en-US" w:eastAsia="zh-CN"/>
        </w:rPr>
        <w:t>至少16</w:t>
      </w:r>
      <w:r>
        <w:rPr>
          <w:rFonts w:hint="eastAsia" w:ascii="Times New Roman" w:hAnsi="Times New Roman" w:eastAsia="宋体" w:cs="Times New Roman"/>
          <w:color w:val="auto"/>
          <w:sz w:val="24"/>
          <w:vertAlign w:val="baseline"/>
          <w:lang w:val="en-US" w:eastAsia="zh-CN"/>
        </w:rPr>
        <w:t>天</w:t>
      </w:r>
      <w:r>
        <w:rPr>
          <w:rFonts w:hint="default" w:ascii="Times New Roman" w:hAnsi="Times New Roman" w:eastAsia="宋体" w:cs="Times New Roman"/>
          <w:color w:val="auto"/>
          <w:sz w:val="24"/>
          <w:vertAlign w:val="baseline"/>
          <w:lang w:val="en-US" w:eastAsia="zh-CN"/>
        </w:rPr>
        <w:t>暂存需求，晴天回用于绿化及洒水降尘</w:t>
      </w:r>
      <w:r>
        <w:rPr>
          <w:rFonts w:hint="default" w:ascii="Times New Roman" w:hAnsi="Times New Roman" w:cs="Times New Roman"/>
          <w:bCs/>
          <w:color w:val="auto"/>
          <w:spacing w:val="10"/>
          <w:sz w:val="24"/>
          <w:szCs w:val="24"/>
        </w:rPr>
        <w:t>。</w:t>
      </w:r>
    </w:p>
    <w:p w14:paraId="5966F5C9">
      <w:pPr>
        <w:pStyle w:val="9"/>
        <w:spacing w:line="221" w:lineRule="auto"/>
        <w:ind w:left="22"/>
        <w:outlineLvl w:val="3"/>
        <w:rPr>
          <w:color w:val="auto"/>
          <w:sz w:val="24"/>
          <w:szCs w:val="24"/>
        </w:rPr>
      </w:pPr>
      <w:r>
        <w:rPr>
          <w:rFonts w:hint="eastAsia" w:ascii="Times New Roman" w:hAnsi="Times New Roman" w:eastAsia="宋体" w:cs="Times New Roman"/>
          <w:b/>
          <w:bCs/>
          <w:color w:val="auto"/>
          <w:spacing w:val="-4"/>
          <w:sz w:val="24"/>
          <w:szCs w:val="24"/>
          <w:lang w:val="en-US" w:eastAsia="zh-CN"/>
        </w:rPr>
        <w:t>5</w:t>
      </w:r>
      <w:r>
        <w:rPr>
          <w:rFonts w:ascii="Times New Roman" w:hAnsi="Times New Roman" w:eastAsia="Times New Roman" w:cs="Times New Roman"/>
          <w:b/>
          <w:bCs/>
          <w:color w:val="auto"/>
          <w:spacing w:val="-4"/>
          <w:sz w:val="24"/>
          <w:szCs w:val="24"/>
        </w:rPr>
        <w:t>.2.3</w:t>
      </w:r>
      <w:r>
        <w:rPr>
          <w:rFonts w:ascii="Times New Roman" w:hAnsi="Times New Roman" w:eastAsia="Times New Roman" w:cs="Times New Roman"/>
          <w:b/>
          <w:bCs/>
          <w:color w:val="auto"/>
          <w:spacing w:val="24"/>
          <w:w w:val="101"/>
          <w:sz w:val="24"/>
          <w:szCs w:val="24"/>
        </w:rPr>
        <w:t xml:space="preserve"> </w:t>
      </w:r>
      <w:r>
        <w:rPr>
          <w:b/>
          <w:bCs/>
          <w:color w:val="auto"/>
          <w:spacing w:val="-4"/>
          <w:sz w:val="24"/>
          <w:szCs w:val="24"/>
        </w:rPr>
        <w:t>噪声污染防治措施</w:t>
      </w:r>
    </w:p>
    <w:p w14:paraId="7172DB36">
      <w:pPr>
        <w:pStyle w:val="9"/>
        <w:spacing w:before="204" w:line="220" w:lineRule="auto"/>
        <w:ind w:left="20"/>
        <w:outlineLvl w:val="4"/>
        <w:rPr>
          <w:color w:val="auto"/>
          <w:sz w:val="24"/>
          <w:szCs w:val="24"/>
        </w:rPr>
      </w:pPr>
      <w:r>
        <w:rPr>
          <w:rFonts w:hint="eastAsia" w:ascii="Times New Roman" w:hAnsi="Times New Roman" w:eastAsia="宋体" w:cs="Times New Roman"/>
          <w:b/>
          <w:bCs/>
          <w:color w:val="auto"/>
          <w:spacing w:val="-3"/>
          <w:sz w:val="24"/>
          <w:szCs w:val="24"/>
          <w:lang w:val="en-US" w:eastAsia="zh-CN"/>
        </w:rPr>
        <w:t>5</w:t>
      </w:r>
      <w:r>
        <w:rPr>
          <w:rFonts w:ascii="Times New Roman" w:hAnsi="Times New Roman" w:eastAsia="Times New Roman" w:cs="Times New Roman"/>
          <w:b/>
          <w:bCs/>
          <w:color w:val="auto"/>
          <w:spacing w:val="-3"/>
          <w:sz w:val="24"/>
          <w:szCs w:val="24"/>
        </w:rPr>
        <w:t>.2.3.1</w:t>
      </w:r>
      <w:r>
        <w:rPr>
          <w:rFonts w:ascii="Times New Roman" w:hAnsi="Times New Roman" w:eastAsia="Times New Roman" w:cs="Times New Roman"/>
          <w:b/>
          <w:bCs/>
          <w:color w:val="auto"/>
          <w:spacing w:val="22"/>
          <w:sz w:val="24"/>
          <w:szCs w:val="24"/>
        </w:rPr>
        <w:t xml:space="preserve"> </w:t>
      </w:r>
      <w:r>
        <w:rPr>
          <w:b/>
          <w:bCs/>
          <w:color w:val="auto"/>
          <w:spacing w:val="-3"/>
          <w:sz w:val="24"/>
          <w:szCs w:val="24"/>
        </w:rPr>
        <w:t>噪声污染治理原则</w:t>
      </w:r>
    </w:p>
    <w:p w14:paraId="57952036">
      <w:pPr>
        <w:pStyle w:val="9"/>
        <w:spacing w:before="180" w:line="359" w:lineRule="auto"/>
        <w:ind w:left="32" w:right="30" w:firstLine="468"/>
        <w:rPr>
          <w:color w:val="auto"/>
          <w:sz w:val="24"/>
          <w:szCs w:val="24"/>
        </w:rPr>
      </w:pPr>
      <w:r>
        <w:rPr>
          <w:color w:val="auto"/>
          <w:spacing w:val="-2"/>
          <w:sz w:val="24"/>
          <w:szCs w:val="24"/>
        </w:rPr>
        <w:t>根据《地面交通噪声污染防治技术政策》（环发〔</w:t>
      </w:r>
      <w:r>
        <w:rPr>
          <w:rFonts w:ascii="Times New Roman" w:hAnsi="Times New Roman" w:eastAsia="Times New Roman" w:cs="Times New Roman"/>
          <w:color w:val="auto"/>
          <w:spacing w:val="-2"/>
          <w:sz w:val="24"/>
          <w:szCs w:val="24"/>
        </w:rPr>
        <w:t>2010</w:t>
      </w:r>
      <w:r>
        <w:rPr>
          <w:color w:val="auto"/>
          <w:spacing w:val="-2"/>
          <w:sz w:val="24"/>
          <w:szCs w:val="24"/>
        </w:rPr>
        <w:t>〕</w:t>
      </w:r>
      <w:r>
        <w:rPr>
          <w:rFonts w:ascii="Times New Roman" w:hAnsi="Times New Roman" w:eastAsia="Times New Roman" w:cs="Times New Roman"/>
          <w:color w:val="auto"/>
          <w:spacing w:val="-2"/>
          <w:sz w:val="24"/>
          <w:szCs w:val="24"/>
        </w:rPr>
        <w:t>7</w:t>
      </w:r>
      <w:r>
        <w:rPr>
          <w:rFonts w:ascii="Times New Roman" w:hAnsi="Times New Roman" w:eastAsia="Times New Roman" w:cs="Times New Roman"/>
          <w:color w:val="auto"/>
          <w:spacing w:val="16"/>
          <w:w w:val="101"/>
          <w:sz w:val="24"/>
          <w:szCs w:val="24"/>
        </w:rPr>
        <w:t xml:space="preserve"> </w:t>
      </w:r>
      <w:r>
        <w:rPr>
          <w:color w:val="auto"/>
          <w:spacing w:val="-2"/>
          <w:sz w:val="24"/>
          <w:szCs w:val="24"/>
        </w:rPr>
        <w:t>号</w:t>
      </w:r>
      <w:r>
        <w:rPr>
          <w:color w:val="auto"/>
          <w:spacing w:val="5"/>
          <w:sz w:val="24"/>
          <w:szCs w:val="24"/>
        </w:rPr>
        <w:t>），</w:t>
      </w:r>
      <w:r>
        <w:rPr>
          <w:color w:val="auto"/>
          <w:spacing w:val="-2"/>
          <w:sz w:val="24"/>
          <w:szCs w:val="24"/>
        </w:rPr>
        <w:t>地面交通噪声污染防治应遵循如下原则：</w:t>
      </w:r>
    </w:p>
    <w:p w14:paraId="2A1F4BBA">
      <w:pPr>
        <w:pStyle w:val="9"/>
        <w:spacing w:before="1" w:line="218" w:lineRule="auto"/>
        <w:ind w:left="519"/>
        <w:rPr>
          <w:color w:val="auto"/>
          <w:sz w:val="24"/>
          <w:szCs w:val="24"/>
        </w:rPr>
      </w:pPr>
      <w:r>
        <w:rPr>
          <w:rFonts w:ascii="Times New Roman" w:hAnsi="Times New Roman" w:eastAsia="Times New Roman" w:cs="Times New Roman"/>
          <w:color w:val="auto"/>
          <w:spacing w:val="-2"/>
          <w:sz w:val="24"/>
          <w:szCs w:val="24"/>
        </w:rPr>
        <w:t>1</w:t>
      </w:r>
      <w:r>
        <w:rPr>
          <w:rFonts w:ascii="Times New Roman" w:hAnsi="Times New Roman" w:eastAsia="Times New Roman" w:cs="Times New Roman"/>
          <w:color w:val="auto"/>
          <w:spacing w:val="-30"/>
          <w:sz w:val="24"/>
          <w:szCs w:val="24"/>
        </w:rPr>
        <w:t xml:space="preserve"> </w:t>
      </w:r>
      <w:r>
        <w:rPr>
          <w:color w:val="auto"/>
          <w:spacing w:val="-2"/>
          <w:sz w:val="24"/>
          <w:szCs w:val="24"/>
        </w:rPr>
        <w:t>、坚持预防为主原则，合理规划地面交通设施与邻近建筑物布局；</w:t>
      </w:r>
    </w:p>
    <w:p w14:paraId="0E0A41CF">
      <w:pPr>
        <w:pStyle w:val="9"/>
        <w:spacing w:before="183" w:line="219" w:lineRule="auto"/>
        <w:ind w:left="496"/>
        <w:rPr>
          <w:color w:val="auto"/>
          <w:sz w:val="24"/>
          <w:szCs w:val="24"/>
        </w:rPr>
      </w:pPr>
      <w:r>
        <w:rPr>
          <w:rFonts w:ascii="Times New Roman" w:hAnsi="Times New Roman" w:eastAsia="Times New Roman" w:cs="Times New Roman"/>
          <w:color w:val="auto"/>
          <w:spacing w:val="-1"/>
          <w:sz w:val="24"/>
          <w:szCs w:val="24"/>
        </w:rPr>
        <w:t>2</w:t>
      </w:r>
      <w:r>
        <w:rPr>
          <w:rFonts w:ascii="Times New Roman" w:hAnsi="Times New Roman" w:eastAsia="Times New Roman" w:cs="Times New Roman"/>
          <w:color w:val="auto"/>
          <w:spacing w:val="-34"/>
          <w:sz w:val="24"/>
          <w:szCs w:val="24"/>
        </w:rPr>
        <w:t xml:space="preserve"> </w:t>
      </w:r>
      <w:r>
        <w:rPr>
          <w:color w:val="auto"/>
          <w:spacing w:val="-1"/>
          <w:sz w:val="24"/>
          <w:szCs w:val="24"/>
        </w:rPr>
        <w:t>、噪声源、传声途径、敏感建筑物三者的分层次控制与各负</w:t>
      </w:r>
      <w:r>
        <w:rPr>
          <w:color w:val="auto"/>
          <w:spacing w:val="-2"/>
          <w:sz w:val="24"/>
          <w:szCs w:val="24"/>
        </w:rPr>
        <w:t>其责；</w:t>
      </w:r>
    </w:p>
    <w:p w14:paraId="482A90C5">
      <w:pPr>
        <w:pStyle w:val="9"/>
        <w:spacing w:before="184" w:line="358" w:lineRule="auto"/>
        <w:ind w:left="20" w:right="30" w:firstLine="481"/>
        <w:rPr>
          <w:color w:val="auto"/>
          <w:sz w:val="24"/>
          <w:szCs w:val="24"/>
        </w:rPr>
      </w:pPr>
      <w:r>
        <w:rPr>
          <w:rFonts w:ascii="Times New Roman" w:hAnsi="Times New Roman" w:eastAsia="Times New Roman" w:cs="Times New Roman"/>
          <w:color w:val="auto"/>
          <w:sz w:val="24"/>
          <w:szCs w:val="24"/>
        </w:rPr>
        <w:t>3</w:t>
      </w:r>
      <w:r>
        <w:rPr>
          <w:rFonts w:ascii="Times New Roman" w:hAnsi="Times New Roman" w:eastAsia="Times New Roman" w:cs="Times New Roman"/>
          <w:color w:val="auto"/>
          <w:spacing w:val="-34"/>
          <w:sz w:val="24"/>
          <w:szCs w:val="24"/>
        </w:rPr>
        <w:t xml:space="preserve"> </w:t>
      </w:r>
      <w:r>
        <w:rPr>
          <w:color w:val="auto"/>
          <w:sz w:val="24"/>
          <w:szCs w:val="24"/>
        </w:rPr>
        <w:t>、在技术经济可行条件下，优先考虑对噪声源和传声途径采</w:t>
      </w:r>
      <w:r>
        <w:rPr>
          <w:color w:val="auto"/>
          <w:spacing w:val="-1"/>
          <w:sz w:val="24"/>
          <w:szCs w:val="24"/>
        </w:rPr>
        <w:t>取工程技术措施，实施噪声主动控制；</w:t>
      </w:r>
    </w:p>
    <w:p w14:paraId="1E02CD3C">
      <w:pPr>
        <w:pStyle w:val="9"/>
        <w:spacing w:before="1" w:line="218" w:lineRule="auto"/>
        <w:ind w:left="495"/>
        <w:rPr>
          <w:color w:val="auto"/>
          <w:sz w:val="24"/>
          <w:szCs w:val="24"/>
        </w:rPr>
      </w:pPr>
      <w:r>
        <w:rPr>
          <w:rFonts w:ascii="Times New Roman" w:hAnsi="Times New Roman" w:eastAsia="Times New Roman" w:cs="Times New Roman"/>
          <w:color w:val="auto"/>
          <w:spacing w:val="-1"/>
          <w:sz w:val="24"/>
          <w:szCs w:val="24"/>
        </w:rPr>
        <w:t>4</w:t>
      </w:r>
      <w:r>
        <w:rPr>
          <w:rFonts w:ascii="Times New Roman" w:hAnsi="Times New Roman" w:eastAsia="Times New Roman" w:cs="Times New Roman"/>
          <w:color w:val="auto"/>
          <w:spacing w:val="-34"/>
          <w:sz w:val="24"/>
          <w:szCs w:val="24"/>
        </w:rPr>
        <w:t xml:space="preserve"> </w:t>
      </w:r>
      <w:r>
        <w:rPr>
          <w:color w:val="auto"/>
          <w:spacing w:val="-1"/>
          <w:sz w:val="24"/>
          <w:szCs w:val="24"/>
        </w:rPr>
        <w:t>、坚持以人为本原则，重点对噪声敏感建筑物</w:t>
      </w:r>
      <w:r>
        <w:rPr>
          <w:color w:val="auto"/>
          <w:spacing w:val="-2"/>
          <w:sz w:val="24"/>
          <w:szCs w:val="24"/>
        </w:rPr>
        <w:t>进行保护。</w:t>
      </w:r>
    </w:p>
    <w:p w14:paraId="6A6242B1">
      <w:pPr>
        <w:pStyle w:val="9"/>
        <w:spacing w:before="184" w:line="220" w:lineRule="auto"/>
        <w:ind w:left="20"/>
        <w:outlineLvl w:val="4"/>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.2.3.2 </w:t>
      </w:r>
      <w:r>
        <w:rPr>
          <w:b/>
          <w:bCs/>
          <w:color w:val="auto"/>
          <w:spacing w:val="-2"/>
          <w:sz w:val="24"/>
          <w:szCs w:val="24"/>
        </w:rPr>
        <w:t>控制目标要求</w:t>
      </w:r>
    </w:p>
    <w:p w14:paraId="3C40F20E">
      <w:pPr>
        <w:pStyle w:val="9"/>
        <w:spacing w:before="180" w:line="360" w:lineRule="auto"/>
        <w:ind w:left="20" w:right="30" w:firstLine="499"/>
        <w:jc w:val="both"/>
        <w:rPr>
          <w:color w:val="auto"/>
          <w:sz w:val="24"/>
          <w:szCs w:val="24"/>
        </w:rPr>
      </w:pPr>
      <w:r>
        <w:rPr>
          <w:color w:val="auto"/>
          <w:spacing w:val="-4"/>
          <w:sz w:val="24"/>
          <w:szCs w:val="24"/>
        </w:rPr>
        <w:t>因地面交通设施的建设或运行造成环境噪声污染，建设单位、运营单位应当</w:t>
      </w:r>
      <w:r>
        <w:rPr>
          <w:color w:val="auto"/>
          <w:spacing w:val="-3"/>
          <w:sz w:val="24"/>
          <w:szCs w:val="24"/>
        </w:rPr>
        <w:t>采取间隔必要的距离、噪声源控制、传声途径噪声削减等有效措施，以使室外声环境质量达标；如通过技术经济论证，认为不宜对交通噪声实施主动控制的，建设单位、运营单位应对噪声敏感建筑物采取有效的噪声防护措施，保证室内合理</w:t>
      </w:r>
      <w:r>
        <w:rPr>
          <w:color w:val="auto"/>
          <w:spacing w:val="-5"/>
          <w:sz w:val="24"/>
          <w:szCs w:val="24"/>
        </w:rPr>
        <w:t>的声环境质量。</w:t>
      </w:r>
    </w:p>
    <w:p w14:paraId="1E7A1929">
      <w:pPr>
        <w:pStyle w:val="9"/>
        <w:spacing w:before="179" w:line="220" w:lineRule="auto"/>
        <w:ind w:left="20"/>
        <w:outlineLvl w:val="4"/>
        <w:rPr>
          <w:color w:val="auto"/>
          <w:sz w:val="24"/>
          <w:szCs w:val="24"/>
        </w:rPr>
      </w:pPr>
      <w:r>
        <w:rPr>
          <w:rFonts w:hint="eastAsia" w:ascii="Times New Roman" w:hAnsi="Times New Roman" w:eastAsia="宋体" w:cs="Times New Roman"/>
          <w:b/>
          <w:bCs/>
          <w:color w:val="auto"/>
          <w:spacing w:val="-4"/>
          <w:sz w:val="24"/>
          <w:szCs w:val="24"/>
          <w:lang w:val="en-US" w:eastAsia="zh-CN"/>
        </w:rPr>
        <w:t>5</w:t>
      </w:r>
      <w:r>
        <w:rPr>
          <w:rFonts w:ascii="Times New Roman" w:hAnsi="Times New Roman" w:eastAsia="Times New Roman" w:cs="Times New Roman"/>
          <w:b/>
          <w:bCs/>
          <w:color w:val="auto"/>
          <w:spacing w:val="-4"/>
          <w:sz w:val="24"/>
          <w:szCs w:val="24"/>
        </w:rPr>
        <w:t>.2.3.3</w:t>
      </w:r>
      <w:r>
        <w:rPr>
          <w:rFonts w:ascii="Times New Roman" w:hAnsi="Times New Roman" w:eastAsia="Times New Roman" w:cs="Times New Roman"/>
          <w:b/>
          <w:bCs/>
          <w:color w:val="auto"/>
          <w:spacing w:val="31"/>
          <w:w w:val="101"/>
          <w:sz w:val="24"/>
          <w:szCs w:val="24"/>
        </w:rPr>
        <w:t xml:space="preserve"> </w:t>
      </w:r>
      <w:r>
        <w:rPr>
          <w:b/>
          <w:bCs/>
          <w:color w:val="auto"/>
          <w:spacing w:val="-4"/>
          <w:sz w:val="24"/>
          <w:szCs w:val="24"/>
        </w:rPr>
        <w:t>噪声治理措施</w:t>
      </w:r>
    </w:p>
    <w:p w14:paraId="13C060DE">
      <w:pPr>
        <w:pStyle w:val="9"/>
        <w:keepNext w:val="0"/>
        <w:keepLines w:val="0"/>
        <w:pageBreakBefore w:val="0"/>
        <w:widowControl/>
        <w:kinsoku/>
        <w:wordWrap/>
        <w:overflowPunct/>
        <w:topLinePunct w:val="0"/>
        <w:autoSpaceDE w:val="0"/>
        <w:autoSpaceDN w:val="0"/>
        <w:bidi w:val="0"/>
        <w:adjustRightInd w:val="0"/>
        <w:snapToGrid w:val="0"/>
        <w:spacing w:before="182" w:line="219" w:lineRule="auto"/>
        <w:ind w:left="519"/>
        <w:textAlignment w:val="baseline"/>
        <w:rPr>
          <w:rFonts w:hint="default" w:ascii="Times New Roman" w:hAnsi="Times New Roman" w:cs="Times New Roman"/>
          <w:color w:val="auto"/>
          <w:sz w:val="24"/>
          <w:szCs w:val="24"/>
        </w:rPr>
      </w:pPr>
      <w:r>
        <w:rPr>
          <w:rFonts w:hint="default" w:ascii="Times New Roman" w:hAnsi="Times New Roman" w:eastAsia="Times New Roman" w:cs="Times New Roman"/>
          <w:color w:val="auto"/>
          <w:spacing w:val="-5"/>
          <w:sz w:val="24"/>
          <w:szCs w:val="24"/>
        </w:rPr>
        <w:t>1</w:t>
      </w:r>
      <w:r>
        <w:rPr>
          <w:rFonts w:hint="default" w:ascii="Times New Roman" w:hAnsi="Times New Roman" w:cs="Times New Roman"/>
          <w:color w:val="auto"/>
          <w:spacing w:val="-5"/>
          <w:sz w:val="24"/>
          <w:szCs w:val="24"/>
        </w:rPr>
        <w:t>、敏感目标噪声治理措施</w:t>
      </w:r>
    </w:p>
    <w:p w14:paraId="5A9A57F8">
      <w:pPr>
        <w:pStyle w:val="9"/>
        <w:keepNext w:val="0"/>
        <w:keepLines w:val="0"/>
        <w:pageBreakBefore w:val="0"/>
        <w:widowControl/>
        <w:kinsoku/>
        <w:wordWrap/>
        <w:overflowPunct/>
        <w:topLinePunct w:val="0"/>
        <w:autoSpaceDE w:val="0"/>
        <w:autoSpaceDN w:val="0"/>
        <w:bidi w:val="0"/>
        <w:adjustRightInd w:val="0"/>
        <w:snapToGrid w:val="0"/>
        <w:spacing w:before="181" w:line="359" w:lineRule="auto"/>
        <w:ind w:left="33" w:right="11" w:firstLine="467"/>
        <w:textAlignment w:val="baseline"/>
        <w:rPr>
          <w:rFonts w:hint="default" w:ascii="Times New Roman" w:hAnsi="Times New Roman" w:cs="Times New Roman"/>
          <w:color w:val="auto"/>
          <w:sz w:val="24"/>
          <w:szCs w:val="24"/>
        </w:rPr>
      </w:pPr>
      <w:r>
        <w:rPr>
          <w:rFonts w:hint="default" w:ascii="Times New Roman" w:hAnsi="Times New Roman" w:eastAsia="宋体" w:cs="Times New Roman"/>
          <w:color w:val="auto"/>
          <w:spacing w:val="1"/>
          <w:sz w:val="24"/>
          <w:szCs w:val="24"/>
          <w:lang w:val="en-US" w:eastAsia="zh-CN"/>
        </w:rPr>
        <w:t>本项目200m范围内无声环境保护目标</w:t>
      </w:r>
      <w:r>
        <w:rPr>
          <w:rFonts w:hint="default" w:ascii="Times New Roman" w:hAnsi="Times New Roman" w:cs="Times New Roman"/>
          <w:color w:val="auto"/>
          <w:spacing w:val="-1"/>
          <w:sz w:val="24"/>
          <w:szCs w:val="24"/>
        </w:rPr>
        <w:t>。因此，本次评价不设置声屏障及隔声窗等。</w:t>
      </w:r>
    </w:p>
    <w:p w14:paraId="2A3FD928">
      <w:pPr>
        <w:pStyle w:val="9"/>
        <w:keepNext w:val="0"/>
        <w:keepLines w:val="0"/>
        <w:pageBreakBefore w:val="0"/>
        <w:widowControl/>
        <w:kinsoku/>
        <w:wordWrap/>
        <w:overflowPunct/>
        <w:topLinePunct w:val="0"/>
        <w:autoSpaceDE w:val="0"/>
        <w:autoSpaceDN w:val="0"/>
        <w:bidi w:val="0"/>
        <w:adjustRightInd w:val="0"/>
        <w:snapToGrid w:val="0"/>
        <w:spacing w:line="360" w:lineRule="auto"/>
        <w:ind w:left="20"/>
        <w:textAlignment w:val="baseline"/>
        <w:outlineLvl w:val="4"/>
        <w:rPr>
          <w:color w:val="auto"/>
          <w:sz w:val="24"/>
          <w:szCs w:val="24"/>
        </w:rPr>
      </w:pPr>
      <w:r>
        <w:rPr>
          <w:rFonts w:hint="eastAsia" w:ascii="Times New Roman" w:hAnsi="Times New Roman" w:eastAsia="宋体" w:cs="Times New Roman"/>
          <w:b/>
          <w:bCs/>
          <w:color w:val="auto"/>
          <w:spacing w:val="-3"/>
          <w:sz w:val="24"/>
          <w:szCs w:val="24"/>
          <w:lang w:val="en-US" w:eastAsia="zh-CN"/>
        </w:rPr>
        <w:t>5</w:t>
      </w:r>
      <w:r>
        <w:rPr>
          <w:rFonts w:ascii="Times New Roman" w:hAnsi="Times New Roman" w:eastAsia="Times New Roman" w:cs="Times New Roman"/>
          <w:b/>
          <w:bCs/>
          <w:color w:val="auto"/>
          <w:spacing w:val="-3"/>
          <w:sz w:val="24"/>
          <w:szCs w:val="24"/>
        </w:rPr>
        <w:t>.2.3.4</w:t>
      </w:r>
      <w:r>
        <w:rPr>
          <w:rFonts w:ascii="Times New Roman" w:hAnsi="Times New Roman" w:eastAsia="Times New Roman" w:cs="Times New Roman"/>
          <w:b/>
          <w:bCs/>
          <w:color w:val="auto"/>
          <w:spacing w:val="22"/>
          <w:sz w:val="24"/>
          <w:szCs w:val="24"/>
        </w:rPr>
        <w:t xml:space="preserve"> </w:t>
      </w:r>
      <w:r>
        <w:rPr>
          <w:b/>
          <w:bCs/>
          <w:color w:val="auto"/>
          <w:spacing w:val="-3"/>
          <w:sz w:val="24"/>
          <w:szCs w:val="24"/>
        </w:rPr>
        <w:t>噪声污染防治建议</w:t>
      </w:r>
    </w:p>
    <w:p w14:paraId="284EDAEE">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rPr>
          <w:color w:val="auto"/>
          <w:sz w:val="24"/>
          <w:szCs w:val="24"/>
        </w:rPr>
      </w:pPr>
      <w:r>
        <w:rPr>
          <w:b/>
          <w:bCs/>
          <w:color w:val="auto"/>
          <w:spacing w:val="-3"/>
          <w:sz w:val="24"/>
          <w:szCs w:val="24"/>
        </w:rPr>
        <w:t>一、铁路噪声污染防治建议</w:t>
      </w:r>
    </w:p>
    <w:p w14:paraId="1042EFA9">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rPr>
          <w:color w:val="auto"/>
          <w:sz w:val="24"/>
          <w:szCs w:val="24"/>
        </w:rPr>
      </w:pPr>
      <w:r>
        <w:rPr>
          <w:rFonts w:hint="eastAsia" w:ascii="Times New Roman" w:hAnsi="Times New Roman" w:eastAsia="宋体" w:cs="Times New Roman"/>
          <w:b/>
          <w:bCs/>
          <w:color w:val="auto"/>
          <w:spacing w:val="-4"/>
          <w:sz w:val="24"/>
          <w:szCs w:val="24"/>
          <w:lang w:val="en-US" w:eastAsia="zh-CN"/>
        </w:rPr>
        <w:t>1</w:t>
      </w:r>
      <w:r>
        <w:rPr>
          <w:b/>
          <w:bCs/>
          <w:color w:val="auto"/>
          <w:spacing w:val="-4"/>
          <w:sz w:val="24"/>
          <w:szCs w:val="24"/>
        </w:rPr>
        <w:t>、加强铁路管理</w:t>
      </w:r>
    </w:p>
    <w:p w14:paraId="073DB3E6">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0"/>
        <w:textAlignment w:val="baseline"/>
        <w:rPr>
          <w:color w:val="auto"/>
          <w:sz w:val="24"/>
          <w:szCs w:val="24"/>
        </w:rPr>
      </w:pPr>
      <w:r>
        <w:rPr>
          <w:color w:val="auto"/>
          <w:spacing w:val="-3"/>
          <w:sz w:val="24"/>
          <w:szCs w:val="24"/>
        </w:rPr>
        <w:t>为进一步降低铁路噪声的影响，评价建议采取以下几方面措施进一</w:t>
      </w:r>
      <w:r>
        <w:rPr>
          <w:color w:val="auto"/>
          <w:spacing w:val="-4"/>
          <w:sz w:val="24"/>
          <w:szCs w:val="24"/>
        </w:rPr>
        <w:t>步降低铁</w:t>
      </w:r>
      <w:r>
        <w:rPr>
          <w:color w:val="auto"/>
          <w:spacing w:val="-2"/>
          <w:sz w:val="24"/>
          <w:szCs w:val="24"/>
        </w:rPr>
        <w:t>路噪声对环境的影响。</w:t>
      </w:r>
    </w:p>
    <w:p w14:paraId="7746EA27">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rPr>
          <w:color w:val="auto"/>
          <w:sz w:val="24"/>
          <w:szCs w:val="24"/>
        </w:rPr>
      </w:pPr>
      <w:r>
        <w:rPr>
          <w:b/>
          <w:bCs/>
          <w:color w:val="auto"/>
          <w:spacing w:val="-4"/>
          <w:sz w:val="24"/>
          <w:szCs w:val="24"/>
        </w:rPr>
        <w:t>（</w:t>
      </w:r>
      <w:r>
        <w:rPr>
          <w:rFonts w:ascii="Times New Roman" w:hAnsi="Times New Roman" w:eastAsia="Times New Roman" w:cs="Times New Roman"/>
          <w:b/>
          <w:bCs/>
          <w:color w:val="auto"/>
          <w:spacing w:val="-4"/>
          <w:sz w:val="24"/>
          <w:szCs w:val="24"/>
        </w:rPr>
        <w:t>1</w:t>
      </w:r>
      <w:r>
        <w:rPr>
          <w:b/>
          <w:bCs/>
          <w:color w:val="auto"/>
          <w:spacing w:val="-4"/>
          <w:sz w:val="24"/>
          <w:szCs w:val="24"/>
        </w:rPr>
        <w:t>）加强机车鸣笛噪声控制</w:t>
      </w:r>
    </w:p>
    <w:p w14:paraId="22F135FE">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1"/>
          <w:sz w:val="24"/>
          <w:szCs w:val="24"/>
        </w:rPr>
        <w:t>铁路噪声源中，机车鸣笛是重要的干扰源，建议采取以下措施：</w:t>
      </w:r>
    </w:p>
    <w:p w14:paraId="58F680A8">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1"/>
          <w:sz w:val="24"/>
          <w:szCs w:val="24"/>
        </w:rPr>
        <w:t>①采用安装强指向性风笛装置。</w:t>
      </w:r>
    </w:p>
    <w:p w14:paraId="4BF8FF25">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1"/>
          <w:sz w:val="24"/>
          <w:szCs w:val="24"/>
        </w:rPr>
        <w:t>②严格控制鸣笛时长，尽量采用短鸣笛。</w:t>
      </w:r>
    </w:p>
    <w:p w14:paraId="6AFD8443">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rPr>
          <w:color w:val="auto"/>
          <w:sz w:val="24"/>
          <w:szCs w:val="24"/>
        </w:rPr>
      </w:pPr>
      <w:r>
        <w:rPr>
          <w:b/>
          <w:bCs/>
          <w:color w:val="auto"/>
          <w:spacing w:val="-4"/>
          <w:sz w:val="24"/>
          <w:szCs w:val="24"/>
        </w:rPr>
        <w:t>（</w:t>
      </w:r>
      <w:r>
        <w:rPr>
          <w:rFonts w:hint="eastAsia" w:ascii="Times New Roman" w:hAnsi="Times New Roman" w:eastAsia="宋体" w:cs="Times New Roman"/>
          <w:b/>
          <w:bCs/>
          <w:color w:val="auto"/>
          <w:spacing w:val="-4"/>
          <w:sz w:val="24"/>
          <w:szCs w:val="24"/>
          <w:lang w:val="en-US" w:eastAsia="zh-CN"/>
        </w:rPr>
        <w:t>2</w:t>
      </w:r>
      <w:r>
        <w:rPr>
          <w:b/>
          <w:bCs/>
          <w:color w:val="auto"/>
          <w:spacing w:val="-4"/>
          <w:sz w:val="24"/>
          <w:szCs w:val="24"/>
        </w:rPr>
        <w:t>）管理上控制噪声</w:t>
      </w:r>
    </w:p>
    <w:p w14:paraId="79576C42">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2"/>
        <w:jc w:val="both"/>
        <w:textAlignment w:val="baseline"/>
        <w:rPr>
          <w:color w:val="auto"/>
          <w:sz w:val="24"/>
          <w:szCs w:val="24"/>
        </w:rPr>
      </w:pPr>
      <w:r>
        <w:rPr>
          <w:color w:val="auto"/>
          <w:spacing w:val="-3"/>
          <w:sz w:val="24"/>
          <w:szCs w:val="24"/>
        </w:rPr>
        <w:t>建议运营单位加强日常管理和保养，定期进行轨道打磨和旋轮等，</w:t>
      </w:r>
      <w:r>
        <w:rPr>
          <w:color w:val="auto"/>
          <w:spacing w:val="-4"/>
          <w:sz w:val="24"/>
          <w:szCs w:val="24"/>
        </w:rPr>
        <w:t>使线路在</w:t>
      </w:r>
      <w:r>
        <w:rPr>
          <w:color w:val="auto"/>
          <w:spacing w:val="-3"/>
          <w:sz w:val="24"/>
          <w:szCs w:val="24"/>
        </w:rPr>
        <w:t>较佳的线路条件下运行，降低噪声。运营期管理单位应加强对沿线敏感点的噪声</w:t>
      </w:r>
      <w:r>
        <w:rPr>
          <w:color w:val="auto"/>
          <w:spacing w:val="-1"/>
          <w:sz w:val="24"/>
          <w:szCs w:val="24"/>
        </w:rPr>
        <w:t>监测，根据监测结果及时增补、完善措施。</w:t>
      </w:r>
    </w:p>
    <w:p w14:paraId="3D7BD9EB">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rPr>
          <w:color w:val="auto"/>
          <w:sz w:val="24"/>
          <w:szCs w:val="24"/>
        </w:rPr>
      </w:pPr>
      <w:r>
        <w:rPr>
          <w:rFonts w:hint="eastAsia" w:ascii="Times New Roman" w:hAnsi="Times New Roman" w:eastAsia="宋体" w:cs="Times New Roman"/>
          <w:b/>
          <w:bCs/>
          <w:color w:val="auto"/>
          <w:spacing w:val="-5"/>
          <w:sz w:val="24"/>
          <w:szCs w:val="24"/>
          <w:lang w:val="en-US" w:eastAsia="zh-CN"/>
        </w:rPr>
        <w:t>2</w:t>
      </w:r>
      <w:r>
        <w:rPr>
          <w:b/>
          <w:bCs/>
          <w:color w:val="auto"/>
          <w:spacing w:val="-5"/>
          <w:sz w:val="24"/>
          <w:szCs w:val="24"/>
        </w:rPr>
        <w:t>、建立铁路线路安全保护区</w:t>
      </w:r>
    </w:p>
    <w:p w14:paraId="794DF21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4" w:firstLineChars="200"/>
        <w:jc w:val="both"/>
        <w:textAlignment w:val="baseline"/>
        <w:rPr>
          <w:rFonts w:hint="default" w:ascii="Times New Roman" w:hAnsi="Times New Roman" w:cs="Times New Roman"/>
          <w:color w:val="auto"/>
          <w:sz w:val="24"/>
          <w:szCs w:val="24"/>
        </w:rPr>
      </w:pPr>
      <w:r>
        <w:rPr>
          <w:color w:val="auto"/>
          <w:spacing w:val="-4"/>
          <w:sz w:val="24"/>
          <w:szCs w:val="24"/>
        </w:rPr>
        <w:t>《</w:t>
      </w:r>
      <w:r>
        <w:rPr>
          <w:rFonts w:hint="default" w:ascii="Times New Roman" w:hAnsi="Times New Roman" w:cs="Times New Roman"/>
          <w:color w:val="auto"/>
          <w:spacing w:val="-4"/>
          <w:sz w:val="24"/>
          <w:szCs w:val="24"/>
        </w:rPr>
        <w:t>铁路安全管理条例》（国务院令第</w:t>
      </w:r>
      <w:r>
        <w:rPr>
          <w:rFonts w:hint="default" w:ascii="Times New Roman" w:hAnsi="Times New Roman" w:cs="Times New Roman"/>
          <w:color w:val="auto"/>
          <w:spacing w:val="-45"/>
          <w:sz w:val="24"/>
          <w:szCs w:val="24"/>
        </w:rPr>
        <w:t xml:space="preserve"> </w:t>
      </w:r>
      <w:r>
        <w:rPr>
          <w:rFonts w:hint="default" w:ascii="Times New Roman" w:hAnsi="Times New Roman" w:eastAsia="Times New Roman" w:cs="Times New Roman"/>
          <w:color w:val="auto"/>
          <w:spacing w:val="-4"/>
          <w:sz w:val="24"/>
          <w:szCs w:val="24"/>
        </w:rPr>
        <w:t>639</w:t>
      </w:r>
      <w:r>
        <w:rPr>
          <w:rFonts w:hint="default" w:ascii="Times New Roman" w:hAnsi="Times New Roman" w:eastAsia="Times New Roman" w:cs="Times New Roman"/>
          <w:color w:val="auto"/>
          <w:spacing w:val="15"/>
          <w:w w:val="101"/>
          <w:sz w:val="24"/>
          <w:szCs w:val="24"/>
        </w:rPr>
        <w:t xml:space="preserve"> </w:t>
      </w:r>
      <w:r>
        <w:rPr>
          <w:rFonts w:hint="default" w:ascii="Times New Roman" w:hAnsi="Times New Roman" w:cs="Times New Roman"/>
          <w:color w:val="auto"/>
          <w:spacing w:val="-4"/>
          <w:sz w:val="24"/>
          <w:szCs w:val="24"/>
        </w:rPr>
        <w:t>号）第二十七条规定：铁路线路两</w:t>
      </w:r>
      <w:r>
        <w:rPr>
          <w:rFonts w:hint="default" w:ascii="Times New Roman" w:hAnsi="Times New Roman" w:cs="Times New Roman"/>
          <w:color w:val="auto"/>
          <w:spacing w:val="-3"/>
          <w:sz w:val="24"/>
          <w:szCs w:val="24"/>
        </w:rPr>
        <w:t>侧应当设立铁路线路安全保护区。铁路线路安全保护区的范围，从铁路线路路堤</w:t>
      </w:r>
      <w:r>
        <w:rPr>
          <w:rFonts w:hint="default" w:ascii="Times New Roman" w:hAnsi="Times New Roman" w:cs="Times New Roman"/>
          <w:color w:val="auto"/>
          <w:spacing w:val="-8"/>
          <w:sz w:val="24"/>
          <w:szCs w:val="24"/>
        </w:rPr>
        <w:t>坡脚、路堑坡顶或者铁路桥梁（含铁路、道路两用桥）外侧起向外的距离分别为：</w:t>
      </w:r>
    </w:p>
    <w:p w14:paraId="07713FB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3"/>
          <w:sz w:val="24"/>
          <w:szCs w:val="24"/>
        </w:rPr>
        <w:t>（一）城市市区高速铁路为</w:t>
      </w:r>
      <w:r>
        <w:rPr>
          <w:rFonts w:hint="default" w:ascii="Times New Roman" w:hAnsi="Times New Roman" w:cs="Times New Roman"/>
          <w:color w:val="auto"/>
          <w:spacing w:val="-19"/>
          <w:sz w:val="24"/>
          <w:szCs w:val="24"/>
        </w:rPr>
        <w:t xml:space="preserve"> </w:t>
      </w:r>
      <w:r>
        <w:rPr>
          <w:rFonts w:hint="default" w:ascii="Times New Roman" w:hAnsi="Times New Roman" w:eastAsia="Times New Roman" w:cs="Times New Roman"/>
          <w:color w:val="auto"/>
          <w:spacing w:val="-3"/>
          <w:sz w:val="24"/>
          <w:szCs w:val="24"/>
        </w:rPr>
        <w:t xml:space="preserve">10 </w:t>
      </w:r>
      <w:r>
        <w:rPr>
          <w:rFonts w:hint="default" w:ascii="Times New Roman" w:hAnsi="Times New Roman" w:cs="Times New Roman"/>
          <w:color w:val="auto"/>
          <w:spacing w:val="-3"/>
          <w:sz w:val="24"/>
          <w:szCs w:val="24"/>
        </w:rPr>
        <w:t>米，其他铁路为</w:t>
      </w:r>
      <w:r>
        <w:rPr>
          <w:rFonts w:hint="default" w:ascii="Times New Roman" w:hAnsi="Times New Roman" w:cs="Times New Roman"/>
          <w:color w:val="auto"/>
          <w:spacing w:val="-45"/>
          <w:sz w:val="24"/>
          <w:szCs w:val="24"/>
        </w:rPr>
        <w:t xml:space="preserve"> </w:t>
      </w:r>
      <w:r>
        <w:rPr>
          <w:rFonts w:hint="default" w:ascii="Times New Roman" w:hAnsi="Times New Roman" w:eastAsia="Times New Roman" w:cs="Times New Roman"/>
          <w:color w:val="auto"/>
          <w:spacing w:val="-3"/>
          <w:sz w:val="24"/>
          <w:szCs w:val="24"/>
        </w:rPr>
        <w:t xml:space="preserve">8 </w:t>
      </w:r>
      <w:r>
        <w:rPr>
          <w:rFonts w:hint="default" w:ascii="Times New Roman" w:hAnsi="Times New Roman" w:cs="Times New Roman"/>
          <w:color w:val="auto"/>
          <w:spacing w:val="-3"/>
          <w:sz w:val="24"/>
          <w:szCs w:val="24"/>
        </w:rPr>
        <w:t>米；</w:t>
      </w:r>
    </w:p>
    <w:p w14:paraId="7004A42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3"/>
          <w:sz w:val="24"/>
          <w:szCs w:val="24"/>
        </w:rPr>
        <w:t>（二）城市郊区居民居住区高速铁路为</w:t>
      </w:r>
      <w:r>
        <w:rPr>
          <w:rFonts w:hint="default" w:ascii="Times New Roman" w:hAnsi="Times New Roman" w:cs="Times New Roman"/>
          <w:color w:val="auto"/>
          <w:spacing w:val="-14"/>
          <w:sz w:val="24"/>
          <w:szCs w:val="24"/>
        </w:rPr>
        <w:t xml:space="preserve"> </w:t>
      </w:r>
      <w:r>
        <w:rPr>
          <w:rFonts w:hint="default" w:ascii="Times New Roman" w:hAnsi="Times New Roman" w:eastAsia="Times New Roman" w:cs="Times New Roman"/>
          <w:color w:val="auto"/>
          <w:spacing w:val="-3"/>
          <w:sz w:val="24"/>
          <w:szCs w:val="24"/>
        </w:rPr>
        <w:t xml:space="preserve">12 </w:t>
      </w:r>
      <w:r>
        <w:rPr>
          <w:rFonts w:hint="default" w:ascii="Times New Roman" w:hAnsi="Times New Roman" w:cs="Times New Roman"/>
          <w:color w:val="auto"/>
          <w:spacing w:val="-3"/>
          <w:sz w:val="24"/>
          <w:szCs w:val="24"/>
        </w:rPr>
        <w:t>米，其他铁路为</w:t>
      </w:r>
      <w:r>
        <w:rPr>
          <w:rFonts w:hint="default" w:ascii="Times New Roman" w:hAnsi="Times New Roman" w:cs="Times New Roman"/>
          <w:color w:val="auto"/>
          <w:spacing w:val="-32"/>
          <w:sz w:val="24"/>
          <w:szCs w:val="24"/>
        </w:rPr>
        <w:t xml:space="preserve"> </w:t>
      </w:r>
      <w:r>
        <w:rPr>
          <w:rFonts w:hint="default" w:ascii="Times New Roman" w:hAnsi="Times New Roman" w:eastAsia="Times New Roman" w:cs="Times New Roman"/>
          <w:color w:val="auto"/>
          <w:spacing w:val="-3"/>
          <w:sz w:val="24"/>
          <w:szCs w:val="24"/>
        </w:rPr>
        <w:t xml:space="preserve">10 </w:t>
      </w:r>
      <w:r>
        <w:rPr>
          <w:rFonts w:hint="default" w:ascii="Times New Roman" w:hAnsi="Times New Roman" w:cs="Times New Roman"/>
          <w:color w:val="auto"/>
          <w:spacing w:val="-3"/>
          <w:sz w:val="24"/>
          <w:szCs w:val="24"/>
        </w:rPr>
        <w:t>米；</w:t>
      </w:r>
    </w:p>
    <w:p w14:paraId="3286576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3"/>
          <w:sz w:val="24"/>
          <w:szCs w:val="24"/>
        </w:rPr>
        <w:t>（三）村镇居民居住区高速铁路为</w:t>
      </w:r>
      <w:r>
        <w:rPr>
          <w:rFonts w:hint="default" w:ascii="Times New Roman" w:hAnsi="Times New Roman" w:cs="Times New Roman"/>
          <w:color w:val="auto"/>
          <w:spacing w:val="-20"/>
          <w:sz w:val="24"/>
          <w:szCs w:val="24"/>
        </w:rPr>
        <w:t xml:space="preserve"> </w:t>
      </w:r>
      <w:r>
        <w:rPr>
          <w:rFonts w:hint="default" w:ascii="Times New Roman" w:hAnsi="Times New Roman" w:eastAsia="Times New Roman" w:cs="Times New Roman"/>
          <w:color w:val="auto"/>
          <w:spacing w:val="-3"/>
          <w:sz w:val="24"/>
          <w:szCs w:val="24"/>
        </w:rPr>
        <w:t xml:space="preserve">15 </w:t>
      </w:r>
      <w:r>
        <w:rPr>
          <w:rFonts w:hint="default" w:ascii="Times New Roman" w:hAnsi="Times New Roman" w:cs="Times New Roman"/>
          <w:color w:val="auto"/>
          <w:spacing w:val="-3"/>
          <w:sz w:val="24"/>
          <w:szCs w:val="24"/>
        </w:rPr>
        <w:t>米，其他铁路为</w:t>
      </w:r>
      <w:r>
        <w:rPr>
          <w:rFonts w:hint="default" w:ascii="Times New Roman" w:hAnsi="Times New Roman" w:cs="Times New Roman"/>
          <w:color w:val="auto"/>
          <w:spacing w:val="-32"/>
          <w:sz w:val="24"/>
          <w:szCs w:val="24"/>
        </w:rPr>
        <w:t xml:space="preserve"> </w:t>
      </w:r>
      <w:r>
        <w:rPr>
          <w:rFonts w:hint="default" w:ascii="Times New Roman" w:hAnsi="Times New Roman" w:eastAsia="Times New Roman" w:cs="Times New Roman"/>
          <w:color w:val="auto"/>
          <w:spacing w:val="-3"/>
          <w:sz w:val="24"/>
          <w:szCs w:val="24"/>
        </w:rPr>
        <w:t xml:space="preserve">12 </w:t>
      </w:r>
      <w:r>
        <w:rPr>
          <w:rFonts w:hint="default" w:ascii="Times New Roman" w:hAnsi="Times New Roman" w:cs="Times New Roman"/>
          <w:color w:val="auto"/>
          <w:spacing w:val="-3"/>
          <w:sz w:val="24"/>
          <w:szCs w:val="24"/>
        </w:rPr>
        <w:t>米；</w:t>
      </w:r>
    </w:p>
    <w:p w14:paraId="1620F00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2"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2"/>
          <w:sz w:val="24"/>
          <w:szCs w:val="24"/>
        </w:rPr>
        <w:t>（四）其他地区高速铁路为</w:t>
      </w:r>
      <w:r>
        <w:rPr>
          <w:rFonts w:hint="default" w:ascii="Times New Roman" w:hAnsi="Times New Roman" w:cs="Times New Roman"/>
          <w:color w:val="auto"/>
          <w:spacing w:val="-55"/>
          <w:sz w:val="24"/>
          <w:szCs w:val="24"/>
        </w:rPr>
        <w:t xml:space="preserve"> </w:t>
      </w:r>
      <w:r>
        <w:rPr>
          <w:rFonts w:hint="default" w:ascii="Times New Roman" w:hAnsi="Times New Roman" w:eastAsia="Times New Roman" w:cs="Times New Roman"/>
          <w:color w:val="auto"/>
          <w:spacing w:val="-2"/>
          <w:sz w:val="24"/>
          <w:szCs w:val="24"/>
        </w:rPr>
        <w:t xml:space="preserve">20 </w:t>
      </w:r>
      <w:r>
        <w:rPr>
          <w:rFonts w:hint="default" w:ascii="Times New Roman" w:hAnsi="Times New Roman" w:cs="Times New Roman"/>
          <w:color w:val="auto"/>
          <w:spacing w:val="-2"/>
          <w:sz w:val="24"/>
          <w:szCs w:val="24"/>
        </w:rPr>
        <w:t>米，其他铁路为</w:t>
      </w:r>
      <w:r>
        <w:rPr>
          <w:rFonts w:hint="default" w:ascii="Times New Roman" w:hAnsi="Times New Roman" w:cs="Times New Roman"/>
          <w:color w:val="auto"/>
          <w:spacing w:val="-32"/>
          <w:sz w:val="24"/>
          <w:szCs w:val="24"/>
        </w:rPr>
        <w:t xml:space="preserve"> </w:t>
      </w:r>
      <w:r>
        <w:rPr>
          <w:rFonts w:hint="default" w:ascii="Times New Roman" w:hAnsi="Times New Roman" w:eastAsia="Times New Roman" w:cs="Times New Roman"/>
          <w:color w:val="auto"/>
          <w:spacing w:val="-2"/>
          <w:sz w:val="24"/>
          <w:szCs w:val="24"/>
        </w:rPr>
        <w:t xml:space="preserve">15 </w:t>
      </w:r>
      <w:r>
        <w:rPr>
          <w:rFonts w:hint="default" w:ascii="Times New Roman" w:hAnsi="Times New Roman" w:cs="Times New Roman"/>
          <w:color w:val="auto"/>
          <w:spacing w:val="-2"/>
          <w:sz w:val="24"/>
          <w:szCs w:val="24"/>
        </w:rPr>
        <w:t>米。</w:t>
      </w:r>
    </w:p>
    <w:p w14:paraId="279C568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3"/>
          <w:sz w:val="24"/>
          <w:szCs w:val="24"/>
        </w:rPr>
        <w:t>本工程专用线位于</w:t>
      </w:r>
      <w:r>
        <w:rPr>
          <w:rFonts w:hint="default" w:ascii="Times New Roman" w:hAnsi="Times New Roman" w:cs="Times New Roman"/>
          <w:color w:val="auto"/>
          <w:spacing w:val="-2"/>
          <w:sz w:val="24"/>
          <w:szCs w:val="24"/>
        </w:rPr>
        <w:t>其他地区</w:t>
      </w:r>
      <w:r>
        <w:rPr>
          <w:rFonts w:hint="default" w:ascii="Times New Roman" w:hAnsi="Times New Roman" w:cs="Times New Roman"/>
          <w:color w:val="auto"/>
          <w:spacing w:val="-3"/>
          <w:sz w:val="24"/>
          <w:szCs w:val="24"/>
        </w:rPr>
        <w:t>，为普通货物列车，铁路线路安</w:t>
      </w:r>
      <w:r>
        <w:rPr>
          <w:rFonts w:hint="default" w:ascii="Times New Roman" w:hAnsi="Times New Roman" w:cs="Times New Roman"/>
          <w:color w:val="auto"/>
          <w:spacing w:val="-4"/>
          <w:sz w:val="24"/>
          <w:szCs w:val="24"/>
        </w:rPr>
        <w:t>全保</w:t>
      </w:r>
      <w:r>
        <w:rPr>
          <w:rFonts w:hint="default" w:ascii="Times New Roman" w:hAnsi="Times New Roman" w:cs="Times New Roman"/>
          <w:color w:val="auto"/>
          <w:spacing w:val="-3"/>
          <w:sz w:val="24"/>
          <w:szCs w:val="24"/>
        </w:rPr>
        <w:t>护区为线路路堤坡脚外侧起向外</w:t>
      </w:r>
      <w:r>
        <w:rPr>
          <w:rFonts w:hint="default" w:ascii="Times New Roman" w:hAnsi="Times New Roman" w:eastAsia="宋体" w:cs="Times New Roman"/>
          <w:color w:val="auto"/>
          <w:spacing w:val="-15"/>
          <w:sz w:val="24"/>
          <w:szCs w:val="24"/>
          <w:lang w:val="en-US" w:eastAsia="zh-CN"/>
        </w:rPr>
        <w:t>15</w:t>
      </w:r>
      <w:r>
        <w:rPr>
          <w:rFonts w:hint="default" w:ascii="Times New Roman" w:hAnsi="Times New Roman" w:cs="Times New Roman"/>
          <w:color w:val="auto"/>
          <w:spacing w:val="-3"/>
          <w:sz w:val="24"/>
          <w:szCs w:val="24"/>
        </w:rPr>
        <w:t>米。</w:t>
      </w:r>
    </w:p>
    <w:p w14:paraId="236991E9">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rPr>
          <w:color w:val="auto"/>
          <w:sz w:val="24"/>
          <w:szCs w:val="24"/>
        </w:rPr>
      </w:pPr>
      <w:r>
        <w:rPr>
          <w:b/>
          <w:bCs/>
          <w:color w:val="auto"/>
          <w:spacing w:val="-3"/>
          <w:sz w:val="24"/>
          <w:szCs w:val="24"/>
        </w:rPr>
        <w:t>二、货物运输车辆噪声污染防治建议</w:t>
      </w:r>
    </w:p>
    <w:p w14:paraId="02A1015C">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1</w:t>
      </w:r>
      <w:r>
        <w:rPr>
          <w:color w:val="auto"/>
          <w:spacing w:val="-1"/>
          <w:sz w:val="24"/>
          <w:szCs w:val="24"/>
        </w:rPr>
        <w:t>）合理规划运输时间，货物运输尽量安排在白天进行；</w:t>
      </w:r>
    </w:p>
    <w:p w14:paraId="68385904">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2</w:t>
      </w:r>
      <w:r>
        <w:rPr>
          <w:color w:val="auto"/>
          <w:spacing w:val="-1"/>
          <w:sz w:val="24"/>
          <w:szCs w:val="24"/>
        </w:rPr>
        <w:t>）加强管理，严格限制进出项目区运输车辆的车速，严禁野蛮驾驶；</w:t>
      </w:r>
    </w:p>
    <w:p w14:paraId="7C4C2181">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3</w:t>
      </w:r>
      <w:r>
        <w:rPr>
          <w:color w:val="auto"/>
          <w:spacing w:val="-1"/>
          <w:sz w:val="24"/>
          <w:szCs w:val="24"/>
        </w:rPr>
        <w:t>）经过居民点时禁止鸣笛，注意观察路况；</w:t>
      </w:r>
    </w:p>
    <w:p w14:paraId="2658A70A">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.2.4 </w:t>
      </w:r>
      <w:r>
        <w:rPr>
          <w:b/>
          <w:bCs/>
          <w:color w:val="auto"/>
          <w:spacing w:val="-2"/>
          <w:sz w:val="24"/>
          <w:szCs w:val="24"/>
        </w:rPr>
        <w:t>振动污染防治措施</w:t>
      </w:r>
    </w:p>
    <w:p w14:paraId="4FD23FA0">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outlineLvl w:val="4"/>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.2.4.1 </w:t>
      </w:r>
      <w:r>
        <w:rPr>
          <w:b/>
          <w:bCs/>
          <w:color w:val="auto"/>
          <w:spacing w:val="-2"/>
          <w:sz w:val="24"/>
          <w:szCs w:val="24"/>
        </w:rPr>
        <w:t>振动治理措施</w:t>
      </w:r>
    </w:p>
    <w:p w14:paraId="14B836B2">
      <w:pPr>
        <w:pStyle w:val="9"/>
        <w:keepNext w:val="0"/>
        <w:keepLines w:val="0"/>
        <w:pageBreakBefore w:val="0"/>
        <w:widowControl/>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2"/>
          <w:sz w:val="24"/>
          <w:szCs w:val="24"/>
        </w:rPr>
        <w:t>项目铁路外轨中心线</w:t>
      </w:r>
      <w:r>
        <w:rPr>
          <w:rFonts w:hint="default" w:ascii="Times New Roman" w:hAnsi="Times New Roman" w:cs="Times New Roman"/>
          <w:color w:val="auto"/>
          <w:spacing w:val="-44"/>
          <w:sz w:val="24"/>
          <w:szCs w:val="24"/>
        </w:rPr>
        <w:t xml:space="preserve"> </w:t>
      </w:r>
      <w:r>
        <w:rPr>
          <w:rFonts w:hint="default" w:ascii="Times New Roman" w:hAnsi="Times New Roman" w:eastAsia="Times New Roman" w:cs="Times New Roman"/>
          <w:color w:val="auto"/>
          <w:spacing w:val="-2"/>
          <w:sz w:val="24"/>
          <w:szCs w:val="24"/>
        </w:rPr>
        <w:t>60m</w:t>
      </w:r>
      <w:r>
        <w:rPr>
          <w:rFonts w:hint="default" w:ascii="Times New Roman" w:hAnsi="Times New Roman" w:eastAsia="Times New Roman" w:cs="Times New Roman"/>
          <w:color w:val="auto"/>
          <w:spacing w:val="16"/>
          <w:w w:val="101"/>
          <w:sz w:val="24"/>
          <w:szCs w:val="24"/>
        </w:rPr>
        <w:t xml:space="preserve"> </w:t>
      </w:r>
      <w:r>
        <w:rPr>
          <w:rFonts w:hint="default" w:ascii="Times New Roman" w:hAnsi="Times New Roman" w:cs="Times New Roman"/>
          <w:color w:val="auto"/>
          <w:spacing w:val="-2"/>
          <w:sz w:val="24"/>
          <w:szCs w:val="24"/>
        </w:rPr>
        <w:t>范围内无敏感点，项目列车运行时振动对周边环境的影响不大。</w:t>
      </w:r>
    </w:p>
    <w:p w14:paraId="15B7D40A">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outlineLvl w:val="4"/>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.2.4.2 </w:t>
      </w:r>
      <w:r>
        <w:rPr>
          <w:b/>
          <w:bCs/>
          <w:color w:val="auto"/>
          <w:spacing w:val="-2"/>
          <w:sz w:val="24"/>
          <w:szCs w:val="24"/>
        </w:rPr>
        <w:t>振动防治建议</w:t>
      </w:r>
    </w:p>
    <w:p w14:paraId="5B89FF59">
      <w:pPr>
        <w:pStyle w:val="9"/>
        <w:keepNext w:val="0"/>
        <w:keepLines w:val="0"/>
        <w:pageBreakBefore w:val="0"/>
        <w:widowControl/>
        <w:wordWrap/>
        <w:overflowPunct/>
        <w:topLinePunct w:val="0"/>
        <w:autoSpaceDE w:val="0"/>
        <w:autoSpaceDN w:val="0"/>
        <w:bidi w:val="0"/>
        <w:adjustRightInd/>
        <w:snapToGrid/>
        <w:spacing w:line="360" w:lineRule="auto"/>
        <w:ind w:left="0" w:right="0"/>
        <w:textAlignment w:val="baseline"/>
        <w:rPr>
          <w:color w:val="auto"/>
          <w:sz w:val="24"/>
          <w:szCs w:val="24"/>
        </w:rPr>
      </w:pPr>
      <w:r>
        <w:rPr>
          <w:color w:val="auto"/>
          <w:spacing w:val="-1"/>
          <w:sz w:val="24"/>
          <w:szCs w:val="24"/>
        </w:rPr>
        <w:t>为进一步控制铁路振动影响，评价从以下几方面提出振动防护建议。</w:t>
      </w:r>
    </w:p>
    <w:p w14:paraId="4A9332C0">
      <w:pPr>
        <w:pStyle w:val="9"/>
        <w:keepNext w:val="0"/>
        <w:keepLines w:val="0"/>
        <w:pageBreakBefore w:val="0"/>
        <w:wordWrap/>
        <w:overflowPunct/>
        <w:topLinePunct w:val="0"/>
        <w:bidi w:val="0"/>
        <w:spacing w:line="360" w:lineRule="auto"/>
        <w:ind w:left="497"/>
        <w:rPr>
          <w:color w:val="auto"/>
          <w:sz w:val="24"/>
          <w:szCs w:val="24"/>
        </w:rPr>
      </w:pPr>
      <w:r>
        <w:rPr>
          <w:rFonts w:hint="eastAsia" w:ascii="Times New Roman" w:hAnsi="Times New Roman" w:eastAsia="宋体" w:cs="Times New Roman"/>
          <w:b/>
          <w:bCs/>
          <w:color w:val="auto"/>
          <w:spacing w:val="-6"/>
          <w:sz w:val="24"/>
          <w:szCs w:val="24"/>
          <w:lang w:val="en-US" w:eastAsia="zh-CN"/>
        </w:rPr>
        <w:t>1</w:t>
      </w:r>
      <w:r>
        <w:rPr>
          <w:b/>
          <w:bCs/>
          <w:color w:val="auto"/>
          <w:spacing w:val="-6"/>
          <w:sz w:val="24"/>
          <w:szCs w:val="24"/>
        </w:rPr>
        <w:t>、源强控制措施</w:t>
      </w:r>
    </w:p>
    <w:p w14:paraId="3279F8B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铁路专用线振动控制是系统工程，需道床结构、减振扣件、线路状态、车辆性能协同发力：道床与扣件提供基础隔振，线路维护减少激振源，车辆维护降低轮轨冲击，多环节协同治理可有效控制振动水平，满足沿线建（构）筑物与环境振动要求。</w:t>
      </w:r>
    </w:p>
    <w:p w14:paraId="4408517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线路维护保养减振措施：定期检测调整轨距、水平、高低、方向，消除轨面不平顺，曲线、道岔等重点区段加密检查；定期对钢轨进行打磨、焊补、修磨，消除波浪磨耗、接头错台等缺陷；及时清筛、捣固、夯拍道床，保持弹性与密实度，更换失效轨枕，保证轨下支承均匀，避免局部刚度突变；保证道岔密贴、滑床板平顺，道口铺面平整牢固，减少车辆通过时的冲击与颠簸振动。</w:t>
      </w:r>
    </w:p>
    <w:p w14:paraId="23E5C16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车辆维护保养减振措施：严格控制车轮踏面磨耗、擦伤、不圆度等，定期镟修车轮恢复圆顺度，从源头减少振动激振源；定期检查、更换一系、二系弹簧、减振器及橡胶元件，保证悬挂弹性良好、阻尼匹配，衰减车体与转向架间的振动传递；保证制动平稳，避免制动冲击、抱死滑行损伤车轮。定期检查轴箱、轴承等部件，消除松动、偏磨等问题；专用线内严格按限速行驶，避免超速、急启、急停；货物装载均匀，防止偏载、偏重导致轮轨作用力不均。</w:t>
      </w:r>
    </w:p>
    <w:p w14:paraId="6052D209">
      <w:pPr>
        <w:pStyle w:val="9"/>
        <w:keepNext w:val="0"/>
        <w:keepLines w:val="0"/>
        <w:pageBreakBefore w:val="0"/>
        <w:wordWrap/>
        <w:overflowPunct/>
        <w:topLinePunct w:val="0"/>
        <w:bidi w:val="0"/>
        <w:spacing w:before="3" w:line="360" w:lineRule="auto"/>
        <w:ind w:left="22"/>
        <w:outlineLvl w:val="3"/>
        <w:rPr>
          <w:color w:val="auto"/>
          <w:sz w:val="24"/>
          <w:szCs w:val="24"/>
        </w:rPr>
      </w:pPr>
      <w:r>
        <w:rPr>
          <w:rFonts w:hint="eastAsia" w:ascii="Times New Roman" w:hAnsi="Times New Roman" w:eastAsia="宋体" w:cs="Times New Roman"/>
          <w:b/>
          <w:bCs/>
          <w:color w:val="auto"/>
          <w:spacing w:val="-5"/>
          <w:sz w:val="24"/>
          <w:szCs w:val="24"/>
          <w:lang w:val="en-US" w:eastAsia="zh-CN"/>
        </w:rPr>
        <w:t>5</w:t>
      </w:r>
      <w:r>
        <w:rPr>
          <w:rFonts w:ascii="Times New Roman" w:hAnsi="Times New Roman" w:eastAsia="Times New Roman" w:cs="Times New Roman"/>
          <w:b/>
          <w:bCs/>
          <w:color w:val="auto"/>
          <w:spacing w:val="-5"/>
          <w:sz w:val="24"/>
          <w:szCs w:val="24"/>
        </w:rPr>
        <w:t>.2.5</w:t>
      </w:r>
      <w:r>
        <w:rPr>
          <w:rFonts w:ascii="Times New Roman" w:hAnsi="Times New Roman" w:eastAsia="Times New Roman" w:cs="Times New Roman"/>
          <w:b/>
          <w:bCs/>
          <w:color w:val="auto"/>
          <w:spacing w:val="37"/>
          <w:w w:val="101"/>
          <w:sz w:val="24"/>
          <w:szCs w:val="24"/>
        </w:rPr>
        <w:t xml:space="preserve"> </w:t>
      </w:r>
      <w:r>
        <w:rPr>
          <w:b/>
          <w:bCs/>
          <w:color w:val="auto"/>
          <w:spacing w:val="-5"/>
          <w:sz w:val="24"/>
          <w:szCs w:val="24"/>
        </w:rPr>
        <w:t>固废污染防治措施</w:t>
      </w:r>
    </w:p>
    <w:p w14:paraId="0A8A6A1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（1）项目运营期产生的生活垃圾由垃圾桶收集后专人定期清运至</w:t>
      </w:r>
      <w:r>
        <w:rPr>
          <w:rFonts w:hint="eastAsia" w:ascii="Times New Roman" w:hAnsi="Times New Roman" w:cs="Times New Roman"/>
          <w:color w:val="auto"/>
          <w:spacing w:val="0"/>
          <w:sz w:val="24"/>
          <w:szCs w:val="24"/>
          <w:lang w:eastAsia="zh-CN"/>
        </w:rPr>
        <w:t>园区</w:t>
      </w:r>
      <w:r>
        <w:rPr>
          <w:rFonts w:hint="default" w:ascii="Times New Roman" w:hAnsi="Times New Roman" w:cs="Times New Roman"/>
          <w:color w:val="auto"/>
          <w:spacing w:val="0"/>
          <w:sz w:val="24"/>
          <w:szCs w:val="24"/>
        </w:rPr>
        <w:t>指定垃圾收集点，委托环卫部门统一清运处置。</w:t>
      </w:r>
    </w:p>
    <w:p w14:paraId="760E9B7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（2）污泥委托</w:t>
      </w:r>
      <w:r>
        <w:rPr>
          <w:rFonts w:hint="eastAsia" w:ascii="Times New Roman" w:hAnsi="Times New Roman" w:eastAsia="宋体" w:cs="Times New Roman"/>
          <w:color w:val="auto"/>
          <w:spacing w:val="0"/>
          <w:sz w:val="24"/>
          <w:szCs w:val="24"/>
          <w:lang w:eastAsia="zh-CN"/>
        </w:rPr>
        <w:t>环卫部门</w:t>
      </w:r>
      <w:r>
        <w:rPr>
          <w:rFonts w:hint="default" w:ascii="Times New Roman" w:hAnsi="Times New Roman" w:cs="Times New Roman"/>
          <w:color w:val="auto"/>
          <w:spacing w:val="0"/>
          <w:sz w:val="24"/>
          <w:szCs w:val="24"/>
        </w:rPr>
        <w:t>定期清掏处置。</w:t>
      </w:r>
    </w:p>
    <w:p w14:paraId="28196CF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w:t>
      </w:r>
      <w:r>
        <w:rPr>
          <w:rFonts w:hint="eastAsia" w:ascii="Times New Roman" w:hAnsi="Times New Roman" w:cs="Times New Roman"/>
          <w:color w:val="auto"/>
          <w:spacing w:val="0"/>
          <w:sz w:val="24"/>
          <w:szCs w:val="24"/>
          <w:lang w:val="en-US" w:eastAsia="zh-CN"/>
        </w:rPr>
        <w:t>4</w:t>
      </w:r>
      <w:r>
        <w:rPr>
          <w:rFonts w:hint="default" w:ascii="Times New Roman" w:hAnsi="Times New Roman" w:cs="Times New Roman"/>
          <w:color w:val="auto"/>
          <w:spacing w:val="0"/>
          <w:sz w:val="24"/>
          <w:szCs w:val="24"/>
        </w:rPr>
        <w:t>）项目废机油</w:t>
      </w:r>
      <w:r>
        <w:rPr>
          <w:rFonts w:hint="eastAsia" w:ascii="Times New Roman" w:hAnsi="Times New Roman" w:eastAsia="宋体" w:cs="Times New Roman"/>
          <w:color w:val="auto"/>
          <w:spacing w:val="0"/>
          <w:sz w:val="24"/>
          <w:szCs w:val="24"/>
          <w:lang w:eastAsia="zh-CN"/>
        </w:rPr>
        <w:t>、</w:t>
      </w:r>
      <w:r>
        <w:rPr>
          <w:rFonts w:hint="eastAsia" w:eastAsia="宋体"/>
          <w:color w:val="auto"/>
          <w:sz w:val="24"/>
          <w:szCs w:val="24"/>
          <w:lang w:val="en-US" w:eastAsia="zh-CN"/>
        </w:rPr>
        <w:t>废抹布、手套</w:t>
      </w:r>
      <w:r>
        <w:rPr>
          <w:rFonts w:hint="default" w:ascii="Times New Roman" w:hAnsi="Times New Roman" w:cs="Times New Roman"/>
          <w:color w:val="auto"/>
          <w:spacing w:val="0"/>
          <w:sz w:val="24"/>
          <w:szCs w:val="24"/>
        </w:rPr>
        <w:t>收集后暂存于危险废物暂存间，委托有资质的单位清运处置。项目危险废物产生、收集、贮存、运输、利用、处置过程满足危险废物相关法律法规、标准规范的规定，危险废物转移过程执行《危险废物转移管理办法》。项目一般固体废物、危险废物的管理均符合 HJ860.3-2018 中固废管理要求，处置方式符合HJ1285-2023 中的相关要求。</w:t>
      </w:r>
    </w:p>
    <w:p w14:paraId="60DD62D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因此，项目采取的固体废物污染防治措施可行。</w:t>
      </w:r>
    </w:p>
    <w:p w14:paraId="6C7EF373">
      <w:pPr>
        <w:pStyle w:val="9"/>
        <w:keepNext w:val="0"/>
        <w:keepLines w:val="0"/>
        <w:pageBreakBefore w:val="0"/>
        <w:wordWrap/>
        <w:overflowPunct/>
        <w:topLinePunct w:val="0"/>
        <w:bidi w:val="0"/>
        <w:spacing w:before="187" w:line="360" w:lineRule="auto"/>
        <w:ind w:left="22"/>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.2.6 </w:t>
      </w:r>
      <w:r>
        <w:rPr>
          <w:b/>
          <w:bCs/>
          <w:color w:val="auto"/>
          <w:spacing w:val="-2"/>
          <w:sz w:val="24"/>
          <w:szCs w:val="24"/>
        </w:rPr>
        <w:t>地下水、土壤污染防治措施</w:t>
      </w:r>
    </w:p>
    <w:p w14:paraId="514B86DD">
      <w:pPr>
        <w:pStyle w:val="9"/>
        <w:keepNext w:val="0"/>
        <w:keepLines w:val="0"/>
        <w:pageBreakBefore w:val="0"/>
        <w:wordWrap/>
        <w:overflowPunct/>
        <w:topLinePunct w:val="0"/>
        <w:bidi w:val="0"/>
        <w:spacing w:before="204" w:line="360" w:lineRule="auto"/>
        <w:ind w:left="21" w:right="132" w:firstLine="480"/>
        <w:jc w:val="both"/>
        <w:rPr>
          <w:color w:val="auto"/>
          <w:sz w:val="24"/>
          <w:szCs w:val="24"/>
        </w:rPr>
      </w:pPr>
      <w:r>
        <w:rPr>
          <w:color w:val="auto"/>
          <w:spacing w:val="-3"/>
          <w:sz w:val="24"/>
          <w:szCs w:val="24"/>
        </w:rPr>
        <w:t>针对项目可能发生的地下水污染情况，地下水防控措施按照</w:t>
      </w:r>
      <w:r>
        <w:rPr>
          <w:rFonts w:hint="eastAsia" w:eastAsia="宋体"/>
          <w:color w:val="auto"/>
          <w:spacing w:val="-3"/>
          <w:sz w:val="24"/>
          <w:szCs w:val="24"/>
          <w:lang w:eastAsia="zh-CN"/>
        </w:rPr>
        <w:t>“</w:t>
      </w:r>
      <w:r>
        <w:rPr>
          <w:color w:val="auto"/>
          <w:spacing w:val="-3"/>
          <w:sz w:val="24"/>
          <w:szCs w:val="24"/>
        </w:rPr>
        <w:t>源头控制、分</w:t>
      </w:r>
      <w:r>
        <w:rPr>
          <w:color w:val="auto"/>
          <w:spacing w:val="-2"/>
          <w:sz w:val="24"/>
          <w:szCs w:val="24"/>
        </w:rPr>
        <w:t>区防控、污染监控、应急响应</w:t>
      </w:r>
      <w:r>
        <w:rPr>
          <w:rFonts w:hint="eastAsia" w:eastAsia="宋体"/>
          <w:color w:val="auto"/>
          <w:spacing w:val="-88"/>
          <w:sz w:val="24"/>
          <w:szCs w:val="24"/>
          <w:lang w:eastAsia="zh-CN"/>
        </w:rPr>
        <w:t>”</w:t>
      </w:r>
      <w:r>
        <w:rPr>
          <w:color w:val="auto"/>
          <w:spacing w:val="-2"/>
          <w:sz w:val="24"/>
          <w:szCs w:val="24"/>
        </w:rPr>
        <w:t>相结合的原则，从</w:t>
      </w:r>
      <w:r>
        <w:rPr>
          <w:color w:val="auto"/>
          <w:spacing w:val="-3"/>
          <w:sz w:val="24"/>
          <w:szCs w:val="24"/>
        </w:rPr>
        <w:t>污染物的产生、入渗、扩散、应急响应全阶段进行控制。本工程以主动防渗措施为主，被动防渗措施为辅；人</w:t>
      </w:r>
      <w:r>
        <w:rPr>
          <w:color w:val="auto"/>
          <w:spacing w:val="-1"/>
          <w:sz w:val="24"/>
          <w:szCs w:val="24"/>
        </w:rPr>
        <w:t>工防渗措施和自然防渗条件保护相结合，防止地下水受到污染。</w:t>
      </w:r>
    </w:p>
    <w:p w14:paraId="5A4D0796">
      <w:pPr>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color w:val="auto"/>
          <w:sz w:val="24"/>
          <w:szCs w:val="24"/>
        </w:rPr>
        <w:t>1、源头控制措施</w:t>
      </w:r>
    </w:p>
    <w:p w14:paraId="23A0202E">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采用先进的防渗材料、技术和实施手段，最大限度地强化防渗防污能力；加强对设备设施检查、维护，制定严格的检修标准、检修周期和考核标准，落实责任人，检查、维修人员要按照相关标准认真执行，定检后要验收，并做好记录；</w:t>
      </w:r>
    </w:p>
    <w:p w14:paraId="2E8CBBFD">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rPr>
        <w:t>）做好重点污染防渗区的基础稳定性及防渗工作，严防初期雨水收集池及化粪池等</w:t>
      </w:r>
      <w:r>
        <w:rPr>
          <w:rFonts w:hint="default" w:ascii="Times New Roman" w:hAnsi="Times New Roman" w:cs="Times New Roman" w:eastAsiaTheme="minorEastAsia"/>
          <w:color w:val="auto"/>
          <w:sz w:val="24"/>
          <w:szCs w:val="24"/>
          <w:lang w:val="en-US" w:eastAsia="zh-CN"/>
        </w:rPr>
        <w:t>一般</w:t>
      </w:r>
      <w:r>
        <w:rPr>
          <w:rFonts w:hint="default" w:ascii="Times New Roman" w:hAnsi="Times New Roman" w:cs="Times New Roman" w:eastAsiaTheme="minorEastAsia"/>
          <w:color w:val="auto"/>
          <w:sz w:val="24"/>
          <w:szCs w:val="24"/>
        </w:rPr>
        <w:t>防渗区底部发生不均匀沉降造成防渗膜破损造成地下水污染；</w:t>
      </w:r>
    </w:p>
    <w:p w14:paraId="14DE80C6">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3</w:t>
      </w:r>
      <w:r>
        <w:rPr>
          <w:rFonts w:hint="default" w:ascii="Times New Roman" w:hAnsi="Times New Roman" w:cs="Times New Roman" w:eastAsiaTheme="minorEastAsia"/>
          <w:color w:val="auto"/>
          <w:sz w:val="24"/>
          <w:szCs w:val="24"/>
        </w:rPr>
        <w:t>）本项目区所在区域主要含水层地下水位埋深相对较深，人工杂填土夯填层厚度分布不均，项目建设过程中除做好分区防渗工作外，开挖边坡和基坑应及时回填，如基岩裸露无法避免应对裸露部分实施工程防渗。</w:t>
      </w:r>
    </w:p>
    <w:p w14:paraId="16101A87">
      <w:pPr>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color w:val="auto"/>
          <w:sz w:val="24"/>
          <w:szCs w:val="24"/>
        </w:rPr>
        <w:t>2、分区防控措施</w:t>
      </w:r>
    </w:p>
    <w:p w14:paraId="2FD3CAA7">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根据前述分析，本项目施工中要严格按照以下防渗要求分区进行防渗。特别是项目区防渗施工过程中，企业应确保</w:t>
      </w:r>
      <w:r>
        <w:rPr>
          <w:rFonts w:hint="default" w:ascii="Times New Roman" w:hAnsi="Times New Roman" w:cs="Times New Roman" w:eastAsiaTheme="minorEastAsia"/>
          <w:color w:val="auto"/>
          <w:sz w:val="24"/>
          <w:szCs w:val="24"/>
          <w:lang w:val="en-US" w:eastAsia="zh-CN"/>
        </w:rPr>
        <w:t>危废暂存间</w:t>
      </w: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正面吊维修区</w:t>
      </w:r>
      <w:r>
        <w:rPr>
          <w:rFonts w:hint="default" w:ascii="Times New Roman" w:hAnsi="Times New Roman" w:cs="Times New Roman" w:eastAsiaTheme="minorEastAsia"/>
          <w:color w:val="auto"/>
          <w:sz w:val="24"/>
          <w:szCs w:val="24"/>
        </w:rPr>
        <w:t>等重点污染防渗区的防渗工程措施到位和环保监理及记录，录像相关影像资料存档备查。</w:t>
      </w:r>
    </w:p>
    <w:p w14:paraId="05FF1868">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根据工程</w:t>
      </w:r>
      <w:r>
        <w:rPr>
          <w:rFonts w:hint="default" w:ascii="Times New Roman" w:hAnsi="Times New Roman" w:cs="Times New Roman"/>
          <w:color w:val="auto"/>
          <w:sz w:val="24"/>
          <w:szCs w:val="24"/>
          <w:lang w:val="en-US" w:eastAsia="zh-CN"/>
        </w:rPr>
        <w:t>分析</w:t>
      </w:r>
      <w:r>
        <w:rPr>
          <w:rFonts w:hint="default" w:ascii="Times New Roman" w:hAnsi="Times New Roman" w:cs="Times New Roman"/>
          <w:color w:val="auto"/>
          <w:sz w:val="24"/>
          <w:szCs w:val="24"/>
        </w:rPr>
        <w:t>，本项目进行分区防渗，</w:t>
      </w:r>
      <w:r>
        <w:rPr>
          <w:rFonts w:hint="default" w:ascii="Times New Roman" w:hAnsi="Times New Roman" w:cs="Times New Roman"/>
          <w:color w:val="auto"/>
          <w:sz w:val="24"/>
          <w:szCs w:val="24"/>
          <w:lang w:val="en-US" w:eastAsia="zh-CN"/>
        </w:rPr>
        <w:t>将</w:t>
      </w:r>
      <w:r>
        <w:rPr>
          <w:rFonts w:hint="default" w:ascii="Times New Roman" w:hAnsi="Times New Roman" w:cs="Times New Roman"/>
          <w:color w:val="auto"/>
          <w:sz w:val="24"/>
          <w:szCs w:val="24"/>
        </w:rPr>
        <w:t>危废暂存间、正面吊维修区</w:t>
      </w:r>
      <w:r>
        <w:rPr>
          <w:rFonts w:hint="default" w:ascii="Times New Roman" w:hAnsi="Times New Roman" w:cs="Times New Roman"/>
          <w:color w:val="auto"/>
          <w:sz w:val="24"/>
          <w:szCs w:val="24"/>
          <w:lang w:val="en-US" w:eastAsia="zh-CN"/>
        </w:rPr>
        <w:t>涉及暂存和产生废矿物油的区域</w:t>
      </w:r>
      <w:r>
        <w:rPr>
          <w:rFonts w:hint="default" w:ascii="Times New Roman" w:hAnsi="Times New Roman" w:cs="Times New Roman"/>
          <w:color w:val="auto"/>
          <w:sz w:val="24"/>
          <w:szCs w:val="24"/>
        </w:rPr>
        <w:t>划分为重点防渗区</w:t>
      </w:r>
      <w:r>
        <w:rPr>
          <w:rFonts w:hint="eastAsia" w:ascii="Times New Roman" w:hAnsi="Times New Roman" w:eastAsia="宋体" w:cs="Times New Roman"/>
          <w:color w:val="auto"/>
          <w:sz w:val="24"/>
          <w:szCs w:val="24"/>
          <w:lang w:val="en-US" w:eastAsia="zh-CN"/>
        </w:rPr>
        <w:t>。</w:t>
      </w:r>
    </w:p>
    <w:p w14:paraId="46A0881C">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正面吊维修区</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采用强度等级C30抗渗等级P6的商品混凝土浇筑，厚度40cm-50cm，</w:t>
      </w:r>
      <w:r>
        <w:rPr>
          <w:rFonts w:hint="eastAsia" w:ascii="Times New Roman" w:hAnsi="Times New Roman" w:eastAsia="宋体" w:cs="Times New Roman"/>
          <w:color w:val="auto"/>
          <w:sz w:val="24"/>
          <w:szCs w:val="24"/>
          <w:lang w:eastAsia="zh-CN"/>
        </w:rPr>
        <w:t>地面</w:t>
      </w:r>
      <w:r>
        <w:rPr>
          <w:rFonts w:hint="default" w:ascii="Times New Roman" w:hAnsi="Times New Roman" w:cs="Times New Roman"/>
          <w:color w:val="auto"/>
          <w:sz w:val="24"/>
          <w:szCs w:val="24"/>
        </w:rPr>
        <w:t>使用防渗、防腐砂浆抹面</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后期施工</w:t>
      </w:r>
      <w:r>
        <w:rPr>
          <w:rFonts w:hint="default" w:ascii="Times New Roman" w:hAnsi="Times New Roman" w:cs="Times New Roman"/>
          <w:color w:val="auto"/>
          <w:sz w:val="24"/>
          <w:szCs w:val="24"/>
          <w:lang w:val="en-US" w:eastAsia="zh-CN"/>
        </w:rPr>
        <w:t>地面还需采用防渗涂料刷漆</w:t>
      </w:r>
      <w:r>
        <w:rPr>
          <w:rFonts w:hint="eastAsia" w:ascii="Times New Roman" w:hAnsi="Times New Roman" w:cs="Times New Roman"/>
          <w:color w:val="auto"/>
          <w:sz w:val="24"/>
          <w:szCs w:val="24"/>
          <w:lang w:val="en-US" w:eastAsia="zh-CN"/>
        </w:rPr>
        <w:t>，使其</w:t>
      </w:r>
      <w:r>
        <w:rPr>
          <w:rFonts w:hint="default" w:ascii="Times New Roman" w:hAnsi="Times New Roman" w:eastAsia="宋体" w:cs="Times New Roman"/>
          <w:color w:val="auto"/>
          <w:sz w:val="24"/>
          <w:szCs w:val="24"/>
          <w:highlight w:val="none"/>
          <w:lang w:val="en-US" w:eastAsia="zh-CN"/>
        </w:rPr>
        <w:t>渗透系数不大于10</w:t>
      </w:r>
      <w:r>
        <w:rPr>
          <w:rFonts w:hint="default" w:ascii="Times New Roman" w:hAnsi="Times New Roman" w:eastAsia="宋体" w:cs="Times New Roman"/>
          <w:color w:val="auto"/>
          <w:sz w:val="24"/>
          <w:szCs w:val="24"/>
          <w:highlight w:val="none"/>
          <w:vertAlign w:val="superscript"/>
          <w:lang w:val="en-US" w:eastAsia="zh-CN"/>
        </w:rPr>
        <w:t xml:space="preserve"> -7</w:t>
      </w:r>
      <w:r>
        <w:rPr>
          <w:rFonts w:hint="default" w:ascii="Times New Roman" w:hAnsi="Times New Roman" w:eastAsia="宋体" w:cs="Times New Roman"/>
          <w:color w:val="auto"/>
          <w:sz w:val="24"/>
          <w:szCs w:val="24"/>
          <w:highlight w:val="none"/>
          <w:lang w:val="en-US" w:eastAsia="zh-CN"/>
        </w:rPr>
        <w:t>cm/s</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危废暂存间根据《危险废物贮存污染控制标准》（GB 18597-2023）防渗技术要求进行防渗，防渗层为至少1m厚黏土层（渗透系数不大于10</w:t>
      </w:r>
      <w:r>
        <w:rPr>
          <w:rFonts w:hint="default" w:ascii="Times New Roman" w:hAnsi="Times New Roman" w:cs="Times New Roman"/>
          <w:color w:val="auto"/>
          <w:sz w:val="24"/>
          <w:szCs w:val="24"/>
          <w:vertAlign w:val="superscript"/>
        </w:rPr>
        <w:t>-7</w:t>
      </w:r>
      <w:r>
        <w:rPr>
          <w:rFonts w:hint="default" w:ascii="Times New Roman" w:hAnsi="Times New Roman" w:cs="Times New Roman"/>
          <w:color w:val="auto"/>
          <w:sz w:val="24"/>
          <w:szCs w:val="24"/>
        </w:rPr>
        <w:t>cm/s），或至少2mm厚高密度聚乙烯膜等人工防渗材料（渗透系数不大于10</w:t>
      </w:r>
      <w:r>
        <w:rPr>
          <w:rFonts w:hint="default" w:ascii="Times New Roman" w:hAnsi="Times New Roman" w:cs="Times New Roman"/>
          <w:color w:val="auto"/>
          <w:sz w:val="24"/>
          <w:szCs w:val="24"/>
          <w:vertAlign w:val="superscript"/>
        </w:rPr>
        <w:t>-10</w:t>
      </w:r>
      <w:r>
        <w:rPr>
          <w:rFonts w:hint="default" w:ascii="Times New Roman" w:hAnsi="Times New Roman" w:cs="Times New Roman"/>
          <w:color w:val="auto"/>
          <w:sz w:val="24"/>
          <w:szCs w:val="24"/>
        </w:rPr>
        <w:t>cm/s），或其他防渗性能等效的材料</w:t>
      </w:r>
      <w:r>
        <w:rPr>
          <w:rFonts w:hint="eastAsia" w:ascii="Times New Roman" w:hAnsi="Times New Roman" w:eastAsia="宋体" w:cs="Times New Roman"/>
          <w:color w:val="auto"/>
          <w:sz w:val="24"/>
          <w:szCs w:val="24"/>
          <w:lang w:eastAsia="zh-CN"/>
        </w:rPr>
        <w:t>。</w:t>
      </w:r>
    </w:p>
    <w:p w14:paraId="07A0825B">
      <w:pPr>
        <w:keepNext w:val="0"/>
        <w:keepLines w:val="0"/>
        <w:pageBreakBefore w:val="0"/>
        <w:widowControl/>
        <w:kinsoku/>
        <w:wordWrap/>
        <w:overflowPunct/>
        <w:topLinePunct w:val="0"/>
        <w:bidi w:val="0"/>
        <w:adjustRightInd/>
        <w:snapToGrid/>
        <w:spacing w:line="360" w:lineRule="auto"/>
        <w:ind w:firstLine="480"/>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将</w:t>
      </w:r>
      <w:r>
        <w:rPr>
          <w:rFonts w:hint="default" w:ascii="Times New Roman" w:hAnsi="Times New Roman" w:cs="Times New Roman"/>
          <w:color w:val="auto"/>
          <w:sz w:val="24"/>
          <w:szCs w:val="24"/>
        </w:rPr>
        <w:t>化粪池、初期雨水收集池</w:t>
      </w:r>
      <w:r>
        <w:rPr>
          <w:rFonts w:hint="default" w:ascii="Times New Roman" w:hAnsi="Times New Roman" w:cs="Times New Roman"/>
          <w:color w:val="auto"/>
          <w:sz w:val="24"/>
          <w:szCs w:val="24"/>
          <w:lang w:val="en-US" w:eastAsia="zh-CN"/>
        </w:rPr>
        <w:t>因涉及生活废水和初期雨水产生，考虑污染影响较小，</w:t>
      </w:r>
      <w:r>
        <w:rPr>
          <w:rFonts w:hint="default" w:ascii="Times New Roman" w:hAnsi="Times New Roman" w:cs="Times New Roman"/>
          <w:color w:val="auto"/>
          <w:sz w:val="24"/>
          <w:szCs w:val="24"/>
        </w:rPr>
        <w:t>划分为一般防渗区，</w:t>
      </w:r>
      <w:r>
        <w:rPr>
          <w:rFonts w:hint="eastAsia" w:ascii="Times New Roman" w:hAnsi="Times New Roman" w:eastAsia="宋体" w:cs="Times New Roman"/>
          <w:color w:val="auto"/>
          <w:sz w:val="24"/>
          <w:szCs w:val="24"/>
          <w:lang w:val="en-US" w:eastAsia="zh-CN"/>
        </w:rPr>
        <w:t>已</w:t>
      </w:r>
      <w:r>
        <w:rPr>
          <w:rFonts w:hint="default" w:ascii="Times New Roman" w:hAnsi="Times New Roman" w:cs="Times New Roman"/>
          <w:color w:val="auto"/>
          <w:sz w:val="24"/>
          <w:szCs w:val="24"/>
        </w:rPr>
        <w:t>采取粘土铺底，再在上层铺10~15cm的水泥进行硬化</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满足防渗达到“黏土防渗层Mb≥1.5m，K≤10</w:t>
      </w:r>
      <w:r>
        <w:rPr>
          <w:rFonts w:hint="eastAsia" w:ascii="Times New Roman" w:hAnsi="Times New Roman" w:eastAsia="宋体" w:cs="Times New Roman"/>
          <w:color w:val="auto"/>
          <w:sz w:val="24"/>
          <w:szCs w:val="24"/>
          <w:vertAlign w:val="superscript"/>
          <w:lang w:val="en-US" w:eastAsia="zh-CN"/>
        </w:rPr>
        <w:t>-7</w:t>
      </w:r>
      <w:r>
        <w:rPr>
          <w:rFonts w:hint="eastAsia" w:ascii="Times New Roman" w:hAnsi="Times New Roman" w:eastAsia="宋体" w:cs="Times New Roman"/>
          <w:color w:val="auto"/>
          <w:sz w:val="24"/>
          <w:szCs w:val="24"/>
          <w:lang w:val="en-US" w:eastAsia="zh-CN"/>
        </w:rPr>
        <w:t>cm/s”的技术要求。</w:t>
      </w:r>
    </w:p>
    <w:p w14:paraId="2941EF58">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color w:val="auto"/>
          <w:sz w:val="24"/>
          <w:szCs w:val="24"/>
          <w:lang w:val="en-US" w:eastAsia="zh-CN"/>
        </w:rPr>
        <w:t>简单防渗区：除绿化外的其他区域，</w:t>
      </w:r>
      <w:r>
        <w:rPr>
          <w:rFonts w:hint="eastAsia" w:ascii="Times New Roman" w:hAnsi="Times New Roman" w:cs="Times New Roman"/>
          <w:color w:val="auto"/>
          <w:sz w:val="24"/>
          <w:szCs w:val="24"/>
          <w:lang w:val="en-US" w:eastAsia="zh-CN"/>
        </w:rPr>
        <w:t>已</w:t>
      </w:r>
      <w:r>
        <w:rPr>
          <w:rFonts w:hint="default" w:ascii="Times New Roman" w:hAnsi="Times New Roman" w:cs="Times New Roman"/>
          <w:color w:val="auto"/>
          <w:sz w:val="24"/>
          <w:szCs w:val="24"/>
          <w:lang w:val="en-US" w:eastAsia="zh-CN"/>
        </w:rPr>
        <w:t>采用</w:t>
      </w:r>
      <w:r>
        <w:rPr>
          <w:rFonts w:hint="default" w:ascii="Times New Roman" w:hAnsi="Times New Roman" w:cs="Times New Roman"/>
          <w:color w:val="auto"/>
          <w:sz w:val="24"/>
          <w:szCs w:val="24"/>
        </w:rPr>
        <w:t>铺10~15cm的水泥进行硬化</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满足防渗达到“一般地面硬化”的技术要求。</w:t>
      </w:r>
    </w:p>
    <w:p w14:paraId="7F8703CE">
      <w:pPr>
        <w:pStyle w:val="48"/>
        <w:keepNext w:val="0"/>
        <w:keepLines w:val="0"/>
        <w:pageBreakBefore w:val="0"/>
        <w:wordWrap/>
        <w:overflowPunct/>
        <w:topLinePunct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3、地下水污染监控</w:t>
      </w:r>
    </w:p>
    <w:p w14:paraId="788E05B1">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为了及时了解项目区对周围地下水污染控制情况，需建立</w:t>
      </w:r>
      <w:r>
        <w:rPr>
          <w:rFonts w:hint="default" w:ascii="Times New Roman" w:hAnsi="Times New Roman" w:cs="Times New Roman" w:eastAsiaTheme="minorEastAsia"/>
          <w:color w:val="auto"/>
          <w:sz w:val="24"/>
          <w:szCs w:val="24"/>
        </w:rPr>
        <w:t>项目区</w:t>
      </w:r>
      <w:r>
        <w:rPr>
          <w:rFonts w:hint="default" w:ascii="Times New Roman" w:hAnsi="Times New Roman" w:cs="Times New Roman" w:eastAsiaTheme="minorEastAsia"/>
          <w:color w:val="auto"/>
          <w:sz w:val="24"/>
          <w:szCs w:val="24"/>
          <w:lang w:val="zh-CN"/>
        </w:rPr>
        <w:t>地下水</w:t>
      </w:r>
      <w:r>
        <w:rPr>
          <w:rFonts w:hint="default" w:ascii="Times New Roman" w:hAnsi="Times New Roman" w:cs="Times New Roman" w:eastAsiaTheme="minorEastAsia"/>
          <w:color w:val="auto"/>
          <w:sz w:val="24"/>
          <w:szCs w:val="24"/>
        </w:rPr>
        <w:t>长期跟踪</w:t>
      </w:r>
      <w:r>
        <w:rPr>
          <w:rFonts w:hint="default" w:ascii="Times New Roman" w:hAnsi="Times New Roman" w:cs="Times New Roman" w:eastAsiaTheme="minorEastAsia"/>
          <w:color w:val="auto"/>
          <w:sz w:val="24"/>
          <w:szCs w:val="24"/>
          <w:lang w:val="zh-CN"/>
        </w:rPr>
        <w:t>监控体系。</w:t>
      </w:r>
    </w:p>
    <w:p w14:paraId="15118189">
      <w:pPr>
        <w:pStyle w:val="48"/>
        <w:keepNext w:val="0"/>
        <w:keepLines w:val="0"/>
        <w:pageBreakBefore w:val="0"/>
        <w:wordWrap/>
        <w:overflowPunct/>
        <w:topLinePunct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zh-CN" w:eastAsia="zh-CN"/>
        </w:rPr>
        <w:t>（</w:t>
      </w:r>
      <w:r>
        <w:rPr>
          <w:rFonts w:hint="default" w:ascii="Times New Roman" w:hAnsi="Times New Roman" w:cs="Times New Roman" w:eastAsiaTheme="minorEastAsia"/>
          <w:b/>
          <w:bCs/>
          <w:color w:val="auto"/>
          <w:sz w:val="24"/>
          <w:szCs w:val="24"/>
          <w:lang w:val="en-US" w:eastAsia="zh-CN"/>
        </w:rPr>
        <w:t>1</w:t>
      </w:r>
      <w:r>
        <w:rPr>
          <w:rFonts w:hint="default" w:ascii="Times New Roman" w:hAnsi="Times New Roman" w:cs="Times New Roman" w:eastAsiaTheme="minorEastAsia"/>
          <w:b/>
          <w:bCs/>
          <w:color w:val="auto"/>
          <w:sz w:val="24"/>
          <w:szCs w:val="24"/>
          <w:lang w:val="zh-CN" w:eastAsia="zh-CN"/>
        </w:rPr>
        <w:t>）地下水</w:t>
      </w:r>
      <w:r>
        <w:rPr>
          <w:rFonts w:hint="default" w:ascii="Times New Roman" w:hAnsi="Times New Roman" w:cs="Times New Roman" w:eastAsiaTheme="minorEastAsia"/>
          <w:b/>
          <w:bCs/>
          <w:color w:val="auto"/>
          <w:sz w:val="24"/>
          <w:szCs w:val="24"/>
          <w:lang w:val="en-US" w:eastAsia="zh-CN"/>
        </w:rPr>
        <w:t>跟踪</w:t>
      </w:r>
      <w:r>
        <w:rPr>
          <w:rFonts w:hint="default" w:ascii="Times New Roman" w:hAnsi="Times New Roman" w:cs="Times New Roman" w:eastAsiaTheme="minorEastAsia"/>
          <w:b/>
          <w:bCs/>
          <w:color w:val="auto"/>
          <w:sz w:val="24"/>
          <w:szCs w:val="24"/>
          <w:lang w:val="zh-CN" w:eastAsia="zh-CN"/>
        </w:rPr>
        <w:t>监测井布设原则</w:t>
      </w:r>
    </w:p>
    <w:p w14:paraId="16035DCD">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根据《地下水环境监测技术规范》（HJ/T164-20</w:t>
      </w:r>
      <w:r>
        <w:rPr>
          <w:rFonts w:hint="default" w:ascii="Times New Roman" w:hAnsi="Times New Roman" w:cs="Times New Roman" w:eastAsiaTheme="minorEastAsia"/>
          <w:color w:val="auto"/>
          <w:sz w:val="24"/>
          <w:szCs w:val="24"/>
        </w:rPr>
        <w:t>20</w:t>
      </w:r>
      <w:r>
        <w:rPr>
          <w:rFonts w:hint="default" w:ascii="Times New Roman" w:hAnsi="Times New Roman" w:cs="Times New Roman" w:eastAsiaTheme="minorEastAsia"/>
          <w:color w:val="auto"/>
          <w:sz w:val="24"/>
          <w:szCs w:val="24"/>
          <w:lang w:val="zh-CN"/>
        </w:rPr>
        <w:t>）</w:t>
      </w:r>
      <w:r>
        <w:rPr>
          <w:rFonts w:hint="default" w:ascii="Times New Roman" w:hAnsi="Times New Roman" w:cs="Times New Roman" w:eastAsiaTheme="minorEastAsia"/>
          <w:color w:val="auto"/>
          <w:sz w:val="24"/>
          <w:szCs w:val="24"/>
        </w:rPr>
        <w:t>和</w:t>
      </w:r>
      <w:r>
        <w:rPr>
          <w:rFonts w:hint="default" w:ascii="Times New Roman" w:hAnsi="Times New Roman" w:cs="Times New Roman" w:eastAsiaTheme="minorEastAsia"/>
          <w:color w:val="auto"/>
          <w:sz w:val="24"/>
          <w:szCs w:val="24"/>
          <w:lang w:val="zh-CN"/>
        </w:rPr>
        <w:t>《</w:t>
      </w:r>
      <w:r>
        <w:rPr>
          <w:rFonts w:hint="default" w:ascii="Times New Roman" w:hAnsi="Times New Roman" w:cs="Times New Roman" w:eastAsiaTheme="minorEastAsia"/>
          <w:color w:val="auto"/>
          <w:sz w:val="24"/>
          <w:szCs w:val="24"/>
        </w:rPr>
        <w:t>工业企业土壤和地下水自行监测技术指南</w:t>
      </w:r>
      <w:r>
        <w:rPr>
          <w:rFonts w:hint="default" w:ascii="Times New Roman" w:hAnsi="Times New Roman" w:cs="Times New Roman" w:eastAsiaTheme="minorEastAsia"/>
          <w:color w:val="auto"/>
          <w:sz w:val="24"/>
          <w:szCs w:val="24"/>
          <w:lang w:val="zh-CN"/>
        </w:rPr>
        <w:t>》（HJ</w:t>
      </w:r>
      <w:r>
        <w:rPr>
          <w:rFonts w:hint="default" w:ascii="Times New Roman" w:hAnsi="Times New Roman" w:cs="Times New Roman" w:eastAsiaTheme="minorEastAsia"/>
          <w:color w:val="auto"/>
          <w:sz w:val="24"/>
          <w:szCs w:val="24"/>
        </w:rPr>
        <w:t>1209</w:t>
      </w:r>
      <w:r>
        <w:rPr>
          <w:rFonts w:hint="default" w:ascii="Times New Roman" w:hAnsi="Times New Roman" w:cs="Times New Roman" w:eastAsiaTheme="minorEastAsia"/>
          <w:color w:val="auto"/>
          <w:sz w:val="24"/>
          <w:szCs w:val="24"/>
          <w:lang w:val="zh-CN"/>
        </w:rPr>
        <w:t>-20</w:t>
      </w:r>
      <w:r>
        <w:rPr>
          <w:rFonts w:hint="default" w:ascii="Times New Roman" w:hAnsi="Times New Roman" w:cs="Times New Roman" w:eastAsiaTheme="minorEastAsia"/>
          <w:color w:val="auto"/>
          <w:sz w:val="24"/>
          <w:szCs w:val="24"/>
        </w:rPr>
        <w:t>21</w:t>
      </w:r>
      <w:r>
        <w:rPr>
          <w:rFonts w:hint="default" w:ascii="Times New Roman" w:hAnsi="Times New Roman" w:cs="Times New Roman" w:eastAsiaTheme="minorEastAsia"/>
          <w:color w:val="auto"/>
          <w:sz w:val="24"/>
          <w:szCs w:val="24"/>
          <w:lang w:val="zh-CN"/>
        </w:rPr>
        <w:t>）的要求，</w:t>
      </w:r>
      <w:r>
        <w:rPr>
          <w:rFonts w:hint="default" w:ascii="Times New Roman" w:hAnsi="Times New Roman" w:cs="Times New Roman" w:eastAsiaTheme="minorEastAsia"/>
          <w:color w:val="auto"/>
          <w:sz w:val="24"/>
          <w:szCs w:val="24"/>
        </w:rPr>
        <w:t>结合本项目所在区域地下水的径流方向、流量及水化学特征制定总体</w:t>
      </w:r>
      <w:r>
        <w:rPr>
          <w:rFonts w:hint="default" w:ascii="Times New Roman" w:hAnsi="Times New Roman" w:cs="Times New Roman" w:eastAsiaTheme="minorEastAsia"/>
          <w:color w:val="auto"/>
          <w:sz w:val="24"/>
          <w:szCs w:val="24"/>
          <w:lang w:val="zh-CN"/>
        </w:rPr>
        <w:t>布设原则如下：</w:t>
      </w:r>
    </w:p>
    <w:p w14:paraId="40BEBB26">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①重点污染区加密监测原则；</w:t>
      </w:r>
    </w:p>
    <w:p w14:paraId="4A123A25">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②重点监测潜水含水层，兼顾监测深部含水层为原则；</w:t>
      </w:r>
    </w:p>
    <w:p w14:paraId="60382722">
      <w:pPr>
        <w:pStyle w:val="49"/>
        <w:keepNext w:val="0"/>
        <w:keepLines w:val="0"/>
        <w:pageBreakBefore w:val="0"/>
        <w:wordWrap/>
        <w:overflowPunct/>
        <w:topLinePunct w:val="0"/>
        <w:bidi w:val="0"/>
        <w:adjustRightInd/>
        <w:snapToGrid/>
        <w:spacing w:line="360" w:lineRule="auto"/>
        <w:ind w:firstLine="480" w:firstLineChars="200"/>
        <w:rPr>
          <w:rFonts w:hint="default" w:ascii="Times New Roman" w:hAnsi="Times New Roman" w:cs="Times New Roman" w:eastAsiaTheme="minorEastAsia"/>
          <w:color w:val="auto"/>
          <w:sz w:val="24"/>
          <w:szCs w:val="24"/>
          <w:lang w:val="zh-CN" w:eastAsia="zh-CN"/>
        </w:rPr>
      </w:pPr>
      <w:r>
        <w:rPr>
          <w:rFonts w:hint="default" w:ascii="Times New Roman" w:hAnsi="Times New Roman" w:cs="Times New Roman" w:eastAsiaTheme="minorEastAsia"/>
          <w:color w:val="auto"/>
          <w:sz w:val="24"/>
          <w:szCs w:val="24"/>
          <w:lang w:val="zh-CN" w:eastAsia="zh-CN"/>
        </w:rPr>
        <w:t>③重点污染区上下游同步对比原则监测。</w:t>
      </w:r>
    </w:p>
    <w:p w14:paraId="3579A6CB">
      <w:pPr>
        <w:pStyle w:val="48"/>
        <w:keepNext w:val="0"/>
        <w:keepLines w:val="0"/>
        <w:pageBreakBefore w:val="0"/>
        <w:wordWrap/>
        <w:overflowPunct/>
        <w:topLinePunct w:val="0"/>
        <w:bidi w:val="0"/>
        <w:adjustRightInd/>
        <w:snapToGrid/>
        <w:spacing w:line="360" w:lineRule="auto"/>
        <w:ind w:firstLine="482" w:firstLineChars="200"/>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zh-CN" w:eastAsia="zh-CN"/>
        </w:rPr>
        <w:t>（</w:t>
      </w:r>
      <w:r>
        <w:rPr>
          <w:rFonts w:hint="default" w:ascii="Times New Roman" w:hAnsi="Times New Roman" w:cs="Times New Roman" w:eastAsiaTheme="minorEastAsia"/>
          <w:b/>
          <w:bCs/>
          <w:color w:val="auto"/>
          <w:sz w:val="24"/>
          <w:szCs w:val="24"/>
          <w:lang w:val="en-US" w:eastAsia="zh-CN"/>
        </w:rPr>
        <w:t>2</w:t>
      </w:r>
      <w:r>
        <w:rPr>
          <w:rFonts w:hint="default" w:ascii="Times New Roman" w:hAnsi="Times New Roman" w:cs="Times New Roman" w:eastAsiaTheme="minorEastAsia"/>
          <w:b/>
          <w:bCs/>
          <w:color w:val="auto"/>
          <w:sz w:val="24"/>
          <w:szCs w:val="24"/>
          <w:lang w:val="zh-CN" w:eastAsia="zh-CN"/>
        </w:rPr>
        <w:t>）地下水跟踪监测方案</w:t>
      </w:r>
    </w:p>
    <w:p w14:paraId="34C7ED62">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结合场地周边主要含水层分布特征及地下水径流规律，综合考虑项目区地下水环境风险源分布情况，在满足本项目长期污染跟踪监测需求，提高监测数据可靠性的前提下，本次评价提出将</w:t>
      </w:r>
      <w:r>
        <w:rPr>
          <w:rFonts w:hint="eastAsia" w:ascii="Times New Roman" w:hAnsi="Times New Roman" w:cs="Times New Roman" w:eastAsiaTheme="minorEastAsia"/>
          <w:color w:val="auto"/>
          <w:sz w:val="24"/>
          <w:szCs w:val="24"/>
          <w:lang w:val="en-US" w:eastAsia="zh-CN"/>
        </w:rPr>
        <w:t>项目</w:t>
      </w:r>
      <w:r>
        <w:rPr>
          <w:rFonts w:hint="eastAsia" w:cs="Times New Roman" w:eastAsiaTheme="minorEastAsia"/>
          <w:color w:val="auto"/>
          <w:sz w:val="24"/>
          <w:szCs w:val="24"/>
          <w:lang w:val="en-US" w:eastAsia="zh-CN"/>
        </w:rPr>
        <w:t>项目区</w:t>
      </w:r>
      <w:r>
        <w:rPr>
          <w:rFonts w:hint="eastAsia" w:ascii="Times New Roman" w:hAnsi="Times New Roman" w:cs="Times New Roman" w:eastAsiaTheme="minorEastAsia"/>
          <w:color w:val="auto"/>
          <w:sz w:val="24"/>
          <w:szCs w:val="24"/>
          <w:lang w:val="en-US" w:eastAsia="zh-CN"/>
        </w:rPr>
        <w:t>污染监测井J2改造，主要改造井台、井盖、井牌等地下水标志牌内容。以及将</w:t>
      </w:r>
      <w:r>
        <w:rPr>
          <w:rFonts w:hint="eastAsia" w:cs="Times New Roman" w:eastAsiaTheme="minorEastAsia"/>
          <w:color w:val="auto"/>
          <w:sz w:val="24"/>
          <w:szCs w:val="24"/>
          <w:lang w:val="en-US" w:eastAsia="zh-CN"/>
        </w:rPr>
        <w:t>J3下游污染扩散监测井（</w:t>
      </w:r>
      <w:r>
        <w:rPr>
          <w:rFonts w:hint="default" w:ascii="Times New Roman" w:hAnsi="Times New Roman" w:cs="Times New Roman" w:eastAsiaTheme="minorEastAsia"/>
          <w:color w:val="auto"/>
          <w:sz w:val="24"/>
          <w:szCs w:val="24"/>
          <w:lang w:val="en-US" w:eastAsia="zh-CN"/>
        </w:rPr>
        <w:t>曲靖大为焦化制气地下水监测井DX01</w:t>
      </w:r>
      <w:r>
        <w:rPr>
          <w:rFonts w:hint="eastAsia"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val="en-US" w:eastAsia="zh-CN"/>
        </w:rPr>
        <w:t>也作</w:t>
      </w:r>
      <w:r>
        <w:rPr>
          <w:rFonts w:hint="default" w:ascii="Times New Roman" w:hAnsi="Times New Roman" w:cs="Times New Roman" w:eastAsiaTheme="minorEastAsia"/>
          <w:color w:val="auto"/>
          <w:sz w:val="24"/>
          <w:szCs w:val="24"/>
          <w:lang w:val="en-US" w:eastAsia="zh-CN"/>
        </w:rPr>
        <w:t>为</w:t>
      </w:r>
      <w:r>
        <w:rPr>
          <w:rFonts w:hint="eastAsia" w:ascii="Times New Roman" w:hAnsi="Times New Roman" w:cs="Times New Roman" w:eastAsiaTheme="minorEastAsia"/>
          <w:color w:val="auto"/>
          <w:sz w:val="24"/>
          <w:szCs w:val="24"/>
          <w:lang w:val="en-US" w:eastAsia="zh-CN"/>
        </w:rPr>
        <w:t>本项目</w:t>
      </w:r>
      <w:r>
        <w:rPr>
          <w:rFonts w:hint="default" w:ascii="Times New Roman" w:hAnsi="Times New Roman" w:cs="Times New Roman" w:eastAsiaTheme="minorEastAsia"/>
          <w:color w:val="auto"/>
          <w:sz w:val="24"/>
          <w:szCs w:val="24"/>
          <w:lang w:val="en-US" w:eastAsia="zh-CN"/>
        </w:rPr>
        <w:t>地下水跟踪监测井</w:t>
      </w:r>
      <w:r>
        <w:rPr>
          <w:rFonts w:hint="eastAsia" w:ascii="Times New Roman" w:hAnsi="Times New Roman" w:cs="Times New Roman" w:eastAsiaTheme="minorEastAsia"/>
          <w:color w:val="auto"/>
          <w:sz w:val="24"/>
          <w:szCs w:val="24"/>
          <w:lang w:val="en-US" w:eastAsia="zh-CN"/>
        </w:rPr>
        <w:t>使用</w:t>
      </w:r>
      <w:r>
        <w:rPr>
          <w:rFonts w:hint="default"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val="en-US" w:eastAsia="zh-CN"/>
        </w:rPr>
        <w:t>跟踪监测井设计参数见表</w:t>
      </w:r>
      <w:r>
        <w:rPr>
          <w:rFonts w:hint="eastAsia" w:cs="Times New Roman" w:eastAsiaTheme="minorEastAsia"/>
          <w:color w:val="auto"/>
          <w:sz w:val="24"/>
          <w:szCs w:val="24"/>
          <w:lang w:val="en-US" w:eastAsia="zh-CN"/>
        </w:rPr>
        <w:t>5.2-1</w:t>
      </w:r>
      <w:r>
        <w:rPr>
          <w:rFonts w:hint="eastAsia" w:ascii="Times New Roman" w:hAnsi="Times New Roman" w:cs="Times New Roman" w:eastAsiaTheme="minorEastAsia"/>
          <w:color w:val="auto"/>
          <w:sz w:val="24"/>
          <w:szCs w:val="24"/>
          <w:lang w:val="en-US" w:eastAsia="zh-CN"/>
        </w:rPr>
        <w:t>。</w:t>
      </w:r>
    </w:p>
    <w:p w14:paraId="040862C2">
      <w:pPr>
        <w:keepNext w:val="0"/>
        <w:keepLines w:val="0"/>
        <w:pageBreakBefore w:val="0"/>
        <w:widowControl/>
        <w:suppressLineNumbers w:val="0"/>
        <w:kinsoku w:val="0"/>
        <w:wordWrap/>
        <w:overflowPunct/>
        <w:topLinePunct w:val="0"/>
        <w:autoSpaceDE w:val="0"/>
        <w:autoSpaceDN w:val="0"/>
        <w:bidi w:val="0"/>
        <w:adjustRightInd/>
        <w:snapToGrid/>
        <w:spacing w:line="360" w:lineRule="auto"/>
        <w:jc w:val="center"/>
        <w:textAlignment w:val="baseline"/>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snapToGrid w:val="0"/>
          <w:color w:val="auto"/>
          <w:kern w:val="0"/>
          <w:sz w:val="21"/>
          <w:szCs w:val="21"/>
          <w:lang w:val="en-US" w:eastAsia="zh-CN" w:bidi="ar"/>
        </w:rPr>
        <w:t>表</w:t>
      </w:r>
      <w:r>
        <w:rPr>
          <w:rFonts w:hint="eastAsia" w:ascii="Times New Roman" w:hAnsi="Times New Roman" w:cs="Times New Roman" w:eastAsiaTheme="minorEastAsia"/>
          <w:b/>
          <w:bCs/>
          <w:snapToGrid w:val="0"/>
          <w:color w:val="auto"/>
          <w:kern w:val="0"/>
          <w:sz w:val="21"/>
          <w:szCs w:val="21"/>
          <w:lang w:val="en-US" w:eastAsia="zh-CN" w:bidi="ar"/>
        </w:rPr>
        <w:t>5.2-1</w:t>
      </w:r>
      <w:r>
        <w:rPr>
          <w:rFonts w:hint="default" w:ascii="Times New Roman" w:hAnsi="Times New Roman" w:cs="Times New Roman" w:eastAsiaTheme="minorEastAsia"/>
          <w:b/>
          <w:bCs/>
          <w:snapToGrid w:val="0"/>
          <w:color w:val="auto"/>
          <w:kern w:val="0"/>
          <w:sz w:val="21"/>
          <w:szCs w:val="21"/>
          <w:lang w:val="en-US" w:eastAsia="zh-CN" w:bidi="ar"/>
        </w:rPr>
        <w:t>新建地下水跟踪监测井设计参数一览表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2114"/>
        <w:gridCol w:w="1638"/>
        <w:gridCol w:w="1537"/>
        <w:gridCol w:w="1832"/>
        <w:gridCol w:w="1265"/>
      </w:tblGrid>
      <w:tr w14:paraId="0CA0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666" w:type="dxa"/>
            <w:gridSpan w:val="2"/>
            <w:vAlign w:val="center"/>
          </w:tcPr>
          <w:p w14:paraId="61BD1B62">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编号</w:t>
            </w:r>
          </w:p>
        </w:tc>
        <w:tc>
          <w:tcPr>
            <w:tcW w:w="3175" w:type="dxa"/>
            <w:gridSpan w:val="2"/>
            <w:vAlign w:val="center"/>
          </w:tcPr>
          <w:p w14:paraId="10A2E9B6">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经纬度</w:t>
            </w:r>
          </w:p>
        </w:tc>
        <w:tc>
          <w:tcPr>
            <w:tcW w:w="1832" w:type="dxa"/>
            <w:vAlign w:val="center"/>
          </w:tcPr>
          <w:p w14:paraId="0DAEC4BD">
            <w:pPr>
              <w:keepNext w:val="0"/>
              <w:keepLines w:val="0"/>
              <w:pageBreakBefore w:val="0"/>
              <w:widowControl/>
              <w:suppressLineNumbers w:val="0"/>
              <w:wordWrap/>
              <w:overflowPunct/>
              <w:topLinePunct w:val="0"/>
              <w:bidi w:val="0"/>
              <w:spacing w:line="240" w:lineRule="auto"/>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eastAsia" w:ascii="宋体" w:hAnsi="宋体" w:eastAsia="宋体" w:cs="宋体"/>
                <w:b w:val="0"/>
                <w:bCs w:val="0"/>
                <w:snapToGrid w:val="0"/>
                <w:color w:val="auto"/>
                <w:kern w:val="0"/>
                <w:sz w:val="21"/>
                <w:szCs w:val="21"/>
                <w:lang w:val="en-US" w:eastAsia="zh-CN" w:bidi="ar"/>
              </w:rPr>
              <w:t>设计井深（</w:t>
            </w:r>
            <w:r>
              <w:rPr>
                <w:rFonts w:hint="default" w:ascii="Times New Roman" w:hAnsi="Times New Roman" w:eastAsia="宋体" w:cs="Times New Roman"/>
                <w:b w:val="0"/>
                <w:bCs w:val="0"/>
                <w:snapToGrid w:val="0"/>
                <w:color w:val="auto"/>
                <w:kern w:val="0"/>
                <w:sz w:val="21"/>
                <w:szCs w:val="21"/>
                <w:lang w:val="en-US" w:eastAsia="zh-CN" w:bidi="ar"/>
              </w:rPr>
              <w:t>m</w:t>
            </w:r>
            <w:r>
              <w:rPr>
                <w:rFonts w:hint="eastAsia" w:ascii="宋体" w:hAnsi="宋体" w:eastAsia="宋体" w:cs="宋体"/>
                <w:b w:val="0"/>
                <w:bCs w:val="0"/>
                <w:snapToGrid w:val="0"/>
                <w:color w:val="auto"/>
                <w:kern w:val="0"/>
                <w:sz w:val="21"/>
                <w:szCs w:val="21"/>
                <w:lang w:val="en-US" w:eastAsia="zh-CN" w:bidi="ar"/>
              </w:rPr>
              <w:t>）</w:t>
            </w:r>
          </w:p>
        </w:tc>
        <w:tc>
          <w:tcPr>
            <w:tcW w:w="1265" w:type="dxa"/>
            <w:vAlign w:val="center"/>
          </w:tcPr>
          <w:p w14:paraId="1AB2F58B">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监测层位</w:t>
            </w:r>
          </w:p>
        </w:tc>
      </w:tr>
      <w:tr w14:paraId="2A30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552" w:type="dxa"/>
            <w:vAlign w:val="center"/>
          </w:tcPr>
          <w:p w14:paraId="00E9CB60">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J2</w:t>
            </w:r>
          </w:p>
        </w:tc>
        <w:tc>
          <w:tcPr>
            <w:tcW w:w="2114" w:type="dxa"/>
            <w:vAlign w:val="center"/>
          </w:tcPr>
          <w:p w14:paraId="4D570C10">
            <w:pPr>
              <w:pStyle w:val="4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color w:val="auto"/>
                <w:sz w:val="21"/>
                <w:szCs w:val="21"/>
                <w:lang w:val="en-US" w:eastAsia="zh-CN"/>
              </w:rPr>
              <w:t>项目区</w:t>
            </w:r>
            <w:r>
              <w:rPr>
                <w:rFonts w:hint="eastAsia" w:ascii="Times New Roman" w:hAnsi="Times New Roman" w:cs="Times New Roman" w:eastAsiaTheme="minorEastAsia"/>
                <w:color w:val="auto"/>
                <w:sz w:val="21"/>
                <w:szCs w:val="21"/>
                <w:lang w:val="en-US" w:eastAsia="zh-CN"/>
              </w:rPr>
              <w:t>污染监测井</w:t>
            </w:r>
          </w:p>
        </w:tc>
        <w:tc>
          <w:tcPr>
            <w:tcW w:w="1638" w:type="dxa"/>
            <w:vAlign w:val="center"/>
          </w:tcPr>
          <w:p w14:paraId="35AEC1B9">
            <w:pPr>
              <w:pStyle w:val="45"/>
              <w:bidi w:val="0"/>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103°52'45.98"</w:t>
            </w:r>
          </w:p>
        </w:tc>
        <w:tc>
          <w:tcPr>
            <w:tcW w:w="1537" w:type="dxa"/>
            <w:vAlign w:val="center"/>
          </w:tcPr>
          <w:p w14:paraId="76A2F85F">
            <w:pPr>
              <w:pStyle w:val="45"/>
              <w:bidi w:val="0"/>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25°44'52.92"</w:t>
            </w:r>
          </w:p>
        </w:tc>
        <w:tc>
          <w:tcPr>
            <w:tcW w:w="1832" w:type="dxa"/>
            <w:vAlign w:val="center"/>
          </w:tcPr>
          <w:p w14:paraId="1CCAE587">
            <w:pPr>
              <w:pStyle w:val="45"/>
              <w:bidi w:val="0"/>
              <w:ind w:firstLine="0" w:firstLineChars="0"/>
              <w:jc w:val="center"/>
              <w:rPr>
                <w:rFonts w:hint="default" w:ascii="Times New Roman" w:hAnsi="Times New Roman" w:cs="Times New Roman" w:eastAsiaTheme="minorEastAsia"/>
                <w:b w:val="0"/>
                <w:bCs w:val="0"/>
                <w:color w:val="auto"/>
                <w:sz w:val="21"/>
                <w:szCs w:val="21"/>
                <w:vertAlign w:val="baseline"/>
                <w:lang w:val="en-US" w:eastAsia="zh-CN"/>
              </w:rPr>
            </w:pPr>
            <w:r>
              <w:rPr>
                <w:rFonts w:hint="eastAsia" w:eastAsia="宋体" w:cs="Times New Roman"/>
                <w:b w:val="0"/>
                <w:bCs w:val="0"/>
                <w:color w:val="auto"/>
                <w:kern w:val="2"/>
                <w:sz w:val="21"/>
                <w:szCs w:val="21"/>
                <w:highlight w:val="none"/>
                <w:lang w:val="en-US" w:eastAsia="zh-CN" w:bidi="ar-SA"/>
              </w:rPr>
              <w:t>32.4</w:t>
            </w:r>
          </w:p>
        </w:tc>
        <w:tc>
          <w:tcPr>
            <w:tcW w:w="1265" w:type="dxa"/>
            <w:vAlign w:val="center"/>
          </w:tcPr>
          <w:p w14:paraId="2A3DC366">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P₁q+m</w:t>
            </w:r>
          </w:p>
        </w:tc>
      </w:tr>
      <w:tr w14:paraId="641E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552" w:type="dxa"/>
            <w:vAlign w:val="center"/>
          </w:tcPr>
          <w:p w14:paraId="52AB0880">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b w:val="0"/>
                <w:bCs w:val="0"/>
                <w:color w:val="auto"/>
                <w:sz w:val="21"/>
                <w:szCs w:val="21"/>
                <w:vertAlign w:val="baseline"/>
                <w:lang w:val="en-US" w:eastAsia="zh-CN"/>
              </w:rPr>
              <w:t>J3</w:t>
            </w:r>
          </w:p>
        </w:tc>
        <w:tc>
          <w:tcPr>
            <w:tcW w:w="2114" w:type="dxa"/>
            <w:vAlign w:val="center"/>
          </w:tcPr>
          <w:p w14:paraId="12950894">
            <w:pPr>
              <w:pStyle w:val="4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eastAsia" w:cs="Times New Roman" w:eastAsiaTheme="minorEastAsia"/>
                <w:color w:val="auto"/>
                <w:sz w:val="21"/>
                <w:szCs w:val="21"/>
                <w:lang w:val="en-US" w:eastAsia="zh-CN"/>
              </w:rPr>
              <w:t>下游污染扩散监测井</w:t>
            </w:r>
            <w:r>
              <w:rPr>
                <w:rFonts w:hint="eastAsia" w:cs="Times New Roman" w:eastAsiaTheme="minorEastAsia"/>
                <w:b w:val="0"/>
                <w:bCs w:val="0"/>
                <w:color w:val="auto"/>
                <w:sz w:val="21"/>
                <w:szCs w:val="21"/>
                <w:vertAlign w:val="baseline"/>
                <w:lang w:val="en-US" w:eastAsia="zh-CN"/>
              </w:rPr>
              <w:t>(</w:t>
            </w:r>
            <w:r>
              <w:rPr>
                <w:rFonts w:hint="default" w:ascii="Times New Roman" w:hAnsi="Times New Roman" w:cs="Times New Roman" w:eastAsiaTheme="minorEastAsia"/>
                <w:b w:val="0"/>
                <w:bCs w:val="0"/>
                <w:color w:val="auto"/>
                <w:sz w:val="21"/>
                <w:szCs w:val="21"/>
                <w:lang w:val="en-US" w:eastAsia="zh-CN"/>
              </w:rPr>
              <w:t>曲靖大为焦化制气地下水监测井DX01</w:t>
            </w:r>
            <w:r>
              <w:rPr>
                <w:rFonts w:hint="eastAsia" w:cs="Times New Roman" w:eastAsiaTheme="minorEastAsia"/>
                <w:b w:val="0"/>
                <w:bCs w:val="0"/>
                <w:color w:val="auto"/>
                <w:sz w:val="21"/>
                <w:szCs w:val="21"/>
                <w:lang w:val="en-US" w:eastAsia="zh-CN"/>
              </w:rPr>
              <w:t>)</w:t>
            </w:r>
          </w:p>
        </w:tc>
        <w:tc>
          <w:tcPr>
            <w:tcW w:w="1638" w:type="dxa"/>
            <w:vAlign w:val="center"/>
          </w:tcPr>
          <w:p w14:paraId="2A6A1C8D">
            <w:pPr>
              <w:keepNext w:val="0"/>
              <w:keepLines w:val="0"/>
              <w:widowControl/>
              <w:suppressLineNumbers w:val="0"/>
              <w:wordWrap/>
              <w:jc w:val="center"/>
              <w:textAlignment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strike w:val="0"/>
                <w:dstrike w:val="0"/>
                <w:color w:val="auto"/>
                <w:sz w:val="21"/>
                <w:szCs w:val="21"/>
              </w:rPr>
              <w:t>103°52'41.97"</w:t>
            </w:r>
          </w:p>
        </w:tc>
        <w:tc>
          <w:tcPr>
            <w:tcW w:w="1537" w:type="dxa"/>
            <w:vAlign w:val="center"/>
          </w:tcPr>
          <w:p w14:paraId="3094124D">
            <w:pPr>
              <w:keepNext w:val="0"/>
              <w:keepLines w:val="0"/>
              <w:widowControl/>
              <w:suppressLineNumbers w:val="0"/>
              <w:wordWrap/>
              <w:jc w:val="center"/>
              <w:textAlignment w:val="center"/>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strike w:val="0"/>
                <w:dstrike w:val="0"/>
                <w:color w:val="auto"/>
                <w:sz w:val="21"/>
                <w:szCs w:val="21"/>
              </w:rPr>
              <w:t>25°44'45.68"</w:t>
            </w:r>
          </w:p>
        </w:tc>
        <w:tc>
          <w:tcPr>
            <w:tcW w:w="1832" w:type="dxa"/>
            <w:vAlign w:val="center"/>
          </w:tcPr>
          <w:p w14:paraId="3E206A85">
            <w:pPr>
              <w:keepNext w:val="0"/>
              <w:keepLines w:val="0"/>
              <w:widowControl/>
              <w:suppressLineNumbers w:val="0"/>
              <w:wordWrap/>
              <w:jc w:val="center"/>
              <w:textAlignment w:val="center"/>
              <w:rPr>
                <w:rFonts w:hint="default" w:ascii="Times New Roman" w:hAnsi="Times New Roman" w:cs="Times New Roman" w:eastAsiaTheme="minorEastAsia"/>
                <w:b w:val="0"/>
                <w:bCs w:val="0"/>
                <w:color w:val="auto"/>
                <w:sz w:val="21"/>
                <w:szCs w:val="21"/>
                <w:vertAlign w:val="baseline"/>
                <w:lang w:val="en-US" w:eastAsia="zh-CN"/>
              </w:rPr>
            </w:pPr>
            <w:r>
              <w:rPr>
                <w:rFonts w:hint="eastAsia" w:ascii="Times New Roman" w:hAnsi="Times New Roman" w:eastAsia="宋体" w:cs="Times New Roman"/>
                <w:b w:val="0"/>
                <w:bCs w:val="0"/>
                <w:i w:val="0"/>
                <w:iCs w:val="0"/>
                <w:strike w:val="0"/>
                <w:dstrike w:val="0"/>
                <w:color w:val="auto"/>
                <w:sz w:val="21"/>
                <w:szCs w:val="21"/>
                <w:lang w:val="en-US" w:eastAsia="zh-CN"/>
              </w:rPr>
              <w:t>30.4</w:t>
            </w:r>
          </w:p>
        </w:tc>
        <w:tc>
          <w:tcPr>
            <w:tcW w:w="1265" w:type="dxa"/>
            <w:vAlign w:val="center"/>
          </w:tcPr>
          <w:p w14:paraId="12A148BE">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lang w:val="en-US" w:eastAsia="zh-CN" w:bidi="ar"/>
              </w:rPr>
              <w:t>P₁q+m</w:t>
            </w:r>
          </w:p>
        </w:tc>
      </w:tr>
    </w:tbl>
    <w:p w14:paraId="4958AC69">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除完成本项目后续跟踪监测需求外，兼具厘清项目与下游其他项目间地下水环境水力联系的功能，对本项目后续运营有着积极意义。</w:t>
      </w:r>
      <w:r>
        <w:rPr>
          <w:rFonts w:hint="default" w:ascii="Times New Roman" w:hAnsi="Times New Roman" w:cs="Times New Roman" w:eastAsiaTheme="minorEastAsia"/>
          <w:color w:val="auto"/>
          <w:sz w:val="24"/>
          <w:szCs w:val="24"/>
        </w:rPr>
        <w:t>地下水</w:t>
      </w:r>
      <w:r>
        <w:rPr>
          <w:rFonts w:hint="default" w:ascii="Times New Roman" w:hAnsi="Times New Roman" w:cs="Times New Roman" w:eastAsiaTheme="minorEastAsia"/>
          <w:color w:val="auto"/>
          <w:sz w:val="24"/>
          <w:szCs w:val="24"/>
          <w:lang w:val="en-US" w:eastAsia="zh-CN"/>
        </w:rPr>
        <w:t>跟踪</w:t>
      </w:r>
      <w:r>
        <w:rPr>
          <w:rFonts w:hint="default" w:ascii="Times New Roman" w:hAnsi="Times New Roman" w:cs="Times New Roman" w:eastAsiaTheme="minorEastAsia"/>
          <w:color w:val="auto"/>
          <w:sz w:val="24"/>
          <w:szCs w:val="24"/>
        </w:rPr>
        <w:t>监测井</w:t>
      </w:r>
      <w:r>
        <w:rPr>
          <w:rFonts w:hint="default" w:ascii="Times New Roman" w:hAnsi="Times New Roman" w:cs="Times New Roman" w:eastAsiaTheme="minorEastAsia"/>
          <w:color w:val="auto"/>
          <w:sz w:val="24"/>
          <w:szCs w:val="24"/>
          <w:lang w:val="en-US" w:eastAsia="zh-CN"/>
        </w:rPr>
        <w:t>须</w:t>
      </w:r>
      <w:r>
        <w:rPr>
          <w:rFonts w:hint="default" w:ascii="Times New Roman" w:hAnsi="Times New Roman" w:cs="Times New Roman" w:eastAsiaTheme="minorEastAsia"/>
          <w:color w:val="auto"/>
          <w:sz w:val="24"/>
          <w:szCs w:val="24"/>
        </w:rPr>
        <w:t>按照</w:t>
      </w:r>
      <w:r>
        <w:rPr>
          <w:rFonts w:hint="default" w:ascii="Times New Roman" w:hAnsi="Times New Roman" w:cs="Times New Roman" w:eastAsiaTheme="minorEastAsia"/>
          <w:color w:val="auto"/>
          <w:sz w:val="24"/>
          <w:szCs w:val="24"/>
          <w:lang w:val="zh-CN"/>
        </w:rPr>
        <w:t>《地下水环境监测技术规范》（HJ/T164-20</w:t>
      </w:r>
      <w:r>
        <w:rPr>
          <w:rFonts w:hint="default" w:ascii="Times New Roman" w:hAnsi="Times New Roman" w:cs="Times New Roman" w:eastAsiaTheme="minorEastAsia"/>
          <w:color w:val="auto"/>
          <w:sz w:val="24"/>
          <w:szCs w:val="24"/>
        </w:rPr>
        <w:t>20</w:t>
      </w:r>
      <w:r>
        <w:rPr>
          <w:rFonts w:hint="default" w:ascii="Times New Roman" w:hAnsi="Times New Roman" w:cs="Times New Roman" w:eastAsiaTheme="minorEastAsia"/>
          <w:color w:val="auto"/>
          <w:sz w:val="24"/>
          <w:szCs w:val="24"/>
          <w:lang w:val="zh-CN"/>
        </w:rPr>
        <w:t>）</w:t>
      </w:r>
      <w:r>
        <w:rPr>
          <w:rFonts w:hint="default" w:ascii="Times New Roman" w:hAnsi="Times New Roman" w:cs="Times New Roman" w:eastAsiaTheme="minorEastAsia"/>
          <w:color w:val="auto"/>
          <w:sz w:val="24"/>
          <w:szCs w:val="24"/>
        </w:rPr>
        <w:t>相关技术</w:t>
      </w:r>
      <w:r>
        <w:rPr>
          <w:rFonts w:hint="default" w:ascii="Times New Roman" w:hAnsi="Times New Roman" w:cs="Times New Roman" w:eastAsiaTheme="minorEastAsia"/>
          <w:color w:val="auto"/>
          <w:sz w:val="24"/>
          <w:szCs w:val="24"/>
          <w:lang w:val="en-US" w:eastAsia="zh-CN"/>
        </w:rPr>
        <w:t>进行建设改造，并开展</w:t>
      </w:r>
      <w:r>
        <w:rPr>
          <w:rFonts w:hint="default" w:ascii="Times New Roman" w:hAnsi="Times New Roman" w:cs="Times New Roman" w:eastAsiaTheme="minorEastAsia"/>
          <w:color w:val="auto"/>
          <w:sz w:val="24"/>
          <w:szCs w:val="24"/>
        </w:rPr>
        <w:t>长期跟踪监测和数据分析，</w:t>
      </w:r>
      <w:r>
        <w:rPr>
          <w:rFonts w:hint="default" w:ascii="Times New Roman" w:hAnsi="Times New Roman" w:cs="Times New Roman" w:eastAsiaTheme="minorEastAsia"/>
          <w:color w:val="auto"/>
          <w:sz w:val="24"/>
          <w:szCs w:val="24"/>
          <w:lang w:val="en-US" w:eastAsia="zh-CN"/>
        </w:rPr>
        <w:t>以便及时</w:t>
      </w:r>
      <w:r>
        <w:rPr>
          <w:rFonts w:hint="default" w:ascii="Times New Roman" w:hAnsi="Times New Roman" w:cs="Times New Roman" w:eastAsiaTheme="minorEastAsia"/>
          <w:color w:val="auto"/>
          <w:sz w:val="24"/>
          <w:szCs w:val="24"/>
          <w:lang w:eastAsia="zh-CN"/>
        </w:rPr>
        <w:t>有效地获取</w:t>
      </w:r>
      <w:r>
        <w:rPr>
          <w:rFonts w:hint="default" w:ascii="Times New Roman" w:hAnsi="Times New Roman" w:cs="Times New Roman" w:eastAsiaTheme="minorEastAsia"/>
          <w:color w:val="auto"/>
          <w:sz w:val="24"/>
          <w:szCs w:val="24"/>
        </w:rPr>
        <w:t>项目区地下水环境变化情况，</w:t>
      </w:r>
      <w:r>
        <w:rPr>
          <w:rFonts w:hint="default" w:ascii="Times New Roman" w:hAnsi="Times New Roman" w:cs="Times New Roman" w:eastAsiaTheme="minorEastAsia"/>
          <w:color w:val="auto"/>
          <w:sz w:val="24"/>
          <w:szCs w:val="24"/>
          <w:lang w:val="en-US" w:eastAsia="zh-CN"/>
        </w:rPr>
        <w:t>为</w:t>
      </w:r>
      <w:r>
        <w:rPr>
          <w:rFonts w:hint="default" w:ascii="Times New Roman" w:hAnsi="Times New Roman" w:cs="Times New Roman" w:eastAsiaTheme="minorEastAsia"/>
          <w:color w:val="auto"/>
          <w:sz w:val="24"/>
          <w:szCs w:val="24"/>
        </w:rPr>
        <w:t>周边地下水环境保护</w:t>
      </w:r>
      <w:r>
        <w:rPr>
          <w:rFonts w:hint="default" w:ascii="Times New Roman" w:hAnsi="Times New Roman" w:cs="Times New Roman" w:eastAsiaTheme="minorEastAsia"/>
          <w:color w:val="auto"/>
          <w:sz w:val="24"/>
          <w:szCs w:val="24"/>
          <w:lang w:val="en-US" w:eastAsia="zh-CN"/>
        </w:rPr>
        <w:t>提供数据支撑</w:t>
      </w:r>
      <w:r>
        <w:rPr>
          <w:rFonts w:hint="default" w:ascii="Times New Roman" w:hAnsi="Times New Roman" w:cs="Times New Roman" w:eastAsiaTheme="minorEastAsia"/>
          <w:color w:val="auto"/>
          <w:sz w:val="24"/>
          <w:szCs w:val="24"/>
        </w:rPr>
        <w:t>。</w:t>
      </w:r>
    </w:p>
    <w:p w14:paraId="2EDFB2DC">
      <w:pPr>
        <w:pStyle w:val="48"/>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zh-CN" w:eastAsia="zh-CN"/>
        </w:rPr>
        <w:t>（</w:t>
      </w:r>
      <w:r>
        <w:rPr>
          <w:rFonts w:hint="default" w:ascii="Times New Roman" w:hAnsi="Times New Roman" w:cs="Times New Roman" w:eastAsiaTheme="minorEastAsia"/>
          <w:b/>
          <w:bCs/>
          <w:color w:val="auto"/>
          <w:sz w:val="24"/>
          <w:szCs w:val="24"/>
          <w:lang w:val="en-US" w:eastAsia="zh-CN"/>
        </w:rPr>
        <w:t>3</w:t>
      </w:r>
      <w:r>
        <w:rPr>
          <w:rFonts w:hint="default" w:ascii="Times New Roman" w:hAnsi="Times New Roman" w:cs="Times New Roman" w:eastAsiaTheme="minorEastAsia"/>
          <w:b/>
          <w:bCs/>
          <w:color w:val="auto"/>
          <w:sz w:val="24"/>
          <w:szCs w:val="24"/>
          <w:lang w:val="zh-CN" w:eastAsia="zh-CN"/>
        </w:rPr>
        <w:t>）地下水监测计划</w:t>
      </w:r>
    </w:p>
    <w:p w14:paraId="08E194F5">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监测对象为：</w:t>
      </w:r>
      <w:r>
        <w:rPr>
          <w:rFonts w:hint="default" w:ascii="Times New Roman" w:hAnsi="Times New Roman" w:cs="Times New Roman" w:eastAsiaTheme="minorEastAsia"/>
          <w:color w:val="auto"/>
          <w:kern w:val="2"/>
          <w:sz w:val="24"/>
          <w:szCs w:val="24"/>
          <w:lang w:val="en-US" w:eastAsia="zh-CN" w:bidi="ar-SA"/>
        </w:rPr>
        <w:t>碳酸盐岩岩溶水</w:t>
      </w:r>
      <w:r>
        <w:rPr>
          <w:rFonts w:hint="default" w:ascii="Times New Roman" w:hAnsi="Times New Roman" w:cs="Times New Roman" w:eastAsiaTheme="minorEastAsia"/>
          <w:color w:val="auto"/>
          <w:sz w:val="24"/>
          <w:szCs w:val="24"/>
        </w:rPr>
        <w:t>。监测孔应配置地下水水位监测装置和抽水装置，项目实施后委托有资质的环保监测部门实施监测。</w:t>
      </w:r>
    </w:p>
    <w:p w14:paraId="53D01752">
      <w:pPr>
        <w:pStyle w:val="4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根据本项目潜在污染特征，地下水污染监测项目主要应该包括：</w:t>
      </w:r>
      <w:r>
        <w:rPr>
          <w:rFonts w:hint="eastAsia" w:cs="Times New Roman" w:eastAsiaTheme="minorEastAsia"/>
          <w:color w:val="auto"/>
          <w:sz w:val="24"/>
          <w:szCs w:val="24"/>
          <w:lang w:val="en-US" w:eastAsia="zh-CN"/>
        </w:rPr>
        <w:t>水位、</w:t>
      </w:r>
      <w:r>
        <w:rPr>
          <w:rFonts w:hint="default" w:ascii="Times New Roman" w:hAnsi="Times New Roman" w:cs="Times New Roman" w:eastAsiaTheme="minorEastAsia"/>
          <w:color w:val="auto"/>
          <w:sz w:val="24"/>
          <w:szCs w:val="24"/>
        </w:rPr>
        <w:t>pH、总磷、耗氧量、氨氮、动植物油、SS和BOD。</w:t>
      </w:r>
    </w:p>
    <w:p w14:paraId="5DC847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监测频次：</w:t>
      </w:r>
      <w:r>
        <w:rPr>
          <w:rFonts w:hint="eastAsia" w:ascii="Times New Roman" w:hAnsi="Times New Roman" w:cs="Times New Roman" w:eastAsiaTheme="minorEastAsia"/>
          <w:color w:val="auto"/>
          <w:sz w:val="24"/>
          <w:szCs w:val="24"/>
          <w:lang w:val="en-US" w:eastAsia="zh-CN"/>
        </w:rPr>
        <w:t>每年一期</w:t>
      </w:r>
      <w:r>
        <w:rPr>
          <w:rFonts w:hint="default" w:ascii="Times New Roman" w:hAnsi="Times New Roman" w:cs="Times New Roman" w:eastAsiaTheme="minorEastAsia"/>
          <w:color w:val="auto"/>
          <w:sz w:val="24"/>
          <w:szCs w:val="24"/>
          <w:lang w:eastAsia="zh-CN"/>
        </w:rPr>
        <w:t>。</w:t>
      </w:r>
    </w:p>
    <w:p w14:paraId="316B6335">
      <w:pPr>
        <w:pStyle w:val="48"/>
        <w:keepNext w:val="0"/>
        <w:keepLines w:val="0"/>
        <w:pageBreakBefore w:val="0"/>
        <w:wordWrap/>
        <w:overflowPunct/>
        <w:topLinePunct w:val="0"/>
        <w:bidi w:val="0"/>
        <w:adjustRightInd/>
        <w:snapToGrid/>
        <w:spacing w:line="360" w:lineRule="auto"/>
        <w:ind w:left="0" w:right="0" w:firstLine="482" w:firstLineChars="200"/>
        <w:rPr>
          <w:rFonts w:hint="default" w:ascii="Times New Roman" w:hAnsi="Times New Roman" w:cs="Times New Roman" w:eastAsiaTheme="minorEastAsia"/>
          <w:b/>
          <w:bCs/>
          <w:color w:val="auto"/>
          <w:sz w:val="24"/>
          <w:szCs w:val="24"/>
          <w:lang w:val="zh-CN" w:eastAsia="zh-CN"/>
        </w:rPr>
      </w:pPr>
      <w:r>
        <w:rPr>
          <w:rFonts w:hint="default" w:ascii="Times New Roman" w:hAnsi="Times New Roman" w:cs="Times New Roman" w:eastAsiaTheme="minorEastAsia"/>
          <w:b/>
          <w:bCs/>
          <w:color w:val="auto"/>
          <w:sz w:val="24"/>
          <w:szCs w:val="24"/>
          <w:lang w:val="en-US" w:eastAsia="zh-CN"/>
        </w:rPr>
        <w:t>（4）</w:t>
      </w:r>
      <w:r>
        <w:rPr>
          <w:rFonts w:hint="default" w:ascii="Times New Roman" w:hAnsi="Times New Roman" w:cs="Times New Roman" w:eastAsiaTheme="minorEastAsia"/>
          <w:b/>
          <w:bCs/>
          <w:color w:val="auto"/>
          <w:sz w:val="24"/>
          <w:szCs w:val="24"/>
          <w:lang w:val="zh-CN" w:eastAsia="zh-CN"/>
        </w:rPr>
        <w:t>事故后处置措施</w:t>
      </w:r>
    </w:p>
    <w:p w14:paraId="1460688D">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1）企业应在后续加强</w:t>
      </w:r>
      <w:r>
        <w:rPr>
          <w:rFonts w:hint="default" w:ascii="Times New Roman" w:hAnsi="Times New Roman" w:cs="Times New Roman" w:eastAsiaTheme="minorEastAsia"/>
          <w:color w:val="auto"/>
          <w:sz w:val="24"/>
          <w:szCs w:val="24"/>
          <w:lang w:val="en-US" w:eastAsia="zh-CN"/>
        </w:rPr>
        <w:t>厂内地下水监测井的</w:t>
      </w:r>
      <w:r>
        <w:rPr>
          <w:rFonts w:hint="default" w:ascii="Times New Roman" w:hAnsi="Times New Roman" w:cs="Times New Roman" w:eastAsiaTheme="minorEastAsia"/>
          <w:color w:val="auto"/>
          <w:sz w:val="24"/>
          <w:szCs w:val="24"/>
        </w:rPr>
        <w:t>跟踪监测工作，一旦发现</w:t>
      </w:r>
      <w:r>
        <w:rPr>
          <w:rFonts w:hint="default" w:ascii="Times New Roman" w:hAnsi="Times New Roman" w:cs="Times New Roman" w:eastAsiaTheme="minorEastAsia"/>
          <w:color w:val="auto"/>
          <w:sz w:val="24"/>
          <w:szCs w:val="24"/>
          <w:lang w:val="en-US" w:eastAsia="zh-CN"/>
        </w:rPr>
        <w:t>井内</w:t>
      </w:r>
      <w:r>
        <w:rPr>
          <w:rFonts w:hint="default" w:ascii="Times New Roman" w:hAnsi="Times New Roman" w:cs="Times New Roman" w:eastAsiaTheme="minorEastAsia"/>
          <w:color w:val="auto"/>
          <w:sz w:val="24"/>
          <w:szCs w:val="24"/>
        </w:rPr>
        <w:t>地下水质出现异常现象时，</w:t>
      </w:r>
      <w:r>
        <w:rPr>
          <w:rFonts w:hint="default" w:ascii="Times New Roman" w:hAnsi="Times New Roman" w:cs="Times New Roman" w:eastAsiaTheme="minorEastAsia"/>
          <w:color w:val="auto"/>
          <w:sz w:val="24"/>
          <w:szCs w:val="24"/>
          <w:lang w:val="en-US" w:eastAsia="zh-CN"/>
        </w:rPr>
        <w:t>须</w:t>
      </w:r>
      <w:r>
        <w:rPr>
          <w:rFonts w:hint="default" w:ascii="Times New Roman" w:hAnsi="Times New Roman" w:cs="Times New Roman" w:eastAsiaTheme="minorEastAsia"/>
          <w:color w:val="auto"/>
          <w:sz w:val="24"/>
          <w:szCs w:val="24"/>
        </w:rPr>
        <w:t>加大取样频率，并根据实际情况增加监测项目，查出原因以便进行补救；同时</w:t>
      </w:r>
      <w:r>
        <w:rPr>
          <w:rFonts w:hint="default" w:ascii="Times New Roman" w:hAnsi="Times New Roman" w:cs="Times New Roman" w:eastAsiaTheme="minorEastAsia"/>
          <w:color w:val="auto"/>
          <w:sz w:val="24"/>
          <w:szCs w:val="24"/>
          <w:lang w:eastAsia="zh-CN"/>
        </w:rPr>
        <w:t>及时</w:t>
      </w:r>
      <w:r>
        <w:rPr>
          <w:rFonts w:hint="default" w:ascii="Times New Roman" w:hAnsi="Times New Roman" w:cs="Times New Roman" w:eastAsiaTheme="minorEastAsia"/>
          <w:color w:val="auto"/>
          <w:sz w:val="24"/>
          <w:szCs w:val="24"/>
        </w:rPr>
        <w:t>上报当地</w:t>
      </w:r>
      <w:r>
        <w:rPr>
          <w:rFonts w:hint="eastAsia" w:cs="Times New Roman" w:eastAsiaTheme="minorEastAsia"/>
          <w:color w:val="auto"/>
          <w:sz w:val="24"/>
          <w:szCs w:val="24"/>
          <w:lang w:eastAsia="zh-CN"/>
        </w:rPr>
        <w:t>生态环境部门</w:t>
      </w:r>
      <w:r>
        <w:rPr>
          <w:rFonts w:hint="default" w:ascii="Times New Roman" w:hAnsi="Times New Roman" w:cs="Times New Roman" w:eastAsiaTheme="minorEastAsia"/>
          <w:color w:val="auto"/>
          <w:sz w:val="24"/>
          <w:szCs w:val="24"/>
        </w:rPr>
        <w:t>及其他相关部门，采取应急措施，查出原因以便进行补救。</w:t>
      </w:r>
    </w:p>
    <w:p w14:paraId="4A71D26B">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2）一旦发生地下水污染事故，应及时查明地下水污染原因，如是项目区渗漏造成，应及时采取补救防渗措施。</w:t>
      </w:r>
    </w:p>
    <w:p w14:paraId="471445FE">
      <w:pPr>
        <w:pStyle w:val="48"/>
        <w:keepNext w:val="0"/>
        <w:keepLines w:val="0"/>
        <w:pageBreakBefore w:val="0"/>
        <w:wordWrap/>
        <w:overflowPunct/>
        <w:topLinePunct w:val="0"/>
        <w:bidi w:val="0"/>
        <w:adjustRightInd/>
        <w:snapToGrid/>
        <w:spacing w:line="360" w:lineRule="auto"/>
        <w:ind w:left="0" w:right="0" w:firstLine="480" w:firstLineChars="200"/>
        <w:rPr>
          <w:rFonts w:hint="default" w:ascii="Times New Roman" w:hAnsi="Times New Roman" w:cs="Times New Roman" w:eastAsiaTheme="minorEastAsia"/>
          <w:b/>
          <w:color w:val="auto"/>
          <w:sz w:val="24"/>
          <w:szCs w:val="24"/>
        </w:rPr>
      </w:pPr>
      <w:r>
        <w:rPr>
          <w:rFonts w:hint="default" w:ascii="Times New Roman" w:hAnsi="Times New Roman" w:cs="Times New Roman" w:eastAsiaTheme="minorEastAsia"/>
          <w:color w:val="auto"/>
          <w:sz w:val="24"/>
          <w:szCs w:val="24"/>
        </w:rPr>
        <w:t>3）一旦</w:t>
      </w:r>
      <w:r>
        <w:rPr>
          <w:rFonts w:hint="default" w:ascii="Times New Roman" w:hAnsi="Times New Roman" w:cs="Times New Roman" w:eastAsiaTheme="minorEastAsia"/>
          <w:color w:val="auto"/>
          <w:sz w:val="24"/>
          <w:szCs w:val="24"/>
          <w:lang w:val="en-US" w:eastAsia="zh-CN"/>
        </w:rPr>
        <w:t>跟踪监测井</w:t>
      </w:r>
      <w:r>
        <w:rPr>
          <w:rFonts w:hint="default" w:ascii="Times New Roman" w:hAnsi="Times New Roman" w:cs="Times New Roman" w:eastAsiaTheme="minorEastAsia"/>
          <w:color w:val="auto"/>
          <w:sz w:val="24"/>
          <w:szCs w:val="24"/>
        </w:rPr>
        <w:t>监测到</w:t>
      </w:r>
      <w:r>
        <w:rPr>
          <w:rFonts w:hint="default" w:ascii="Times New Roman" w:hAnsi="Times New Roman" w:cs="Times New Roman" w:eastAsiaTheme="minorEastAsia"/>
          <w:color w:val="auto"/>
          <w:sz w:val="24"/>
          <w:szCs w:val="24"/>
          <w:lang w:eastAsia="zh-CN"/>
        </w:rPr>
        <w:t>耗氧量</w:t>
      </w:r>
      <w:r>
        <w:rPr>
          <w:rFonts w:hint="default" w:ascii="Times New Roman" w:hAnsi="Times New Roman" w:cs="Times New Roman" w:eastAsiaTheme="minorEastAsia"/>
          <w:color w:val="auto"/>
          <w:sz w:val="24"/>
          <w:szCs w:val="24"/>
        </w:rPr>
        <w:t>污染异常，应及时在项目区</w:t>
      </w:r>
      <w:r>
        <w:rPr>
          <w:rFonts w:hint="default" w:ascii="Times New Roman" w:hAnsi="Times New Roman" w:cs="Times New Roman" w:eastAsiaTheme="minorEastAsia"/>
          <w:color w:val="auto"/>
          <w:sz w:val="24"/>
          <w:szCs w:val="24"/>
          <w:lang w:val="en-US" w:eastAsia="zh-CN"/>
        </w:rPr>
        <w:t>北</w:t>
      </w:r>
      <w:r>
        <w:rPr>
          <w:rFonts w:hint="default" w:ascii="Times New Roman" w:hAnsi="Times New Roman" w:cs="Times New Roman" w:eastAsiaTheme="minorEastAsia"/>
          <w:color w:val="auto"/>
          <w:sz w:val="24"/>
          <w:szCs w:val="24"/>
        </w:rPr>
        <w:t>侧厂界边缘地带采取地下水污染修复补救措施，如通过</w:t>
      </w:r>
      <w:r>
        <w:rPr>
          <w:rFonts w:hint="default" w:ascii="Times New Roman" w:hAnsi="Times New Roman" w:cs="Times New Roman" w:eastAsiaTheme="minorEastAsia"/>
          <w:color w:val="auto"/>
          <w:sz w:val="24"/>
          <w:szCs w:val="24"/>
          <w:lang w:val="en-US" w:eastAsia="zh-CN"/>
        </w:rPr>
        <w:t>建设排渗群井或通过</w:t>
      </w:r>
      <w:r>
        <w:rPr>
          <w:rFonts w:hint="default" w:ascii="Times New Roman" w:hAnsi="Times New Roman" w:cs="Times New Roman" w:eastAsiaTheme="minorEastAsia"/>
          <w:color w:val="auto"/>
          <w:sz w:val="24"/>
          <w:szCs w:val="24"/>
        </w:rPr>
        <w:t>渗透性反应墙等污染修复技术进行地下水污染修复。</w:t>
      </w:r>
    </w:p>
    <w:p w14:paraId="58FBEA7C">
      <w:pPr>
        <w:pStyle w:val="9"/>
        <w:keepNext w:val="0"/>
        <w:keepLines w:val="0"/>
        <w:pageBreakBefore w:val="0"/>
        <w:wordWrap/>
        <w:overflowPunct/>
        <w:topLinePunct w:val="0"/>
        <w:bidi w:val="0"/>
        <w:adjustRightInd/>
        <w:snapToGrid/>
        <w:spacing w:line="360" w:lineRule="auto"/>
        <w:ind w:left="0" w:right="0"/>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.2.7 </w:t>
      </w:r>
      <w:r>
        <w:rPr>
          <w:b/>
          <w:bCs/>
          <w:color w:val="auto"/>
          <w:spacing w:val="-2"/>
          <w:sz w:val="24"/>
          <w:szCs w:val="24"/>
        </w:rPr>
        <w:t>生态环境保护措施</w:t>
      </w:r>
    </w:p>
    <w:p w14:paraId="6924759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98"/>
        <w:textAlignment w:val="baseline"/>
        <w:rPr>
          <w:color w:val="auto"/>
          <w:sz w:val="24"/>
          <w:szCs w:val="24"/>
        </w:rPr>
      </w:pPr>
      <w:r>
        <w:rPr>
          <w:rFonts w:ascii="Times New Roman" w:hAnsi="Times New Roman" w:eastAsia="Times New Roman" w:cs="Times New Roman"/>
          <w:color w:val="auto"/>
          <w:sz w:val="24"/>
          <w:szCs w:val="24"/>
        </w:rPr>
        <w:t>1</w:t>
      </w:r>
      <w:r>
        <w:rPr>
          <w:color w:val="auto"/>
          <w:sz w:val="24"/>
          <w:szCs w:val="24"/>
        </w:rPr>
        <w:t>）在工程建设完成后，对</w:t>
      </w:r>
      <w:r>
        <w:rPr>
          <w:rFonts w:hint="eastAsia" w:eastAsia="宋体"/>
          <w:color w:val="auto"/>
          <w:sz w:val="24"/>
          <w:szCs w:val="24"/>
          <w:lang w:val="en-US" w:eastAsia="zh-CN"/>
        </w:rPr>
        <w:t>场地周边</w:t>
      </w:r>
      <w:r>
        <w:rPr>
          <w:color w:val="auto"/>
          <w:sz w:val="24"/>
          <w:szCs w:val="24"/>
        </w:rPr>
        <w:t>采用优选种植乡土树种、草种的植物防</w:t>
      </w:r>
      <w:r>
        <w:rPr>
          <w:color w:val="auto"/>
          <w:spacing w:val="-3"/>
          <w:sz w:val="24"/>
          <w:szCs w:val="24"/>
        </w:rPr>
        <w:t>护措施进行绿化，采取这些措施对当地植被的繁衍、提高植被覆盖度、改善局部小气候起到很大作用，还可以改善植被覆盖地段地上、地下的生态环境条件，有利于多种生物的活动和繁衍，增加有机质含量，从而促进土壤形成。人工植被通过演替能够形成适应当地环境的相对稳定的生态系统，环境向良性发展，可大大降低了工程对植物资源影响的负面效应，所在区域造成的植被生物量损失将得到</w:t>
      </w:r>
      <w:r>
        <w:rPr>
          <w:color w:val="auto"/>
          <w:spacing w:val="-1"/>
          <w:sz w:val="24"/>
          <w:szCs w:val="24"/>
        </w:rPr>
        <w:t>补偿，对植被生态环境影响是可以承受的。</w:t>
      </w:r>
    </w:p>
    <w:p w14:paraId="249BA24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3"/>
        <w:textAlignment w:val="baseline"/>
        <w:rPr>
          <w:color w:val="auto"/>
          <w:sz w:val="24"/>
          <w:szCs w:val="24"/>
        </w:rPr>
      </w:pPr>
      <w:r>
        <w:rPr>
          <w:rFonts w:ascii="Times New Roman" w:hAnsi="Times New Roman" w:eastAsia="Times New Roman" w:cs="Times New Roman"/>
          <w:color w:val="auto"/>
          <w:spacing w:val="1"/>
          <w:sz w:val="24"/>
          <w:szCs w:val="24"/>
        </w:rPr>
        <w:t>2</w:t>
      </w:r>
      <w:r>
        <w:rPr>
          <w:color w:val="auto"/>
          <w:spacing w:val="1"/>
          <w:sz w:val="24"/>
          <w:szCs w:val="24"/>
        </w:rPr>
        <w:t>）竣工后应及时对临时占地生态恢复工作进行检查，真</w:t>
      </w:r>
      <w:r>
        <w:rPr>
          <w:color w:val="auto"/>
          <w:sz w:val="24"/>
          <w:szCs w:val="24"/>
        </w:rPr>
        <w:t>正使临时占地达到</w:t>
      </w:r>
      <w:r>
        <w:rPr>
          <w:color w:val="auto"/>
          <w:spacing w:val="-1"/>
          <w:sz w:val="24"/>
          <w:szCs w:val="24"/>
        </w:rPr>
        <w:t>恢复原有的土地利用类型的目的。</w:t>
      </w:r>
    </w:p>
    <w:p w14:paraId="2190D95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1"/>
        <w:textAlignment w:val="baseline"/>
        <w:rPr>
          <w:color w:val="auto"/>
          <w:sz w:val="24"/>
          <w:szCs w:val="24"/>
        </w:rPr>
      </w:pPr>
      <w:r>
        <w:rPr>
          <w:rFonts w:ascii="Times New Roman" w:hAnsi="Times New Roman" w:eastAsia="Times New Roman" w:cs="Times New Roman"/>
          <w:color w:val="auto"/>
          <w:spacing w:val="1"/>
          <w:sz w:val="24"/>
          <w:szCs w:val="24"/>
        </w:rPr>
        <w:t>3</w:t>
      </w:r>
      <w:r>
        <w:rPr>
          <w:color w:val="auto"/>
          <w:spacing w:val="1"/>
          <w:sz w:val="24"/>
          <w:szCs w:val="24"/>
        </w:rPr>
        <w:t>）装卸场应加强绿化工程，采用带状绿化，</w:t>
      </w:r>
      <w:r>
        <w:rPr>
          <w:color w:val="auto"/>
          <w:sz w:val="24"/>
          <w:szCs w:val="24"/>
        </w:rPr>
        <w:t>乔灌木结合的方式，降低装卸</w:t>
      </w:r>
      <w:r>
        <w:rPr>
          <w:color w:val="auto"/>
          <w:spacing w:val="-1"/>
          <w:sz w:val="24"/>
          <w:szCs w:val="24"/>
        </w:rPr>
        <w:t>场车辆运输扬尘影响，改善生态环境。</w:t>
      </w:r>
    </w:p>
    <w:p w14:paraId="43CC9F2A">
      <w:pPr>
        <w:pStyle w:val="9"/>
        <w:spacing w:before="2" w:line="221" w:lineRule="auto"/>
        <w:ind w:left="22"/>
        <w:outlineLvl w:val="3"/>
        <w:rPr>
          <w:rFonts w:hint="eastAsia" w:ascii="Times New Roman" w:hAnsi="Times New Roman" w:eastAsia="宋体" w:cs="Times New Roman"/>
          <w:b/>
          <w:bCs/>
          <w:color w:val="auto"/>
          <w:spacing w:val="-2"/>
          <w:sz w:val="24"/>
          <w:szCs w:val="24"/>
          <w:lang w:val="en-US" w:eastAsia="zh-CN"/>
        </w:rPr>
        <w:sectPr>
          <w:headerReference r:id="rId14" w:type="default"/>
          <w:pgSz w:w="11905" w:h="16840"/>
          <w:pgMar w:top="1161" w:right="1387" w:bottom="1209" w:left="1473" w:header="829" w:footer="1048" w:gutter="0"/>
          <w:pgNumType w:fmt="decimal"/>
          <w:cols w:space="720" w:num="1"/>
        </w:sectPr>
      </w:pPr>
    </w:p>
    <w:p w14:paraId="5607E6CF">
      <w:pPr>
        <w:pStyle w:val="9"/>
        <w:spacing w:before="2" w:line="221" w:lineRule="auto"/>
        <w:ind w:left="22"/>
        <w:outlineLvl w:val="3"/>
        <w:rPr>
          <w:color w:val="auto"/>
          <w:sz w:val="24"/>
          <w:szCs w:val="24"/>
        </w:rPr>
      </w:pPr>
      <w:r>
        <w:rPr>
          <w:rFonts w:hint="eastAsia" w:ascii="Times New Roman" w:hAnsi="Times New Roman"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.2.9 </w:t>
      </w:r>
      <w:r>
        <w:rPr>
          <w:b/>
          <w:bCs/>
          <w:color w:val="auto"/>
          <w:spacing w:val="-2"/>
          <w:sz w:val="24"/>
          <w:szCs w:val="24"/>
        </w:rPr>
        <w:t>环保措施汇总</w:t>
      </w:r>
    </w:p>
    <w:p w14:paraId="5DD31805">
      <w:pPr>
        <w:pStyle w:val="9"/>
        <w:spacing w:before="204" w:line="218" w:lineRule="auto"/>
        <w:ind w:left="502"/>
        <w:rPr>
          <w:color w:val="auto"/>
          <w:sz w:val="24"/>
          <w:szCs w:val="24"/>
        </w:rPr>
      </w:pPr>
      <w:r>
        <w:rPr>
          <w:color w:val="auto"/>
          <w:spacing w:val="-1"/>
          <w:sz w:val="24"/>
          <w:szCs w:val="24"/>
        </w:rPr>
        <w:t>本次评价提出的环境保护对策措施见下表。</w:t>
      </w:r>
    </w:p>
    <w:p w14:paraId="742C09C4">
      <w:pPr>
        <w:pStyle w:val="9"/>
        <w:keepNext w:val="0"/>
        <w:keepLines w:val="0"/>
        <w:pageBreakBefore w:val="0"/>
        <w:widowControl/>
        <w:kinsoku/>
        <w:wordWrap/>
        <w:overflowPunct/>
        <w:topLinePunct w:val="0"/>
        <w:autoSpaceDE w:val="0"/>
        <w:autoSpaceDN w:val="0"/>
        <w:bidi w:val="0"/>
        <w:adjustRightInd w:val="0"/>
        <w:snapToGrid w:val="0"/>
        <w:spacing w:before="193" w:line="212" w:lineRule="auto"/>
        <w:ind w:left="5476"/>
        <w:textAlignment w:val="baseline"/>
        <w:rPr>
          <w:rFonts w:hint="default" w:ascii="Times New Roman" w:hAnsi="Times New Roman" w:eastAsia="宋体" w:cs="Times New Roman"/>
          <w:b/>
          <w:bCs/>
          <w:color w:val="auto"/>
          <w:spacing w:val="0"/>
          <w:sz w:val="21"/>
        </w:rPr>
      </w:pPr>
      <w:r>
        <w:rPr>
          <w:rFonts w:hint="default" w:ascii="Times New Roman" w:hAnsi="Times New Roman" w:eastAsia="宋体" w:cs="Times New Roman"/>
          <w:b/>
          <w:bCs/>
          <w:color w:val="auto"/>
          <w:spacing w:val="0"/>
          <w:sz w:val="21"/>
        </w:rPr>
        <w:t>表</w:t>
      </w:r>
      <w:r>
        <w:rPr>
          <w:rFonts w:hint="default" w:ascii="Times New Roman" w:hAnsi="Times New Roman" w:eastAsia="宋体" w:cs="Times New Roman"/>
          <w:b/>
          <w:bCs/>
          <w:color w:val="auto"/>
          <w:spacing w:val="0"/>
          <w:sz w:val="21"/>
          <w:lang w:val="en-US" w:eastAsia="zh-CN"/>
        </w:rPr>
        <w:t>5.2.</w:t>
      </w:r>
      <w:r>
        <w:rPr>
          <w:rFonts w:hint="default" w:ascii="Times New Roman" w:hAnsi="Times New Roman" w:eastAsia="宋体" w:cs="Times New Roman"/>
          <w:b/>
          <w:bCs/>
          <w:color w:val="auto"/>
          <w:spacing w:val="0"/>
          <w:sz w:val="21"/>
        </w:rPr>
        <w:t>-</w:t>
      </w:r>
      <w:r>
        <w:rPr>
          <w:rFonts w:hint="eastAsia" w:ascii="Times New Roman" w:hAnsi="Times New Roman" w:eastAsia="宋体" w:cs="Times New Roman"/>
          <w:b/>
          <w:bCs/>
          <w:color w:val="auto"/>
          <w:spacing w:val="0"/>
          <w:sz w:val="21"/>
          <w:lang w:val="en-US" w:eastAsia="zh-CN"/>
        </w:rPr>
        <w:t>2</w:t>
      </w:r>
      <w:r>
        <w:rPr>
          <w:rFonts w:hint="default" w:ascii="Times New Roman" w:hAnsi="Times New Roman" w:eastAsia="宋体" w:cs="Times New Roman"/>
          <w:b/>
          <w:bCs/>
          <w:color w:val="auto"/>
          <w:spacing w:val="0"/>
          <w:sz w:val="21"/>
        </w:rPr>
        <w:t xml:space="preserve">    环保措施一览表</w:t>
      </w:r>
    </w:p>
    <w:tbl>
      <w:tblPr>
        <w:tblStyle w:val="26"/>
        <w:tblW w:w="138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7"/>
        <w:gridCol w:w="1015"/>
        <w:gridCol w:w="11519"/>
      </w:tblGrid>
      <w:tr w14:paraId="55353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07" w:type="dxa"/>
            <w:vAlign w:val="center"/>
          </w:tcPr>
          <w:p w14:paraId="4BA1937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阶段</w:t>
            </w:r>
          </w:p>
        </w:tc>
        <w:tc>
          <w:tcPr>
            <w:tcW w:w="1015" w:type="dxa"/>
            <w:vAlign w:val="center"/>
          </w:tcPr>
          <w:p w14:paraId="472A212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污染源</w:t>
            </w:r>
          </w:p>
        </w:tc>
        <w:tc>
          <w:tcPr>
            <w:tcW w:w="11519" w:type="dxa"/>
            <w:vAlign w:val="center"/>
          </w:tcPr>
          <w:p w14:paraId="09A7E42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对策措施</w:t>
            </w:r>
          </w:p>
        </w:tc>
      </w:tr>
      <w:tr w14:paraId="687EA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1307" w:type="dxa"/>
            <w:vMerge w:val="restart"/>
            <w:vAlign w:val="center"/>
          </w:tcPr>
          <w:p w14:paraId="367C719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施工期</w:t>
            </w:r>
          </w:p>
        </w:tc>
        <w:tc>
          <w:tcPr>
            <w:tcW w:w="1015" w:type="dxa"/>
            <w:vAlign w:val="center"/>
          </w:tcPr>
          <w:p w14:paraId="5888A3D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废水</w:t>
            </w:r>
          </w:p>
        </w:tc>
        <w:tc>
          <w:tcPr>
            <w:tcW w:w="11519" w:type="dxa"/>
            <w:vAlign w:val="top"/>
          </w:tcPr>
          <w:p w14:paraId="19CDE8E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color w:val="auto"/>
                <w:spacing w:val="0"/>
                <w:sz w:val="21"/>
                <w:szCs w:val="21"/>
                <w:lang w:eastAsia="zh-CN"/>
              </w:rPr>
              <w:t>在装卸区地势低洼处设置</w:t>
            </w:r>
            <w:r>
              <w:rPr>
                <w:rFonts w:hint="eastAsia" w:ascii="Times New Roman" w:hAnsi="Times New Roman" w:cs="Times New Roman"/>
                <w:color w:val="auto"/>
                <w:spacing w:val="0"/>
                <w:sz w:val="21"/>
                <w:szCs w:val="21"/>
                <w:lang w:val="en-US" w:eastAsia="zh-CN"/>
              </w:rPr>
              <w:t>了</w:t>
            </w:r>
            <w:r>
              <w:rPr>
                <w:rFonts w:hint="default" w:ascii="Times New Roman" w:hAnsi="Times New Roman" w:cs="Times New Roman"/>
                <w:color w:val="auto"/>
                <w:spacing w:val="0"/>
                <w:sz w:val="21"/>
                <w:szCs w:val="21"/>
                <w:lang w:eastAsia="zh-CN"/>
              </w:rPr>
              <w:t>1个</w:t>
            </w:r>
            <w:r>
              <w:rPr>
                <w:rFonts w:hint="eastAsia" w:ascii="Times New Roman" w:hAnsi="Times New Roman" w:cs="Times New Roman"/>
                <w:color w:val="auto"/>
                <w:spacing w:val="0"/>
                <w:sz w:val="21"/>
                <w:szCs w:val="21"/>
                <w:lang w:val="en-US" w:eastAsia="zh-CN"/>
              </w:rPr>
              <w:t>2</w:t>
            </w:r>
            <w:r>
              <w:rPr>
                <w:rFonts w:hint="default" w:ascii="Times New Roman" w:hAnsi="Times New Roman" w:cs="Times New Roman"/>
                <w:color w:val="auto"/>
                <w:spacing w:val="0"/>
                <w:sz w:val="21"/>
                <w:szCs w:val="21"/>
                <w:lang w:eastAsia="zh-CN"/>
              </w:rPr>
              <w:t>m</w:t>
            </w:r>
            <w:r>
              <w:rPr>
                <w:rFonts w:hint="eastAsia" w:ascii="Times New Roman" w:hAnsi="Times New Roman" w:cs="Times New Roman"/>
                <w:color w:val="auto"/>
                <w:spacing w:val="0"/>
                <w:sz w:val="21"/>
                <w:szCs w:val="21"/>
                <w:vertAlign w:val="superscript"/>
                <w:lang w:val="en-US" w:eastAsia="zh-CN"/>
              </w:rPr>
              <w:t>3</w:t>
            </w:r>
            <w:r>
              <w:rPr>
                <w:rFonts w:hint="default" w:ascii="Times New Roman" w:hAnsi="Times New Roman" w:cs="Times New Roman"/>
                <w:color w:val="auto"/>
                <w:spacing w:val="0"/>
                <w:sz w:val="21"/>
                <w:szCs w:val="21"/>
                <w:lang w:eastAsia="zh-CN"/>
              </w:rPr>
              <w:t>的临时沉淀池，建筑施工废水</w:t>
            </w:r>
            <w:r>
              <w:rPr>
                <w:rFonts w:hint="eastAsia" w:ascii="Times New Roman" w:hAnsi="Times New Roman" w:cs="Times New Roman"/>
                <w:color w:val="auto"/>
                <w:spacing w:val="0"/>
                <w:sz w:val="21"/>
                <w:szCs w:val="21"/>
                <w:lang w:val="en-US" w:eastAsia="zh-CN"/>
              </w:rPr>
              <w:t>和员工清洗生活废水</w:t>
            </w:r>
            <w:r>
              <w:rPr>
                <w:rFonts w:hint="default" w:ascii="Times New Roman" w:hAnsi="Times New Roman" w:cs="Times New Roman"/>
                <w:color w:val="auto"/>
                <w:spacing w:val="0"/>
                <w:sz w:val="21"/>
                <w:szCs w:val="21"/>
                <w:lang w:eastAsia="zh-CN"/>
              </w:rPr>
              <w:t>经临时沉淀池沉淀处理后，回用于施工过程、车辆冲洗及场地洒水降尘等。</w:t>
            </w:r>
          </w:p>
        </w:tc>
      </w:tr>
      <w:tr w14:paraId="7D5AA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3" w:hRule="atLeast"/>
        </w:trPr>
        <w:tc>
          <w:tcPr>
            <w:tcW w:w="1307" w:type="dxa"/>
            <w:vMerge w:val="continue"/>
            <w:vAlign w:val="top"/>
          </w:tcPr>
          <w:p w14:paraId="58150398">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6EE102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废气</w:t>
            </w:r>
          </w:p>
        </w:tc>
        <w:tc>
          <w:tcPr>
            <w:tcW w:w="11519" w:type="dxa"/>
            <w:vAlign w:val="top"/>
          </w:tcPr>
          <w:p w14:paraId="5F9F0A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val="en-US" w:eastAsia="zh-CN"/>
              </w:rPr>
              <w:t>（1）</w:t>
            </w:r>
            <w:r>
              <w:rPr>
                <w:rFonts w:hint="default" w:ascii="Times New Roman" w:hAnsi="Times New Roman" w:cs="Times New Roman"/>
                <w:color w:val="auto"/>
                <w:spacing w:val="0"/>
                <w:sz w:val="21"/>
                <w:szCs w:val="21"/>
                <w:lang w:eastAsia="zh-CN"/>
              </w:rPr>
              <w:t>施工单位</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根据《建设工程施工现场管理规定》的规定</w:t>
            </w:r>
            <w:r>
              <w:rPr>
                <w:rFonts w:hint="default" w:ascii="Times New Roman" w:hAnsi="Times New Roman" w:cs="Times New Roman"/>
                <w:color w:val="auto"/>
                <w:spacing w:val="0"/>
                <w:sz w:val="21"/>
                <w:szCs w:val="21"/>
                <w:lang w:val="en-US" w:eastAsia="zh-CN"/>
              </w:rPr>
              <w:t>在施工场地出入口</w:t>
            </w:r>
            <w:r>
              <w:rPr>
                <w:rFonts w:hint="default" w:ascii="Times New Roman" w:hAnsi="Times New Roman" w:cs="Times New Roman"/>
                <w:color w:val="auto"/>
                <w:spacing w:val="0"/>
                <w:sz w:val="21"/>
                <w:szCs w:val="21"/>
                <w:lang w:eastAsia="zh-CN"/>
              </w:rPr>
              <w:t>设置现场平面布置图、工程概况牌、安全生产牌、文明施工牌、环境保护牌、管理人员名单及监督电话牌等；</w:t>
            </w:r>
          </w:p>
          <w:p w14:paraId="0181502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val="en-US" w:eastAsia="zh-CN"/>
              </w:rPr>
            </w:pPr>
            <w:r>
              <w:rPr>
                <w:rFonts w:hint="default" w:ascii="Times New Roman" w:hAnsi="Times New Roman" w:cs="Times New Roman"/>
                <w:color w:val="auto"/>
                <w:spacing w:val="0"/>
                <w:sz w:val="21"/>
                <w:szCs w:val="21"/>
                <w:lang w:val="en-US" w:eastAsia="zh-CN"/>
              </w:rPr>
              <w:t>（2）</w:t>
            </w:r>
            <w:r>
              <w:rPr>
                <w:rFonts w:hint="default" w:ascii="Times New Roman" w:hAnsi="Times New Roman" w:cs="Times New Roman"/>
                <w:color w:val="auto"/>
                <w:spacing w:val="0"/>
                <w:sz w:val="21"/>
                <w:szCs w:val="21"/>
                <w:lang w:eastAsia="zh-CN"/>
              </w:rPr>
              <w:t>土方开挖、运输和填筑等施工过程，</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辅以洒水降尘，进出工地的运输车辆应</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采用密闭车斗；当车辆无密闭车斗时，装载高度</w:t>
            </w:r>
            <w:r>
              <w:rPr>
                <w:rFonts w:hint="eastAsia" w:ascii="Times New Roman" w:hAnsi="Times New Roman" w:cs="Times New Roman"/>
                <w:color w:val="auto"/>
                <w:spacing w:val="0"/>
                <w:sz w:val="21"/>
                <w:szCs w:val="21"/>
                <w:lang w:val="en-US" w:eastAsia="zh-CN"/>
              </w:rPr>
              <w:t>无</w:t>
            </w:r>
            <w:r>
              <w:rPr>
                <w:rFonts w:hint="default" w:ascii="Times New Roman" w:hAnsi="Times New Roman" w:cs="Times New Roman"/>
                <w:color w:val="auto"/>
                <w:spacing w:val="0"/>
                <w:sz w:val="21"/>
                <w:szCs w:val="21"/>
                <w:lang w:eastAsia="zh-CN"/>
              </w:rPr>
              <w:t>超过车辆槽帮上沿</w:t>
            </w:r>
            <w:r>
              <w:rPr>
                <w:rFonts w:hint="eastAsia" w:ascii="Times New Roman" w:hAnsi="Times New Roman" w:cs="Times New Roman"/>
                <w:color w:val="auto"/>
                <w:spacing w:val="0"/>
                <w:sz w:val="21"/>
                <w:szCs w:val="21"/>
                <w:lang w:val="en-US" w:eastAsia="zh-CN"/>
              </w:rPr>
              <w:t>的情况</w:t>
            </w:r>
            <w:r>
              <w:rPr>
                <w:rFonts w:hint="default"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用篷布遮盖；运输车辆</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严格按照规定的行车路线和时间进行物料的输送；</w:t>
            </w:r>
          </w:p>
          <w:p w14:paraId="28E8F22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val="en-US" w:eastAsia="zh-CN"/>
              </w:rPr>
              <w:t>（3）</w:t>
            </w:r>
            <w:r>
              <w:rPr>
                <w:rFonts w:hint="default" w:ascii="Times New Roman" w:hAnsi="Times New Roman" w:cs="Times New Roman"/>
                <w:color w:val="auto"/>
                <w:spacing w:val="0"/>
                <w:sz w:val="21"/>
                <w:szCs w:val="21"/>
                <w:lang w:eastAsia="zh-CN"/>
              </w:rPr>
              <w:t>施工过程中使用水泥、砂石、涂料、铺装材料等易产生扬尘的建筑材料，</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采取下列措施：</w:t>
            </w:r>
            <w:r>
              <w:rPr>
                <w:rFonts w:hint="default" w:ascii="Times New Roman" w:hAnsi="Times New Roman" w:cs="Times New Roman"/>
                <w:color w:val="auto"/>
                <w:spacing w:val="0"/>
                <w:sz w:val="21"/>
                <w:szCs w:val="21"/>
                <w:lang w:val="en-US" w:eastAsia="zh-CN"/>
              </w:rPr>
              <w:t>①</w:t>
            </w:r>
            <w:r>
              <w:rPr>
                <w:rFonts w:hint="default" w:ascii="Times New Roman" w:hAnsi="Times New Roman" w:cs="Times New Roman"/>
                <w:color w:val="auto"/>
                <w:spacing w:val="0"/>
                <w:sz w:val="21"/>
                <w:szCs w:val="21"/>
                <w:lang w:eastAsia="zh-CN"/>
              </w:rPr>
              <w:t>密闭存储；</w:t>
            </w:r>
            <w:r>
              <w:rPr>
                <w:rFonts w:hint="default" w:ascii="Times New Roman" w:hAnsi="Times New Roman" w:cs="Times New Roman"/>
                <w:color w:val="auto"/>
                <w:spacing w:val="0"/>
                <w:sz w:val="21"/>
                <w:szCs w:val="21"/>
                <w:lang w:val="en-US" w:eastAsia="zh-CN"/>
              </w:rPr>
              <w:t>②厂界四周设置</w:t>
            </w:r>
            <w:r>
              <w:rPr>
                <w:rFonts w:hint="default" w:ascii="Times New Roman" w:hAnsi="Times New Roman" w:cs="Times New Roman"/>
                <w:color w:val="auto"/>
                <w:spacing w:val="0"/>
                <w:sz w:val="21"/>
                <w:szCs w:val="21"/>
                <w:lang w:eastAsia="zh-CN"/>
              </w:rPr>
              <w:t>堆砌围墙；</w:t>
            </w:r>
            <w:r>
              <w:rPr>
                <w:rFonts w:hint="default" w:ascii="Times New Roman" w:hAnsi="Times New Roman" w:cs="Times New Roman"/>
                <w:color w:val="auto"/>
                <w:spacing w:val="0"/>
                <w:sz w:val="21"/>
                <w:szCs w:val="21"/>
                <w:lang w:val="en-US" w:eastAsia="zh-CN"/>
              </w:rPr>
              <w:t>③主体工程</w:t>
            </w:r>
            <w:r>
              <w:rPr>
                <w:rFonts w:hint="default" w:ascii="Times New Roman" w:hAnsi="Times New Roman" w:cs="Times New Roman"/>
                <w:color w:val="auto"/>
                <w:spacing w:val="0"/>
                <w:sz w:val="21"/>
                <w:szCs w:val="21"/>
                <w:lang w:eastAsia="zh-CN"/>
              </w:rPr>
              <w:t>采用防尘布覆盖；</w:t>
            </w:r>
          </w:p>
          <w:p w14:paraId="6A9C8D0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4</w:t>
            </w:r>
            <w:r>
              <w:rPr>
                <w:rFonts w:hint="default" w:ascii="Times New Roman" w:hAnsi="Times New Roman" w:cs="Times New Roman"/>
                <w:color w:val="auto"/>
                <w:spacing w:val="0"/>
                <w:sz w:val="21"/>
                <w:szCs w:val="21"/>
                <w:lang w:eastAsia="zh-CN"/>
              </w:rPr>
              <w:t>）进出工地的物料、渣土、垃圾运输车辆，采用密闭车斗，并保证物料不遗撒外漏，</w:t>
            </w:r>
            <w:r>
              <w:rPr>
                <w:rFonts w:hint="default" w:ascii="Times New Roman" w:hAnsi="Times New Roman" w:cs="Times New Roman"/>
                <w:color w:val="auto"/>
                <w:spacing w:val="0"/>
                <w:sz w:val="21"/>
                <w:szCs w:val="21"/>
                <w:lang w:val="en-US" w:eastAsia="zh-CN"/>
              </w:rPr>
              <w:t>设置车辆清洗池</w:t>
            </w:r>
            <w:r>
              <w:rPr>
                <w:rFonts w:hint="default"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保证了</w:t>
            </w:r>
            <w:r>
              <w:rPr>
                <w:rFonts w:hint="default" w:ascii="Times New Roman" w:hAnsi="Times New Roman" w:cs="Times New Roman"/>
                <w:color w:val="auto"/>
                <w:spacing w:val="0"/>
                <w:sz w:val="21"/>
                <w:szCs w:val="21"/>
                <w:lang w:eastAsia="zh-CN"/>
              </w:rPr>
              <w:t>车辆不带泥土驶出工地；</w:t>
            </w:r>
          </w:p>
          <w:p w14:paraId="25DEFD3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5</w:t>
            </w:r>
            <w:r>
              <w:rPr>
                <w:rFonts w:hint="default" w:ascii="Times New Roman" w:hAnsi="Times New Roman" w:cs="Times New Roman"/>
                <w:color w:val="auto"/>
                <w:spacing w:val="0"/>
                <w:sz w:val="21"/>
                <w:szCs w:val="21"/>
                <w:lang w:eastAsia="zh-CN"/>
              </w:rPr>
              <w:t>）当施工过程中遇到干燥、易起尘的工程作业时，应洒水抑尘，尽量缩短起尘操作时间，遇到风力较大天气时应停止作业。</w:t>
            </w:r>
          </w:p>
          <w:p w14:paraId="176EEA1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6</w:t>
            </w:r>
            <w:r>
              <w:rPr>
                <w:rFonts w:hint="default"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后期</w:t>
            </w:r>
            <w:r>
              <w:rPr>
                <w:rFonts w:hint="default" w:ascii="Times New Roman" w:hAnsi="Times New Roman" w:cs="Times New Roman"/>
                <w:color w:val="auto"/>
                <w:spacing w:val="0"/>
                <w:sz w:val="21"/>
                <w:szCs w:val="21"/>
                <w:lang w:eastAsia="zh-CN"/>
              </w:rPr>
              <w:t>施工期间的工地内及出口处铺设钢板、水泥混凝土、细石等，并配以洒水、道路清扫等措施保证路面清洁，减少车辆行驶过程的道路扬尘。</w:t>
            </w:r>
          </w:p>
          <w:p w14:paraId="2B631AB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7</w:t>
            </w:r>
            <w:r>
              <w:rPr>
                <w:rFonts w:hint="default" w:ascii="Times New Roman" w:hAnsi="Times New Roman" w:cs="Times New Roman"/>
                <w:color w:val="auto"/>
                <w:spacing w:val="0"/>
                <w:sz w:val="21"/>
                <w:szCs w:val="21"/>
                <w:lang w:eastAsia="zh-CN"/>
              </w:rPr>
              <w:t>）施工物料运输车辆必须按照交通部门核准的运输路线和时间运行，本项目建设单位有责任对运输车辆的线路进行监督，不得图便利自行选择其他线路。</w:t>
            </w:r>
          </w:p>
        </w:tc>
      </w:tr>
      <w:tr w14:paraId="085A8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6" w:hRule="atLeast"/>
        </w:trPr>
        <w:tc>
          <w:tcPr>
            <w:tcW w:w="1307" w:type="dxa"/>
            <w:vMerge w:val="continue"/>
            <w:vAlign w:val="top"/>
          </w:tcPr>
          <w:p w14:paraId="77559449">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5994DCA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噪声</w:t>
            </w:r>
          </w:p>
        </w:tc>
        <w:tc>
          <w:tcPr>
            <w:tcW w:w="11519" w:type="dxa"/>
            <w:vAlign w:val="top"/>
          </w:tcPr>
          <w:p w14:paraId="0764510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val="en-US" w:eastAsia="zh-CN"/>
              </w:rPr>
            </w:pPr>
            <w:r>
              <w:rPr>
                <w:rFonts w:hint="default" w:ascii="Times New Roman" w:hAnsi="Times New Roman" w:cs="Times New Roman"/>
                <w:color w:val="auto"/>
                <w:spacing w:val="0"/>
                <w:sz w:val="21"/>
                <w:szCs w:val="21"/>
                <w:lang w:val="en-US" w:eastAsia="zh-CN"/>
              </w:rPr>
              <w:t>（1）</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val="en-US" w:eastAsia="zh-CN"/>
              </w:rPr>
              <w:t>合理布局施工现场，</w:t>
            </w:r>
            <w:r>
              <w:rPr>
                <w:rFonts w:hint="eastAsia" w:ascii="Times New Roman" w:hAnsi="Times New Roman" w:cs="Times New Roman"/>
                <w:color w:val="auto"/>
                <w:spacing w:val="0"/>
                <w:sz w:val="21"/>
                <w:szCs w:val="21"/>
                <w:lang w:val="en-US" w:eastAsia="zh-CN"/>
              </w:rPr>
              <w:t>不</w:t>
            </w:r>
            <w:r>
              <w:rPr>
                <w:rFonts w:hint="default" w:ascii="Times New Roman" w:hAnsi="Times New Roman" w:cs="Times New Roman"/>
                <w:color w:val="auto"/>
                <w:spacing w:val="0"/>
                <w:sz w:val="21"/>
                <w:szCs w:val="21"/>
                <w:lang w:val="en-US" w:eastAsia="zh-CN"/>
              </w:rPr>
              <w:t>在同一地点安排大量动力机械设备，</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val="en-US" w:eastAsia="zh-CN"/>
              </w:rPr>
              <w:t>将高噪声级机械置于地块较中间的位置；</w:t>
            </w:r>
          </w:p>
          <w:p w14:paraId="2AFC764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val="en-US" w:eastAsia="zh-CN"/>
              </w:rPr>
            </w:pPr>
            <w:r>
              <w:rPr>
                <w:rFonts w:hint="default" w:ascii="Times New Roman" w:hAnsi="Times New Roman" w:cs="Times New Roman"/>
                <w:color w:val="auto"/>
                <w:spacing w:val="0"/>
                <w:sz w:val="21"/>
                <w:szCs w:val="21"/>
                <w:lang w:val="en-US" w:eastAsia="zh-CN"/>
              </w:rPr>
              <w:t>（2）</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val="en-US" w:eastAsia="zh-CN"/>
              </w:rPr>
              <w:t>合理安排施工时间，制定施工计划时，</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val="en-US" w:eastAsia="zh-CN"/>
              </w:rPr>
              <w:t>避免高噪声设备同时施工；</w:t>
            </w:r>
            <w:r>
              <w:rPr>
                <w:rFonts w:hint="eastAsia" w:ascii="Times New Roman" w:hAnsi="Times New Roman" w:cs="Times New Roman"/>
                <w:color w:val="auto"/>
                <w:spacing w:val="0"/>
                <w:sz w:val="21"/>
                <w:szCs w:val="21"/>
                <w:lang w:val="en-US" w:eastAsia="zh-CN"/>
              </w:rPr>
              <w:t>未在夜间进行过施工</w:t>
            </w:r>
            <w:r>
              <w:rPr>
                <w:rFonts w:hint="default" w:ascii="Times New Roman" w:hAnsi="Times New Roman" w:cs="Times New Roman"/>
                <w:color w:val="auto"/>
                <w:spacing w:val="0"/>
                <w:sz w:val="21"/>
                <w:szCs w:val="21"/>
                <w:lang w:val="en-US" w:eastAsia="zh-CN"/>
              </w:rPr>
              <w:t>；</w:t>
            </w:r>
          </w:p>
          <w:p w14:paraId="0EFAB7B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val="en-US" w:eastAsia="zh-CN"/>
              </w:rPr>
            </w:pPr>
            <w:r>
              <w:rPr>
                <w:rFonts w:hint="default" w:ascii="Times New Roman" w:hAnsi="Times New Roman" w:cs="Times New Roman"/>
                <w:color w:val="auto"/>
                <w:spacing w:val="0"/>
                <w:sz w:val="21"/>
                <w:szCs w:val="21"/>
                <w:lang w:val="en-US" w:eastAsia="zh-CN"/>
              </w:rPr>
              <w:t>（3）施工机械选型时</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val="en-US" w:eastAsia="zh-CN"/>
              </w:rPr>
              <w:t>选用低噪声的设备，</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val="en-US" w:eastAsia="zh-CN"/>
              </w:rPr>
              <w:t>对动力机械设备进行定期维修、养护，</w:t>
            </w:r>
            <w:r>
              <w:rPr>
                <w:rFonts w:hint="eastAsia" w:ascii="Times New Roman" w:hAnsi="Times New Roman" w:cs="Times New Roman"/>
                <w:color w:val="auto"/>
                <w:spacing w:val="0"/>
                <w:sz w:val="21"/>
                <w:szCs w:val="21"/>
                <w:lang w:val="en-US" w:eastAsia="zh-CN"/>
              </w:rPr>
              <w:t>在</w:t>
            </w:r>
            <w:r>
              <w:rPr>
                <w:rFonts w:hint="default" w:ascii="Times New Roman" w:hAnsi="Times New Roman" w:cs="Times New Roman"/>
                <w:color w:val="auto"/>
                <w:spacing w:val="0"/>
                <w:sz w:val="21"/>
                <w:szCs w:val="21"/>
                <w:lang w:val="en-US" w:eastAsia="zh-CN"/>
              </w:rPr>
              <w:t>设备用完后或不用时</w:t>
            </w:r>
            <w:r>
              <w:rPr>
                <w:rFonts w:hint="eastAsia" w:ascii="Times New Roman" w:hAnsi="Times New Roman" w:cs="Times New Roman"/>
                <w:color w:val="auto"/>
                <w:spacing w:val="0"/>
                <w:sz w:val="21"/>
                <w:szCs w:val="21"/>
                <w:lang w:val="en-US" w:eastAsia="zh-CN"/>
              </w:rPr>
              <w:t>已采取</w:t>
            </w:r>
            <w:r>
              <w:rPr>
                <w:rFonts w:hint="default" w:ascii="Times New Roman" w:hAnsi="Times New Roman" w:cs="Times New Roman"/>
                <w:color w:val="auto"/>
                <w:spacing w:val="0"/>
                <w:sz w:val="21"/>
                <w:szCs w:val="21"/>
                <w:lang w:val="en-US" w:eastAsia="zh-CN"/>
              </w:rPr>
              <w:t>立即关闭</w:t>
            </w:r>
            <w:r>
              <w:rPr>
                <w:rFonts w:hint="eastAsia" w:ascii="Times New Roman" w:hAnsi="Times New Roman" w:cs="Times New Roman"/>
                <w:color w:val="auto"/>
                <w:spacing w:val="0"/>
                <w:sz w:val="21"/>
                <w:szCs w:val="21"/>
                <w:lang w:val="en-US" w:eastAsia="zh-CN"/>
              </w:rPr>
              <w:t>的措施</w:t>
            </w:r>
            <w:r>
              <w:rPr>
                <w:rFonts w:hint="default" w:ascii="Times New Roman" w:hAnsi="Times New Roman" w:cs="Times New Roman"/>
                <w:color w:val="auto"/>
                <w:spacing w:val="0"/>
                <w:sz w:val="21"/>
                <w:szCs w:val="21"/>
                <w:lang w:val="en-US" w:eastAsia="zh-CN"/>
              </w:rPr>
              <w:t>；</w:t>
            </w:r>
          </w:p>
          <w:p w14:paraId="178DCB8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要</w:t>
            </w:r>
            <w:r>
              <w:rPr>
                <w:rFonts w:hint="default" w:ascii="Times New Roman" w:hAnsi="Times New Roman" w:cs="Times New Roman"/>
                <w:color w:val="auto"/>
                <w:spacing w:val="0"/>
                <w:sz w:val="21"/>
                <w:szCs w:val="21"/>
                <w:lang w:val="en-US" w:eastAsia="zh-CN"/>
              </w:rPr>
              <w:t>加强施工机械的维护保养，避免由于设备性能差而使机械噪声增大的现象发生。</w:t>
            </w:r>
          </w:p>
          <w:p w14:paraId="09363CC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val="en-US" w:eastAsia="zh-CN"/>
              </w:rPr>
            </w:pPr>
            <w:r>
              <w:rPr>
                <w:rFonts w:hint="default" w:ascii="Times New Roman" w:hAnsi="Times New Roman" w:cs="Times New Roman"/>
                <w:color w:val="auto"/>
                <w:spacing w:val="0"/>
                <w:sz w:val="21"/>
                <w:szCs w:val="21"/>
                <w:lang w:val="en-US" w:eastAsia="zh-CN"/>
              </w:rPr>
              <w:t>运输车辆进入现场应减速、减少鸣笛等。</w:t>
            </w:r>
          </w:p>
        </w:tc>
      </w:tr>
      <w:tr w14:paraId="5BB6E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1307" w:type="dxa"/>
            <w:vMerge w:val="continue"/>
            <w:vAlign w:val="top"/>
          </w:tcPr>
          <w:p w14:paraId="613FBFD7">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182569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振动</w:t>
            </w:r>
          </w:p>
        </w:tc>
        <w:tc>
          <w:tcPr>
            <w:tcW w:w="11519" w:type="dxa"/>
            <w:vAlign w:val="top"/>
          </w:tcPr>
          <w:p w14:paraId="59C1E46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1</w:t>
            </w:r>
            <w:r>
              <w:rPr>
                <w:rFonts w:hint="eastAsia"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在保证施工进度的前提下，合理安排</w:t>
            </w:r>
            <w:r>
              <w:rPr>
                <w:rFonts w:hint="eastAsia" w:ascii="Times New Roman" w:hAnsi="Times New Roman" w:cs="Times New Roman"/>
                <w:color w:val="auto"/>
                <w:spacing w:val="0"/>
                <w:sz w:val="21"/>
                <w:szCs w:val="21"/>
                <w:lang w:val="en-US" w:eastAsia="zh-CN"/>
              </w:rPr>
              <w:t>了</w:t>
            </w:r>
            <w:r>
              <w:rPr>
                <w:rFonts w:hint="default" w:ascii="Times New Roman" w:hAnsi="Times New Roman" w:cs="Times New Roman"/>
                <w:color w:val="auto"/>
                <w:spacing w:val="0"/>
                <w:sz w:val="21"/>
                <w:szCs w:val="21"/>
                <w:lang w:eastAsia="zh-CN"/>
              </w:rPr>
              <w:t>施工作业时间。</w:t>
            </w:r>
            <w:r>
              <w:rPr>
                <w:rFonts w:hint="eastAsia" w:ascii="Times New Roman" w:hAnsi="Times New Roman" w:cs="Times New Roman"/>
                <w:color w:val="auto"/>
                <w:spacing w:val="0"/>
                <w:sz w:val="21"/>
                <w:szCs w:val="21"/>
                <w:lang w:val="en-US" w:eastAsia="zh-CN"/>
              </w:rPr>
              <w:t>已对</w:t>
            </w:r>
            <w:r>
              <w:rPr>
                <w:rFonts w:hint="default" w:ascii="Times New Roman" w:hAnsi="Times New Roman" w:cs="Times New Roman"/>
                <w:color w:val="auto"/>
                <w:spacing w:val="0"/>
                <w:sz w:val="21"/>
                <w:szCs w:val="21"/>
                <w:lang w:eastAsia="zh-CN"/>
              </w:rPr>
              <w:t>施工人员的环境保护意识</w:t>
            </w:r>
            <w:r>
              <w:rPr>
                <w:rFonts w:hint="eastAsia" w:ascii="Times New Roman" w:hAnsi="Times New Roman" w:cs="Times New Roman"/>
                <w:color w:val="auto"/>
                <w:spacing w:val="0"/>
                <w:sz w:val="21"/>
                <w:szCs w:val="21"/>
                <w:lang w:val="en-US" w:eastAsia="zh-CN"/>
              </w:rPr>
              <w:t>进行了</w:t>
            </w:r>
            <w:r>
              <w:rPr>
                <w:rFonts w:hint="default" w:ascii="Times New Roman" w:hAnsi="Times New Roman" w:cs="Times New Roman"/>
                <w:color w:val="auto"/>
                <w:spacing w:val="0"/>
                <w:sz w:val="21"/>
                <w:szCs w:val="21"/>
                <w:lang w:eastAsia="zh-CN"/>
              </w:rPr>
              <w:t>教育。</w:t>
            </w:r>
          </w:p>
          <w:p w14:paraId="3279FE5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2</w:t>
            </w:r>
            <w:r>
              <w:rPr>
                <w:rFonts w:hint="eastAsia" w:ascii="Times New Roman" w:hAnsi="Times New Roman" w:cs="Times New Roman"/>
                <w:color w:val="auto"/>
                <w:spacing w:val="0"/>
                <w:sz w:val="21"/>
                <w:szCs w:val="21"/>
                <w:lang w:eastAsia="zh-CN"/>
              </w:rPr>
              <w:t>）</w:t>
            </w:r>
            <w:r>
              <w:rPr>
                <w:rFonts w:hint="default" w:ascii="Times New Roman" w:hAnsi="Times New Roman" w:cs="Times New Roman"/>
                <w:color w:val="auto"/>
                <w:spacing w:val="0"/>
                <w:sz w:val="21"/>
                <w:szCs w:val="21"/>
                <w:lang w:eastAsia="zh-CN"/>
              </w:rPr>
              <w:t>施工单位</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对打桩机类的强振动施工机械的使用加强</w:t>
            </w:r>
            <w:r>
              <w:rPr>
                <w:rFonts w:hint="eastAsia" w:ascii="Times New Roman" w:hAnsi="Times New Roman" w:cs="Times New Roman"/>
                <w:color w:val="auto"/>
                <w:spacing w:val="0"/>
                <w:sz w:val="21"/>
                <w:szCs w:val="21"/>
                <w:lang w:val="en-US" w:eastAsia="zh-CN"/>
              </w:rPr>
              <w:t>了</w:t>
            </w:r>
            <w:r>
              <w:rPr>
                <w:rFonts w:hint="default" w:ascii="Times New Roman" w:hAnsi="Times New Roman" w:cs="Times New Roman"/>
                <w:color w:val="auto"/>
                <w:spacing w:val="0"/>
                <w:sz w:val="21"/>
                <w:szCs w:val="21"/>
                <w:lang w:eastAsia="zh-CN"/>
              </w:rPr>
              <w:t>控制和管理，同时施工中各种振动性作业</w:t>
            </w:r>
            <w:r>
              <w:rPr>
                <w:rFonts w:hint="eastAsia" w:ascii="Times New Roman" w:hAnsi="Times New Roman" w:cs="Times New Roman"/>
                <w:color w:val="auto"/>
                <w:spacing w:val="0"/>
                <w:sz w:val="21"/>
                <w:szCs w:val="21"/>
                <w:lang w:val="en-US" w:eastAsia="zh-CN"/>
              </w:rPr>
              <w:t>到做到了</w:t>
            </w:r>
            <w:r>
              <w:rPr>
                <w:rFonts w:hint="default" w:ascii="Times New Roman" w:hAnsi="Times New Roman" w:cs="Times New Roman"/>
                <w:color w:val="auto"/>
                <w:spacing w:val="0"/>
                <w:sz w:val="21"/>
                <w:szCs w:val="21"/>
                <w:lang w:eastAsia="zh-CN"/>
              </w:rPr>
              <w:t>在昼间进行。在建筑结构较差的房屋附近施工时，</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使用低振动设备。</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对强振动施工机械要加强控制和管理。</w:t>
            </w:r>
          </w:p>
        </w:tc>
      </w:tr>
      <w:tr w14:paraId="7F83B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1307" w:type="dxa"/>
            <w:vMerge w:val="continue"/>
            <w:vAlign w:val="top"/>
          </w:tcPr>
          <w:p w14:paraId="29158988">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0A94371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固废</w:t>
            </w:r>
          </w:p>
        </w:tc>
        <w:tc>
          <w:tcPr>
            <w:tcW w:w="11519" w:type="dxa"/>
            <w:vAlign w:val="top"/>
          </w:tcPr>
          <w:p w14:paraId="0F1FCA6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（1）</w:t>
            </w:r>
            <w:r>
              <w:rPr>
                <w:rFonts w:hint="default" w:ascii="Times New Roman" w:hAnsi="Times New Roman" w:cs="Times New Roman"/>
                <w:color w:val="auto"/>
                <w:spacing w:val="0"/>
                <w:sz w:val="21"/>
                <w:szCs w:val="21"/>
                <w:lang w:val="en-US" w:eastAsia="zh-CN"/>
              </w:rPr>
              <w:t>已在</w:t>
            </w:r>
            <w:r>
              <w:rPr>
                <w:rFonts w:hint="default" w:ascii="Times New Roman" w:hAnsi="Times New Roman" w:cs="Times New Roman"/>
                <w:color w:val="auto"/>
                <w:spacing w:val="0"/>
                <w:sz w:val="21"/>
                <w:szCs w:val="21"/>
                <w:lang w:eastAsia="zh-CN"/>
              </w:rPr>
              <w:t>施工营地设置</w:t>
            </w:r>
            <w:r>
              <w:rPr>
                <w:rFonts w:hint="default" w:ascii="Times New Roman" w:hAnsi="Times New Roman" w:cs="Times New Roman"/>
                <w:color w:val="auto"/>
                <w:spacing w:val="0"/>
                <w:sz w:val="21"/>
                <w:szCs w:val="21"/>
                <w:lang w:val="en-US" w:eastAsia="zh-CN"/>
              </w:rPr>
              <w:t>了4个</w:t>
            </w:r>
            <w:r>
              <w:rPr>
                <w:rFonts w:hint="default" w:ascii="Times New Roman" w:hAnsi="Times New Roman" w:cs="Times New Roman"/>
                <w:color w:val="auto"/>
                <w:spacing w:val="0"/>
                <w:sz w:val="21"/>
                <w:szCs w:val="21"/>
                <w:lang w:eastAsia="zh-CN"/>
              </w:rPr>
              <w:t>垃圾桶，施工期间产生的生活垃圾经垃圾桶收集后，运往</w:t>
            </w:r>
            <w:r>
              <w:rPr>
                <w:rFonts w:hint="eastAsia" w:ascii="Times New Roman" w:hAnsi="Times New Roman" w:cs="Times New Roman"/>
                <w:color w:val="auto"/>
                <w:spacing w:val="0"/>
                <w:sz w:val="21"/>
                <w:szCs w:val="21"/>
                <w:lang w:val="en-US" w:eastAsia="zh-CN"/>
              </w:rPr>
              <w:t>了</w:t>
            </w:r>
            <w:r>
              <w:rPr>
                <w:rFonts w:hint="default" w:ascii="Times New Roman" w:hAnsi="Times New Roman" w:cs="Times New Roman"/>
                <w:color w:val="auto"/>
                <w:spacing w:val="0"/>
                <w:sz w:val="21"/>
                <w:szCs w:val="21"/>
                <w:lang w:eastAsia="zh-CN"/>
              </w:rPr>
              <w:t>园区环卫部门指定地点，交由</w:t>
            </w:r>
            <w:r>
              <w:rPr>
                <w:rFonts w:hint="eastAsia" w:ascii="Times New Roman" w:hAnsi="Times New Roman" w:cs="Times New Roman"/>
                <w:color w:val="auto"/>
                <w:spacing w:val="0"/>
                <w:sz w:val="21"/>
                <w:szCs w:val="21"/>
                <w:lang w:val="en-US" w:eastAsia="zh-CN"/>
              </w:rPr>
              <w:t>了</w:t>
            </w:r>
            <w:r>
              <w:rPr>
                <w:rFonts w:hint="default" w:ascii="Times New Roman" w:hAnsi="Times New Roman" w:cs="Times New Roman"/>
                <w:color w:val="auto"/>
                <w:spacing w:val="0"/>
                <w:sz w:val="21"/>
                <w:szCs w:val="21"/>
                <w:lang w:eastAsia="zh-CN"/>
              </w:rPr>
              <w:t>环卫部门统一处置；</w:t>
            </w:r>
          </w:p>
          <w:p w14:paraId="70F9717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（2）建筑垃圾分类收集后</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外售给废品回收站，不可利用</w:t>
            </w:r>
            <w:r>
              <w:rPr>
                <w:rFonts w:hint="eastAsia" w:ascii="Times New Roman" w:hAnsi="Times New Roman" w:cs="Times New Roman"/>
                <w:color w:val="auto"/>
                <w:spacing w:val="0"/>
                <w:sz w:val="21"/>
                <w:szCs w:val="21"/>
                <w:lang w:val="en-US" w:eastAsia="zh-CN"/>
              </w:rPr>
              <w:t>的</w:t>
            </w:r>
            <w:r>
              <w:rPr>
                <w:rFonts w:hint="default" w:ascii="Times New Roman" w:hAnsi="Times New Roman" w:cs="Times New Roman"/>
                <w:color w:val="auto"/>
                <w:spacing w:val="0"/>
                <w:sz w:val="21"/>
                <w:szCs w:val="21"/>
                <w:lang w:eastAsia="zh-CN"/>
              </w:rPr>
              <w:t>部分</w:t>
            </w:r>
            <w:r>
              <w:rPr>
                <w:rFonts w:hint="eastAsia"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清运至</w:t>
            </w:r>
            <w:r>
              <w:rPr>
                <w:rFonts w:hint="default" w:ascii="Times New Roman" w:hAnsi="Times New Roman" w:cs="Times New Roman"/>
                <w:color w:val="auto"/>
                <w:spacing w:val="0"/>
                <w:sz w:val="21"/>
                <w:szCs w:val="21"/>
                <w:lang w:val="en-US" w:eastAsia="zh-CN"/>
              </w:rPr>
              <w:t>园区</w:t>
            </w:r>
            <w:r>
              <w:rPr>
                <w:rFonts w:hint="default" w:ascii="Times New Roman" w:hAnsi="Times New Roman" w:cs="Times New Roman"/>
                <w:color w:val="auto"/>
                <w:spacing w:val="0"/>
                <w:sz w:val="21"/>
                <w:szCs w:val="21"/>
                <w:lang w:eastAsia="zh-CN"/>
              </w:rPr>
              <w:t>指定地点处置。</w:t>
            </w:r>
          </w:p>
          <w:p w14:paraId="17779D6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（3）施工开挖产生的土石方</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全部回填，无弃方产生。</w:t>
            </w:r>
          </w:p>
        </w:tc>
      </w:tr>
      <w:tr w14:paraId="5EAE0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7" w:hRule="atLeast"/>
        </w:trPr>
        <w:tc>
          <w:tcPr>
            <w:tcW w:w="1307" w:type="dxa"/>
            <w:vMerge w:val="continue"/>
            <w:vAlign w:val="top"/>
          </w:tcPr>
          <w:p w14:paraId="69E7F56F">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47C17C6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生态</w:t>
            </w:r>
          </w:p>
        </w:tc>
        <w:tc>
          <w:tcPr>
            <w:tcW w:w="11519" w:type="dxa"/>
            <w:vAlign w:val="top"/>
          </w:tcPr>
          <w:p w14:paraId="7FAF64E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val="en-US" w:eastAsia="zh-CN"/>
              </w:rPr>
              <w:t>1</w:t>
            </w:r>
            <w:r>
              <w:rPr>
                <w:rFonts w:hint="default" w:ascii="Times New Roman" w:hAnsi="Times New Roman" w:cs="Times New Roman"/>
                <w:color w:val="auto"/>
                <w:spacing w:val="0"/>
                <w:sz w:val="21"/>
                <w:szCs w:val="21"/>
                <w:lang w:eastAsia="zh-CN"/>
              </w:rPr>
              <w:t>、陆生生态环境的保护措施</w:t>
            </w:r>
          </w:p>
          <w:p w14:paraId="100F8A8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val="en-US" w:eastAsia="zh-CN"/>
              </w:rPr>
              <w:t>（</w:t>
            </w:r>
            <w:r>
              <w:rPr>
                <w:rFonts w:hint="default" w:ascii="Times New Roman" w:hAnsi="Times New Roman" w:cs="Times New Roman"/>
                <w:color w:val="auto"/>
                <w:spacing w:val="0"/>
                <w:sz w:val="21"/>
                <w:szCs w:val="21"/>
                <w:lang w:eastAsia="zh-CN"/>
              </w:rPr>
              <w:t>（1）植被植物保护措施</w:t>
            </w:r>
          </w:p>
          <w:p w14:paraId="5B56695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1）</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加强施工管理和环境宣传教育，</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对施工人员进行环境教育及有关法律法规的宣传教育及培训。</w:t>
            </w:r>
          </w:p>
          <w:p w14:paraId="1C322ED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val="en-US" w:eastAsia="zh-CN"/>
              </w:rPr>
              <w:t>2</w:t>
            </w:r>
            <w:r>
              <w:rPr>
                <w:rFonts w:hint="default" w:ascii="Times New Roman" w:hAnsi="Times New Roman" w:cs="Times New Roman"/>
                <w:color w:val="auto"/>
                <w:spacing w:val="0"/>
                <w:sz w:val="21"/>
                <w:szCs w:val="21"/>
                <w:lang w:eastAsia="zh-CN"/>
              </w:rPr>
              <w:t>）</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严格施工区烟火管理，相关部门和管理单位要建立防火、火警警报管理制度，</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做好施工人员用火管理。</w:t>
            </w:r>
          </w:p>
          <w:p w14:paraId="255F50D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default" w:ascii="Times New Roman" w:hAnsi="Times New Roman" w:cs="Times New Roman"/>
                <w:color w:val="auto"/>
                <w:spacing w:val="0"/>
                <w:sz w:val="21"/>
                <w:szCs w:val="21"/>
                <w:lang w:eastAsia="zh-CN"/>
              </w:rPr>
              <w:t>（2）动物保护措施</w:t>
            </w:r>
          </w:p>
          <w:p w14:paraId="1AFED07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val="en-US" w:eastAsia="zh-CN"/>
              </w:rPr>
              <w:t>1</w:t>
            </w:r>
            <w:r>
              <w:rPr>
                <w:rFonts w:hint="default" w:ascii="Times New Roman" w:hAnsi="Times New Roman" w:cs="Times New Roman"/>
                <w:color w:val="auto"/>
                <w:spacing w:val="0"/>
                <w:sz w:val="21"/>
                <w:szCs w:val="21"/>
                <w:lang w:eastAsia="zh-CN"/>
              </w:rPr>
              <w:t>）</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加强施工人员管理。</w:t>
            </w:r>
          </w:p>
          <w:p w14:paraId="18C54FB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val="en-US" w:eastAsia="zh-CN"/>
              </w:rPr>
              <w:t>2</w:t>
            </w:r>
            <w:r>
              <w:rPr>
                <w:rFonts w:hint="default" w:ascii="Times New Roman" w:hAnsi="Times New Roman" w:cs="Times New Roman"/>
                <w:color w:val="auto"/>
                <w:spacing w:val="0"/>
                <w:sz w:val="21"/>
                <w:szCs w:val="21"/>
                <w:lang w:eastAsia="zh-CN"/>
              </w:rPr>
              <w:t>）</w:t>
            </w:r>
            <w:r>
              <w:rPr>
                <w:rFonts w:hint="default" w:ascii="Times New Roman" w:hAnsi="Times New Roman" w:cs="Times New Roman"/>
                <w:color w:val="auto"/>
                <w:spacing w:val="0"/>
                <w:sz w:val="21"/>
                <w:szCs w:val="21"/>
                <w:lang w:val="en-US" w:eastAsia="zh-CN"/>
              </w:rPr>
              <w:t>已</w:t>
            </w:r>
            <w:r>
              <w:rPr>
                <w:rFonts w:hint="default" w:ascii="Times New Roman" w:hAnsi="Times New Roman" w:cs="Times New Roman"/>
                <w:color w:val="auto"/>
                <w:spacing w:val="0"/>
                <w:sz w:val="21"/>
                <w:szCs w:val="21"/>
                <w:lang w:eastAsia="zh-CN"/>
              </w:rPr>
              <w:t>合理安排施工工序、施工机械，严格按照</w:t>
            </w:r>
            <w:r>
              <w:rPr>
                <w:rFonts w:hint="eastAsia" w:ascii="Times New Roman" w:hAnsi="Times New Roman" w:cs="Times New Roman"/>
                <w:color w:val="auto"/>
                <w:spacing w:val="0"/>
                <w:sz w:val="21"/>
                <w:szCs w:val="21"/>
                <w:lang w:val="en-US" w:eastAsia="zh-CN"/>
              </w:rPr>
              <w:t>了</w:t>
            </w:r>
            <w:r>
              <w:rPr>
                <w:rFonts w:hint="default" w:ascii="Times New Roman" w:hAnsi="Times New Roman" w:cs="Times New Roman"/>
                <w:color w:val="auto"/>
                <w:spacing w:val="0"/>
                <w:sz w:val="21"/>
                <w:szCs w:val="21"/>
                <w:lang w:eastAsia="zh-CN"/>
              </w:rPr>
              <w:t>施工规范进行操作。</w:t>
            </w:r>
          </w:p>
          <w:p w14:paraId="1221C01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val="en-US" w:eastAsia="zh-CN"/>
              </w:rPr>
              <w:t>2</w:t>
            </w:r>
            <w:r>
              <w:rPr>
                <w:rFonts w:hint="default" w:ascii="Times New Roman" w:hAnsi="Times New Roman" w:cs="Times New Roman"/>
                <w:color w:val="auto"/>
                <w:spacing w:val="0"/>
                <w:sz w:val="21"/>
                <w:szCs w:val="21"/>
                <w:lang w:eastAsia="zh-CN"/>
              </w:rPr>
              <w:t>、水土流失保护措施</w:t>
            </w:r>
          </w:p>
          <w:p w14:paraId="57FF680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eastAsia" w:ascii="Times New Roman" w:hAnsi="Times New Roman"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①堆场及道路硬化了约6.2万m²水泥地面；</w:t>
            </w:r>
          </w:p>
          <w:p w14:paraId="64AE1AC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eastAsia" w:ascii="Times New Roman" w:hAnsi="Times New Roman"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②沿堆场及道路周边设置了总长约1200m的排水沟，采用了钢筋混凝土矩形断面，尺寸0.6m×0.6m，有效收集和排放了场地雨水。</w:t>
            </w:r>
          </w:p>
          <w:p w14:paraId="4223D89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eastAsia" w:ascii="Times New Roman" w:hAnsi="Times New Roman"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③针对项目临近东干渠的区位特点，在排水沟末端增设了两级串联沉砂池，每级沉砂池尺寸为6m×3m×1.8m，前端设置孔径5cm的拦污栅，末端设置溢流式出水堰，沉砂池内泥沙淤积厚度达到30cm时及时清掏，确保雨水经沉淀处理后再排入下游水体，避免了泥沙进入东干渠。</w:t>
            </w:r>
          </w:p>
          <w:p w14:paraId="03525EE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color w:val="auto"/>
                <w:spacing w:val="0"/>
                <w:sz w:val="21"/>
                <w:szCs w:val="21"/>
                <w:lang w:eastAsia="zh-CN"/>
              </w:rPr>
            </w:pPr>
            <w:r>
              <w:rPr>
                <w:rFonts w:hint="eastAsia" w:ascii="Times New Roman" w:hAnsi="Times New Roman" w:cs="Times New Roman"/>
                <w:color w:val="auto"/>
                <w:spacing w:val="0"/>
                <w:sz w:val="21"/>
                <w:szCs w:val="21"/>
                <w:lang w:val="en-US" w:eastAsia="zh-CN"/>
              </w:rPr>
              <w:t>⑤在项目出入口设置了车辆清洁池1座，尺寸为6m×4m，采用C20混凝土浇筑，配置高压冲洗设备1套，对出场车辆进行清洗，防止了车辆带泥上路，污染周边道路。</w:t>
            </w:r>
          </w:p>
        </w:tc>
      </w:tr>
      <w:tr w14:paraId="0B3F9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07" w:type="dxa"/>
            <w:vMerge w:val="restart"/>
            <w:vAlign w:val="center"/>
          </w:tcPr>
          <w:p w14:paraId="794E5BB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运营期</w:t>
            </w:r>
          </w:p>
        </w:tc>
        <w:tc>
          <w:tcPr>
            <w:tcW w:w="1015" w:type="dxa"/>
            <w:vAlign w:val="center"/>
          </w:tcPr>
          <w:p w14:paraId="45A1530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废水</w:t>
            </w:r>
          </w:p>
        </w:tc>
        <w:tc>
          <w:tcPr>
            <w:tcW w:w="11519" w:type="dxa"/>
            <w:vAlign w:val="top"/>
          </w:tcPr>
          <w:p w14:paraId="5F67485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①前15分钟雨水经雨水沟收集，排入项目区初期雨水收集池沉淀处理后回用于项目区绿化、洒水降尘，回用不完的由曲煤内部清运至铁路卸煤区洒水降尘；②生活废水排入化粪池处理后委托环卫部门清运处置。</w:t>
            </w:r>
          </w:p>
        </w:tc>
      </w:tr>
      <w:tr w14:paraId="1724B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1307" w:type="dxa"/>
            <w:vMerge w:val="continue"/>
            <w:vAlign w:val="center"/>
          </w:tcPr>
          <w:p w14:paraId="3DE135E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150ECC8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废气</w:t>
            </w:r>
          </w:p>
        </w:tc>
        <w:tc>
          <w:tcPr>
            <w:tcW w:w="11519" w:type="dxa"/>
            <w:vAlign w:val="top"/>
          </w:tcPr>
          <w:p w14:paraId="7731D78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（1）加强对设备及内燃机车车辆的维护，使之处于良好运行状态；</w:t>
            </w:r>
          </w:p>
          <w:p w14:paraId="40308C5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（2）货车采用经审核合格的燃油运输车辆，尾气污染物可达标排放，且项目装卸场地较为宽阔，经过自然通风、大气稀释扩散，绿化吸收后对周边环境影响较小；</w:t>
            </w:r>
          </w:p>
          <w:p w14:paraId="701D292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（3）运输道路晴天早、晚各洒水降尘 1 次，并由专人定期清扫道路。</w:t>
            </w:r>
          </w:p>
        </w:tc>
      </w:tr>
      <w:tr w14:paraId="3B649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1" w:hRule="atLeast"/>
        </w:trPr>
        <w:tc>
          <w:tcPr>
            <w:tcW w:w="1307" w:type="dxa"/>
            <w:vMerge w:val="continue"/>
            <w:vAlign w:val="center"/>
          </w:tcPr>
          <w:p w14:paraId="72DB5A5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12148AC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噪声</w:t>
            </w:r>
          </w:p>
        </w:tc>
        <w:tc>
          <w:tcPr>
            <w:tcW w:w="11519" w:type="dxa"/>
            <w:vAlign w:val="top"/>
          </w:tcPr>
          <w:p w14:paraId="048EA1F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一</w:t>
            </w:r>
            <w:r>
              <w:rPr>
                <w:rFonts w:hint="default" w:ascii="Times New Roman" w:hAnsi="Times New Roman" w:cs="Times New Roman" w:eastAsiaTheme="minorEastAsia"/>
                <w:color w:val="auto"/>
                <w:spacing w:val="0"/>
                <w:w w:val="100"/>
                <w:position w:val="0"/>
                <w:sz w:val="21"/>
                <w:szCs w:val="21"/>
              </w:rPr>
              <w:t>、铁路噪声污染防治建议</w:t>
            </w:r>
          </w:p>
          <w:p w14:paraId="7BBC17A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①采用安装强指向性风笛装置。</w:t>
            </w:r>
          </w:p>
          <w:p w14:paraId="41C9016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②严格控制鸣笛时长，尽量采用短鸣笛。</w:t>
            </w:r>
          </w:p>
          <w:p w14:paraId="56073D1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r>
              <w:rPr>
                <w:rFonts w:hint="eastAsia" w:ascii="Times New Roman" w:hAnsi="Times New Roman" w:cs="Times New Roman" w:eastAsiaTheme="minorEastAsia"/>
                <w:color w:val="auto"/>
                <w:spacing w:val="0"/>
                <w:w w:val="100"/>
                <w:position w:val="0"/>
                <w:sz w:val="21"/>
                <w:szCs w:val="21"/>
                <w:lang w:val="en-US" w:eastAsia="zh-CN"/>
              </w:rPr>
              <w:t>1</w:t>
            </w:r>
            <w:r>
              <w:rPr>
                <w:rFonts w:hint="default" w:ascii="Times New Roman" w:hAnsi="Times New Roman" w:cs="Times New Roman" w:eastAsiaTheme="minorEastAsia"/>
                <w:color w:val="auto"/>
                <w:spacing w:val="0"/>
                <w:w w:val="100"/>
                <w:position w:val="0"/>
                <w:sz w:val="21"/>
                <w:szCs w:val="21"/>
              </w:rPr>
              <w:t>）管理上控制噪声</w:t>
            </w:r>
          </w:p>
          <w:p w14:paraId="19159B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建议运营单位加强日常管理和保养，定期进行轨道打磨和旋轮等，使线路在较佳的线路条件下运行，降低噪声。运营期管理单位应加强对沿线敏感点的噪声监测，根据监测结果及时增补、完善措施。</w:t>
            </w:r>
          </w:p>
          <w:p w14:paraId="05010AC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本工程专用线位于其他地区，为普通货物列车，铁路线路安全保护区为线路路堤坡脚外侧起向外</w:t>
            </w:r>
            <w:r>
              <w:rPr>
                <w:rFonts w:hint="default" w:ascii="Times New Roman" w:hAnsi="Times New Roman" w:cs="Times New Roman" w:eastAsiaTheme="minorEastAsia"/>
                <w:color w:val="auto"/>
                <w:spacing w:val="0"/>
                <w:w w:val="100"/>
                <w:position w:val="0"/>
                <w:sz w:val="21"/>
                <w:szCs w:val="21"/>
                <w:lang w:val="en-US" w:eastAsia="zh-CN"/>
              </w:rPr>
              <w:t>15</w:t>
            </w:r>
            <w:r>
              <w:rPr>
                <w:rFonts w:hint="default" w:ascii="Times New Roman" w:hAnsi="Times New Roman" w:cs="Times New Roman" w:eastAsiaTheme="minorEastAsia"/>
                <w:color w:val="auto"/>
                <w:spacing w:val="0"/>
                <w:w w:val="100"/>
                <w:position w:val="0"/>
                <w:sz w:val="21"/>
                <w:szCs w:val="21"/>
              </w:rPr>
              <w:t>米。</w:t>
            </w:r>
          </w:p>
          <w:p w14:paraId="2231C5A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二、货物运输车辆噪声污染防治建议</w:t>
            </w:r>
          </w:p>
          <w:p w14:paraId="3EF3ACC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（1）合理规划运输时间，货物运输尽量安排在白天进行；</w:t>
            </w:r>
          </w:p>
          <w:p w14:paraId="2E616CC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（2）加强管理，严格限制进出项目区运输车辆的车速，严禁野蛮驾驶；</w:t>
            </w:r>
          </w:p>
        </w:tc>
      </w:tr>
      <w:tr w14:paraId="12EA0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9" w:hRule="atLeast"/>
        </w:trPr>
        <w:tc>
          <w:tcPr>
            <w:tcW w:w="1307" w:type="dxa"/>
            <w:vMerge w:val="continue"/>
            <w:vAlign w:val="top"/>
          </w:tcPr>
          <w:p w14:paraId="6C02BF76">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4D6EDE4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振动</w:t>
            </w:r>
          </w:p>
        </w:tc>
        <w:tc>
          <w:tcPr>
            <w:tcW w:w="11519" w:type="dxa"/>
            <w:vAlign w:val="top"/>
          </w:tcPr>
          <w:p w14:paraId="486B054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 、源强控制</w:t>
            </w:r>
          </w:p>
          <w:p w14:paraId="7F90ADD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线路维护保养减振措施：定期检测调整轨距、水平、高低、方向，消除轨面不平顺，曲线、道岔等重点区段加密检查；定期对钢轨进行打磨、焊补、修磨，消除波浪磨耗、接头错台等缺陷；及时清筛、捣固、夯拍道床，保持弹性与密实度，更换失效轨枕，保证轨下支承均匀，避免局部刚度突变；保证道岔密贴、滑床板平顺，道口铺面平整牢固，减少车辆通过时的冲击与颠簸振动。</w:t>
            </w:r>
          </w:p>
          <w:p w14:paraId="6BF89E7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车辆维护保养减振措施：严格控制车轮踏面磨耗、擦伤、不圆度等，定期镟修车轮恢复圆顺度，从源头减少振动激振源；定期检查、更换一系、二系弹簧、减振器及橡胶元件，保证悬挂弹性良好、阻尼匹配，衰减车体与转向架间的振动传递；保证制动平稳，避免制动冲击、抱死滑行损伤车轮。定期检查轴箱、轴承等部件，消除松动、偏磨等问题；专用线内严格按限速行驶，避免超速、急启、急停；货物装载均匀，防止偏载、偏重导致轮轨作用力不均。</w:t>
            </w:r>
          </w:p>
        </w:tc>
      </w:tr>
      <w:tr w14:paraId="52985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 w:hRule="atLeast"/>
        </w:trPr>
        <w:tc>
          <w:tcPr>
            <w:tcW w:w="1307" w:type="dxa"/>
            <w:vMerge w:val="continue"/>
            <w:vAlign w:val="top"/>
          </w:tcPr>
          <w:p w14:paraId="49A68D6B">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367AE36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地下水</w:t>
            </w:r>
          </w:p>
        </w:tc>
        <w:tc>
          <w:tcPr>
            <w:tcW w:w="11519" w:type="dxa"/>
            <w:vAlign w:val="top"/>
          </w:tcPr>
          <w:p w14:paraId="0490563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1、源头控制措施</w:t>
            </w:r>
          </w:p>
          <w:p w14:paraId="565C16F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采用先进的防渗材料、技术和实施手段，最大限度地强化防渗防污能力；加强对设备设施检查、维护，制定严格的检修标准、检修周期和考核标准，落实责任人，检查、维修人员要按照相关标准认真执行，定检后要验收，并做好记录；</w:t>
            </w:r>
          </w:p>
          <w:p w14:paraId="41F14AA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（2）做好重点污染防渗区的基础稳定性及防渗工作，严防初期雨水收集池及化粪池等一般防渗区底部发生不均匀沉降造成防渗膜破损造成地下水污染；</w:t>
            </w:r>
          </w:p>
          <w:p w14:paraId="5EEDE90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本项目区所在区域主要含水层地下水位埋深相对较深，人工杂填土夯填层厚度分布不均，项目建设过程中除做好分区防渗工作外，开挖边坡和基坑应及时回填，如基岩裸露无法避免应对裸露部分实施工程防渗。</w:t>
            </w:r>
          </w:p>
          <w:p w14:paraId="6D7A039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2、分区防控措施</w:t>
            </w:r>
          </w:p>
          <w:p w14:paraId="7DD413D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根据前述分析，本项目施工中要严格按照以下防渗要求分区进行防渗。特别是项目区防渗施工过程中，企业应确保危废暂存间、正面吊维修区等重点污染防渗区的防渗工程措施到位和环保监理及记录，录像相关影像资料存档备查。</w:t>
            </w:r>
          </w:p>
          <w:p w14:paraId="2D0B072A">
            <w:pPr>
              <w:keepNext w:val="0"/>
              <w:keepLines w:val="0"/>
              <w:pageBreakBefore w:val="0"/>
              <w:widowControl/>
              <w:kinsoku/>
              <w:wordWrap/>
              <w:overflowPunct/>
              <w:topLinePunct w:val="0"/>
              <w:autoSpaceDE w:val="0"/>
              <w:autoSpaceDN w:val="0"/>
              <w:bidi w:val="0"/>
              <w:adjustRightInd/>
              <w:snapToGrid/>
              <w:spacing w:line="240" w:lineRule="auto"/>
              <w:ind w:firstLine="0"/>
              <w:textAlignment w:val="baseline"/>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根据工程</w:t>
            </w:r>
            <w:r>
              <w:rPr>
                <w:rFonts w:hint="default" w:ascii="Times New Roman" w:hAnsi="Times New Roman" w:cs="Times New Roman"/>
                <w:color w:val="auto"/>
                <w:sz w:val="21"/>
                <w:szCs w:val="21"/>
                <w:lang w:val="en-US" w:eastAsia="zh-CN"/>
              </w:rPr>
              <w:t>分析</w:t>
            </w:r>
            <w:r>
              <w:rPr>
                <w:rFonts w:hint="default" w:ascii="Times New Roman" w:hAnsi="Times New Roman" w:cs="Times New Roman"/>
                <w:color w:val="auto"/>
                <w:sz w:val="21"/>
                <w:szCs w:val="21"/>
              </w:rPr>
              <w:t>，本项目进行分区防渗，</w:t>
            </w:r>
            <w:r>
              <w:rPr>
                <w:rFonts w:hint="default" w:ascii="Times New Roman" w:hAnsi="Times New Roman" w:cs="Times New Roman"/>
                <w:color w:val="auto"/>
                <w:sz w:val="21"/>
                <w:szCs w:val="21"/>
                <w:lang w:val="en-US" w:eastAsia="zh-CN"/>
              </w:rPr>
              <w:t>将</w:t>
            </w:r>
            <w:r>
              <w:rPr>
                <w:rFonts w:hint="default" w:ascii="Times New Roman" w:hAnsi="Times New Roman" w:cs="Times New Roman"/>
                <w:color w:val="auto"/>
                <w:sz w:val="21"/>
                <w:szCs w:val="21"/>
              </w:rPr>
              <w:t>危废暂存间、正面吊维修区</w:t>
            </w:r>
            <w:r>
              <w:rPr>
                <w:rFonts w:hint="default" w:ascii="Times New Roman" w:hAnsi="Times New Roman" w:cs="Times New Roman"/>
                <w:color w:val="auto"/>
                <w:sz w:val="21"/>
                <w:szCs w:val="21"/>
                <w:lang w:val="en-US" w:eastAsia="zh-CN"/>
              </w:rPr>
              <w:t>涉及暂存和产生废矿物油的区域</w:t>
            </w:r>
            <w:r>
              <w:rPr>
                <w:rFonts w:hint="default" w:ascii="Times New Roman" w:hAnsi="Times New Roman" w:cs="Times New Roman"/>
                <w:color w:val="auto"/>
                <w:sz w:val="21"/>
                <w:szCs w:val="21"/>
              </w:rPr>
              <w:t>划分为重点防渗区</w:t>
            </w:r>
            <w:r>
              <w:rPr>
                <w:rFonts w:hint="eastAsia" w:ascii="Times New Roman" w:hAnsi="Times New Roman" w:eastAsia="宋体" w:cs="Times New Roman"/>
                <w:color w:val="auto"/>
                <w:sz w:val="21"/>
                <w:szCs w:val="21"/>
                <w:lang w:val="en-US" w:eastAsia="zh-CN"/>
              </w:rPr>
              <w:t>。</w:t>
            </w:r>
          </w:p>
          <w:p w14:paraId="3B99BD04">
            <w:pPr>
              <w:keepNext w:val="0"/>
              <w:keepLines w:val="0"/>
              <w:pageBreakBefore w:val="0"/>
              <w:widowControl/>
              <w:kinsoku/>
              <w:wordWrap/>
              <w:overflowPunct/>
              <w:topLinePunct w:val="0"/>
              <w:autoSpaceDE w:val="0"/>
              <w:autoSpaceDN w:val="0"/>
              <w:bidi w:val="0"/>
              <w:adjustRightInd/>
              <w:snapToGrid/>
              <w:spacing w:line="240" w:lineRule="auto"/>
              <w:ind w:firstLine="0"/>
              <w:textAlignment w:val="baseline"/>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正面吊维修区</w:t>
            </w:r>
            <w:r>
              <w:rPr>
                <w:rFonts w:hint="eastAsia" w:ascii="Times New Roman" w:hAnsi="Times New Roman" w:eastAsia="宋体" w:cs="Times New Roman"/>
                <w:color w:val="auto"/>
                <w:sz w:val="21"/>
                <w:szCs w:val="21"/>
                <w:lang w:val="en-US" w:eastAsia="zh-CN"/>
              </w:rPr>
              <w:t>已</w:t>
            </w:r>
            <w:r>
              <w:rPr>
                <w:rFonts w:hint="default" w:ascii="Times New Roman" w:hAnsi="Times New Roman" w:cs="Times New Roman"/>
                <w:color w:val="auto"/>
                <w:sz w:val="21"/>
                <w:szCs w:val="21"/>
              </w:rPr>
              <w:t>采用强度等级C30抗渗等级P6的商品混凝土浇筑，厚度40cm-50cm，</w:t>
            </w:r>
            <w:r>
              <w:rPr>
                <w:rFonts w:hint="eastAsia" w:ascii="Times New Roman" w:hAnsi="Times New Roman" w:eastAsia="宋体" w:cs="Times New Roman"/>
                <w:color w:val="auto"/>
                <w:sz w:val="21"/>
                <w:szCs w:val="21"/>
                <w:lang w:eastAsia="zh-CN"/>
              </w:rPr>
              <w:t>地面</w:t>
            </w:r>
            <w:r>
              <w:rPr>
                <w:rFonts w:hint="default" w:ascii="Times New Roman" w:hAnsi="Times New Roman" w:cs="Times New Roman"/>
                <w:color w:val="auto"/>
                <w:sz w:val="21"/>
                <w:szCs w:val="21"/>
              </w:rPr>
              <w:t>使用防渗、防腐砂浆抹面</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后期施工</w:t>
            </w:r>
            <w:r>
              <w:rPr>
                <w:rFonts w:hint="default" w:ascii="Times New Roman" w:hAnsi="Times New Roman" w:cs="Times New Roman"/>
                <w:color w:val="auto"/>
                <w:sz w:val="21"/>
                <w:szCs w:val="21"/>
                <w:lang w:val="en-US" w:eastAsia="zh-CN"/>
              </w:rPr>
              <w:t>地面还需采用防渗涂料刷漆</w:t>
            </w:r>
            <w:r>
              <w:rPr>
                <w:rFonts w:hint="eastAsia" w:ascii="Times New Roman" w:hAnsi="Times New Roman" w:cs="Times New Roman"/>
                <w:color w:val="auto"/>
                <w:sz w:val="21"/>
                <w:szCs w:val="21"/>
                <w:lang w:val="en-US" w:eastAsia="zh-CN"/>
              </w:rPr>
              <w:t>，使其</w:t>
            </w:r>
            <w:r>
              <w:rPr>
                <w:rFonts w:hint="default" w:ascii="Times New Roman" w:hAnsi="Times New Roman" w:eastAsia="宋体" w:cs="Times New Roman"/>
                <w:color w:val="auto"/>
                <w:sz w:val="21"/>
                <w:szCs w:val="21"/>
                <w:highlight w:val="none"/>
                <w:lang w:val="en-US" w:eastAsia="zh-CN"/>
              </w:rPr>
              <w:t>渗透系数不大于10</w:t>
            </w:r>
            <w:r>
              <w:rPr>
                <w:rFonts w:hint="default" w:ascii="Times New Roman" w:hAnsi="Times New Roman" w:eastAsia="宋体" w:cs="Times New Roman"/>
                <w:color w:val="auto"/>
                <w:sz w:val="21"/>
                <w:szCs w:val="21"/>
                <w:highlight w:val="none"/>
                <w:vertAlign w:val="superscript"/>
                <w:lang w:val="en-US" w:eastAsia="zh-CN"/>
              </w:rPr>
              <w:t xml:space="preserve"> -7</w:t>
            </w:r>
            <w:r>
              <w:rPr>
                <w:rFonts w:hint="default" w:ascii="Times New Roman" w:hAnsi="Times New Roman" w:eastAsia="宋体" w:cs="Times New Roman"/>
                <w:color w:val="auto"/>
                <w:sz w:val="21"/>
                <w:szCs w:val="21"/>
                <w:highlight w:val="none"/>
                <w:lang w:val="en-US" w:eastAsia="zh-CN"/>
              </w:rPr>
              <w:t>cm/s</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危废暂存间根据《危险废物贮存污染控制标准》（GB 18597-2023）防渗技术要求进行防渗，防渗层为至少1m厚黏土层（渗透系数不大于10</w:t>
            </w:r>
            <w:r>
              <w:rPr>
                <w:rFonts w:hint="default" w:ascii="Times New Roman" w:hAnsi="Times New Roman" w:cs="Times New Roman"/>
                <w:color w:val="auto"/>
                <w:sz w:val="21"/>
                <w:szCs w:val="21"/>
                <w:vertAlign w:val="superscript"/>
              </w:rPr>
              <w:t>-7</w:t>
            </w:r>
            <w:r>
              <w:rPr>
                <w:rFonts w:hint="default" w:ascii="Times New Roman" w:hAnsi="Times New Roman" w:cs="Times New Roman"/>
                <w:color w:val="auto"/>
                <w:sz w:val="21"/>
                <w:szCs w:val="21"/>
              </w:rPr>
              <w:t>cm/s），或至少2mm厚高密度聚乙烯膜等人工防渗材料（渗透系数不大于10</w:t>
            </w:r>
            <w:r>
              <w:rPr>
                <w:rFonts w:hint="default" w:ascii="Times New Roman" w:hAnsi="Times New Roman" w:cs="Times New Roman"/>
                <w:color w:val="auto"/>
                <w:sz w:val="21"/>
                <w:szCs w:val="21"/>
                <w:vertAlign w:val="superscript"/>
              </w:rPr>
              <w:t>-10</w:t>
            </w:r>
            <w:r>
              <w:rPr>
                <w:rFonts w:hint="default" w:ascii="Times New Roman" w:hAnsi="Times New Roman" w:cs="Times New Roman"/>
                <w:color w:val="auto"/>
                <w:sz w:val="21"/>
                <w:szCs w:val="21"/>
              </w:rPr>
              <w:t>cm/s），或其他防渗性能等效的材料</w:t>
            </w:r>
            <w:r>
              <w:rPr>
                <w:rFonts w:hint="eastAsia" w:ascii="Times New Roman" w:hAnsi="Times New Roman" w:eastAsia="宋体" w:cs="Times New Roman"/>
                <w:color w:val="auto"/>
                <w:sz w:val="21"/>
                <w:szCs w:val="21"/>
                <w:lang w:eastAsia="zh-CN"/>
              </w:rPr>
              <w:t>。</w:t>
            </w:r>
          </w:p>
          <w:p w14:paraId="2184BE81">
            <w:pPr>
              <w:keepNext w:val="0"/>
              <w:keepLines w:val="0"/>
              <w:pageBreakBefore w:val="0"/>
              <w:widowControl/>
              <w:kinsoku/>
              <w:wordWrap/>
              <w:overflowPunct/>
              <w:topLinePunct w:val="0"/>
              <w:autoSpaceDE w:val="0"/>
              <w:autoSpaceDN w:val="0"/>
              <w:bidi w:val="0"/>
              <w:adjustRightInd/>
              <w:snapToGrid/>
              <w:spacing w:line="240" w:lineRule="auto"/>
              <w:ind w:firstLine="0"/>
              <w:textAlignment w:val="baseline"/>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将</w:t>
            </w:r>
            <w:r>
              <w:rPr>
                <w:rFonts w:hint="default" w:ascii="Times New Roman" w:hAnsi="Times New Roman" w:cs="Times New Roman"/>
                <w:color w:val="auto"/>
                <w:sz w:val="21"/>
                <w:szCs w:val="21"/>
              </w:rPr>
              <w:t>化粪池、初期雨水收集池</w:t>
            </w:r>
            <w:r>
              <w:rPr>
                <w:rFonts w:hint="default" w:ascii="Times New Roman" w:hAnsi="Times New Roman" w:cs="Times New Roman"/>
                <w:color w:val="auto"/>
                <w:sz w:val="21"/>
                <w:szCs w:val="21"/>
                <w:lang w:val="en-US" w:eastAsia="zh-CN"/>
              </w:rPr>
              <w:t>因涉及生活废水和初期雨水产生，考虑污染影响较小，</w:t>
            </w:r>
            <w:r>
              <w:rPr>
                <w:rFonts w:hint="default" w:ascii="Times New Roman" w:hAnsi="Times New Roman" w:cs="Times New Roman"/>
                <w:color w:val="auto"/>
                <w:sz w:val="21"/>
                <w:szCs w:val="21"/>
              </w:rPr>
              <w:t>划分为一般防渗区，</w:t>
            </w:r>
            <w:r>
              <w:rPr>
                <w:rFonts w:hint="eastAsia" w:ascii="Times New Roman" w:hAnsi="Times New Roman" w:eastAsia="宋体" w:cs="Times New Roman"/>
                <w:color w:val="auto"/>
                <w:sz w:val="21"/>
                <w:szCs w:val="21"/>
                <w:lang w:val="en-US" w:eastAsia="zh-CN"/>
              </w:rPr>
              <w:t>已</w:t>
            </w:r>
            <w:r>
              <w:rPr>
                <w:rFonts w:hint="default" w:ascii="Times New Roman" w:hAnsi="Times New Roman" w:cs="Times New Roman"/>
                <w:color w:val="auto"/>
                <w:sz w:val="21"/>
                <w:szCs w:val="21"/>
              </w:rPr>
              <w:t>采取粘土铺底，再在上层铺10~15cm的水泥进行硬化</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满足防渗达到“黏土防渗层Mb≥1.5m，K≤10</w:t>
            </w:r>
            <w:r>
              <w:rPr>
                <w:rFonts w:hint="eastAsia" w:ascii="Times New Roman" w:hAnsi="Times New Roman" w:eastAsia="宋体" w:cs="Times New Roman"/>
                <w:color w:val="auto"/>
                <w:sz w:val="21"/>
                <w:szCs w:val="21"/>
                <w:vertAlign w:val="superscript"/>
                <w:lang w:val="en-US" w:eastAsia="zh-CN"/>
              </w:rPr>
              <w:t>-7</w:t>
            </w:r>
            <w:r>
              <w:rPr>
                <w:rFonts w:hint="eastAsia" w:ascii="Times New Roman" w:hAnsi="Times New Roman" w:eastAsia="宋体" w:cs="Times New Roman"/>
                <w:color w:val="auto"/>
                <w:sz w:val="21"/>
                <w:szCs w:val="21"/>
                <w:lang w:val="en-US" w:eastAsia="zh-CN"/>
              </w:rPr>
              <w:t>cm/s”的技术要求。</w:t>
            </w:r>
          </w:p>
          <w:p w14:paraId="56A872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color w:val="auto"/>
                <w:sz w:val="21"/>
                <w:szCs w:val="21"/>
                <w:lang w:val="en-US" w:eastAsia="zh-CN"/>
              </w:rPr>
              <w:t>简单防渗区：除绿化外的其他区域，</w:t>
            </w:r>
            <w:r>
              <w:rPr>
                <w:rFonts w:hint="eastAsia" w:ascii="Times New Roman" w:hAnsi="Times New Roman" w:cs="Times New Roman"/>
                <w:color w:val="auto"/>
                <w:sz w:val="21"/>
                <w:szCs w:val="21"/>
                <w:lang w:val="en-US" w:eastAsia="zh-CN"/>
              </w:rPr>
              <w:t>已</w:t>
            </w:r>
            <w:r>
              <w:rPr>
                <w:rFonts w:hint="default" w:ascii="Times New Roman" w:hAnsi="Times New Roman" w:cs="Times New Roman"/>
                <w:color w:val="auto"/>
                <w:sz w:val="21"/>
                <w:szCs w:val="21"/>
                <w:lang w:val="en-US" w:eastAsia="zh-CN"/>
              </w:rPr>
              <w:t>采用</w:t>
            </w:r>
            <w:r>
              <w:rPr>
                <w:rFonts w:hint="default" w:ascii="Times New Roman" w:hAnsi="Times New Roman" w:cs="Times New Roman"/>
                <w:color w:val="auto"/>
                <w:sz w:val="21"/>
                <w:szCs w:val="21"/>
              </w:rPr>
              <w:t>铺10~15cm的水泥进行硬化</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满足防渗达到“一般地面硬化”的技术要求。</w:t>
            </w:r>
          </w:p>
          <w:p w14:paraId="538DEBD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3、地下水污染监控</w:t>
            </w:r>
          </w:p>
          <w:p w14:paraId="64CA471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为了及时了解项目区对周围地下水污染控制情况，需建立项目区地下水长期跟踪监控体系。</w:t>
            </w:r>
          </w:p>
          <w:p w14:paraId="705AD67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（1）地下水跟踪监测井布设原则</w:t>
            </w:r>
          </w:p>
          <w:p w14:paraId="1791E42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根据《地下水环境监测技术规范》（HJ/T164-2020）和《工业企业土壤和地下水自行监测技术指南》（HJ1209-2021）的要求，结合本项目所在区域地下水的径流方向、流量及水化学特征制定总体布设原则如下：</w:t>
            </w:r>
          </w:p>
          <w:p w14:paraId="50F5687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①重点污染区加密监测原则；</w:t>
            </w:r>
          </w:p>
          <w:p w14:paraId="34C37B4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②重点监测潜水含水层，兼顾监测深部含水层为原则；</w:t>
            </w:r>
          </w:p>
          <w:p w14:paraId="57C030C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③重点污染区上下游同步对比原则监测。</w:t>
            </w:r>
          </w:p>
          <w:p w14:paraId="73A4CA3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（2）地下水跟踪监测方案</w:t>
            </w:r>
          </w:p>
          <w:p w14:paraId="57CE96F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结合场地周边主要含水层分布特征及地下水径流规律，综合考虑项目区地下水环境风险源分布情况，在满足本项目长期污染跟踪监测需求，提高监测数据可靠性的前提下，本次评价提出将项目J2厂区内污染监测井改造</w:t>
            </w:r>
            <w:r>
              <w:rPr>
                <w:rFonts w:hint="eastAsia" w:ascii="Times New Roman" w:hAnsi="Times New Roman" w:cs="Times New Roman" w:eastAsiaTheme="minorEastAsia"/>
                <w:color w:val="auto"/>
                <w:spacing w:val="0"/>
                <w:w w:val="100"/>
                <w:position w:val="0"/>
                <w:sz w:val="21"/>
                <w:szCs w:val="21"/>
                <w:lang w:eastAsia="zh-CN"/>
              </w:rPr>
              <w:t>，</w:t>
            </w:r>
            <w:r>
              <w:rPr>
                <w:rFonts w:hint="default" w:ascii="Times New Roman" w:hAnsi="Times New Roman" w:cs="Times New Roman" w:eastAsiaTheme="minorEastAsia"/>
                <w:color w:val="auto"/>
                <w:spacing w:val="0"/>
                <w:w w:val="100"/>
                <w:position w:val="0"/>
                <w:sz w:val="21"/>
                <w:szCs w:val="21"/>
              </w:rPr>
              <w:t>主要改造井台、井盖、井牌等地下水标志牌内容。以及将</w:t>
            </w:r>
            <w:r>
              <w:rPr>
                <w:rFonts w:hint="eastAsia" w:ascii="Times New Roman" w:hAnsi="Times New Roman" w:cs="Times New Roman" w:eastAsiaTheme="minorEastAsia"/>
                <w:color w:val="auto"/>
                <w:spacing w:val="0"/>
                <w:w w:val="100"/>
                <w:position w:val="0"/>
                <w:sz w:val="21"/>
                <w:szCs w:val="21"/>
                <w:lang w:val="en-US" w:eastAsia="zh-CN"/>
              </w:rPr>
              <w:t>J3</w:t>
            </w:r>
            <w:r>
              <w:rPr>
                <w:rFonts w:hint="default" w:ascii="Times New Roman" w:hAnsi="Times New Roman" w:cs="Times New Roman" w:eastAsiaTheme="minorEastAsia"/>
                <w:color w:val="auto"/>
                <w:spacing w:val="0"/>
                <w:w w:val="100"/>
                <w:position w:val="0"/>
                <w:sz w:val="21"/>
                <w:szCs w:val="21"/>
              </w:rPr>
              <w:t>下游污染扩散监测井（曲靖大为焦化制气地下水监测井DX01）也作为本项目地下水跟踪监测井使用。</w:t>
            </w:r>
          </w:p>
          <w:p w14:paraId="1D73870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（3）地下水监测计划</w:t>
            </w:r>
          </w:p>
          <w:p w14:paraId="5947053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监测对象为：碳酸盐岩岩溶水。监测孔应配置地下水水位监测装置和抽水装置，项目实施后委托有资质的环保监测部门实施监测。</w:t>
            </w:r>
          </w:p>
          <w:p w14:paraId="138F4E6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根据本项目潜在污染特征，地下水污染监测项目主要应该包括：pH、总磷、耗氧量、氨氮、动植物油、SS和BOD。</w:t>
            </w:r>
          </w:p>
          <w:p w14:paraId="6BDDA8A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监测频次：每年</w:t>
            </w:r>
            <w:r>
              <w:rPr>
                <w:rFonts w:hint="eastAsia" w:ascii="Times New Roman" w:hAnsi="Times New Roman" w:cs="Times New Roman" w:eastAsiaTheme="minorEastAsia"/>
                <w:color w:val="auto"/>
                <w:spacing w:val="0"/>
                <w:w w:val="100"/>
                <w:position w:val="0"/>
                <w:sz w:val="21"/>
                <w:szCs w:val="21"/>
                <w:lang w:val="en-US" w:eastAsia="zh-CN"/>
              </w:rPr>
              <w:t>一期</w:t>
            </w:r>
            <w:r>
              <w:rPr>
                <w:rFonts w:hint="default" w:ascii="Times New Roman" w:hAnsi="Times New Roman" w:cs="Times New Roman" w:eastAsiaTheme="minorEastAsia"/>
                <w:color w:val="auto"/>
                <w:spacing w:val="0"/>
                <w:w w:val="100"/>
                <w:position w:val="0"/>
                <w:sz w:val="21"/>
                <w:szCs w:val="21"/>
              </w:rPr>
              <w:t>。</w:t>
            </w:r>
          </w:p>
          <w:p w14:paraId="48B273A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（4）事故后处置措施</w:t>
            </w:r>
          </w:p>
          <w:p w14:paraId="6131FA3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1）企业应在后续加强厂内改建地下水监测井的跟踪监测工作，一旦发现井内地下水质出现异常现象时，须加大取样频率，并根据实际情况增加监测项目，查出原因以便进行补救；同时及时上报当地</w:t>
            </w:r>
            <w:r>
              <w:rPr>
                <w:rFonts w:hint="eastAsia" w:ascii="Times New Roman" w:hAnsi="Times New Roman" w:cs="Times New Roman" w:eastAsiaTheme="minorEastAsia"/>
                <w:color w:val="auto"/>
                <w:spacing w:val="0"/>
                <w:w w:val="100"/>
                <w:position w:val="0"/>
                <w:sz w:val="21"/>
                <w:szCs w:val="21"/>
                <w:lang w:eastAsia="zh-CN"/>
              </w:rPr>
              <w:t>生态环境部门</w:t>
            </w:r>
            <w:r>
              <w:rPr>
                <w:rFonts w:hint="default" w:ascii="Times New Roman" w:hAnsi="Times New Roman" w:cs="Times New Roman" w:eastAsiaTheme="minorEastAsia"/>
                <w:color w:val="auto"/>
                <w:spacing w:val="0"/>
                <w:w w:val="100"/>
                <w:position w:val="0"/>
                <w:sz w:val="21"/>
                <w:szCs w:val="21"/>
              </w:rPr>
              <w:t>及其他相关部门，采取应急措施，查出原因以便进行补救。</w:t>
            </w:r>
          </w:p>
          <w:p w14:paraId="03CAD55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2）一旦发生地下水污染事故，应及时查明地下水污染原因，如是项目区渗漏造成，应及时采取补救防渗措施。</w:t>
            </w:r>
          </w:p>
          <w:p w14:paraId="6E0B04C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3）一旦跟踪监测井监测到耗氧量污染异常，应及时在项目区北侧厂界边缘地带采取地下水污染修复补救措施，如通过建设排渗群井或通过渗透性反应墙等污染修复技术进行地下水污染修复。</w:t>
            </w:r>
          </w:p>
        </w:tc>
      </w:tr>
      <w:tr w14:paraId="55500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307" w:type="dxa"/>
            <w:vMerge w:val="continue"/>
            <w:vAlign w:val="top"/>
          </w:tcPr>
          <w:p w14:paraId="354651D2">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4BFB589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固废</w:t>
            </w:r>
          </w:p>
        </w:tc>
        <w:tc>
          <w:tcPr>
            <w:tcW w:w="11519" w:type="dxa"/>
            <w:vAlign w:val="top"/>
          </w:tcPr>
          <w:p w14:paraId="72A9941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（1）项目运营期产生的生活垃圾由垃圾桶收集后专人定期清运至</w:t>
            </w:r>
            <w:r>
              <w:rPr>
                <w:rFonts w:hint="default" w:ascii="Times New Roman" w:hAnsi="Times New Roman" w:cs="Times New Roman" w:eastAsiaTheme="minorEastAsia"/>
                <w:color w:val="auto"/>
                <w:spacing w:val="0"/>
                <w:w w:val="100"/>
                <w:position w:val="0"/>
                <w:sz w:val="21"/>
                <w:szCs w:val="21"/>
                <w:lang w:eastAsia="zh-CN"/>
              </w:rPr>
              <w:t>园区</w:t>
            </w:r>
            <w:r>
              <w:rPr>
                <w:rFonts w:hint="default" w:ascii="Times New Roman" w:hAnsi="Times New Roman" w:cs="Times New Roman" w:eastAsiaTheme="minorEastAsia"/>
                <w:color w:val="auto"/>
                <w:spacing w:val="0"/>
                <w:w w:val="100"/>
                <w:position w:val="0"/>
                <w:sz w:val="21"/>
                <w:szCs w:val="21"/>
              </w:rPr>
              <w:t>指定垃圾收集点，委托环卫部门统一清运处置。</w:t>
            </w:r>
          </w:p>
          <w:p w14:paraId="11C11E2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（2）化粪池污泥委托</w:t>
            </w:r>
            <w:r>
              <w:rPr>
                <w:rFonts w:hint="eastAsia" w:ascii="Times New Roman" w:hAnsi="Times New Roman" w:cs="Times New Roman" w:eastAsiaTheme="minorEastAsia"/>
                <w:color w:val="auto"/>
                <w:spacing w:val="0"/>
                <w:w w:val="100"/>
                <w:position w:val="0"/>
                <w:sz w:val="21"/>
                <w:szCs w:val="21"/>
                <w:lang w:eastAsia="zh-CN"/>
              </w:rPr>
              <w:t>环卫部门</w:t>
            </w:r>
            <w:r>
              <w:rPr>
                <w:rFonts w:hint="default" w:ascii="Times New Roman" w:hAnsi="Times New Roman" w:cs="Times New Roman" w:eastAsiaTheme="minorEastAsia"/>
                <w:color w:val="auto"/>
                <w:spacing w:val="0"/>
                <w:w w:val="100"/>
                <w:position w:val="0"/>
                <w:sz w:val="21"/>
                <w:szCs w:val="21"/>
              </w:rPr>
              <w:t>定期清掏处置。</w:t>
            </w:r>
          </w:p>
          <w:p w14:paraId="3F7EF8C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eastAsia" w:ascii="Times New Roman" w:hAnsi="Times New Roman" w:cs="Times New Roman" w:eastAsiaTheme="minorEastAsia"/>
                <w:color w:val="auto"/>
                <w:spacing w:val="0"/>
                <w:w w:val="100"/>
                <w:position w:val="0"/>
                <w:sz w:val="21"/>
                <w:szCs w:val="21"/>
                <w:lang w:eastAsia="zh-CN"/>
              </w:rPr>
            </w:pPr>
            <w:r>
              <w:rPr>
                <w:rFonts w:hint="default" w:ascii="Times New Roman" w:hAnsi="Times New Roman" w:cs="Times New Roman" w:eastAsiaTheme="minorEastAsia"/>
                <w:color w:val="auto"/>
                <w:spacing w:val="0"/>
                <w:w w:val="100"/>
                <w:position w:val="0"/>
                <w:sz w:val="21"/>
                <w:szCs w:val="21"/>
              </w:rPr>
              <w:t>（</w:t>
            </w:r>
            <w:r>
              <w:rPr>
                <w:rFonts w:hint="eastAsia" w:ascii="Times New Roman" w:hAnsi="Times New Roman" w:cs="Times New Roman" w:eastAsiaTheme="minorEastAsia"/>
                <w:color w:val="auto"/>
                <w:spacing w:val="0"/>
                <w:w w:val="100"/>
                <w:position w:val="0"/>
                <w:sz w:val="21"/>
                <w:szCs w:val="21"/>
                <w:lang w:val="en-US" w:eastAsia="zh-CN"/>
              </w:rPr>
              <w:t>3</w:t>
            </w:r>
            <w:r>
              <w:rPr>
                <w:rFonts w:hint="default" w:ascii="Times New Roman" w:hAnsi="Times New Roman" w:cs="Times New Roman" w:eastAsiaTheme="minorEastAsia"/>
                <w:color w:val="auto"/>
                <w:spacing w:val="0"/>
                <w:w w:val="100"/>
                <w:position w:val="0"/>
                <w:sz w:val="21"/>
                <w:szCs w:val="21"/>
              </w:rPr>
              <w:t>）项目废机油</w:t>
            </w:r>
            <w:r>
              <w:rPr>
                <w:rFonts w:hint="eastAsia"/>
                <w:color w:val="auto"/>
                <w:lang w:eastAsia="zh-CN"/>
              </w:rPr>
              <w:t>、</w:t>
            </w:r>
            <w:r>
              <w:rPr>
                <w:rFonts w:hint="eastAsia"/>
                <w:color w:val="auto"/>
                <w:lang w:val="en-US" w:eastAsia="zh-CN"/>
              </w:rPr>
              <w:t>废抹布、手套</w:t>
            </w:r>
            <w:r>
              <w:rPr>
                <w:rFonts w:hint="default" w:ascii="Times New Roman" w:hAnsi="Times New Roman" w:cs="Times New Roman" w:eastAsiaTheme="minorEastAsia"/>
                <w:color w:val="auto"/>
                <w:spacing w:val="0"/>
                <w:w w:val="100"/>
                <w:position w:val="0"/>
                <w:sz w:val="21"/>
                <w:szCs w:val="21"/>
              </w:rPr>
              <w:t>收集后暂存于危险废物暂存间，委托有资质的单位清运处置。项目危险废物产生、收集、贮存、运输、利用、处置过程满足危险废物相关法律法规、标准规范的规定，危险废物转移过程执行《危险废物转移管理办法》</w:t>
            </w:r>
            <w:r>
              <w:rPr>
                <w:rFonts w:hint="eastAsia" w:ascii="Times New Roman" w:hAnsi="Times New Roman" w:cs="Times New Roman" w:eastAsiaTheme="minorEastAsia"/>
                <w:color w:val="auto"/>
                <w:spacing w:val="0"/>
                <w:w w:val="100"/>
                <w:position w:val="0"/>
                <w:sz w:val="21"/>
                <w:szCs w:val="21"/>
                <w:lang w:eastAsia="zh-CN"/>
              </w:rPr>
              <w:t>。</w:t>
            </w:r>
          </w:p>
        </w:tc>
      </w:tr>
      <w:tr w14:paraId="5B7A0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7" w:hRule="atLeast"/>
        </w:trPr>
        <w:tc>
          <w:tcPr>
            <w:tcW w:w="1307" w:type="dxa"/>
            <w:vMerge w:val="restart"/>
            <w:vAlign w:val="top"/>
          </w:tcPr>
          <w:p w14:paraId="0D5474FB">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6156C7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生态环境</w:t>
            </w:r>
          </w:p>
        </w:tc>
        <w:tc>
          <w:tcPr>
            <w:tcW w:w="11519" w:type="dxa"/>
            <w:vAlign w:val="top"/>
          </w:tcPr>
          <w:p w14:paraId="4A36E8E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在工程建设完成后，对路基两侧采用优选种植乡土树种、草种的植物防护措施进行绿化，采取这些措施对当地植被的繁衍、提高植被覆盖度、改善局部小气候起到很大作用，还可以改善植被覆盖地段地上、地下的生态环境条件，有利于多种生物的活动和繁衍，增加有机质含量，从而促进土壤形成。人工植被通过演替能够形成适应当地环境的相对稳定的生态系统，环境向良性发展，可大大降低了工程对植物资源影响的负面效应，所在区域造成的植被生物量损失将得到补偿，对植被生态环境影响是可以承受的。</w:t>
            </w:r>
          </w:p>
          <w:p w14:paraId="03CD1AE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（2）竣工后应及时对临时占地生态恢复工作进行检查，真正使临时占地达到恢复原有的土地利用类型的目的。</w:t>
            </w:r>
          </w:p>
          <w:p w14:paraId="77A1BE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（3）装卸场应加强绿化工程，采用带状绿化，乔灌木结合的方式，降低装卸场车辆运输扬尘影响，改善生态环境。</w:t>
            </w:r>
          </w:p>
        </w:tc>
      </w:tr>
      <w:tr w14:paraId="05A00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6" w:hRule="atLeast"/>
        </w:trPr>
        <w:tc>
          <w:tcPr>
            <w:tcW w:w="1307" w:type="dxa"/>
            <w:vMerge w:val="continue"/>
            <w:vAlign w:val="top"/>
          </w:tcPr>
          <w:p w14:paraId="4D6BF809">
            <w:pPr>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p>
        </w:tc>
        <w:tc>
          <w:tcPr>
            <w:tcW w:w="1015" w:type="dxa"/>
            <w:vAlign w:val="center"/>
          </w:tcPr>
          <w:p w14:paraId="1EDEF1B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环境风险</w:t>
            </w:r>
          </w:p>
        </w:tc>
        <w:tc>
          <w:tcPr>
            <w:tcW w:w="11519" w:type="dxa"/>
            <w:vAlign w:val="top"/>
          </w:tcPr>
          <w:p w14:paraId="1467BA8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 、大气环境风险防范措施</w:t>
            </w:r>
          </w:p>
          <w:p w14:paraId="5C46E75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项目柴油、机油根据生产需求量少量存储，不在项目内大量存放。柴油桶及机油储油设施的材料符合要求，对其进行防腐保护，防止因腐蚀产生跑、冒、滴、漏等现象发生。</w:t>
            </w:r>
          </w:p>
          <w:p w14:paraId="2E291F0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在柴油使用过程中，应该严格参照《危险化学品安全管理条例》（国务院令第 344 号）要求，要做好柴油的贮存、使用，防止火灾风险事故的发生。</w:t>
            </w:r>
          </w:p>
          <w:p w14:paraId="404F12E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柴油、机油储存区域配备应急桶、铲子、沙子等应急物资，当发现油品泄漏时，先进行溢流围堵，用沙子吸收泄漏的液体，然后用铲子铲装含油沙至应急桶，妥善处置；尽快找出泄漏源并进行封堵处理。</w:t>
            </w:r>
          </w:p>
          <w:p w14:paraId="758BD20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（4）加强车辆管理，制定严格的运输规章制度，及时对内燃调机进行保养，防止油箱泄漏。</w:t>
            </w:r>
          </w:p>
          <w:p w14:paraId="3BA7DBE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（5）严禁在油品堆放区域内吸烟和用火，严禁把其他容易引起燃烧、爆炸的物品带入库区内，加强员工安全防火意识。</w:t>
            </w:r>
          </w:p>
          <w:p w14:paraId="22E018D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（6）在项目总平面布置方面，严格执行国家的相关规范要求，所有建、构筑物之前或与其他场所之间留有足够的防火间距，防止在火灾或爆炸时相互影响。</w:t>
            </w:r>
          </w:p>
          <w:p w14:paraId="71544CD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（7）在厂区配套建设应急救援设施、救援通道、应急疏散路线、应急疏散避难所等防护设施，按《安全标志》规定在装置区设置有关的安全标志。</w:t>
            </w:r>
          </w:p>
          <w:p w14:paraId="122403E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（8）发生突发环境风险事故时，应远离事故区，向当天风向的上风向疏散，优先沿厂区外道路向西疏散。</w:t>
            </w:r>
          </w:p>
          <w:p w14:paraId="6D8E14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 、地表水风险防范措施</w:t>
            </w:r>
          </w:p>
          <w:p w14:paraId="2D6A7AA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（1）项目区设置 1 间独立的、建筑面积为</w:t>
            </w:r>
            <w:r>
              <w:rPr>
                <w:rFonts w:hint="eastAsia" w:ascii="Times New Roman" w:hAnsi="Times New Roman" w:cs="Times New Roman" w:eastAsiaTheme="minorEastAsia"/>
                <w:color w:val="auto"/>
                <w:spacing w:val="0"/>
                <w:w w:val="100"/>
                <w:position w:val="0"/>
                <w:sz w:val="21"/>
                <w:szCs w:val="21"/>
                <w:lang w:val="en-US" w:eastAsia="zh-CN"/>
              </w:rPr>
              <w:t>2.0</w:t>
            </w:r>
            <w:r>
              <w:rPr>
                <w:rFonts w:hint="default" w:ascii="Times New Roman" w:hAnsi="Times New Roman" w:cs="Times New Roman" w:eastAsiaTheme="minorEastAsia"/>
                <w:color w:val="auto"/>
                <w:spacing w:val="0"/>
                <w:w w:val="100"/>
                <w:position w:val="0"/>
                <w:sz w:val="21"/>
                <w:szCs w:val="21"/>
              </w:rPr>
              <w:t>m</w:t>
            </w:r>
            <w:r>
              <w:rPr>
                <w:rFonts w:hint="default" w:ascii="Times New Roman" w:hAnsi="Times New Roman" w:cs="Times New Roman" w:eastAsiaTheme="minorEastAsia"/>
                <w:color w:val="auto"/>
                <w:spacing w:val="0"/>
                <w:w w:val="100"/>
                <w:position w:val="0"/>
                <w:sz w:val="21"/>
                <w:szCs w:val="21"/>
                <w:vertAlign w:val="superscript"/>
              </w:rPr>
              <w:t xml:space="preserve">2 </w:t>
            </w:r>
            <w:r>
              <w:rPr>
                <w:rFonts w:hint="default" w:ascii="Times New Roman" w:hAnsi="Times New Roman" w:cs="Times New Roman" w:eastAsiaTheme="minorEastAsia"/>
                <w:color w:val="auto"/>
                <w:spacing w:val="0"/>
                <w:w w:val="100"/>
                <w:position w:val="0"/>
                <w:sz w:val="21"/>
                <w:szCs w:val="21"/>
              </w:rPr>
              <w:t>的</w:t>
            </w:r>
            <w:r>
              <w:rPr>
                <w:rFonts w:hint="default" w:ascii="Times New Roman" w:hAnsi="Times New Roman" w:cs="Times New Roman" w:eastAsiaTheme="minorEastAsia"/>
                <w:color w:val="auto"/>
                <w:spacing w:val="0"/>
                <w:w w:val="100"/>
                <w:position w:val="0"/>
                <w:sz w:val="21"/>
                <w:szCs w:val="21"/>
                <w:lang w:eastAsia="zh-CN"/>
              </w:rPr>
              <w:t>危废暂存间</w:t>
            </w:r>
            <w:r>
              <w:rPr>
                <w:rFonts w:hint="default" w:ascii="Times New Roman" w:hAnsi="Times New Roman" w:cs="Times New Roman" w:eastAsiaTheme="minorEastAsia"/>
                <w:color w:val="auto"/>
                <w:spacing w:val="0"/>
                <w:w w:val="100"/>
                <w:position w:val="0"/>
                <w:sz w:val="21"/>
                <w:szCs w:val="21"/>
              </w:rPr>
              <w:t>，设立明显标牌标识，地面硬化并采取防渗措施，危险废物经分类收集后统一暂存于</w:t>
            </w:r>
            <w:r>
              <w:rPr>
                <w:rFonts w:hint="default" w:ascii="Times New Roman" w:hAnsi="Times New Roman" w:cs="Times New Roman" w:eastAsiaTheme="minorEastAsia"/>
                <w:color w:val="auto"/>
                <w:spacing w:val="0"/>
                <w:w w:val="100"/>
                <w:position w:val="0"/>
                <w:sz w:val="21"/>
                <w:szCs w:val="21"/>
                <w:lang w:eastAsia="zh-CN"/>
              </w:rPr>
              <w:t>危废暂存间</w:t>
            </w:r>
            <w:r>
              <w:rPr>
                <w:rFonts w:hint="default" w:ascii="Times New Roman" w:hAnsi="Times New Roman" w:cs="Times New Roman" w:eastAsiaTheme="minorEastAsia"/>
                <w:color w:val="auto"/>
                <w:spacing w:val="0"/>
                <w:w w:val="100"/>
                <w:position w:val="0"/>
                <w:sz w:val="21"/>
                <w:szCs w:val="21"/>
              </w:rPr>
              <w:t>，严禁随意堆放、处置。</w:t>
            </w:r>
          </w:p>
          <w:p w14:paraId="1F46919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（2）定期对柴油桶及机油桶进行巡查，定期进行设备维护和保养，若有容器破损，及时更换，杜绝油品渗漏事故，防止对地表水、地下水、土壤环境造成影响。</w:t>
            </w:r>
          </w:p>
          <w:p w14:paraId="6180436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（3）危险废物及时交由有资质的单位进行处置，同时设置相关台账，严格记录危险废物的产生及处置情况。禁止在项目内大量堆存。</w:t>
            </w:r>
          </w:p>
          <w:p w14:paraId="6B562A6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（4）按照《危险废物贮存污染控制标准》（GB 18597—2023）中相关要求采取防渗、防腐、防雨和防流失措施。</w:t>
            </w:r>
          </w:p>
          <w:p w14:paraId="5A94BA9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 、铁路安全风险防范措施</w:t>
            </w:r>
          </w:p>
          <w:p w14:paraId="323C0F0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right"/>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（1）加强沿线路基、轨道构筑物等设施、信号设备以及机车、车辆的检查、维护工作，以保证其经常处于安全、完好状态。</w:t>
            </w:r>
          </w:p>
          <w:p w14:paraId="792B7D7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（2）加强员工管理和培训，避免野蛮装卸货物，员工操作不当造成列车脱轨、翻车事故的发生，以免货物落入水体造成污染。</w:t>
            </w:r>
          </w:p>
          <w:p w14:paraId="7768875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4 、其他风险防范措施</w:t>
            </w:r>
          </w:p>
          <w:p w14:paraId="565D868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（1）厂区内的环境风险应急物资有专人管理，设置在明显和便于取用的地点，周围不准存放其他物品。</w:t>
            </w:r>
          </w:p>
          <w:p w14:paraId="11154CD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（2）消防通道始终保持畅通无阻。厂内的消防栓定期检修，防止堵塞，保持其处于正常的可使用的状态。</w:t>
            </w:r>
          </w:p>
          <w:p w14:paraId="4932BF0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（3）加强环境风险应急救援、消防灭火知识的教育，使每位职工都会正确使用应急救援物资、消防器材等。</w:t>
            </w:r>
          </w:p>
          <w:p w14:paraId="148AB1A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5 、风险发生后的措施</w:t>
            </w:r>
          </w:p>
          <w:p w14:paraId="5CE7FA9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（1）发现泄漏事故者应立即向生产调度室，说明事故发生地点及部位，并积极采取一切有效措施减少泄漏或想办法切断泄漏源；启动应急预案。</w:t>
            </w:r>
          </w:p>
          <w:p w14:paraId="3087602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（2）生产调度室在接到报警后，应根据事故大小迅速通知指挥部成员及各救援专业队伍前往事故现场。应迅速查明泄漏部位，立即向救援指挥部报告，并做好抢险抢修及紧急停车的准备工作。</w:t>
            </w:r>
          </w:p>
          <w:p w14:paraId="0F52CFD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3）指挥部成员到达现场后，根据事故状况及危害程度、下达相应的应急救援命令。如大量泄漏，一时难以控制，迅速通过广播或其他方式有序地疏散处于危险区的员工及群众，或指导其采取简易有效的保护措施。如扩散危及厂外人员安全时，应迅速组织有关人员协助地方政府，疏散污染范围内的居民及其他人员。并按专业分工向主管部门报告，如持续时间长，应随时将事故变化及处理情况简要报告上级部门，必要时应请求支援。</w:t>
            </w:r>
          </w:p>
          <w:p w14:paraId="6470DAF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（4）环保人员到达事故现场后，查明泄漏浓度和扩散情况，必要时报告地方</w:t>
            </w:r>
            <w:r>
              <w:rPr>
                <w:rFonts w:hint="eastAsia" w:ascii="Times New Roman" w:hAnsi="Times New Roman" w:cs="Times New Roman" w:eastAsiaTheme="minorEastAsia"/>
                <w:color w:val="auto"/>
                <w:spacing w:val="0"/>
                <w:w w:val="100"/>
                <w:position w:val="0"/>
                <w:sz w:val="21"/>
                <w:szCs w:val="21"/>
                <w:lang w:eastAsia="zh-CN"/>
              </w:rPr>
              <w:t>生态环境部门</w:t>
            </w:r>
            <w:r>
              <w:rPr>
                <w:rFonts w:hint="default" w:ascii="Times New Roman" w:hAnsi="Times New Roman" w:cs="Times New Roman" w:eastAsiaTheme="minorEastAsia"/>
                <w:color w:val="auto"/>
                <w:spacing w:val="0"/>
                <w:w w:val="100"/>
                <w:position w:val="0"/>
                <w:sz w:val="21"/>
                <w:szCs w:val="21"/>
              </w:rPr>
              <w:t>。</w:t>
            </w:r>
          </w:p>
          <w:p w14:paraId="06DDEC9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5）当事故得到控制后，应迅速开展如下工作：成立由总经理或公司分管领导任组长，安全、环保、保卫生产技术部门和发生事故的车间组成的事故调查小组，查明事故原因，总结经验教训，落实防范措施，尽快恢复生产。成立由公司分管领导任组长，由设备部、技术部门组成的抢修小组，研究抢修方案，尽快组织抢险抢修，防止事故扩大，减少损失，总结抢险抢修经验。按事故报告程序，逐级向上级主管部门报告，协助上级部门开展事故调查，并做好善后工作。</w:t>
            </w:r>
          </w:p>
          <w:p w14:paraId="05E03EF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6 、按照要求编制应急预案，并报当地行政主管部门进行备案。</w:t>
            </w:r>
          </w:p>
        </w:tc>
      </w:tr>
    </w:tbl>
    <w:p w14:paraId="2A330AA4">
      <w:pPr>
        <w:keepNext w:val="0"/>
        <w:keepLines w:val="0"/>
        <w:pageBreakBefore w:val="0"/>
        <w:widowControl/>
        <w:kinsoku/>
        <w:wordWrap/>
        <w:overflowPunct/>
        <w:topLinePunct w:val="0"/>
        <w:autoSpaceDE w:val="0"/>
        <w:autoSpaceDN w:val="0"/>
        <w:bidi w:val="0"/>
        <w:adjustRightInd/>
        <w:snapToGrid/>
        <w:spacing w:line="360" w:lineRule="auto"/>
        <w:ind w:left="0" w:firstLine="520" w:firstLineChars="200"/>
        <w:textAlignment w:val="baseline"/>
        <w:outlineLvl w:val="9"/>
        <w:rPr>
          <w:rFonts w:hint="default" w:ascii="Times New Roman" w:hAnsi="Times New Roman" w:cs="Times New Roman"/>
          <w:bCs/>
          <w:color w:val="auto"/>
          <w:spacing w:val="10"/>
          <w:sz w:val="24"/>
          <w:szCs w:val="24"/>
        </w:rPr>
      </w:pPr>
    </w:p>
    <w:p w14:paraId="37F2F0BB">
      <w:pPr>
        <w:keepNext w:val="0"/>
        <w:keepLines w:val="0"/>
        <w:pageBreakBefore w:val="0"/>
        <w:widowControl/>
        <w:kinsoku/>
        <w:wordWrap/>
        <w:overflowPunct/>
        <w:topLinePunct w:val="0"/>
        <w:autoSpaceDE w:val="0"/>
        <w:autoSpaceDN w:val="0"/>
        <w:bidi w:val="0"/>
        <w:adjustRightInd/>
        <w:snapToGrid/>
        <w:spacing w:line="360" w:lineRule="auto"/>
        <w:ind w:left="0" w:firstLine="520" w:firstLineChars="200"/>
        <w:textAlignment w:val="baseline"/>
        <w:outlineLvl w:val="9"/>
        <w:rPr>
          <w:rFonts w:hint="default" w:ascii="Times New Roman" w:hAnsi="Times New Roman" w:cs="Times New Roman"/>
          <w:bCs/>
          <w:color w:val="auto"/>
          <w:spacing w:val="10"/>
          <w:sz w:val="24"/>
          <w:szCs w:val="24"/>
        </w:rPr>
        <w:sectPr>
          <w:pgSz w:w="16840" w:h="11905" w:orient="landscape"/>
          <w:pgMar w:top="1473" w:right="1161" w:bottom="1387" w:left="1209" w:header="829" w:footer="1048" w:gutter="0"/>
          <w:pgNumType w:fmt="decimal"/>
          <w:cols w:space="720" w:num="1"/>
        </w:sectPr>
      </w:pPr>
    </w:p>
    <w:p w14:paraId="5FF3B50F">
      <w:pPr>
        <w:spacing w:before="140" w:line="225" w:lineRule="auto"/>
        <w:ind w:left="2118"/>
        <w:outlineLvl w:val="0"/>
        <w:rPr>
          <w:rFonts w:hint="default" w:ascii="Times New Roman" w:hAnsi="Times New Roman" w:eastAsia="宋体" w:cs="Times New Roman"/>
          <w:color w:val="auto"/>
          <w:sz w:val="43"/>
          <w:szCs w:val="43"/>
        </w:rPr>
      </w:pPr>
      <w:bookmarkStart w:id="214" w:name="_Toc28721"/>
      <w:bookmarkStart w:id="215" w:name="_Toc24308"/>
      <w:bookmarkStart w:id="216" w:name="_Toc7432"/>
      <w:r>
        <w:rPr>
          <w:rFonts w:hint="eastAsia" w:ascii="Times New Roman" w:hAnsi="Times New Roman" w:eastAsia="宋体" w:cs="Times New Roman"/>
          <w:b/>
          <w:bCs/>
          <w:color w:val="auto"/>
          <w:spacing w:val="5"/>
          <w:sz w:val="43"/>
          <w:szCs w:val="43"/>
          <w:lang w:val="en-US" w:eastAsia="zh-CN"/>
        </w:rPr>
        <w:t>6</w:t>
      </w:r>
      <w:r>
        <w:rPr>
          <w:rFonts w:hint="default" w:ascii="Times New Roman" w:hAnsi="Times New Roman" w:eastAsia="Times New Roman" w:cs="Times New Roman"/>
          <w:b/>
          <w:bCs/>
          <w:color w:val="auto"/>
          <w:spacing w:val="5"/>
          <w:sz w:val="43"/>
          <w:szCs w:val="43"/>
        </w:rPr>
        <w:t>.</w:t>
      </w:r>
      <w:r>
        <w:rPr>
          <w:rFonts w:hint="default" w:ascii="Times New Roman" w:hAnsi="Times New Roman" w:eastAsia="宋体" w:cs="Times New Roman"/>
          <w:b/>
          <w:bCs/>
          <w:color w:val="auto"/>
          <w:spacing w:val="5"/>
          <w:sz w:val="43"/>
          <w:szCs w:val="43"/>
        </w:rPr>
        <w:t>环境影响经济损益分析</w:t>
      </w:r>
      <w:bookmarkEnd w:id="214"/>
      <w:bookmarkEnd w:id="215"/>
      <w:bookmarkEnd w:id="216"/>
    </w:p>
    <w:p w14:paraId="434E99CB">
      <w:pPr>
        <w:pStyle w:val="9"/>
        <w:spacing w:line="418" w:lineRule="auto"/>
        <w:rPr>
          <w:rFonts w:hint="default" w:ascii="Times New Roman" w:hAnsi="Times New Roman" w:cs="Times New Roman"/>
          <w:color w:val="auto"/>
        </w:rPr>
      </w:pPr>
    </w:p>
    <w:p w14:paraId="13545B97">
      <w:pPr>
        <w:pStyle w:val="9"/>
        <w:spacing w:before="313" w:line="220" w:lineRule="auto"/>
        <w:ind w:left="121"/>
        <w:outlineLvl w:val="2"/>
        <w:rPr>
          <w:color w:val="auto"/>
          <w:sz w:val="30"/>
          <w:szCs w:val="30"/>
        </w:rPr>
      </w:pPr>
      <w:bookmarkStart w:id="217" w:name="_Toc32098"/>
      <w:r>
        <w:rPr>
          <w:rFonts w:hint="eastAsia" w:ascii="Times New Roman" w:hAnsi="Times New Roman" w:eastAsia="宋体" w:cs="Times New Roman"/>
          <w:b/>
          <w:bCs/>
          <w:color w:val="auto"/>
          <w:spacing w:val="-10"/>
          <w:sz w:val="30"/>
          <w:szCs w:val="30"/>
          <w:lang w:val="en-US" w:eastAsia="zh-CN"/>
        </w:rPr>
        <w:t>6</w:t>
      </w:r>
      <w:r>
        <w:rPr>
          <w:rFonts w:ascii="Times New Roman" w:hAnsi="Times New Roman" w:eastAsia="Times New Roman" w:cs="Times New Roman"/>
          <w:b/>
          <w:bCs/>
          <w:color w:val="auto"/>
          <w:spacing w:val="-10"/>
          <w:sz w:val="30"/>
          <w:szCs w:val="30"/>
        </w:rPr>
        <w:t xml:space="preserve">.1  </w:t>
      </w:r>
      <w:r>
        <w:rPr>
          <w:b/>
          <w:bCs/>
          <w:color w:val="auto"/>
          <w:spacing w:val="-10"/>
          <w:sz w:val="30"/>
          <w:szCs w:val="30"/>
        </w:rPr>
        <w:t>目的与意义</w:t>
      </w:r>
      <w:bookmarkEnd w:id="217"/>
    </w:p>
    <w:p w14:paraId="4C41902F">
      <w:pPr>
        <w:pStyle w:val="9"/>
        <w:spacing w:before="218" w:line="360" w:lineRule="auto"/>
        <w:ind w:left="119" w:firstLine="480"/>
        <w:jc w:val="both"/>
        <w:rPr>
          <w:color w:val="auto"/>
          <w:sz w:val="24"/>
          <w:szCs w:val="24"/>
        </w:rPr>
      </w:pPr>
      <w:r>
        <w:rPr>
          <w:color w:val="auto"/>
          <w:sz w:val="24"/>
          <w:szCs w:val="24"/>
        </w:rPr>
        <w:t>环境经济损益分析是要对项目的经济效益、社会效益和环境效益进行分析，</w:t>
      </w:r>
      <w:r>
        <w:rPr>
          <w:color w:val="auto"/>
          <w:spacing w:val="-4"/>
          <w:sz w:val="24"/>
          <w:szCs w:val="24"/>
        </w:rPr>
        <w:t>揭示三效益的依存关系，分析本工程既可发展经济又</w:t>
      </w:r>
      <w:r>
        <w:rPr>
          <w:color w:val="auto"/>
          <w:spacing w:val="-5"/>
          <w:sz w:val="24"/>
          <w:szCs w:val="24"/>
        </w:rPr>
        <w:t>能实现环境保护的双重目的，</w:t>
      </w:r>
      <w:r>
        <w:rPr>
          <w:color w:val="auto"/>
          <w:spacing w:val="-3"/>
          <w:sz w:val="24"/>
          <w:szCs w:val="24"/>
        </w:rPr>
        <w:t>使三效益协调统一，走可持续发展道路，即在发展经济的同时保护好环境，从而</w:t>
      </w:r>
      <w:r>
        <w:rPr>
          <w:color w:val="auto"/>
          <w:spacing w:val="-2"/>
          <w:sz w:val="24"/>
          <w:szCs w:val="24"/>
        </w:rPr>
        <w:t>促进社会的稳定。</w:t>
      </w:r>
    </w:p>
    <w:p w14:paraId="684E49EE">
      <w:pPr>
        <w:pStyle w:val="9"/>
        <w:spacing w:before="4" w:line="218" w:lineRule="auto"/>
        <w:ind w:left="121"/>
        <w:outlineLvl w:val="2"/>
        <w:rPr>
          <w:color w:val="auto"/>
          <w:sz w:val="30"/>
          <w:szCs w:val="30"/>
        </w:rPr>
      </w:pPr>
      <w:bookmarkStart w:id="218" w:name="bookmark52"/>
      <w:bookmarkEnd w:id="218"/>
      <w:bookmarkStart w:id="219" w:name="_Toc605"/>
      <w:r>
        <w:rPr>
          <w:rFonts w:hint="eastAsia" w:ascii="Times New Roman" w:hAnsi="Times New Roman" w:eastAsia="宋体" w:cs="Times New Roman"/>
          <w:b/>
          <w:bCs/>
          <w:color w:val="auto"/>
          <w:spacing w:val="-3"/>
          <w:sz w:val="30"/>
          <w:szCs w:val="30"/>
          <w:lang w:val="en-US" w:eastAsia="zh-CN"/>
        </w:rPr>
        <w:t>6</w:t>
      </w:r>
      <w:r>
        <w:rPr>
          <w:rFonts w:ascii="Times New Roman" w:hAnsi="Times New Roman" w:eastAsia="Times New Roman" w:cs="Times New Roman"/>
          <w:b/>
          <w:bCs/>
          <w:color w:val="auto"/>
          <w:spacing w:val="-3"/>
          <w:sz w:val="30"/>
          <w:szCs w:val="30"/>
        </w:rPr>
        <w:t xml:space="preserve">.2 </w:t>
      </w:r>
      <w:r>
        <w:rPr>
          <w:b/>
          <w:bCs/>
          <w:color w:val="auto"/>
          <w:spacing w:val="-3"/>
          <w:sz w:val="30"/>
          <w:szCs w:val="30"/>
        </w:rPr>
        <w:t>环保投资估算</w:t>
      </w:r>
      <w:bookmarkEnd w:id="219"/>
    </w:p>
    <w:p w14:paraId="0D9F97B6">
      <w:pPr>
        <w:pStyle w:val="9"/>
        <w:spacing w:before="215" w:line="359" w:lineRule="auto"/>
        <w:ind w:left="120" w:right="181" w:firstLine="387"/>
        <w:jc w:val="both"/>
        <w:rPr>
          <w:color w:val="auto"/>
          <w:sz w:val="24"/>
          <w:szCs w:val="24"/>
        </w:rPr>
      </w:pPr>
      <w:r>
        <w:rPr>
          <w:color w:val="auto"/>
          <w:sz w:val="24"/>
          <w:szCs w:val="24"/>
        </w:rPr>
        <w:t>以工程设计估算编制的有关规定为基础，估算本工程为减免</w:t>
      </w:r>
      <w:r>
        <w:rPr>
          <w:color w:val="auto"/>
          <w:spacing w:val="-1"/>
          <w:sz w:val="24"/>
          <w:szCs w:val="24"/>
        </w:rPr>
        <w:t>、降低不利环境</w:t>
      </w:r>
      <w:r>
        <w:rPr>
          <w:color w:val="auto"/>
          <w:spacing w:val="-3"/>
          <w:sz w:val="24"/>
          <w:szCs w:val="24"/>
        </w:rPr>
        <w:t>影响所采取的环境保护工程和管理等措施等进行的环保投资，它既包括治理污染保护环境的设施费用，又包括既为生产所需，又为治理污染服务，但主要目的是</w:t>
      </w:r>
      <w:r>
        <w:rPr>
          <w:color w:val="auto"/>
          <w:spacing w:val="-1"/>
          <w:sz w:val="24"/>
          <w:szCs w:val="24"/>
        </w:rPr>
        <w:t>为改善环境的设施费用，计算公式为：</w:t>
      </w:r>
    </w:p>
    <w:p w14:paraId="79FF7FBB">
      <w:pPr>
        <w:spacing w:line="819" w:lineRule="exact"/>
        <w:ind w:left="3046"/>
        <w:rPr>
          <w:color w:val="auto"/>
        </w:rPr>
      </w:pPr>
      <w:r>
        <w:rPr>
          <w:color w:val="auto"/>
          <w:position w:val="-16"/>
        </w:rPr>
        <w:drawing>
          <wp:inline distT="0" distB="0" distL="0" distR="0">
            <wp:extent cx="1548130" cy="520065"/>
            <wp:effectExtent l="0" t="0" r="13970" b="13335"/>
            <wp:docPr id="141" name="IM 126"/>
            <wp:cNvGraphicFramePr/>
            <a:graphic xmlns:a="http://schemas.openxmlformats.org/drawingml/2006/main">
              <a:graphicData uri="http://schemas.openxmlformats.org/drawingml/2006/picture">
                <pic:pic xmlns:pic="http://schemas.openxmlformats.org/drawingml/2006/picture">
                  <pic:nvPicPr>
                    <pic:cNvPr id="141" name="IM 126"/>
                    <pic:cNvPicPr/>
                  </pic:nvPicPr>
                  <pic:blipFill>
                    <a:blip r:embed="rId108"/>
                    <a:stretch>
                      <a:fillRect/>
                    </a:stretch>
                  </pic:blipFill>
                  <pic:spPr>
                    <a:xfrm>
                      <a:off x="0" y="0"/>
                      <a:ext cx="1548732" cy="520452"/>
                    </a:xfrm>
                    <a:prstGeom prst="rect">
                      <a:avLst/>
                    </a:prstGeom>
                  </pic:spPr>
                </pic:pic>
              </a:graphicData>
            </a:graphic>
          </wp:inline>
        </w:drawing>
      </w:r>
    </w:p>
    <w:p w14:paraId="59BFCF9B">
      <w:pPr>
        <w:pStyle w:val="9"/>
        <w:spacing w:before="179" w:line="359" w:lineRule="auto"/>
        <w:ind w:left="120" w:right="181" w:firstLine="363"/>
        <w:jc w:val="both"/>
        <w:rPr>
          <w:rFonts w:hint="default" w:ascii="Times New Roman" w:hAnsi="Times New Roman" w:cs="Times New Roman"/>
          <w:color w:val="auto"/>
          <w:spacing w:val="-3"/>
          <w:sz w:val="24"/>
          <w:szCs w:val="24"/>
        </w:rPr>
      </w:pPr>
      <w:r>
        <w:rPr>
          <w:rFonts w:hint="default" w:ascii="Times New Roman" w:hAnsi="Times New Roman" w:cs="Times New Roman"/>
          <w:color w:val="auto"/>
          <w:sz w:val="24"/>
          <w:szCs w:val="24"/>
        </w:rPr>
        <w:t>项目环保投资主要用于噪声防治、绿化投资以及</w:t>
      </w:r>
      <w:r>
        <w:rPr>
          <w:rFonts w:hint="default" w:ascii="Times New Roman" w:hAnsi="Times New Roman" w:eastAsia="宋体" w:cs="Times New Roman"/>
          <w:color w:val="auto"/>
          <w:sz w:val="24"/>
          <w:szCs w:val="24"/>
          <w:lang w:eastAsia="zh-CN"/>
        </w:rPr>
        <w:t>危废暂存间</w:t>
      </w:r>
      <w:r>
        <w:rPr>
          <w:rFonts w:hint="default" w:ascii="Times New Roman" w:hAnsi="Times New Roman" w:cs="Times New Roman"/>
          <w:color w:val="auto"/>
          <w:sz w:val="24"/>
          <w:szCs w:val="24"/>
        </w:rPr>
        <w:t>建设等。</w:t>
      </w:r>
      <w:r>
        <w:rPr>
          <w:rFonts w:hint="default" w:ascii="Times New Roman" w:hAnsi="Times New Roman" w:cs="Times New Roman"/>
          <w:color w:val="auto"/>
          <w:sz w:val="24"/>
        </w:rPr>
        <w:t>本项目总投资</w:t>
      </w:r>
      <w:r>
        <w:rPr>
          <w:rFonts w:hint="default" w:ascii="Times New Roman" w:hAnsi="Times New Roman" w:cs="Times New Roman"/>
          <w:color w:val="auto"/>
          <w:sz w:val="24"/>
          <w:lang w:val="en-US" w:eastAsia="zh-CN"/>
        </w:rPr>
        <w:t>8418</w:t>
      </w:r>
      <w:r>
        <w:rPr>
          <w:rFonts w:hint="default" w:ascii="Times New Roman" w:hAnsi="Times New Roman" w:cs="Times New Roman"/>
          <w:color w:val="auto"/>
          <w:sz w:val="24"/>
        </w:rPr>
        <w:t>万元，其中环保投资</w:t>
      </w:r>
      <w:r>
        <w:rPr>
          <w:rFonts w:hint="eastAsia" w:ascii="Times New Roman" w:hAnsi="Times New Roman" w:cs="Times New Roman"/>
          <w:color w:val="auto"/>
          <w:sz w:val="24"/>
          <w:lang w:val="en-US" w:eastAsia="zh-CN"/>
        </w:rPr>
        <w:t>117.2万</w:t>
      </w:r>
      <w:r>
        <w:rPr>
          <w:rFonts w:hint="default" w:ascii="Times New Roman" w:hAnsi="Times New Roman" w:cs="Times New Roman"/>
          <w:color w:val="auto"/>
          <w:sz w:val="24"/>
        </w:rPr>
        <w:t>，占总投资的</w:t>
      </w:r>
      <w:r>
        <w:rPr>
          <w:rFonts w:hint="eastAsia" w:ascii="Times New Roman" w:hAnsi="Times New Roman" w:cs="Times New Roman"/>
          <w:color w:val="auto"/>
          <w:sz w:val="24"/>
          <w:lang w:val="en-US" w:eastAsia="zh-CN"/>
        </w:rPr>
        <w:t>1.39%</w:t>
      </w:r>
      <w:r>
        <w:rPr>
          <w:rFonts w:hint="default" w:ascii="Times New Roman" w:hAnsi="Times New Roman" w:cs="Times New Roman"/>
          <w:color w:val="auto"/>
          <w:sz w:val="24"/>
        </w:rPr>
        <w:t>。</w:t>
      </w:r>
      <w:r>
        <w:rPr>
          <w:rFonts w:hint="default" w:ascii="Times New Roman" w:hAnsi="Times New Roman" w:cs="Times New Roman"/>
          <w:color w:val="auto"/>
          <w:spacing w:val="-4"/>
          <w:sz w:val="24"/>
          <w:szCs w:val="24"/>
        </w:rPr>
        <w:t>具</w:t>
      </w:r>
      <w:r>
        <w:rPr>
          <w:rFonts w:hint="default" w:ascii="Times New Roman" w:hAnsi="Times New Roman" w:cs="Times New Roman"/>
          <w:color w:val="auto"/>
          <w:spacing w:val="-3"/>
          <w:sz w:val="24"/>
          <w:szCs w:val="24"/>
        </w:rPr>
        <w:t>体环保投资分项估算详见表</w:t>
      </w:r>
      <w:r>
        <w:rPr>
          <w:rFonts w:hint="eastAsia" w:ascii="Times New Roman" w:hAnsi="Times New Roman" w:eastAsia="宋体" w:cs="Times New Roman"/>
          <w:color w:val="auto"/>
          <w:spacing w:val="-3"/>
          <w:sz w:val="24"/>
          <w:szCs w:val="24"/>
          <w:lang w:val="en-US" w:eastAsia="zh-CN"/>
        </w:rPr>
        <w:t>6</w:t>
      </w:r>
      <w:r>
        <w:rPr>
          <w:rFonts w:hint="default" w:ascii="Times New Roman" w:hAnsi="Times New Roman" w:eastAsia="Times New Roman" w:cs="Times New Roman"/>
          <w:color w:val="auto"/>
          <w:spacing w:val="-3"/>
          <w:sz w:val="24"/>
          <w:szCs w:val="24"/>
        </w:rPr>
        <w:t>.2-1</w:t>
      </w:r>
      <w:r>
        <w:rPr>
          <w:rFonts w:hint="default" w:ascii="Times New Roman" w:hAnsi="Times New Roman" w:cs="Times New Roman"/>
          <w:color w:val="auto"/>
          <w:spacing w:val="-3"/>
          <w:sz w:val="24"/>
          <w:szCs w:val="24"/>
        </w:rPr>
        <w:t>。</w:t>
      </w:r>
    </w:p>
    <w:p w14:paraId="35D3024D">
      <w:pPr>
        <w:pStyle w:val="9"/>
        <w:keepNext/>
        <w:keepLines w:val="0"/>
        <w:pageBreakBefore w:val="0"/>
        <w:widowControl/>
        <w:kinsoku/>
        <w:wordWrap/>
        <w:overflowPunct/>
        <w:topLinePunct w:val="0"/>
        <w:autoSpaceDE w:val="0"/>
        <w:autoSpaceDN w:val="0"/>
        <w:bidi w:val="0"/>
        <w:adjustRightInd/>
        <w:snapToGrid/>
        <w:spacing w:line="360" w:lineRule="auto"/>
        <w:ind w:left="0"/>
        <w:jc w:val="center"/>
        <w:textAlignment w:val="baseline"/>
        <w:rPr>
          <w:rFonts w:hint="default" w:ascii="Times New Roman" w:hAnsi="Times New Roman" w:cs="Times New Roman"/>
          <w:color w:val="auto"/>
          <w:spacing w:val="0"/>
          <w:sz w:val="21"/>
        </w:rPr>
      </w:pPr>
      <w:r>
        <w:rPr>
          <w:rFonts w:hint="default" w:ascii="Times New Roman" w:hAnsi="Times New Roman" w:cs="Times New Roman"/>
          <w:b/>
          <w:bCs/>
          <w:color w:val="auto"/>
          <w:spacing w:val="0"/>
          <w:sz w:val="21"/>
        </w:rPr>
        <w:t>表</w:t>
      </w:r>
      <w:r>
        <w:rPr>
          <w:rFonts w:hint="default" w:ascii="Times New Roman" w:hAnsi="Times New Roman" w:eastAsia="宋体" w:cs="Times New Roman"/>
          <w:color w:val="auto"/>
          <w:spacing w:val="0"/>
          <w:sz w:val="21"/>
          <w:lang w:val="en-US" w:eastAsia="zh-CN"/>
        </w:rPr>
        <w:t>6</w:t>
      </w:r>
      <w:r>
        <w:rPr>
          <w:rFonts w:hint="default" w:ascii="Times New Roman" w:hAnsi="Times New Roman" w:eastAsia="Times New Roman" w:cs="Times New Roman"/>
          <w:b/>
          <w:bCs/>
          <w:color w:val="auto"/>
          <w:spacing w:val="0"/>
          <w:sz w:val="21"/>
        </w:rPr>
        <w:t xml:space="preserve">.2-1    </w:t>
      </w:r>
      <w:r>
        <w:rPr>
          <w:rFonts w:hint="default" w:ascii="Times New Roman" w:hAnsi="Times New Roman" w:cs="Times New Roman"/>
          <w:b/>
          <w:bCs/>
          <w:color w:val="auto"/>
          <w:spacing w:val="0"/>
          <w:sz w:val="21"/>
        </w:rPr>
        <w:t>项目环境保护投资估算</w:t>
      </w:r>
    </w:p>
    <w:tbl>
      <w:tblPr>
        <w:tblStyle w:val="21"/>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715"/>
        <w:gridCol w:w="1536"/>
        <w:gridCol w:w="4678"/>
        <w:gridCol w:w="1126"/>
      </w:tblGrid>
      <w:tr w14:paraId="7CF7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63" w:type="dxa"/>
            <w:tcBorders>
              <w:left w:val="single" w:color="auto" w:sz="4" w:space="0"/>
              <w:right w:val="single" w:color="auto" w:sz="4" w:space="0"/>
            </w:tcBorders>
            <w:noWrap w:val="0"/>
            <w:vAlign w:val="center"/>
          </w:tcPr>
          <w:p w14:paraId="7DDE591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bookmarkStart w:id="220" w:name="bookmark53"/>
            <w:bookmarkEnd w:id="220"/>
            <w:r>
              <w:rPr>
                <w:rFonts w:hint="default" w:ascii="Times New Roman" w:hAnsi="Times New Roman" w:eastAsia="宋体" w:cs="Times New Roman"/>
                <w:b/>
                <w:bCs/>
                <w:color w:val="auto"/>
                <w:sz w:val="21"/>
                <w:szCs w:val="21"/>
                <w:highlight w:val="none"/>
                <w:lang w:val="en-US" w:eastAsia="zh-CN"/>
              </w:rPr>
              <w:t>阶段</w:t>
            </w:r>
          </w:p>
        </w:tc>
        <w:tc>
          <w:tcPr>
            <w:tcW w:w="715" w:type="dxa"/>
            <w:tcBorders>
              <w:left w:val="single" w:color="auto" w:sz="4" w:space="0"/>
              <w:right w:val="single" w:color="auto" w:sz="4" w:space="0"/>
            </w:tcBorders>
            <w:noWrap w:val="0"/>
            <w:vAlign w:val="center"/>
          </w:tcPr>
          <w:p w14:paraId="76D6A12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防治</w:t>
            </w:r>
          </w:p>
          <w:p w14:paraId="2C017AFF">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对象</w:t>
            </w:r>
          </w:p>
        </w:tc>
        <w:tc>
          <w:tcPr>
            <w:tcW w:w="1536" w:type="dxa"/>
            <w:tcBorders>
              <w:left w:val="single" w:color="auto" w:sz="4" w:space="0"/>
              <w:right w:val="single" w:color="auto" w:sz="4" w:space="0"/>
            </w:tcBorders>
            <w:noWrap w:val="0"/>
            <w:vAlign w:val="center"/>
          </w:tcPr>
          <w:p w14:paraId="56B8410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w:t>
            </w:r>
          </w:p>
        </w:tc>
        <w:tc>
          <w:tcPr>
            <w:tcW w:w="4678" w:type="dxa"/>
            <w:tcBorders>
              <w:left w:val="single" w:color="auto" w:sz="4" w:space="0"/>
              <w:right w:val="single" w:color="auto" w:sz="4" w:space="0"/>
            </w:tcBorders>
            <w:noWrap w:val="0"/>
            <w:vAlign w:val="center"/>
          </w:tcPr>
          <w:p w14:paraId="490F408E">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环保设施</w:t>
            </w:r>
          </w:p>
        </w:tc>
        <w:tc>
          <w:tcPr>
            <w:tcW w:w="1126" w:type="dxa"/>
            <w:tcBorders>
              <w:left w:val="single" w:color="auto" w:sz="4" w:space="0"/>
            </w:tcBorders>
            <w:noWrap w:val="0"/>
            <w:vAlign w:val="center"/>
          </w:tcPr>
          <w:p w14:paraId="6FC4387C">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估算投资（万元）</w:t>
            </w:r>
          </w:p>
        </w:tc>
      </w:tr>
      <w:tr w14:paraId="26EC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63" w:type="dxa"/>
            <w:vMerge w:val="restart"/>
            <w:tcBorders>
              <w:left w:val="single" w:color="auto" w:sz="4" w:space="0"/>
              <w:right w:val="single" w:color="auto" w:sz="4" w:space="0"/>
            </w:tcBorders>
            <w:noWrap w:val="0"/>
            <w:vAlign w:val="center"/>
          </w:tcPr>
          <w:p w14:paraId="583605EE">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施</w:t>
            </w:r>
          </w:p>
          <w:p w14:paraId="5666C96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工</w:t>
            </w:r>
          </w:p>
          <w:p w14:paraId="5DA2AF8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期</w:t>
            </w:r>
          </w:p>
        </w:tc>
        <w:tc>
          <w:tcPr>
            <w:tcW w:w="715" w:type="dxa"/>
            <w:vMerge w:val="restart"/>
            <w:tcBorders>
              <w:left w:val="single" w:color="auto" w:sz="4" w:space="0"/>
              <w:right w:val="single" w:color="auto" w:sz="4" w:space="0"/>
            </w:tcBorders>
            <w:noWrap w:val="0"/>
            <w:vAlign w:val="center"/>
          </w:tcPr>
          <w:p w14:paraId="4E3F7D2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扬尘</w:t>
            </w:r>
          </w:p>
        </w:tc>
        <w:tc>
          <w:tcPr>
            <w:tcW w:w="1536" w:type="dxa"/>
            <w:tcBorders>
              <w:left w:val="single" w:color="auto" w:sz="4" w:space="0"/>
              <w:right w:val="single" w:color="auto" w:sz="4" w:space="0"/>
            </w:tcBorders>
            <w:noWrap w:val="0"/>
            <w:vAlign w:val="center"/>
          </w:tcPr>
          <w:p w14:paraId="51AC6C1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洒水降尘设施</w:t>
            </w:r>
          </w:p>
        </w:tc>
        <w:tc>
          <w:tcPr>
            <w:tcW w:w="4678" w:type="dxa"/>
            <w:tcBorders>
              <w:left w:val="single" w:color="auto" w:sz="4" w:space="0"/>
              <w:right w:val="single" w:color="auto" w:sz="4" w:space="0"/>
            </w:tcBorders>
            <w:noWrap w:val="0"/>
            <w:vAlign w:val="center"/>
          </w:tcPr>
          <w:p w14:paraId="7DCBC8E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洒水降尘水管</w:t>
            </w:r>
            <w:r>
              <w:rPr>
                <w:rFonts w:hint="default" w:ascii="Times New Roman" w:hAnsi="Times New Roman" w:cs="Times New Roman"/>
                <w:b w:val="0"/>
                <w:bCs w:val="0"/>
                <w:color w:val="auto"/>
                <w:sz w:val="21"/>
                <w:szCs w:val="21"/>
                <w:highlight w:val="none"/>
                <w:lang w:val="en-US" w:eastAsia="zh-CN"/>
              </w:rPr>
              <w:t>1</w:t>
            </w:r>
            <w:r>
              <w:rPr>
                <w:rFonts w:hint="default" w:ascii="Times New Roman" w:hAnsi="Times New Roman" w:eastAsia="宋体" w:cs="Times New Roman"/>
                <w:b w:val="0"/>
                <w:bCs w:val="0"/>
                <w:color w:val="auto"/>
                <w:sz w:val="21"/>
                <w:szCs w:val="21"/>
                <w:highlight w:val="none"/>
                <w:lang w:val="en-US" w:eastAsia="zh-CN"/>
              </w:rPr>
              <w:t>00</w:t>
            </w:r>
            <w:r>
              <w:rPr>
                <w:rFonts w:hint="default" w:ascii="Times New Roman" w:hAnsi="Times New Roman" w:cs="Times New Roman"/>
                <w:b w:val="0"/>
                <w:bCs w:val="0"/>
                <w:color w:val="auto"/>
                <w:sz w:val="21"/>
                <w:szCs w:val="21"/>
                <w:highlight w:val="none"/>
                <w:lang w:val="en-US" w:eastAsia="zh-CN"/>
              </w:rPr>
              <w:t>0</w:t>
            </w:r>
            <w:r>
              <w:rPr>
                <w:rFonts w:hint="default" w:ascii="Times New Roman" w:hAnsi="Times New Roman" w:eastAsia="宋体" w:cs="Times New Roman"/>
                <w:b w:val="0"/>
                <w:bCs w:val="0"/>
                <w:color w:val="auto"/>
                <w:sz w:val="21"/>
                <w:szCs w:val="21"/>
                <w:highlight w:val="none"/>
                <w:lang w:val="en-US" w:eastAsia="zh-CN"/>
              </w:rPr>
              <w:t>m</w:t>
            </w:r>
          </w:p>
        </w:tc>
        <w:tc>
          <w:tcPr>
            <w:tcW w:w="1126" w:type="dxa"/>
            <w:tcBorders>
              <w:left w:val="single" w:color="auto" w:sz="4" w:space="0"/>
            </w:tcBorders>
            <w:noWrap w:val="0"/>
            <w:vAlign w:val="center"/>
          </w:tcPr>
          <w:p w14:paraId="75AC3196">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10</w:t>
            </w:r>
          </w:p>
        </w:tc>
      </w:tr>
      <w:tr w14:paraId="2C9D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63" w:type="dxa"/>
            <w:vMerge w:val="continue"/>
            <w:tcBorders>
              <w:left w:val="single" w:color="auto" w:sz="4" w:space="0"/>
              <w:right w:val="single" w:color="auto" w:sz="4" w:space="0"/>
            </w:tcBorders>
            <w:noWrap w:val="0"/>
            <w:vAlign w:val="center"/>
          </w:tcPr>
          <w:p w14:paraId="121E9300">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continue"/>
            <w:tcBorders>
              <w:left w:val="single" w:color="auto" w:sz="4" w:space="0"/>
              <w:right w:val="single" w:color="auto" w:sz="4" w:space="0"/>
            </w:tcBorders>
            <w:noWrap w:val="0"/>
            <w:vAlign w:val="center"/>
          </w:tcPr>
          <w:p w14:paraId="3DBA5233">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536" w:type="dxa"/>
            <w:tcBorders>
              <w:left w:val="single" w:color="auto" w:sz="4" w:space="0"/>
              <w:right w:val="single" w:color="auto" w:sz="4" w:space="0"/>
            </w:tcBorders>
            <w:noWrap w:val="0"/>
            <w:vAlign w:val="center"/>
          </w:tcPr>
          <w:p w14:paraId="704FB34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物料覆盖等防尘措施</w:t>
            </w:r>
          </w:p>
        </w:tc>
        <w:tc>
          <w:tcPr>
            <w:tcW w:w="4678" w:type="dxa"/>
            <w:tcBorders>
              <w:left w:val="single" w:color="auto" w:sz="4" w:space="0"/>
              <w:right w:val="single" w:color="auto" w:sz="4" w:space="0"/>
            </w:tcBorders>
            <w:noWrap w:val="0"/>
            <w:vAlign w:val="center"/>
          </w:tcPr>
          <w:p w14:paraId="3040608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高度2m的临时施工围挡、</w:t>
            </w:r>
            <w:r>
              <w:rPr>
                <w:rFonts w:hint="default" w:ascii="Times New Roman" w:hAnsi="Times New Roman" w:eastAsia="宋体" w:cs="Times New Roman"/>
                <w:b w:val="0"/>
                <w:bCs w:val="0"/>
                <w:color w:val="auto"/>
                <w:sz w:val="21"/>
                <w:szCs w:val="21"/>
                <w:highlight w:val="none"/>
                <w:lang w:val="en-US" w:eastAsia="zh-CN"/>
              </w:rPr>
              <w:t>防尘布、防尘网等</w:t>
            </w:r>
            <w:r>
              <w:rPr>
                <w:rFonts w:hint="default" w:ascii="Times New Roman" w:hAnsi="Times New Roman" w:cs="Times New Roman"/>
                <w:b w:val="0"/>
                <w:bCs w:val="0"/>
                <w:color w:val="auto"/>
                <w:sz w:val="21"/>
                <w:szCs w:val="21"/>
                <w:highlight w:val="none"/>
                <w:lang w:val="en-US" w:eastAsia="zh-CN"/>
              </w:rPr>
              <w:t>800</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2</w:t>
            </w:r>
            <w:r>
              <w:rPr>
                <w:rFonts w:hint="default" w:ascii="Times New Roman" w:hAnsi="Times New Roman" w:eastAsia="宋体" w:cs="Times New Roman"/>
                <w:b w:val="0"/>
                <w:bCs w:val="0"/>
                <w:color w:val="auto"/>
                <w:sz w:val="21"/>
                <w:szCs w:val="21"/>
                <w:highlight w:val="none"/>
                <w:lang w:val="en-US" w:eastAsia="zh-CN"/>
              </w:rPr>
              <w:t>。</w:t>
            </w:r>
          </w:p>
        </w:tc>
        <w:tc>
          <w:tcPr>
            <w:tcW w:w="1126" w:type="dxa"/>
            <w:tcBorders>
              <w:left w:val="single" w:color="auto" w:sz="4" w:space="0"/>
            </w:tcBorders>
            <w:noWrap w:val="0"/>
            <w:vAlign w:val="center"/>
          </w:tcPr>
          <w:p w14:paraId="182B1812">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20</w:t>
            </w:r>
          </w:p>
        </w:tc>
      </w:tr>
      <w:tr w14:paraId="2B44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63" w:type="dxa"/>
            <w:vMerge w:val="continue"/>
            <w:tcBorders>
              <w:left w:val="single" w:color="auto" w:sz="4" w:space="0"/>
              <w:right w:val="single" w:color="auto" w:sz="4" w:space="0"/>
            </w:tcBorders>
            <w:noWrap w:val="0"/>
            <w:vAlign w:val="center"/>
          </w:tcPr>
          <w:p w14:paraId="2497BED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tcBorders>
              <w:left w:val="single" w:color="auto" w:sz="4" w:space="0"/>
              <w:right w:val="single" w:color="auto" w:sz="4" w:space="0"/>
            </w:tcBorders>
            <w:noWrap w:val="0"/>
            <w:vAlign w:val="center"/>
          </w:tcPr>
          <w:p w14:paraId="65741E0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废水</w:t>
            </w:r>
          </w:p>
        </w:tc>
        <w:tc>
          <w:tcPr>
            <w:tcW w:w="1536" w:type="dxa"/>
            <w:tcBorders>
              <w:left w:val="single" w:color="auto" w:sz="4" w:space="0"/>
              <w:right w:val="single" w:color="auto" w:sz="4" w:space="0"/>
            </w:tcBorders>
            <w:noWrap w:val="0"/>
            <w:vAlign w:val="center"/>
          </w:tcPr>
          <w:p w14:paraId="63371D0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施工废水处理措施</w:t>
            </w:r>
          </w:p>
        </w:tc>
        <w:tc>
          <w:tcPr>
            <w:tcW w:w="4678" w:type="dxa"/>
            <w:tcBorders>
              <w:left w:val="single" w:color="auto" w:sz="4" w:space="0"/>
              <w:right w:val="single" w:color="auto" w:sz="4" w:space="0"/>
            </w:tcBorders>
            <w:noWrap w:val="0"/>
            <w:vAlign w:val="center"/>
          </w:tcPr>
          <w:p w14:paraId="2AB8D8EF">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临时沉淀池，</w:t>
            </w:r>
            <w:r>
              <w:rPr>
                <w:rFonts w:hint="default" w:ascii="Times New Roman" w:hAnsi="Times New Roman" w:cs="Times New Roman"/>
                <w:b w:val="0"/>
                <w:bCs w:val="0"/>
                <w:color w:val="auto"/>
                <w:sz w:val="21"/>
                <w:szCs w:val="21"/>
                <w:highlight w:val="none"/>
                <w:vertAlign w:val="baseline"/>
                <w:lang w:val="en-US" w:eastAsia="zh-CN"/>
              </w:rPr>
              <w:t>1个</w:t>
            </w:r>
            <w:r>
              <w:rPr>
                <w:rFonts w:hint="default" w:ascii="Times New Roman" w:hAnsi="Times New Roman" w:eastAsia="宋体" w:cs="Times New Roman"/>
                <w:b w:val="0"/>
                <w:bCs w:val="0"/>
                <w:color w:val="auto"/>
                <w:sz w:val="21"/>
                <w:szCs w:val="21"/>
                <w:highlight w:val="none"/>
                <w:lang w:val="en-US" w:eastAsia="zh-CN"/>
              </w:rPr>
              <w:t>容积</w:t>
            </w:r>
            <w:r>
              <w:rPr>
                <w:rFonts w:hint="eastAsia"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w:t>
            </w:r>
          </w:p>
        </w:tc>
        <w:tc>
          <w:tcPr>
            <w:tcW w:w="1126" w:type="dxa"/>
            <w:tcBorders>
              <w:left w:val="single" w:color="auto" w:sz="4" w:space="0"/>
            </w:tcBorders>
            <w:noWrap w:val="0"/>
            <w:vAlign w:val="center"/>
          </w:tcPr>
          <w:p w14:paraId="1FA5C593">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w:t>
            </w:r>
          </w:p>
        </w:tc>
      </w:tr>
      <w:tr w14:paraId="6E35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763" w:type="dxa"/>
            <w:vMerge w:val="continue"/>
            <w:tcBorders>
              <w:left w:val="single" w:color="auto" w:sz="4" w:space="0"/>
              <w:right w:val="single" w:color="auto" w:sz="4" w:space="0"/>
            </w:tcBorders>
            <w:noWrap w:val="0"/>
            <w:vAlign w:val="center"/>
          </w:tcPr>
          <w:p w14:paraId="012BDF5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tcBorders>
              <w:left w:val="single" w:color="auto" w:sz="4" w:space="0"/>
              <w:right w:val="single" w:color="auto" w:sz="4" w:space="0"/>
            </w:tcBorders>
            <w:noWrap w:val="0"/>
            <w:vAlign w:val="center"/>
          </w:tcPr>
          <w:p w14:paraId="23ED4A7E">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噪声</w:t>
            </w:r>
          </w:p>
        </w:tc>
        <w:tc>
          <w:tcPr>
            <w:tcW w:w="1536" w:type="dxa"/>
            <w:tcBorders>
              <w:left w:val="single" w:color="auto" w:sz="4" w:space="0"/>
              <w:right w:val="single" w:color="auto" w:sz="4" w:space="0"/>
            </w:tcBorders>
            <w:noWrap w:val="0"/>
            <w:vAlign w:val="center"/>
          </w:tcPr>
          <w:p w14:paraId="4623C9A8">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施工设备减噪措施</w:t>
            </w:r>
          </w:p>
        </w:tc>
        <w:tc>
          <w:tcPr>
            <w:tcW w:w="4678" w:type="dxa"/>
            <w:tcBorders>
              <w:left w:val="single" w:color="auto" w:sz="4" w:space="0"/>
              <w:right w:val="single" w:color="auto" w:sz="4" w:space="0"/>
            </w:tcBorders>
            <w:noWrap w:val="0"/>
            <w:vAlign w:val="center"/>
          </w:tcPr>
          <w:p w14:paraId="544502E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选用低噪声设备，</w:t>
            </w:r>
            <w:r>
              <w:rPr>
                <w:rFonts w:hint="default" w:ascii="Times New Roman" w:hAnsi="Times New Roman" w:eastAsia="宋体" w:cs="Times New Roman"/>
                <w:color w:val="auto"/>
                <w:kern w:val="0"/>
                <w:sz w:val="21"/>
                <w:szCs w:val="21"/>
                <w:lang w:val="en-US" w:eastAsia="zh-CN" w:bidi="ar"/>
              </w:rPr>
              <w:t>合理布局，合理安排施工时间，高噪声施工设备</w:t>
            </w:r>
            <w:r>
              <w:rPr>
                <w:rFonts w:hint="default" w:ascii="Times New Roman" w:hAnsi="Times New Roman" w:cs="Times New Roman"/>
                <w:color w:val="auto"/>
                <w:kern w:val="0"/>
                <w:sz w:val="21"/>
                <w:szCs w:val="21"/>
                <w:lang w:val="en-US" w:eastAsia="zh-CN" w:bidi="ar"/>
              </w:rPr>
              <w:t>采</w:t>
            </w:r>
            <w:r>
              <w:rPr>
                <w:rFonts w:hint="default" w:ascii="Times New Roman" w:hAnsi="Times New Roman" w:eastAsia="宋体" w:cs="Times New Roman"/>
                <w:color w:val="auto"/>
                <w:kern w:val="0"/>
                <w:sz w:val="21"/>
                <w:szCs w:val="21"/>
                <w:lang w:val="en-US" w:eastAsia="zh-CN" w:bidi="ar"/>
              </w:rPr>
              <w:t>取减振、消声、隔声措施，设置高度2m的临时施工围挡。</w:t>
            </w:r>
          </w:p>
        </w:tc>
        <w:tc>
          <w:tcPr>
            <w:tcW w:w="1126" w:type="dxa"/>
            <w:tcBorders>
              <w:left w:val="single" w:color="auto" w:sz="4" w:space="0"/>
            </w:tcBorders>
            <w:noWrap w:val="0"/>
            <w:vAlign w:val="center"/>
          </w:tcPr>
          <w:p w14:paraId="603ED771">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10</w:t>
            </w:r>
          </w:p>
        </w:tc>
      </w:tr>
      <w:tr w14:paraId="78E7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63" w:type="dxa"/>
            <w:vMerge w:val="continue"/>
            <w:tcBorders>
              <w:left w:val="single" w:color="auto" w:sz="4" w:space="0"/>
              <w:right w:val="single" w:color="auto" w:sz="4" w:space="0"/>
            </w:tcBorders>
            <w:noWrap w:val="0"/>
            <w:vAlign w:val="center"/>
          </w:tcPr>
          <w:p w14:paraId="224CCCD9">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restart"/>
            <w:tcBorders>
              <w:left w:val="single" w:color="auto" w:sz="4" w:space="0"/>
              <w:right w:val="single" w:color="auto" w:sz="4" w:space="0"/>
            </w:tcBorders>
            <w:noWrap w:val="0"/>
            <w:vAlign w:val="center"/>
          </w:tcPr>
          <w:p w14:paraId="34AE7C78">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固体废物</w:t>
            </w:r>
          </w:p>
        </w:tc>
        <w:tc>
          <w:tcPr>
            <w:tcW w:w="1536" w:type="dxa"/>
            <w:vMerge w:val="restart"/>
            <w:tcBorders>
              <w:left w:val="single" w:color="auto" w:sz="4" w:space="0"/>
              <w:right w:val="single" w:color="auto" w:sz="4" w:space="0"/>
            </w:tcBorders>
            <w:noWrap w:val="0"/>
            <w:vAlign w:val="center"/>
          </w:tcPr>
          <w:p w14:paraId="488B0E8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垃圾收集清运设施</w:t>
            </w:r>
          </w:p>
        </w:tc>
        <w:tc>
          <w:tcPr>
            <w:tcW w:w="4678" w:type="dxa"/>
            <w:tcBorders>
              <w:left w:val="single" w:color="auto" w:sz="4" w:space="0"/>
              <w:right w:val="single" w:color="auto" w:sz="4" w:space="0"/>
            </w:tcBorders>
            <w:noWrap w:val="0"/>
            <w:vAlign w:val="center"/>
          </w:tcPr>
          <w:p w14:paraId="59BEDF1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使用</w:t>
            </w:r>
            <w:r>
              <w:rPr>
                <w:rFonts w:hint="default" w:ascii="Times New Roman" w:hAnsi="Times New Roman" w:eastAsia="宋体" w:cs="Times New Roman"/>
                <w:color w:val="auto"/>
                <w:kern w:val="0"/>
                <w:sz w:val="21"/>
                <w:szCs w:val="21"/>
                <w:lang w:val="en-US" w:eastAsia="zh-CN" w:bidi="ar"/>
              </w:rPr>
              <w:t>高度2m</w:t>
            </w:r>
            <w:r>
              <w:rPr>
                <w:rFonts w:hint="default" w:ascii="Times New Roman" w:hAnsi="Times New Roman" w:eastAsia="宋体" w:cs="Times New Roman"/>
                <w:b w:val="0"/>
                <w:bCs w:val="0"/>
                <w:color w:val="auto"/>
                <w:sz w:val="21"/>
                <w:szCs w:val="21"/>
                <w:highlight w:val="none"/>
                <w:lang w:val="en-US" w:eastAsia="zh-CN"/>
              </w:rPr>
              <w:t>施工</w:t>
            </w:r>
            <w:r>
              <w:rPr>
                <w:rFonts w:hint="default" w:ascii="Times New Roman" w:hAnsi="Times New Roman" w:cs="Times New Roman"/>
                <w:b w:val="0"/>
                <w:bCs w:val="0"/>
                <w:color w:val="auto"/>
                <w:sz w:val="21"/>
                <w:szCs w:val="21"/>
                <w:highlight w:val="none"/>
                <w:lang w:val="en-US" w:eastAsia="zh-CN"/>
              </w:rPr>
              <w:t>围挡，</w:t>
            </w:r>
            <w:r>
              <w:rPr>
                <w:rFonts w:hint="default" w:ascii="Times New Roman" w:hAnsi="Times New Roman" w:eastAsia="宋体" w:cs="Times New Roman"/>
                <w:b w:val="0"/>
                <w:bCs w:val="0"/>
                <w:color w:val="auto"/>
                <w:sz w:val="21"/>
                <w:szCs w:val="21"/>
                <w:highlight w:val="none"/>
                <w:lang w:val="en-US" w:eastAsia="zh-CN"/>
              </w:rPr>
              <w:t>设置建筑垃圾临时堆放场地。</w:t>
            </w:r>
          </w:p>
        </w:tc>
        <w:tc>
          <w:tcPr>
            <w:tcW w:w="1126" w:type="dxa"/>
            <w:tcBorders>
              <w:left w:val="single" w:color="auto" w:sz="4" w:space="0"/>
            </w:tcBorders>
            <w:noWrap w:val="0"/>
            <w:vAlign w:val="center"/>
          </w:tcPr>
          <w:p w14:paraId="41DBCB15">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r>
      <w:tr w14:paraId="5CF5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63" w:type="dxa"/>
            <w:vMerge w:val="continue"/>
            <w:tcBorders>
              <w:left w:val="single" w:color="auto" w:sz="4" w:space="0"/>
              <w:right w:val="single" w:color="auto" w:sz="4" w:space="0"/>
            </w:tcBorders>
            <w:noWrap w:val="0"/>
            <w:vAlign w:val="center"/>
          </w:tcPr>
          <w:p w14:paraId="2364796A">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continue"/>
            <w:tcBorders>
              <w:left w:val="single" w:color="auto" w:sz="4" w:space="0"/>
              <w:right w:val="single" w:color="auto" w:sz="4" w:space="0"/>
            </w:tcBorders>
            <w:noWrap w:val="0"/>
            <w:vAlign w:val="center"/>
          </w:tcPr>
          <w:p w14:paraId="6127ED0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536" w:type="dxa"/>
            <w:vMerge w:val="continue"/>
            <w:tcBorders>
              <w:left w:val="single" w:color="auto" w:sz="4" w:space="0"/>
              <w:right w:val="single" w:color="auto" w:sz="4" w:space="0"/>
            </w:tcBorders>
            <w:noWrap w:val="0"/>
            <w:vAlign w:val="center"/>
          </w:tcPr>
          <w:p w14:paraId="758CDD8C">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678" w:type="dxa"/>
            <w:tcBorders>
              <w:left w:val="single" w:color="auto" w:sz="4" w:space="0"/>
              <w:right w:val="single" w:color="auto" w:sz="4" w:space="0"/>
            </w:tcBorders>
            <w:noWrap w:val="0"/>
            <w:vAlign w:val="center"/>
          </w:tcPr>
          <w:p w14:paraId="6BC883F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设置4个垃圾桶</w:t>
            </w:r>
          </w:p>
        </w:tc>
        <w:tc>
          <w:tcPr>
            <w:tcW w:w="1126" w:type="dxa"/>
            <w:tcBorders>
              <w:left w:val="single" w:color="auto" w:sz="4" w:space="0"/>
            </w:tcBorders>
            <w:noWrap w:val="0"/>
            <w:vAlign w:val="center"/>
          </w:tcPr>
          <w:p w14:paraId="0364ECA1">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0.2</w:t>
            </w:r>
          </w:p>
        </w:tc>
      </w:tr>
      <w:tr w14:paraId="51BB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63" w:type="dxa"/>
            <w:vMerge w:val="continue"/>
            <w:tcBorders>
              <w:left w:val="single" w:color="auto" w:sz="4" w:space="0"/>
              <w:right w:val="single" w:color="auto" w:sz="4" w:space="0"/>
            </w:tcBorders>
            <w:noWrap w:val="0"/>
            <w:vAlign w:val="center"/>
          </w:tcPr>
          <w:p w14:paraId="40494AC8">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tcBorders>
              <w:left w:val="single" w:color="auto" w:sz="4" w:space="0"/>
              <w:right w:val="single" w:color="auto" w:sz="4" w:space="0"/>
            </w:tcBorders>
            <w:noWrap w:val="0"/>
            <w:vAlign w:val="center"/>
          </w:tcPr>
          <w:p w14:paraId="1A43A45F">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振动</w:t>
            </w:r>
          </w:p>
        </w:tc>
        <w:tc>
          <w:tcPr>
            <w:tcW w:w="1536" w:type="dxa"/>
            <w:tcBorders>
              <w:left w:val="single" w:color="auto" w:sz="4" w:space="0"/>
              <w:right w:val="single" w:color="auto" w:sz="4" w:space="0"/>
            </w:tcBorders>
            <w:noWrap w:val="0"/>
            <w:vAlign w:val="center"/>
          </w:tcPr>
          <w:p w14:paraId="0850F57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减振</w:t>
            </w:r>
          </w:p>
        </w:tc>
        <w:tc>
          <w:tcPr>
            <w:tcW w:w="4678" w:type="dxa"/>
            <w:tcBorders>
              <w:left w:val="single" w:color="auto" w:sz="4" w:space="0"/>
              <w:right w:val="single" w:color="auto" w:sz="4" w:space="0"/>
            </w:tcBorders>
            <w:noWrap w:val="0"/>
            <w:vAlign w:val="center"/>
          </w:tcPr>
          <w:p w14:paraId="3F142C19">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设置监管人员、采用低振动机械施工。</w:t>
            </w:r>
          </w:p>
        </w:tc>
        <w:tc>
          <w:tcPr>
            <w:tcW w:w="1126" w:type="dxa"/>
            <w:tcBorders>
              <w:left w:val="single" w:color="auto" w:sz="4" w:space="0"/>
            </w:tcBorders>
            <w:noWrap w:val="0"/>
            <w:vAlign w:val="center"/>
          </w:tcPr>
          <w:p w14:paraId="63D74EAF">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w:t>
            </w:r>
          </w:p>
        </w:tc>
      </w:tr>
      <w:tr w14:paraId="0572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3" w:type="dxa"/>
            <w:vMerge w:val="continue"/>
            <w:tcBorders>
              <w:left w:val="single" w:color="auto" w:sz="4" w:space="0"/>
              <w:right w:val="single" w:color="auto" w:sz="4" w:space="0"/>
            </w:tcBorders>
            <w:noWrap w:val="0"/>
            <w:vAlign w:val="center"/>
          </w:tcPr>
          <w:p w14:paraId="44C156DE">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929" w:type="dxa"/>
            <w:gridSpan w:val="3"/>
            <w:tcBorders>
              <w:left w:val="single" w:color="auto" w:sz="4" w:space="0"/>
              <w:right w:val="single" w:color="auto" w:sz="4" w:space="0"/>
            </w:tcBorders>
            <w:noWrap w:val="0"/>
            <w:vAlign w:val="center"/>
          </w:tcPr>
          <w:p w14:paraId="791D67E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小计</w:t>
            </w:r>
          </w:p>
        </w:tc>
        <w:tc>
          <w:tcPr>
            <w:tcW w:w="1126" w:type="dxa"/>
            <w:tcBorders>
              <w:left w:val="single" w:color="auto" w:sz="4" w:space="0"/>
            </w:tcBorders>
            <w:noWrap w:val="0"/>
            <w:vAlign w:val="center"/>
          </w:tcPr>
          <w:p w14:paraId="3D9BE1E7">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52.2</w:t>
            </w:r>
          </w:p>
        </w:tc>
      </w:tr>
      <w:tr w14:paraId="4F50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Merge w:val="restart"/>
            <w:tcBorders>
              <w:left w:val="single" w:color="auto" w:sz="4" w:space="0"/>
              <w:right w:val="single" w:color="auto" w:sz="4" w:space="0"/>
            </w:tcBorders>
            <w:noWrap w:val="0"/>
            <w:vAlign w:val="center"/>
          </w:tcPr>
          <w:p w14:paraId="3102339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运</w:t>
            </w:r>
          </w:p>
          <w:p w14:paraId="6993B489">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营</w:t>
            </w:r>
          </w:p>
          <w:p w14:paraId="5AA02F4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期</w:t>
            </w:r>
          </w:p>
        </w:tc>
        <w:tc>
          <w:tcPr>
            <w:tcW w:w="715" w:type="dxa"/>
            <w:tcBorders>
              <w:left w:val="single" w:color="auto" w:sz="4" w:space="0"/>
              <w:right w:val="single" w:color="auto" w:sz="4" w:space="0"/>
            </w:tcBorders>
            <w:noWrap w:val="0"/>
            <w:vAlign w:val="center"/>
          </w:tcPr>
          <w:p w14:paraId="2EE7B55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废气</w:t>
            </w:r>
          </w:p>
        </w:tc>
        <w:tc>
          <w:tcPr>
            <w:tcW w:w="1536" w:type="dxa"/>
            <w:tcBorders>
              <w:left w:val="single" w:color="auto" w:sz="4" w:space="0"/>
              <w:right w:val="single" w:color="auto" w:sz="4" w:space="0"/>
            </w:tcBorders>
            <w:noWrap w:val="0"/>
            <w:vAlign w:val="center"/>
          </w:tcPr>
          <w:p w14:paraId="73E77B1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粉尘</w:t>
            </w:r>
          </w:p>
        </w:tc>
        <w:tc>
          <w:tcPr>
            <w:tcW w:w="4678" w:type="dxa"/>
            <w:tcBorders>
              <w:left w:val="single" w:color="auto" w:sz="4" w:space="0"/>
              <w:right w:val="single" w:color="auto" w:sz="4" w:space="0"/>
            </w:tcBorders>
            <w:noWrap w:val="0"/>
            <w:vAlign w:val="center"/>
          </w:tcPr>
          <w:p w14:paraId="5BEDC16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设置洒水车1台</w:t>
            </w:r>
            <w:r>
              <w:rPr>
                <w:rFonts w:hint="default" w:ascii="Times New Roman" w:hAnsi="Times New Roman" w:eastAsia="宋体" w:cs="Times New Roman"/>
                <w:color w:val="auto"/>
                <w:sz w:val="21"/>
                <w:szCs w:val="21"/>
                <w:highlight w:val="none"/>
                <w:lang w:val="en-US" w:eastAsia="zh-CN"/>
              </w:rPr>
              <w:t>。</w:t>
            </w:r>
          </w:p>
        </w:tc>
        <w:tc>
          <w:tcPr>
            <w:tcW w:w="1126" w:type="dxa"/>
            <w:tcBorders>
              <w:left w:val="single" w:color="auto" w:sz="4" w:space="0"/>
            </w:tcBorders>
            <w:noWrap w:val="0"/>
            <w:vAlign w:val="center"/>
          </w:tcPr>
          <w:p w14:paraId="62D85C38">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4</w:t>
            </w:r>
          </w:p>
        </w:tc>
      </w:tr>
      <w:tr w14:paraId="0A43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63" w:type="dxa"/>
            <w:vMerge w:val="continue"/>
            <w:tcBorders>
              <w:left w:val="single" w:color="auto" w:sz="4" w:space="0"/>
              <w:right w:val="single" w:color="auto" w:sz="4" w:space="0"/>
            </w:tcBorders>
            <w:noWrap w:val="0"/>
            <w:vAlign w:val="center"/>
          </w:tcPr>
          <w:p w14:paraId="73B4CB9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restart"/>
            <w:tcBorders>
              <w:left w:val="single" w:color="auto" w:sz="4" w:space="0"/>
              <w:right w:val="single" w:color="auto" w:sz="4" w:space="0"/>
            </w:tcBorders>
            <w:noWrap w:val="0"/>
            <w:vAlign w:val="center"/>
          </w:tcPr>
          <w:p w14:paraId="7BDBA7F8">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废水</w:t>
            </w:r>
          </w:p>
        </w:tc>
        <w:tc>
          <w:tcPr>
            <w:tcW w:w="1536" w:type="dxa"/>
            <w:tcBorders>
              <w:left w:val="single" w:color="auto" w:sz="4" w:space="0"/>
              <w:right w:val="single" w:color="auto" w:sz="4" w:space="0"/>
            </w:tcBorders>
            <w:noWrap w:val="0"/>
            <w:vAlign w:val="center"/>
          </w:tcPr>
          <w:p w14:paraId="280DA57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雨水</w:t>
            </w:r>
          </w:p>
        </w:tc>
        <w:tc>
          <w:tcPr>
            <w:tcW w:w="4678" w:type="dxa"/>
            <w:tcBorders>
              <w:left w:val="single" w:color="auto" w:sz="4" w:space="0"/>
              <w:right w:val="single" w:color="auto" w:sz="4" w:space="0"/>
            </w:tcBorders>
            <w:noWrap w:val="0"/>
            <w:vAlign w:val="center"/>
          </w:tcPr>
          <w:p w14:paraId="32004ED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lang w:eastAsia="zh-CN"/>
              </w:rPr>
              <w:t>设</w:t>
            </w:r>
            <w:r>
              <w:rPr>
                <w:rFonts w:hint="default" w:ascii="Times New Roman" w:hAnsi="Times New Roman" w:eastAsia="宋体" w:cs="Times New Roman"/>
                <w:b w:val="0"/>
                <w:bCs w:val="0"/>
                <w:color w:val="auto"/>
                <w:sz w:val="21"/>
                <w:szCs w:val="21"/>
                <w:lang w:val="en-US" w:eastAsia="zh-CN"/>
              </w:rPr>
              <w:t>初期</w:t>
            </w:r>
            <w:r>
              <w:rPr>
                <w:rFonts w:hint="default" w:ascii="Times New Roman" w:hAnsi="Times New Roman" w:eastAsia="宋体" w:cs="Times New Roman"/>
                <w:b w:val="0"/>
                <w:bCs w:val="0"/>
                <w:color w:val="auto"/>
                <w:sz w:val="21"/>
                <w:szCs w:val="21"/>
                <w:lang w:eastAsia="zh-CN"/>
              </w:rPr>
              <w:t>雨水收集池1座（</w:t>
            </w:r>
            <w:r>
              <w:rPr>
                <w:rFonts w:hint="eastAsia" w:ascii="Times New Roman" w:hAnsi="Times New Roman" w:eastAsia="宋体" w:cs="Times New Roman"/>
                <w:color w:val="auto"/>
                <w:szCs w:val="21"/>
                <w:lang w:val="en-US" w:eastAsia="zh-CN"/>
              </w:rPr>
              <w:t>1500m</w:t>
            </w:r>
            <w:r>
              <w:rPr>
                <w:rFonts w:hint="eastAsia" w:ascii="Times New Roman" w:hAnsi="Times New Roman" w:eastAsia="宋体" w:cs="Times New Roman"/>
                <w:color w:val="auto"/>
                <w:szCs w:val="21"/>
                <w:vertAlign w:val="superscript"/>
                <w:lang w:val="en-US" w:eastAsia="zh-CN"/>
              </w:rPr>
              <w:t>3</w:t>
            </w:r>
            <w:r>
              <w:rPr>
                <w:rFonts w:hint="default" w:ascii="Times New Roman" w:hAnsi="Times New Roman" w:eastAsia="宋体" w:cs="Times New Roman"/>
                <w:b w:val="0"/>
                <w:bCs w:val="0"/>
                <w:color w:val="auto"/>
                <w:sz w:val="21"/>
                <w:szCs w:val="21"/>
                <w:lang w:eastAsia="zh-CN"/>
              </w:rPr>
              <w:t>），将</w:t>
            </w:r>
            <w:r>
              <w:rPr>
                <w:rFonts w:hint="default" w:ascii="Times New Roman" w:hAnsi="Times New Roman" w:eastAsia="宋体" w:cs="Times New Roman"/>
                <w:b w:val="0"/>
                <w:bCs w:val="0"/>
                <w:color w:val="auto"/>
                <w:sz w:val="21"/>
                <w:szCs w:val="21"/>
                <w:lang w:val="en-US" w:eastAsia="zh-CN"/>
              </w:rPr>
              <w:t>初期</w:t>
            </w:r>
            <w:r>
              <w:rPr>
                <w:rFonts w:hint="default" w:ascii="Times New Roman" w:hAnsi="Times New Roman" w:eastAsia="宋体" w:cs="Times New Roman"/>
                <w:b w:val="0"/>
                <w:bCs w:val="0"/>
                <w:color w:val="auto"/>
                <w:sz w:val="21"/>
                <w:szCs w:val="21"/>
                <w:lang w:eastAsia="zh-CN"/>
              </w:rPr>
              <w:t>雨水集中</w:t>
            </w:r>
            <w:r>
              <w:rPr>
                <w:rFonts w:hint="default" w:ascii="Times New Roman" w:hAnsi="Times New Roman" w:cs="Times New Roman"/>
                <w:b w:val="0"/>
                <w:bCs w:val="0"/>
                <w:color w:val="auto"/>
                <w:sz w:val="21"/>
                <w:szCs w:val="21"/>
                <w:lang w:eastAsia="zh-CN"/>
              </w:rPr>
              <w:t>排入</w:t>
            </w:r>
            <w:r>
              <w:rPr>
                <w:rFonts w:hint="default" w:ascii="Times New Roman" w:hAnsi="Times New Roman" w:eastAsia="宋体" w:cs="Times New Roman"/>
                <w:b w:val="0"/>
                <w:bCs w:val="0"/>
                <w:color w:val="auto"/>
                <w:sz w:val="21"/>
                <w:szCs w:val="21"/>
                <w:lang w:val="en-US" w:eastAsia="zh-CN"/>
              </w:rPr>
              <w:t>初期</w:t>
            </w:r>
            <w:r>
              <w:rPr>
                <w:rFonts w:hint="default" w:ascii="Times New Roman" w:hAnsi="Times New Roman" w:eastAsia="宋体" w:cs="Times New Roman"/>
                <w:b w:val="0"/>
                <w:bCs w:val="0"/>
                <w:color w:val="auto"/>
                <w:sz w:val="21"/>
                <w:szCs w:val="21"/>
                <w:lang w:eastAsia="zh-CN"/>
              </w:rPr>
              <w:t>雨水收集池</w:t>
            </w:r>
            <w:r>
              <w:rPr>
                <w:rFonts w:hint="default" w:ascii="Times New Roman" w:hAnsi="Times New Roman" w:cs="Times New Roman"/>
                <w:b w:val="0"/>
                <w:bCs w:val="0"/>
                <w:color w:val="auto"/>
                <w:sz w:val="21"/>
                <w:szCs w:val="21"/>
                <w:lang w:val="en-US" w:eastAsia="zh-CN"/>
              </w:rPr>
              <w:t>处理</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设截排水沟</w:t>
            </w:r>
            <w:r>
              <w:rPr>
                <w:rFonts w:hint="default" w:ascii="Times New Roman" w:hAnsi="Times New Roman" w:eastAsia="宋体" w:cs="Times New Roman"/>
                <w:b w:val="0"/>
                <w:bCs w:val="0"/>
                <w:color w:val="auto"/>
                <w:sz w:val="21"/>
                <w:szCs w:val="21"/>
                <w:lang w:eastAsia="zh-CN"/>
              </w:rPr>
              <w:t>。</w:t>
            </w:r>
          </w:p>
        </w:tc>
        <w:tc>
          <w:tcPr>
            <w:tcW w:w="1126" w:type="dxa"/>
            <w:tcBorders>
              <w:left w:val="single" w:color="auto" w:sz="4" w:space="0"/>
            </w:tcBorders>
            <w:noWrap w:val="0"/>
            <w:vAlign w:val="center"/>
          </w:tcPr>
          <w:p w14:paraId="163CA501">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15</w:t>
            </w:r>
          </w:p>
        </w:tc>
      </w:tr>
      <w:tr w14:paraId="152FD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63" w:type="dxa"/>
            <w:vMerge w:val="continue"/>
            <w:tcBorders>
              <w:left w:val="single" w:color="auto" w:sz="4" w:space="0"/>
              <w:right w:val="single" w:color="auto" w:sz="4" w:space="0"/>
            </w:tcBorders>
            <w:noWrap w:val="0"/>
            <w:vAlign w:val="center"/>
          </w:tcPr>
          <w:p w14:paraId="5A2F5D2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continue"/>
            <w:tcBorders>
              <w:left w:val="single" w:color="auto" w:sz="4" w:space="0"/>
              <w:right w:val="single" w:color="auto" w:sz="4" w:space="0"/>
            </w:tcBorders>
            <w:noWrap w:val="0"/>
            <w:vAlign w:val="center"/>
          </w:tcPr>
          <w:p w14:paraId="505DD63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536" w:type="dxa"/>
            <w:tcBorders>
              <w:left w:val="single" w:color="auto" w:sz="4" w:space="0"/>
              <w:right w:val="single" w:color="auto" w:sz="4" w:space="0"/>
            </w:tcBorders>
            <w:noWrap w:val="0"/>
            <w:vAlign w:val="center"/>
          </w:tcPr>
          <w:p w14:paraId="3488C57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生活废水</w:t>
            </w:r>
          </w:p>
        </w:tc>
        <w:tc>
          <w:tcPr>
            <w:tcW w:w="4678" w:type="dxa"/>
            <w:tcBorders>
              <w:left w:val="single" w:color="auto" w:sz="4" w:space="0"/>
              <w:right w:val="single" w:color="auto" w:sz="4" w:space="0"/>
            </w:tcBorders>
            <w:noWrap w:val="0"/>
            <w:vAlign w:val="center"/>
          </w:tcPr>
          <w:p w14:paraId="01A9FF51">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lang w:val="en-US" w:eastAsia="zh-CN"/>
              </w:rPr>
              <w:t>生活废水排入货运综合楼旁1个容积</w:t>
            </w:r>
            <w:r>
              <w:rPr>
                <w:rFonts w:hint="default" w:ascii="Times New Roman" w:hAnsi="Times New Roman" w:cs="Times New Roman"/>
                <w:color w:val="auto"/>
                <w:sz w:val="21"/>
                <w:szCs w:val="21"/>
                <w:lang w:val="en-US" w:eastAsia="zh-CN"/>
              </w:rPr>
              <w:t>10</w:t>
            </w:r>
            <w:r>
              <w:rPr>
                <w:rFonts w:hint="default" w:ascii="Times New Roman" w:hAnsi="Times New Roman" w:eastAsia="宋体" w:cs="Times New Roman"/>
                <w:bCs/>
                <w:color w:val="auto"/>
                <w:sz w:val="21"/>
                <w:szCs w:val="21"/>
              </w:rPr>
              <w:t>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 w:val="0"/>
                <w:bCs w:val="0"/>
                <w:color w:val="auto"/>
                <w:sz w:val="21"/>
                <w:szCs w:val="21"/>
                <w:lang w:val="en-US" w:eastAsia="zh-CN"/>
              </w:rPr>
              <w:t>的化粪池。</w:t>
            </w:r>
          </w:p>
        </w:tc>
        <w:tc>
          <w:tcPr>
            <w:tcW w:w="1126" w:type="dxa"/>
            <w:tcBorders>
              <w:left w:val="single" w:color="auto" w:sz="4" w:space="0"/>
            </w:tcBorders>
            <w:noWrap w:val="0"/>
            <w:vAlign w:val="center"/>
          </w:tcPr>
          <w:p w14:paraId="29E4EF2C">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w:t>
            </w:r>
          </w:p>
        </w:tc>
      </w:tr>
      <w:tr w14:paraId="0262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3" w:type="dxa"/>
            <w:vMerge w:val="continue"/>
            <w:tcBorders>
              <w:left w:val="single" w:color="auto" w:sz="4" w:space="0"/>
              <w:right w:val="single" w:color="auto" w:sz="4" w:space="0"/>
            </w:tcBorders>
            <w:noWrap w:val="0"/>
            <w:vAlign w:val="center"/>
          </w:tcPr>
          <w:p w14:paraId="30CF06B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tcBorders>
              <w:left w:val="single" w:color="auto" w:sz="4" w:space="0"/>
              <w:right w:val="single" w:color="auto" w:sz="4" w:space="0"/>
            </w:tcBorders>
            <w:noWrap w:val="0"/>
            <w:vAlign w:val="center"/>
          </w:tcPr>
          <w:p w14:paraId="5738532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噪声</w:t>
            </w:r>
          </w:p>
        </w:tc>
        <w:tc>
          <w:tcPr>
            <w:tcW w:w="1536" w:type="dxa"/>
            <w:tcBorders>
              <w:left w:val="single" w:color="auto" w:sz="4" w:space="0"/>
              <w:right w:val="single" w:color="auto" w:sz="4" w:space="0"/>
            </w:tcBorders>
            <w:noWrap w:val="0"/>
            <w:vAlign w:val="center"/>
          </w:tcPr>
          <w:p w14:paraId="436D77ED">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噪声控制</w:t>
            </w:r>
          </w:p>
        </w:tc>
        <w:tc>
          <w:tcPr>
            <w:tcW w:w="4678" w:type="dxa"/>
            <w:tcBorders>
              <w:left w:val="single" w:color="auto" w:sz="4" w:space="0"/>
              <w:right w:val="single" w:color="auto" w:sz="4" w:space="0"/>
            </w:tcBorders>
            <w:noWrap w:val="0"/>
            <w:vAlign w:val="center"/>
          </w:tcPr>
          <w:p w14:paraId="2152093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选用</w:t>
            </w:r>
            <w:r>
              <w:rPr>
                <w:rFonts w:hint="default" w:ascii="Times New Roman" w:hAnsi="Times New Roman" w:eastAsia="宋体" w:cs="Times New Roman"/>
                <w:color w:val="auto"/>
                <w:sz w:val="21"/>
                <w:szCs w:val="21"/>
              </w:rPr>
              <w:t>低噪声设备，安装隔声、减振等措施</w:t>
            </w:r>
            <w:r>
              <w:rPr>
                <w:rFonts w:hint="default" w:ascii="Times New Roman" w:hAnsi="Times New Roman" w:eastAsia="宋体" w:cs="Times New Roman"/>
                <w:color w:val="auto"/>
                <w:sz w:val="21"/>
                <w:szCs w:val="21"/>
                <w:lang w:eastAsia="zh-CN"/>
              </w:rPr>
              <w:t>。</w:t>
            </w:r>
          </w:p>
        </w:tc>
        <w:tc>
          <w:tcPr>
            <w:tcW w:w="1126" w:type="dxa"/>
            <w:tcBorders>
              <w:left w:val="single" w:color="auto" w:sz="4" w:space="0"/>
            </w:tcBorders>
            <w:noWrap w:val="0"/>
            <w:vAlign w:val="center"/>
          </w:tcPr>
          <w:p w14:paraId="56402EEC">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w:t>
            </w:r>
          </w:p>
        </w:tc>
      </w:tr>
      <w:tr w14:paraId="3824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3" w:type="dxa"/>
            <w:vMerge w:val="continue"/>
            <w:tcBorders>
              <w:left w:val="single" w:color="auto" w:sz="4" w:space="0"/>
              <w:right w:val="single" w:color="auto" w:sz="4" w:space="0"/>
            </w:tcBorders>
            <w:noWrap w:val="0"/>
            <w:vAlign w:val="center"/>
          </w:tcPr>
          <w:p w14:paraId="1717C8B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tcBorders>
              <w:left w:val="single" w:color="auto" w:sz="4" w:space="0"/>
              <w:right w:val="single" w:color="auto" w:sz="4" w:space="0"/>
            </w:tcBorders>
            <w:noWrap w:val="0"/>
            <w:vAlign w:val="center"/>
          </w:tcPr>
          <w:p w14:paraId="7D254D6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振动</w:t>
            </w:r>
          </w:p>
        </w:tc>
        <w:tc>
          <w:tcPr>
            <w:tcW w:w="1536" w:type="dxa"/>
            <w:tcBorders>
              <w:left w:val="single" w:color="auto" w:sz="4" w:space="0"/>
              <w:right w:val="single" w:color="auto" w:sz="4" w:space="0"/>
            </w:tcBorders>
            <w:noWrap w:val="0"/>
            <w:vAlign w:val="center"/>
          </w:tcPr>
          <w:p w14:paraId="5C1E44D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振动</w:t>
            </w:r>
            <w:r>
              <w:rPr>
                <w:rFonts w:hint="default" w:ascii="Times New Roman" w:hAnsi="Times New Roman" w:eastAsia="宋体" w:cs="Times New Roman"/>
                <w:b w:val="0"/>
                <w:bCs w:val="0"/>
                <w:color w:val="auto"/>
                <w:sz w:val="21"/>
                <w:szCs w:val="21"/>
                <w:highlight w:val="none"/>
                <w:lang w:val="en-US" w:eastAsia="zh-CN"/>
              </w:rPr>
              <w:t>控制</w:t>
            </w:r>
          </w:p>
        </w:tc>
        <w:tc>
          <w:tcPr>
            <w:tcW w:w="4678" w:type="dxa"/>
            <w:tcBorders>
              <w:left w:val="single" w:color="auto" w:sz="4" w:space="0"/>
              <w:right w:val="single" w:color="auto" w:sz="4" w:space="0"/>
            </w:tcBorders>
            <w:noWrap w:val="0"/>
            <w:vAlign w:val="center"/>
          </w:tcPr>
          <w:p w14:paraId="4A5EC2D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选用</w:t>
            </w:r>
            <w:r>
              <w:rPr>
                <w:rFonts w:hint="default" w:ascii="Times New Roman" w:hAnsi="Times New Roman" w:eastAsia="宋体" w:cs="Times New Roman"/>
                <w:color w:val="auto"/>
                <w:sz w:val="21"/>
                <w:szCs w:val="21"/>
              </w:rPr>
              <w:t>低</w:t>
            </w:r>
            <w:r>
              <w:rPr>
                <w:rFonts w:hint="default" w:ascii="Times New Roman" w:hAnsi="Times New Roman" w:cs="Times New Roman"/>
                <w:color w:val="auto"/>
                <w:sz w:val="21"/>
                <w:szCs w:val="21"/>
                <w:lang w:val="en-US" w:eastAsia="zh-CN"/>
              </w:rPr>
              <w:t>振动设备，加强轮轨的维护、保养，定期旋轮和打磨钢轨，对小半径曲线段涂油防护。</w:t>
            </w:r>
          </w:p>
        </w:tc>
        <w:tc>
          <w:tcPr>
            <w:tcW w:w="1126" w:type="dxa"/>
            <w:tcBorders>
              <w:left w:val="single" w:color="auto" w:sz="4" w:space="0"/>
            </w:tcBorders>
            <w:noWrap w:val="0"/>
            <w:vAlign w:val="center"/>
          </w:tcPr>
          <w:p w14:paraId="4DFBC12D">
            <w:pPr>
              <w:keepNext w:val="0"/>
              <w:keepLines w:val="0"/>
              <w:widowControl/>
              <w:suppressLineNumbers w:val="0"/>
              <w:jc w:val="center"/>
              <w:textAlignment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w:t>
            </w:r>
          </w:p>
        </w:tc>
      </w:tr>
      <w:tr w14:paraId="6DD4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63" w:type="dxa"/>
            <w:vMerge w:val="continue"/>
            <w:tcBorders>
              <w:left w:val="single" w:color="auto" w:sz="4" w:space="0"/>
              <w:right w:val="single" w:color="auto" w:sz="4" w:space="0"/>
            </w:tcBorders>
            <w:noWrap w:val="0"/>
            <w:vAlign w:val="center"/>
          </w:tcPr>
          <w:p w14:paraId="5D84814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restart"/>
            <w:tcBorders>
              <w:left w:val="single" w:color="auto" w:sz="4" w:space="0"/>
              <w:right w:val="single" w:color="auto" w:sz="4" w:space="0"/>
            </w:tcBorders>
            <w:noWrap w:val="0"/>
            <w:vAlign w:val="center"/>
          </w:tcPr>
          <w:p w14:paraId="5833B95C">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固废</w:t>
            </w:r>
          </w:p>
        </w:tc>
        <w:tc>
          <w:tcPr>
            <w:tcW w:w="1536" w:type="dxa"/>
            <w:tcBorders>
              <w:left w:val="single" w:color="auto" w:sz="4" w:space="0"/>
              <w:right w:val="single" w:color="auto" w:sz="4" w:space="0"/>
            </w:tcBorders>
            <w:noWrap w:val="0"/>
            <w:vAlign w:val="center"/>
          </w:tcPr>
          <w:p w14:paraId="1399240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lang w:eastAsia="zh-CN"/>
              </w:rPr>
              <w:t>生活</w:t>
            </w:r>
            <w:r>
              <w:rPr>
                <w:rFonts w:hint="default" w:ascii="Times New Roman" w:hAnsi="Times New Roman" w:eastAsia="宋体" w:cs="Times New Roman"/>
                <w:b w:val="0"/>
                <w:bCs w:val="0"/>
                <w:color w:val="auto"/>
                <w:sz w:val="21"/>
                <w:szCs w:val="21"/>
                <w:lang w:val="en-US" w:eastAsia="zh-CN"/>
              </w:rPr>
              <w:t>垃圾</w:t>
            </w:r>
          </w:p>
        </w:tc>
        <w:tc>
          <w:tcPr>
            <w:tcW w:w="4678" w:type="dxa"/>
            <w:tcBorders>
              <w:left w:val="single" w:color="auto" w:sz="4" w:space="0"/>
              <w:right w:val="single" w:color="auto" w:sz="4" w:space="0"/>
            </w:tcBorders>
            <w:noWrap w:val="0"/>
            <w:vAlign w:val="center"/>
          </w:tcPr>
          <w:p w14:paraId="7281898C">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设置</w:t>
            </w:r>
            <w:r>
              <w:rPr>
                <w:rFonts w:hint="default" w:ascii="Times New Roman" w:hAnsi="Times New Roman" w:eastAsia="宋体" w:cs="Times New Roman"/>
                <w:bCs/>
                <w:color w:val="auto"/>
                <w:sz w:val="21"/>
                <w:szCs w:val="21"/>
                <w:highlight w:val="none"/>
                <w:lang w:val="en-US" w:eastAsia="zh-CN"/>
              </w:rPr>
              <w:t>生活</w:t>
            </w:r>
            <w:r>
              <w:rPr>
                <w:rFonts w:hint="default" w:ascii="Times New Roman" w:hAnsi="Times New Roman" w:eastAsia="宋体" w:cs="Times New Roman"/>
                <w:bCs/>
                <w:color w:val="auto"/>
                <w:sz w:val="21"/>
                <w:szCs w:val="21"/>
                <w:highlight w:val="none"/>
              </w:rPr>
              <w:t>垃圾桶</w:t>
            </w:r>
            <w:r>
              <w:rPr>
                <w:rFonts w:hint="default" w:ascii="Times New Roman" w:hAnsi="Times New Roman" w:eastAsia="宋体" w:cs="Times New Roman"/>
                <w:bCs/>
                <w:color w:val="auto"/>
                <w:sz w:val="21"/>
                <w:szCs w:val="21"/>
                <w:highlight w:val="none"/>
                <w:lang w:eastAsia="zh-CN"/>
              </w:rPr>
              <w:t>若干，</w:t>
            </w:r>
            <w:r>
              <w:rPr>
                <w:rFonts w:hint="default" w:ascii="Times New Roman" w:hAnsi="Times New Roman" w:eastAsia="宋体" w:cs="Times New Roman"/>
                <w:bCs/>
                <w:color w:val="auto"/>
                <w:sz w:val="21"/>
                <w:szCs w:val="21"/>
                <w:highlight w:val="none"/>
                <w:lang w:val="en-US" w:eastAsia="zh-CN"/>
              </w:rPr>
              <w:t>生活</w:t>
            </w:r>
            <w:r>
              <w:rPr>
                <w:rFonts w:hint="default" w:ascii="Times New Roman" w:hAnsi="Times New Roman" w:eastAsia="宋体" w:cs="Times New Roman"/>
                <w:bCs/>
                <w:color w:val="auto"/>
                <w:sz w:val="21"/>
                <w:szCs w:val="21"/>
                <w:highlight w:val="none"/>
              </w:rPr>
              <w:t>垃圾</w:t>
            </w:r>
            <w:r>
              <w:rPr>
                <w:rFonts w:hint="default" w:ascii="Times New Roman" w:hAnsi="Times New Roman" w:eastAsia="宋体" w:cs="Times New Roman"/>
                <w:bCs/>
                <w:color w:val="auto"/>
                <w:sz w:val="21"/>
                <w:szCs w:val="21"/>
                <w:highlight w:val="none"/>
                <w:lang w:val="en-US" w:eastAsia="zh-CN"/>
              </w:rPr>
              <w:t>收集后交由环卫部门清运处置</w:t>
            </w:r>
            <w:r>
              <w:rPr>
                <w:rFonts w:hint="default" w:ascii="Times New Roman" w:hAnsi="Times New Roman" w:eastAsia="宋体" w:cs="Times New Roman"/>
                <w:bCs/>
                <w:color w:val="auto"/>
                <w:sz w:val="21"/>
                <w:szCs w:val="21"/>
                <w:highlight w:val="none"/>
                <w:lang w:eastAsia="zh-CN"/>
              </w:rPr>
              <w:t>。</w:t>
            </w:r>
          </w:p>
        </w:tc>
        <w:tc>
          <w:tcPr>
            <w:tcW w:w="1126" w:type="dxa"/>
            <w:tcBorders>
              <w:left w:val="single" w:color="auto" w:sz="4" w:space="0"/>
            </w:tcBorders>
            <w:noWrap w:val="0"/>
            <w:vAlign w:val="center"/>
          </w:tcPr>
          <w:p w14:paraId="35F031C9">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0.2</w:t>
            </w:r>
          </w:p>
        </w:tc>
      </w:tr>
      <w:tr w14:paraId="64E4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763" w:type="dxa"/>
            <w:vMerge w:val="continue"/>
            <w:tcBorders>
              <w:left w:val="single" w:color="auto" w:sz="4" w:space="0"/>
              <w:right w:val="single" w:color="auto" w:sz="4" w:space="0"/>
            </w:tcBorders>
            <w:noWrap w:val="0"/>
            <w:vAlign w:val="center"/>
          </w:tcPr>
          <w:p w14:paraId="1F4DC8EA">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continue"/>
            <w:tcBorders>
              <w:left w:val="single" w:color="auto" w:sz="4" w:space="0"/>
              <w:right w:val="single" w:color="auto" w:sz="4" w:space="0"/>
            </w:tcBorders>
            <w:noWrap w:val="0"/>
            <w:vAlign w:val="center"/>
          </w:tcPr>
          <w:p w14:paraId="1C95D875">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536" w:type="dxa"/>
            <w:tcBorders>
              <w:left w:val="single" w:color="auto" w:sz="4" w:space="0"/>
              <w:right w:val="single" w:color="auto" w:sz="4" w:space="0"/>
            </w:tcBorders>
            <w:noWrap w:val="0"/>
            <w:vAlign w:val="center"/>
          </w:tcPr>
          <w:p w14:paraId="4A307EE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lang w:val="en-US" w:eastAsia="zh-CN"/>
              </w:rPr>
              <w:t>危险废物</w:t>
            </w:r>
          </w:p>
        </w:tc>
        <w:tc>
          <w:tcPr>
            <w:tcW w:w="4678" w:type="dxa"/>
            <w:tcBorders>
              <w:left w:val="single" w:color="auto" w:sz="4" w:space="0"/>
              <w:right w:val="single" w:color="auto" w:sz="4" w:space="0"/>
            </w:tcBorders>
            <w:noWrap w:val="0"/>
            <w:vAlign w:val="center"/>
          </w:tcPr>
          <w:p w14:paraId="626A9B8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按照《</w:t>
            </w:r>
            <w:r>
              <w:rPr>
                <w:rFonts w:hint="default" w:ascii="Times New Roman" w:hAnsi="Times New Roman" w:eastAsia="宋体" w:cs="Times New Roman"/>
                <w:color w:val="auto"/>
                <w:sz w:val="21"/>
                <w:szCs w:val="21"/>
                <w:highlight w:val="none"/>
                <w:lang w:val="en-US" w:eastAsia="zh-CN"/>
              </w:rPr>
              <w:t>危</w:t>
            </w:r>
            <w:r>
              <w:rPr>
                <w:rFonts w:hint="default" w:ascii="Times New Roman" w:hAnsi="Times New Roman" w:eastAsia="宋体" w:cs="Times New Roman"/>
                <w:color w:val="auto"/>
                <w:sz w:val="21"/>
                <w:szCs w:val="21"/>
                <w:highlight w:val="none"/>
              </w:rPr>
              <w:t>险废物贮存污染控制标准》（GB18597-20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相关要求，</w:t>
            </w:r>
            <w:r>
              <w:rPr>
                <w:rFonts w:hint="default" w:ascii="Times New Roman" w:hAnsi="Times New Roman" w:eastAsia="宋体" w:cs="Times New Roman"/>
                <w:color w:val="auto"/>
                <w:kern w:val="1"/>
                <w:sz w:val="21"/>
                <w:szCs w:val="21"/>
                <w:highlight w:val="none"/>
                <w:lang w:val="en-US" w:eastAsia="zh-CN"/>
              </w:rPr>
              <w:t>新建</w:t>
            </w:r>
            <w:r>
              <w:rPr>
                <w:rFonts w:hint="default" w:ascii="Times New Roman" w:hAnsi="Times New Roman" w:eastAsia="宋体" w:cs="Times New Roman"/>
                <w:color w:val="auto"/>
                <w:kern w:val="1"/>
                <w:sz w:val="21"/>
                <w:szCs w:val="21"/>
                <w:highlight w:val="none"/>
                <w:lang w:eastAsia="zh-CN"/>
              </w:rPr>
              <w:t>1间</w:t>
            </w:r>
            <w:r>
              <w:rPr>
                <w:rFonts w:hint="default" w:ascii="Times New Roman" w:hAnsi="Times New Roman" w:eastAsia="宋体" w:cs="Times New Roman"/>
                <w:color w:val="auto"/>
                <w:kern w:val="1"/>
                <w:sz w:val="21"/>
                <w:szCs w:val="21"/>
                <w:highlight w:val="none"/>
                <w:lang w:val="en-US" w:eastAsia="zh-CN"/>
              </w:rPr>
              <w:t>建筑面积不小于2m</w:t>
            </w:r>
            <w:r>
              <w:rPr>
                <w:rFonts w:hint="default" w:ascii="Times New Roman" w:hAnsi="Times New Roman" w:eastAsia="宋体" w:cs="Times New Roman"/>
                <w:color w:val="auto"/>
                <w:kern w:val="1"/>
                <w:sz w:val="21"/>
                <w:szCs w:val="21"/>
                <w:highlight w:val="none"/>
                <w:vertAlign w:val="superscript"/>
                <w:lang w:val="en-US" w:eastAsia="zh-CN"/>
              </w:rPr>
              <w:t>2</w:t>
            </w:r>
            <w:r>
              <w:rPr>
                <w:rFonts w:hint="default" w:ascii="Times New Roman" w:hAnsi="Times New Roman" w:eastAsia="宋体" w:cs="Times New Roman"/>
                <w:bCs/>
                <w:color w:val="auto"/>
                <w:sz w:val="21"/>
                <w:szCs w:val="21"/>
                <w:highlight w:val="none"/>
                <w:lang w:val="en-US" w:eastAsia="zh-CN"/>
              </w:rPr>
              <w:t>的</w:t>
            </w:r>
            <w:r>
              <w:rPr>
                <w:rFonts w:hint="default" w:ascii="Times New Roman" w:hAnsi="Times New Roman" w:eastAsia="宋体" w:cs="Times New Roman"/>
                <w:color w:val="auto"/>
                <w:kern w:val="1"/>
                <w:sz w:val="21"/>
                <w:szCs w:val="21"/>
                <w:highlight w:val="none"/>
                <w:lang w:eastAsia="zh-CN"/>
              </w:rPr>
              <w:t>危废暂存间，</w:t>
            </w:r>
            <w:r>
              <w:rPr>
                <w:rFonts w:hint="default" w:ascii="Times New Roman" w:hAnsi="Times New Roman" w:eastAsia="宋体" w:cs="Times New Roman"/>
                <w:bCs/>
                <w:color w:val="auto"/>
                <w:sz w:val="21"/>
                <w:szCs w:val="21"/>
                <w:highlight w:val="none"/>
                <w:lang w:val="en-US" w:eastAsia="zh-CN"/>
              </w:rPr>
              <w:t>用于储存</w:t>
            </w:r>
            <w:r>
              <w:rPr>
                <w:rFonts w:hint="default" w:ascii="Times New Roman" w:hAnsi="Times New Roman" w:eastAsia="宋体" w:cs="Times New Roman"/>
                <w:color w:val="auto"/>
                <w:kern w:val="0"/>
                <w:sz w:val="21"/>
                <w:szCs w:val="21"/>
                <w:highlight w:val="none"/>
                <w:lang w:val="en-US" w:eastAsia="zh-CN" w:bidi="ar"/>
              </w:rPr>
              <w:t>废矿物油等危险废物，暂存一定量后交由有相关危废处置资质的单位处置</w:t>
            </w:r>
            <w:r>
              <w:rPr>
                <w:rFonts w:hint="default" w:ascii="Times New Roman" w:hAnsi="Times New Roman" w:eastAsia="宋体" w:cs="Times New Roman"/>
                <w:color w:val="auto"/>
                <w:sz w:val="21"/>
                <w:szCs w:val="21"/>
                <w:highlight w:val="none"/>
                <w:lang w:eastAsia="zh-CN"/>
              </w:rPr>
              <w:t>。</w:t>
            </w:r>
          </w:p>
          <w:p w14:paraId="03AD4E23">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1"/>
                <w:sz w:val="21"/>
                <w:szCs w:val="21"/>
                <w:highlight w:val="none"/>
                <w:lang w:eastAsia="zh-CN"/>
              </w:rPr>
              <w:t>危废暂存间</w:t>
            </w:r>
            <w:r>
              <w:rPr>
                <w:rFonts w:hint="default" w:ascii="Times New Roman" w:hAnsi="Times New Roman" w:cs="Times New Roman"/>
                <w:color w:val="auto"/>
                <w:lang w:val="en-US" w:eastAsia="zh-CN"/>
              </w:rPr>
              <w:t>建设要求如下：</w:t>
            </w:r>
            <w:r>
              <w:rPr>
                <w:rFonts w:hint="default" w:ascii="Times New Roman" w:hAnsi="Times New Roman" w:eastAsia="宋体" w:cs="Times New Roman"/>
                <w:color w:val="auto"/>
                <w:sz w:val="21"/>
                <w:szCs w:val="21"/>
                <w:highlight w:val="none"/>
                <w:lang w:eastAsia="zh-CN"/>
              </w:rPr>
              <w:t>A.危废暂存间采取必要的防风、防晒、防雨、防漏、防渗、防腐以及其他环境污染防治措施，不应露天堆放危险废物。B.危废暂存间内的地面、墙面裙角、堵截泄漏的围堰、接触危险废物的隔板和墙体等应采用坚固的材料建造，表面无裂缝。C.危废暂存间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cs="Times New Roman"/>
                <w:color w:val="auto"/>
                <w:sz w:val="21"/>
                <w:szCs w:val="21"/>
                <w:highlight w:val="none"/>
                <w:vertAlign w:val="superscript"/>
                <w:lang w:eastAsia="zh-CN"/>
              </w:rPr>
              <w:t>-7</w:t>
            </w:r>
            <w:r>
              <w:rPr>
                <w:rFonts w:hint="default" w:ascii="Times New Roman" w:hAnsi="Times New Roman" w:eastAsia="宋体" w:cs="Times New Roman"/>
                <w:color w:val="auto"/>
                <w:sz w:val="21"/>
                <w:szCs w:val="21"/>
                <w:highlight w:val="none"/>
                <w:lang w:eastAsia="zh-CN"/>
              </w:rPr>
              <w:t>cm/s），或至少2mm厚高密度聚乙烯膜等人工防渗材料（渗透系数不大于10</w:t>
            </w:r>
            <w:r>
              <w:rPr>
                <w:rFonts w:hint="default" w:ascii="Times New Roman" w:hAnsi="Times New Roman" w:cs="Times New Roman"/>
                <w:color w:val="auto"/>
                <w:sz w:val="21"/>
                <w:szCs w:val="21"/>
                <w:highlight w:val="none"/>
                <w:vertAlign w:val="superscript"/>
                <w:lang w:eastAsia="zh-CN"/>
              </w:rPr>
              <w:t>-10</w:t>
            </w:r>
            <w:r>
              <w:rPr>
                <w:rFonts w:hint="default" w:ascii="Times New Roman" w:hAnsi="Times New Roman" w:eastAsia="宋体" w:cs="Times New Roman"/>
                <w:color w:val="auto"/>
                <w:sz w:val="21"/>
                <w:szCs w:val="21"/>
                <w:highlight w:val="none"/>
                <w:lang w:eastAsia="zh-CN"/>
              </w:rPr>
              <w:t>cm/s），或其他防渗性能等效的材料。D.贮存设施应采取技术和管理措施防止无关人员进入，应对项目危废严格管理，在危废暂存间设置明显标识。</w:t>
            </w:r>
          </w:p>
        </w:tc>
        <w:tc>
          <w:tcPr>
            <w:tcW w:w="1126" w:type="dxa"/>
            <w:tcBorders>
              <w:left w:val="single" w:color="auto" w:sz="4" w:space="0"/>
            </w:tcBorders>
            <w:noWrap w:val="0"/>
            <w:vAlign w:val="center"/>
          </w:tcPr>
          <w:p w14:paraId="04B9DEFB">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u w:val="none"/>
                <w:lang w:val="en-US" w:eastAsia="zh-CN" w:bidi="ar"/>
              </w:rPr>
              <w:t>5</w:t>
            </w:r>
          </w:p>
        </w:tc>
      </w:tr>
      <w:tr w14:paraId="2E21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Merge w:val="continue"/>
            <w:tcBorders>
              <w:left w:val="single" w:color="auto" w:sz="4" w:space="0"/>
              <w:right w:val="single" w:color="auto" w:sz="4" w:space="0"/>
            </w:tcBorders>
            <w:noWrap w:val="0"/>
            <w:vAlign w:val="center"/>
          </w:tcPr>
          <w:p w14:paraId="632A6442">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restart"/>
            <w:tcBorders>
              <w:left w:val="single" w:color="auto" w:sz="4" w:space="0"/>
              <w:right w:val="single" w:color="auto" w:sz="4" w:space="0"/>
            </w:tcBorders>
            <w:noWrap w:val="0"/>
            <w:vAlign w:val="center"/>
          </w:tcPr>
          <w:p w14:paraId="68B2B29C">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lang w:val="en-US" w:eastAsia="zh-CN"/>
              </w:rPr>
              <w:t>土壤和地下水</w:t>
            </w:r>
          </w:p>
        </w:tc>
        <w:tc>
          <w:tcPr>
            <w:tcW w:w="1536" w:type="dxa"/>
            <w:tcBorders>
              <w:left w:val="single" w:color="auto" w:sz="4" w:space="0"/>
              <w:right w:val="single" w:color="auto" w:sz="4" w:space="0"/>
            </w:tcBorders>
            <w:noWrap w:val="0"/>
            <w:vAlign w:val="center"/>
          </w:tcPr>
          <w:p w14:paraId="050C2979">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地下水跟踪监测井</w:t>
            </w:r>
          </w:p>
        </w:tc>
        <w:tc>
          <w:tcPr>
            <w:tcW w:w="4678" w:type="dxa"/>
            <w:tcBorders>
              <w:left w:val="single" w:color="auto" w:sz="4" w:space="0"/>
              <w:right w:val="single" w:color="auto" w:sz="4" w:space="0"/>
            </w:tcBorders>
            <w:noWrap w:val="0"/>
            <w:vAlign w:val="center"/>
          </w:tcPr>
          <w:p w14:paraId="4D1CFF99">
            <w:pPr>
              <w:keepNext/>
              <w:keepLines w:val="0"/>
              <w:pageBreakBefore w:val="0"/>
              <w:widowControl w:val="0"/>
              <w:kinsoku/>
              <w:wordWrap/>
              <w:overflowPunct/>
              <w:topLinePunct w:val="0"/>
              <w:autoSpaceDE/>
              <w:autoSpaceDN/>
              <w:bidi w:val="0"/>
              <w:snapToGrid w:val="0"/>
              <w:spacing w:line="240" w:lineRule="auto"/>
              <w:ind w:firstLine="0" w:firstLineChars="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snapToGrid w:val="0"/>
                <w:color w:val="auto"/>
                <w:kern w:val="0"/>
                <w:sz w:val="21"/>
                <w:szCs w:val="21"/>
                <w:lang w:val="en-US" w:eastAsia="zh-CN" w:bidi="ar-SA"/>
              </w:rPr>
              <w:t>设置2口地下水跟踪监测井，1口由本项目新建项目区污染监测井J2改造（整改井台、井盖、井牌等地下水标志牌内容）、1口沿用J3下游污染扩散监测井（曲靖大为焦化制气地下水监测井DX01）</w:t>
            </w:r>
          </w:p>
        </w:tc>
        <w:tc>
          <w:tcPr>
            <w:tcW w:w="1126" w:type="dxa"/>
            <w:tcBorders>
              <w:left w:val="single" w:color="auto" w:sz="4" w:space="0"/>
            </w:tcBorders>
            <w:noWrap w:val="0"/>
            <w:vAlign w:val="center"/>
          </w:tcPr>
          <w:p w14:paraId="520378E8">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eastAsia" w:ascii="Times New Roman" w:hAnsi="Times New Roman" w:eastAsia="宋体" w:cs="Times New Roman"/>
                <w:i w:val="0"/>
                <w:iCs w:val="0"/>
                <w:snapToGrid w:val="0"/>
                <w:color w:val="auto"/>
                <w:kern w:val="0"/>
                <w:sz w:val="21"/>
                <w:szCs w:val="21"/>
                <w:u w:val="none"/>
                <w:lang w:val="en-US" w:eastAsia="zh-CN" w:bidi="ar"/>
              </w:rPr>
              <w:t>5</w:t>
            </w:r>
          </w:p>
        </w:tc>
      </w:tr>
      <w:tr w14:paraId="5439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Merge w:val="continue"/>
            <w:tcBorders>
              <w:left w:val="single" w:color="auto" w:sz="4" w:space="0"/>
              <w:right w:val="single" w:color="auto" w:sz="4" w:space="0"/>
            </w:tcBorders>
            <w:noWrap w:val="0"/>
            <w:vAlign w:val="center"/>
          </w:tcPr>
          <w:p w14:paraId="035D45D6">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5" w:type="dxa"/>
            <w:vMerge w:val="continue"/>
            <w:tcBorders>
              <w:left w:val="single" w:color="auto" w:sz="4" w:space="0"/>
              <w:right w:val="single" w:color="auto" w:sz="4" w:space="0"/>
            </w:tcBorders>
            <w:noWrap w:val="0"/>
            <w:vAlign w:val="center"/>
          </w:tcPr>
          <w:p w14:paraId="373643C4">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536" w:type="dxa"/>
            <w:tcBorders>
              <w:left w:val="single" w:color="auto" w:sz="4" w:space="0"/>
              <w:right w:val="single" w:color="auto" w:sz="4" w:space="0"/>
            </w:tcBorders>
            <w:noWrap w:val="0"/>
            <w:vAlign w:val="center"/>
          </w:tcPr>
          <w:p w14:paraId="208A0E49">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分区防渗</w:t>
            </w:r>
          </w:p>
        </w:tc>
        <w:tc>
          <w:tcPr>
            <w:tcW w:w="4678" w:type="dxa"/>
            <w:tcBorders>
              <w:left w:val="single" w:color="auto" w:sz="4" w:space="0"/>
              <w:right w:val="single" w:color="auto" w:sz="4" w:space="0"/>
            </w:tcBorders>
            <w:noWrap w:val="0"/>
            <w:vAlign w:val="center"/>
          </w:tcPr>
          <w:p w14:paraId="31157A00">
            <w:pPr>
              <w:keepNext w:val="0"/>
              <w:keepLines w:val="0"/>
              <w:pageBreakBefore w:val="0"/>
              <w:widowControl/>
              <w:kinsoku/>
              <w:wordWrap/>
              <w:overflowPunct/>
              <w:topLinePunct w:val="0"/>
              <w:bidi w:val="0"/>
              <w:adjustRightInd/>
              <w:snapToGrid/>
              <w:spacing w:line="240" w:lineRule="auto"/>
              <w:ind w:firstLine="0"/>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正面吊维修区</w:t>
            </w:r>
            <w:r>
              <w:rPr>
                <w:rFonts w:hint="eastAsia" w:ascii="Times New Roman" w:hAnsi="Times New Roman" w:eastAsia="宋体" w:cs="Times New Roman"/>
                <w:color w:val="auto"/>
                <w:sz w:val="21"/>
                <w:szCs w:val="21"/>
                <w:lang w:val="en-US" w:eastAsia="zh-CN"/>
              </w:rPr>
              <w:t>已</w:t>
            </w:r>
            <w:r>
              <w:rPr>
                <w:rFonts w:hint="default" w:ascii="Times New Roman" w:hAnsi="Times New Roman" w:cs="Times New Roman"/>
                <w:color w:val="auto"/>
                <w:sz w:val="21"/>
                <w:szCs w:val="21"/>
              </w:rPr>
              <w:t>采用强度等级C30抗渗等级P6的商品混凝土浇筑，厚度40cm-50cm，</w:t>
            </w:r>
            <w:r>
              <w:rPr>
                <w:rFonts w:hint="eastAsia" w:ascii="Times New Roman" w:hAnsi="Times New Roman" w:eastAsia="宋体" w:cs="Times New Roman"/>
                <w:color w:val="auto"/>
                <w:sz w:val="21"/>
                <w:szCs w:val="21"/>
                <w:lang w:eastAsia="zh-CN"/>
              </w:rPr>
              <w:t>地面</w:t>
            </w:r>
            <w:r>
              <w:rPr>
                <w:rFonts w:hint="default" w:ascii="Times New Roman" w:hAnsi="Times New Roman" w:cs="Times New Roman"/>
                <w:color w:val="auto"/>
                <w:sz w:val="21"/>
                <w:szCs w:val="21"/>
              </w:rPr>
              <w:t>使用防渗、防腐砂浆抹面</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后期施工</w:t>
            </w:r>
            <w:r>
              <w:rPr>
                <w:rFonts w:hint="default" w:ascii="Times New Roman" w:hAnsi="Times New Roman" w:cs="Times New Roman"/>
                <w:color w:val="auto"/>
                <w:sz w:val="21"/>
                <w:szCs w:val="21"/>
                <w:lang w:val="en-US" w:eastAsia="zh-CN"/>
              </w:rPr>
              <w:t>地面还需采用防渗涂料刷漆</w:t>
            </w:r>
            <w:r>
              <w:rPr>
                <w:rFonts w:hint="eastAsia" w:ascii="Times New Roman" w:hAnsi="Times New Roman" w:cs="Times New Roman"/>
                <w:color w:val="auto"/>
                <w:sz w:val="21"/>
                <w:szCs w:val="21"/>
                <w:lang w:val="en-US" w:eastAsia="zh-CN"/>
              </w:rPr>
              <w:t>，使其</w:t>
            </w:r>
            <w:r>
              <w:rPr>
                <w:rFonts w:hint="default" w:ascii="Times New Roman" w:hAnsi="Times New Roman" w:eastAsia="宋体" w:cs="Times New Roman"/>
                <w:color w:val="auto"/>
                <w:sz w:val="21"/>
                <w:szCs w:val="21"/>
                <w:highlight w:val="none"/>
                <w:lang w:val="en-US" w:eastAsia="zh-CN"/>
              </w:rPr>
              <w:t>渗透系数不大于10</w:t>
            </w:r>
            <w:r>
              <w:rPr>
                <w:rFonts w:hint="default" w:ascii="Times New Roman" w:hAnsi="Times New Roman" w:eastAsia="宋体" w:cs="Times New Roman"/>
                <w:color w:val="auto"/>
                <w:sz w:val="21"/>
                <w:szCs w:val="21"/>
                <w:highlight w:val="none"/>
                <w:vertAlign w:val="superscript"/>
                <w:lang w:val="en-US" w:eastAsia="zh-CN"/>
              </w:rPr>
              <w:t xml:space="preserve"> -7</w:t>
            </w:r>
            <w:r>
              <w:rPr>
                <w:rFonts w:hint="default" w:ascii="Times New Roman" w:hAnsi="Times New Roman" w:eastAsia="宋体" w:cs="Times New Roman"/>
                <w:color w:val="auto"/>
                <w:sz w:val="21"/>
                <w:szCs w:val="21"/>
                <w:highlight w:val="none"/>
                <w:lang w:val="en-US" w:eastAsia="zh-CN"/>
              </w:rPr>
              <w:t>cm/s</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危废暂存间根据《危险废物贮存污染控制标准》（GB 18597-2023）防渗技术要求进行防渗，防渗层为至少1m厚黏土层（渗透系数不大于10</w:t>
            </w:r>
            <w:r>
              <w:rPr>
                <w:rFonts w:hint="default" w:ascii="Times New Roman" w:hAnsi="Times New Roman" w:cs="Times New Roman"/>
                <w:color w:val="auto"/>
                <w:sz w:val="21"/>
                <w:szCs w:val="21"/>
                <w:vertAlign w:val="superscript"/>
              </w:rPr>
              <w:t>-7</w:t>
            </w:r>
            <w:r>
              <w:rPr>
                <w:rFonts w:hint="default" w:ascii="Times New Roman" w:hAnsi="Times New Roman" w:cs="Times New Roman"/>
                <w:color w:val="auto"/>
                <w:sz w:val="21"/>
                <w:szCs w:val="21"/>
              </w:rPr>
              <w:t>cm/s），或至少2mm厚高密度聚乙烯膜等人工防渗材料（渗透系数不大于10</w:t>
            </w:r>
            <w:r>
              <w:rPr>
                <w:rFonts w:hint="default" w:ascii="Times New Roman" w:hAnsi="Times New Roman" w:cs="Times New Roman"/>
                <w:color w:val="auto"/>
                <w:sz w:val="21"/>
                <w:szCs w:val="21"/>
                <w:vertAlign w:val="superscript"/>
              </w:rPr>
              <w:t>-10</w:t>
            </w:r>
            <w:r>
              <w:rPr>
                <w:rFonts w:hint="default" w:ascii="Times New Roman" w:hAnsi="Times New Roman" w:cs="Times New Roman"/>
                <w:color w:val="auto"/>
                <w:sz w:val="21"/>
                <w:szCs w:val="21"/>
              </w:rPr>
              <w:t>cm/s），或其他防渗性能等效的材料</w:t>
            </w:r>
            <w:r>
              <w:rPr>
                <w:rFonts w:hint="eastAsia" w:ascii="Times New Roman" w:hAnsi="Times New Roman" w:eastAsia="宋体" w:cs="Times New Roman"/>
                <w:color w:val="auto"/>
                <w:sz w:val="21"/>
                <w:szCs w:val="21"/>
                <w:lang w:eastAsia="zh-CN"/>
              </w:rPr>
              <w:t>。</w:t>
            </w:r>
          </w:p>
          <w:p w14:paraId="6DF177B7">
            <w:pPr>
              <w:keepNext w:val="0"/>
              <w:keepLines w:val="0"/>
              <w:pageBreakBefore w:val="0"/>
              <w:widowControl/>
              <w:kinsoku/>
              <w:wordWrap/>
              <w:overflowPunct/>
              <w:topLinePunct w:val="0"/>
              <w:bidi w:val="0"/>
              <w:adjustRightInd/>
              <w:snapToGrid/>
              <w:spacing w:line="240" w:lineRule="auto"/>
              <w:ind w:firstLine="0"/>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将</w:t>
            </w:r>
            <w:r>
              <w:rPr>
                <w:rFonts w:hint="default" w:ascii="Times New Roman" w:hAnsi="Times New Roman" w:cs="Times New Roman"/>
                <w:color w:val="auto"/>
                <w:sz w:val="21"/>
                <w:szCs w:val="21"/>
              </w:rPr>
              <w:t>化粪池、初期雨水收集池</w:t>
            </w:r>
            <w:r>
              <w:rPr>
                <w:rFonts w:hint="default" w:ascii="Times New Roman" w:hAnsi="Times New Roman" w:cs="Times New Roman"/>
                <w:color w:val="auto"/>
                <w:sz w:val="21"/>
                <w:szCs w:val="21"/>
                <w:lang w:val="en-US" w:eastAsia="zh-CN"/>
              </w:rPr>
              <w:t>因涉及生活废水和初期雨水产生，考虑污染影响较小，</w:t>
            </w:r>
            <w:r>
              <w:rPr>
                <w:rFonts w:hint="default" w:ascii="Times New Roman" w:hAnsi="Times New Roman" w:cs="Times New Roman"/>
                <w:color w:val="auto"/>
                <w:sz w:val="21"/>
                <w:szCs w:val="21"/>
              </w:rPr>
              <w:t>划分为一般防渗区，</w:t>
            </w:r>
            <w:r>
              <w:rPr>
                <w:rFonts w:hint="eastAsia" w:ascii="Times New Roman" w:hAnsi="Times New Roman" w:eastAsia="宋体" w:cs="Times New Roman"/>
                <w:color w:val="auto"/>
                <w:sz w:val="21"/>
                <w:szCs w:val="21"/>
                <w:lang w:val="en-US" w:eastAsia="zh-CN"/>
              </w:rPr>
              <w:t>已</w:t>
            </w:r>
            <w:r>
              <w:rPr>
                <w:rFonts w:hint="default" w:ascii="Times New Roman" w:hAnsi="Times New Roman" w:cs="Times New Roman"/>
                <w:color w:val="auto"/>
                <w:sz w:val="21"/>
                <w:szCs w:val="21"/>
              </w:rPr>
              <w:t>采取粘土铺底，再在上层铺10~15cm的水泥进行硬化</w:t>
            </w:r>
            <w:r>
              <w:rPr>
                <w:rFonts w:hint="eastAsia" w:ascii="Times New Roman" w:hAnsi="Times New Roman" w:eastAsia="宋体" w:cs="Times New Roman"/>
                <w:color w:val="auto"/>
                <w:sz w:val="21"/>
                <w:szCs w:val="21"/>
                <w:lang w:val="en-US" w:eastAsia="zh-CN"/>
              </w:rPr>
              <w:t>。</w:t>
            </w:r>
          </w:p>
          <w:p w14:paraId="003084F0">
            <w:pPr>
              <w:keepNext/>
              <w:keepLines w:val="0"/>
              <w:pageBreakBefore w:val="0"/>
              <w:widowControl w:val="0"/>
              <w:kinsoku/>
              <w:wordWrap/>
              <w:overflowPunct/>
              <w:topLinePunct w:val="0"/>
              <w:autoSpaceDE/>
              <w:autoSpaceDN/>
              <w:bidi w:val="0"/>
              <w:snapToGrid w:val="0"/>
              <w:spacing w:line="240" w:lineRule="auto"/>
              <w:ind w:firstLine="0" w:firstLineChars="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sz w:val="21"/>
                <w:szCs w:val="21"/>
                <w:lang w:val="en-US" w:eastAsia="zh-CN"/>
              </w:rPr>
              <w:t>简单防渗区：除绿化外的其他区域，</w:t>
            </w:r>
            <w:r>
              <w:rPr>
                <w:rFonts w:hint="eastAsia" w:ascii="Times New Roman" w:hAnsi="Times New Roman" w:cs="Times New Roman"/>
                <w:color w:val="auto"/>
                <w:sz w:val="21"/>
                <w:szCs w:val="21"/>
                <w:lang w:val="en-US" w:eastAsia="zh-CN"/>
              </w:rPr>
              <w:t>已</w:t>
            </w:r>
            <w:r>
              <w:rPr>
                <w:rFonts w:hint="default" w:ascii="Times New Roman" w:hAnsi="Times New Roman" w:cs="Times New Roman"/>
                <w:color w:val="auto"/>
                <w:sz w:val="21"/>
                <w:szCs w:val="21"/>
                <w:lang w:val="en-US" w:eastAsia="zh-CN"/>
              </w:rPr>
              <w:t>采用</w:t>
            </w:r>
            <w:r>
              <w:rPr>
                <w:rFonts w:hint="default" w:ascii="Times New Roman" w:hAnsi="Times New Roman" w:cs="Times New Roman"/>
                <w:color w:val="auto"/>
                <w:sz w:val="21"/>
                <w:szCs w:val="21"/>
              </w:rPr>
              <w:t>铺10~15cm的水泥进行硬化</w:t>
            </w:r>
            <w:r>
              <w:rPr>
                <w:rFonts w:hint="eastAsia" w:ascii="Times New Roman" w:hAnsi="Times New Roman" w:eastAsia="宋体" w:cs="Times New Roman"/>
                <w:color w:val="auto"/>
                <w:sz w:val="21"/>
                <w:szCs w:val="21"/>
                <w:lang w:val="en-US" w:eastAsia="zh-CN"/>
              </w:rPr>
              <w:t>。</w:t>
            </w:r>
          </w:p>
        </w:tc>
        <w:tc>
          <w:tcPr>
            <w:tcW w:w="1126" w:type="dxa"/>
            <w:tcBorders>
              <w:left w:val="single" w:color="auto" w:sz="4" w:space="0"/>
            </w:tcBorders>
            <w:noWrap w:val="0"/>
            <w:vAlign w:val="center"/>
          </w:tcPr>
          <w:p w14:paraId="1FFD8B96">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i w:val="0"/>
                <w:iCs w:val="0"/>
                <w:snapToGrid w:val="0"/>
                <w:color w:val="auto"/>
                <w:kern w:val="0"/>
                <w:sz w:val="21"/>
                <w:szCs w:val="21"/>
                <w:u w:val="none"/>
                <w:lang w:val="en-US" w:eastAsia="zh-CN" w:bidi="ar"/>
              </w:rPr>
              <w:t>25</w:t>
            </w:r>
          </w:p>
        </w:tc>
      </w:tr>
      <w:tr w14:paraId="5455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63" w:type="dxa"/>
            <w:vMerge w:val="continue"/>
            <w:tcBorders>
              <w:left w:val="single" w:color="auto" w:sz="4" w:space="0"/>
              <w:right w:val="single" w:color="auto" w:sz="4" w:space="0"/>
            </w:tcBorders>
            <w:noWrap w:val="0"/>
            <w:vAlign w:val="center"/>
          </w:tcPr>
          <w:p w14:paraId="634B6F7B">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929" w:type="dxa"/>
            <w:gridSpan w:val="3"/>
            <w:tcBorders>
              <w:left w:val="single" w:color="auto" w:sz="4" w:space="0"/>
              <w:right w:val="single" w:color="auto" w:sz="4" w:space="0"/>
            </w:tcBorders>
            <w:noWrap w:val="0"/>
            <w:vAlign w:val="center"/>
          </w:tcPr>
          <w:p w14:paraId="2D78ABCF">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小计</w:t>
            </w:r>
          </w:p>
        </w:tc>
        <w:tc>
          <w:tcPr>
            <w:tcW w:w="1126" w:type="dxa"/>
            <w:tcBorders>
              <w:left w:val="single" w:color="auto" w:sz="4" w:space="0"/>
            </w:tcBorders>
            <w:noWrap w:val="0"/>
            <w:vAlign w:val="center"/>
          </w:tcPr>
          <w:p w14:paraId="0638ED4B">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i w:val="0"/>
                <w:iCs w:val="0"/>
                <w:snapToGrid w:val="0"/>
                <w:color w:val="auto"/>
                <w:kern w:val="0"/>
                <w:sz w:val="21"/>
                <w:szCs w:val="21"/>
                <w:u w:val="none"/>
                <w:lang w:val="en-US" w:eastAsia="zh-CN" w:bidi="ar"/>
              </w:rPr>
              <w:t>65</w:t>
            </w:r>
          </w:p>
        </w:tc>
      </w:tr>
      <w:tr w14:paraId="542A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692" w:type="dxa"/>
            <w:gridSpan w:val="4"/>
            <w:tcBorders>
              <w:left w:val="single" w:color="auto" w:sz="4" w:space="0"/>
              <w:right w:val="single" w:color="auto" w:sz="4" w:space="0"/>
            </w:tcBorders>
            <w:noWrap w:val="0"/>
            <w:vAlign w:val="center"/>
          </w:tcPr>
          <w:p w14:paraId="7626AAC7">
            <w:pPr>
              <w:keepNext/>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合计</w:t>
            </w:r>
          </w:p>
        </w:tc>
        <w:tc>
          <w:tcPr>
            <w:tcW w:w="1126" w:type="dxa"/>
            <w:tcBorders>
              <w:left w:val="single" w:color="auto" w:sz="4" w:space="0"/>
            </w:tcBorders>
            <w:noWrap w:val="0"/>
            <w:vAlign w:val="center"/>
          </w:tcPr>
          <w:p w14:paraId="1D7FFB62">
            <w:pPr>
              <w:keepNext w:val="0"/>
              <w:keepLines w:val="0"/>
              <w:widowControl/>
              <w:suppressLineNumbers w:val="0"/>
              <w:jc w:val="center"/>
              <w:textAlignment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i w:val="0"/>
                <w:iCs w:val="0"/>
                <w:snapToGrid w:val="0"/>
                <w:color w:val="auto"/>
                <w:kern w:val="0"/>
                <w:sz w:val="21"/>
                <w:szCs w:val="21"/>
                <w:u w:val="none"/>
                <w:lang w:val="en-US" w:eastAsia="zh-CN" w:bidi="ar"/>
              </w:rPr>
              <w:t>1</w:t>
            </w:r>
            <w:r>
              <w:rPr>
                <w:rFonts w:hint="eastAsia" w:ascii="Times New Roman" w:hAnsi="Times New Roman" w:eastAsia="宋体" w:cs="Times New Roman"/>
                <w:b/>
                <w:bCs/>
                <w:i w:val="0"/>
                <w:iCs w:val="0"/>
                <w:snapToGrid w:val="0"/>
                <w:color w:val="auto"/>
                <w:kern w:val="0"/>
                <w:sz w:val="21"/>
                <w:szCs w:val="21"/>
                <w:u w:val="none"/>
                <w:lang w:val="en-US" w:eastAsia="zh-CN" w:bidi="ar"/>
              </w:rPr>
              <w:t>1</w:t>
            </w:r>
            <w:r>
              <w:rPr>
                <w:rFonts w:hint="default" w:ascii="Times New Roman" w:hAnsi="Times New Roman" w:eastAsia="宋体" w:cs="Times New Roman"/>
                <w:b/>
                <w:bCs/>
                <w:i w:val="0"/>
                <w:iCs w:val="0"/>
                <w:snapToGrid w:val="0"/>
                <w:color w:val="auto"/>
                <w:kern w:val="0"/>
                <w:sz w:val="21"/>
                <w:szCs w:val="21"/>
                <w:u w:val="none"/>
                <w:lang w:val="en-US" w:eastAsia="zh-CN" w:bidi="ar"/>
              </w:rPr>
              <w:t>7.2</w:t>
            </w:r>
          </w:p>
        </w:tc>
      </w:tr>
    </w:tbl>
    <w:p w14:paraId="50952F84">
      <w:pPr>
        <w:rPr>
          <w:rFonts w:hint="default"/>
          <w:color w:val="auto"/>
        </w:rPr>
      </w:pPr>
    </w:p>
    <w:p w14:paraId="5AA5C84D">
      <w:pPr>
        <w:pStyle w:val="9"/>
        <w:keepNext w:val="0"/>
        <w:keepLines w:val="0"/>
        <w:pageBreakBefore w:val="0"/>
        <w:widowControl/>
        <w:wordWrap/>
        <w:overflowPunct/>
        <w:topLinePunct w:val="0"/>
        <w:autoSpaceDE w:val="0"/>
        <w:autoSpaceDN w:val="0"/>
        <w:bidi w:val="0"/>
        <w:adjustRightInd/>
        <w:snapToGrid/>
        <w:spacing w:line="360" w:lineRule="auto"/>
        <w:ind w:left="0"/>
        <w:textAlignment w:val="baseline"/>
        <w:outlineLvl w:val="2"/>
        <w:rPr>
          <w:color w:val="auto"/>
          <w:sz w:val="30"/>
          <w:szCs w:val="30"/>
        </w:rPr>
      </w:pPr>
      <w:bookmarkStart w:id="221" w:name="_Toc17014"/>
      <w:r>
        <w:rPr>
          <w:rFonts w:hint="eastAsia" w:ascii="Times New Roman" w:hAnsi="Times New Roman" w:eastAsia="宋体" w:cs="Times New Roman"/>
          <w:b/>
          <w:bCs/>
          <w:color w:val="auto"/>
          <w:spacing w:val="-3"/>
          <w:sz w:val="30"/>
          <w:szCs w:val="30"/>
          <w:lang w:val="en-US" w:eastAsia="zh-CN"/>
        </w:rPr>
        <w:t>6</w:t>
      </w:r>
      <w:r>
        <w:rPr>
          <w:rFonts w:ascii="Times New Roman" w:hAnsi="Times New Roman" w:eastAsia="Times New Roman" w:cs="Times New Roman"/>
          <w:b/>
          <w:bCs/>
          <w:color w:val="auto"/>
          <w:spacing w:val="-3"/>
          <w:sz w:val="30"/>
          <w:szCs w:val="30"/>
        </w:rPr>
        <w:t xml:space="preserve">.3 </w:t>
      </w:r>
      <w:r>
        <w:rPr>
          <w:b/>
          <w:bCs/>
          <w:color w:val="auto"/>
          <w:spacing w:val="-3"/>
          <w:sz w:val="30"/>
          <w:szCs w:val="30"/>
        </w:rPr>
        <w:t>社会效益分析</w:t>
      </w:r>
      <w:bookmarkEnd w:id="221"/>
    </w:p>
    <w:p w14:paraId="53175FF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6"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1"/>
          <w:sz w:val="24"/>
          <w:szCs w:val="24"/>
        </w:rPr>
        <w:t>本项目的建设并运营，产生的社会效益主要表现为以下几个方面：</w:t>
      </w:r>
    </w:p>
    <w:p w14:paraId="55E22DA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w:t>
      </w:r>
      <w:r>
        <w:rPr>
          <w:rFonts w:hint="default" w:ascii="Times New Roman" w:hAnsi="Times New Roman" w:eastAsia="宋体" w:cs="Times New Roman"/>
          <w:color w:val="auto"/>
          <w:spacing w:val="0"/>
          <w:sz w:val="24"/>
          <w:szCs w:val="24"/>
          <w:lang w:val="en-US" w:eastAsia="zh-CN"/>
        </w:rPr>
        <w:t>1</w:t>
      </w:r>
      <w:r>
        <w:rPr>
          <w:rFonts w:hint="default" w:ascii="Times New Roman" w:hAnsi="Times New Roman" w:cs="Times New Roman"/>
          <w:color w:val="auto"/>
          <w:spacing w:val="0"/>
          <w:sz w:val="24"/>
          <w:szCs w:val="24"/>
        </w:rPr>
        <w:t>）本项目的实施，可直接增加多个就业岗位，促进社会安定。同时每使用一名工人，间接被拉动的相关行业，可创造多个就业机会，有效地缓解当地的社会就业压力。</w:t>
      </w:r>
    </w:p>
    <w:p w14:paraId="1028BD0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eastAsia="宋体" w:cs="Times New Roman"/>
          <w:color w:val="auto"/>
          <w:spacing w:val="0"/>
          <w:sz w:val="24"/>
          <w:szCs w:val="24"/>
          <w:lang w:eastAsia="zh-CN"/>
        </w:rPr>
      </w:pPr>
      <w:r>
        <w:rPr>
          <w:rFonts w:hint="default" w:ascii="Times New Roman" w:hAnsi="Times New Roman" w:cs="Times New Roman"/>
          <w:color w:val="auto"/>
          <w:spacing w:val="0"/>
          <w:sz w:val="24"/>
          <w:szCs w:val="24"/>
        </w:rPr>
        <w:t>（</w:t>
      </w:r>
      <w:r>
        <w:rPr>
          <w:rFonts w:hint="default" w:ascii="Times New Roman" w:hAnsi="Times New Roman" w:eastAsia="宋体" w:cs="Times New Roman"/>
          <w:color w:val="auto"/>
          <w:spacing w:val="0"/>
          <w:sz w:val="24"/>
          <w:szCs w:val="24"/>
          <w:lang w:val="en-US" w:eastAsia="zh-CN"/>
        </w:rPr>
        <w:t>2</w:t>
      </w:r>
      <w:r>
        <w:rPr>
          <w:rFonts w:hint="default" w:ascii="Times New Roman" w:hAnsi="Times New Roman" w:cs="Times New Roman"/>
          <w:color w:val="auto"/>
          <w:spacing w:val="0"/>
          <w:sz w:val="24"/>
          <w:szCs w:val="24"/>
        </w:rPr>
        <w:t>）本工程是发展低碳运输、落实国家</w:t>
      </w:r>
      <w:r>
        <w:rPr>
          <w:rFonts w:hint="eastAsia" w:ascii="Times New Roman" w:hAnsi="Times New Roman" w:eastAsia="宋体" w:cs="Times New Roman"/>
          <w:color w:val="auto"/>
          <w:spacing w:val="0"/>
          <w:sz w:val="24"/>
          <w:szCs w:val="24"/>
          <w:lang w:eastAsia="zh-CN"/>
        </w:rPr>
        <w:t>“</w:t>
      </w:r>
      <w:r>
        <w:rPr>
          <w:rFonts w:hint="default" w:ascii="Times New Roman" w:hAnsi="Times New Roman" w:cs="Times New Roman"/>
          <w:color w:val="auto"/>
          <w:spacing w:val="0"/>
          <w:sz w:val="24"/>
          <w:szCs w:val="24"/>
        </w:rPr>
        <w:t>公转铁</w:t>
      </w:r>
      <w:r>
        <w:rPr>
          <w:rFonts w:hint="eastAsia" w:ascii="Times New Roman" w:hAnsi="Times New Roman" w:eastAsia="宋体" w:cs="Times New Roman"/>
          <w:color w:val="auto"/>
          <w:spacing w:val="0"/>
          <w:sz w:val="24"/>
          <w:szCs w:val="24"/>
          <w:lang w:eastAsia="zh-CN"/>
        </w:rPr>
        <w:t>”</w:t>
      </w:r>
      <w:r>
        <w:rPr>
          <w:rFonts w:hint="default" w:ascii="Times New Roman" w:hAnsi="Times New Roman" w:cs="Times New Roman"/>
          <w:color w:val="auto"/>
          <w:spacing w:val="0"/>
          <w:sz w:val="24"/>
          <w:szCs w:val="24"/>
        </w:rPr>
        <w:t>环保政策、减少货物运输对环境与道路交通的影响的需要。本项目货物运量为</w:t>
      </w:r>
      <w:r>
        <w:rPr>
          <w:rFonts w:hint="default" w:ascii="Times New Roman" w:hAnsi="Times New Roman" w:eastAsia="宋体" w:cs="Times New Roman"/>
          <w:color w:val="auto"/>
          <w:spacing w:val="0"/>
          <w:sz w:val="24"/>
          <w:szCs w:val="24"/>
          <w:lang w:val="en-US" w:eastAsia="zh-CN"/>
        </w:rPr>
        <w:t>250</w:t>
      </w:r>
      <w:r>
        <w:rPr>
          <w:rFonts w:hint="default" w:ascii="Times New Roman" w:hAnsi="Times New Roman" w:cs="Times New Roman"/>
          <w:color w:val="auto"/>
          <w:spacing w:val="0"/>
          <w:sz w:val="24"/>
          <w:szCs w:val="24"/>
        </w:rPr>
        <w:t>万吨</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rPr>
        <w:t>如果依靠公路运输，不仅公路建设需要大量投入，而且需要购置大量车辆，加之汽车对环境的污染远比</w:t>
      </w:r>
      <w:r>
        <w:rPr>
          <w:rFonts w:hint="eastAsia" w:ascii="Times New Roman" w:hAnsi="Times New Roman" w:eastAsia="宋体" w:cs="Times New Roman"/>
          <w:color w:val="auto"/>
          <w:spacing w:val="0"/>
          <w:sz w:val="24"/>
          <w:szCs w:val="24"/>
          <w:lang w:eastAsia="zh-CN"/>
        </w:rPr>
        <w:t>列车</w:t>
      </w:r>
      <w:r>
        <w:rPr>
          <w:rFonts w:hint="default" w:ascii="Times New Roman" w:hAnsi="Times New Roman" w:cs="Times New Roman"/>
          <w:color w:val="auto"/>
          <w:spacing w:val="0"/>
          <w:sz w:val="24"/>
          <w:szCs w:val="24"/>
        </w:rPr>
        <w:t>严重，从而对地区环境产生不利影响。铁路具有占地少、能耗低、污染小、运量大，全天候等多种优势，是节能环保型的运输工具</w:t>
      </w:r>
      <w:r>
        <w:rPr>
          <w:rFonts w:hint="default" w:ascii="Times New Roman" w:hAnsi="Times New Roman" w:eastAsia="宋体" w:cs="Times New Roman"/>
          <w:color w:val="auto"/>
          <w:spacing w:val="0"/>
          <w:sz w:val="24"/>
          <w:szCs w:val="24"/>
          <w:lang w:eastAsia="zh-CN"/>
        </w:rPr>
        <w:t>。</w:t>
      </w:r>
    </w:p>
    <w:p w14:paraId="7579F09A">
      <w:pPr>
        <w:pStyle w:val="9"/>
        <w:spacing w:before="4" w:line="220" w:lineRule="auto"/>
        <w:ind w:left="123"/>
        <w:outlineLvl w:val="1"/>
        <w:rPr>
          <w:color w:val="auto"/>
          <w:sz w:val="30"/>
          <w:szCs w:val="30"/>
        </w:rPr>
      </w:pPr>
      <w:bookmarkStart w:id="222" w:name="bookmark54"/>
      <w:bookmarkEnd w:id="222"/>
      <w:bookmarkStart w:id="223" w:name="_Toc22276"/>
      <w:r>
        <w:rPr>
          <w:rFonts w:hint="eastAsia" w:ascii="Times New Roman" w:hAnsi="Times New Roman" w:eastAsia="宋体" w:cs="Times New Roman"/>
          <w:b/>
          <w:bCs/>
          <w:color w:val="auto"/>
          <w:spacing w:val="-3"/>
          <w:sz w:val="30"/>
          <w:szCs w:val="30"/>
          <w:lang w:val="en-US" w:eastAsia="zh-CN"/>
        </w:rPr>
        <w:t>6</w:t>
      </w:r>
      <w:r>
        <w:rPr>
          <w:rFonts w:ascii="Times New Roman" w:hAnsi="Times New Roman" w:eastAsia="Times New Roman" w:cs="Times New Roman"/>
          <w:b/>
          <w:bCs/>
          <w:color w:val="auto"/>
          <w:spacing w:val="-3"/>
          <w:sz w:val="30"/>
          <w:szCs w:val="30"/>
        </w:rPr>
        <w:t xml:space="preserve">.4  </w:t>
      </w:r>
      <w:r>
        <w:rPr>
          <w:b/>
          <w:bCs/>
          <w:color w:val="auto"/>
          <w:spacing w:val="-3"/>
          <w:sz w:val="30"/>
          <w:szCs w:val="30"/>
        </w:rPr>
        <w:t>环境经济效益分析</w:t>
      </w:r>
      <w:bookmarkEnd w:id="223"/>
    </w:p>
    <w:p w14:paraId="0169F824">
      <w:pPr>
        <w:pStyle w:val="9"/>
        <w:spacing w:before="222" w:line="221" w:lineRule="auto"/>
        <w:ind w:left="122"/>
        <w:outlineLvl w:val="3"/>
        <w:rPr>
          <w:color w:val="auto"/>
          <w:sz w:val="28"/>
          <w:szCs w:val="28"/>
        </w:rPr>
      </w:pPr>
      <w:r>
        <w:rPr>
          <w:rFonts w:hint="eastAsia" w:ascii="Times New Roman" w:hAnsi="Times New Roman" w:eastAsia="宋体" w:cs="Times New Roman"/>
          <w:b/>
          <w:bCs/>
          <w:color w:val="auto"/>
          <w:spacing w:val="-2"/>
          <w:sz w:val="28"/>
          <w:szCs w:val="28"/>
          <w:lang w:val="en-US" w:eastAsia="zh-CN"/>
        </w:rPr>
        <w:t>6</w:t>
      </w:r>
      <w:r>
        <w:rPr>
          <w:rFonts w:ascii="Times New Roman" w:hAnsi="Times New Roman" w:eastAsia="Times New Roman" w:cs="Times New Roman"/>
          <w:b/>
          <w:bCs/>
          <w:color w:val="auto"/>
          <w:spacing w:val="-2"/>
          <w:sz w:val="28"/>
          <w:szCs w:val="28"/>
        </w:rPr>
        <w:t xml:space="preserve">.4.1 </w:t>
      </w:r>
      <w:r>
        <w:rPr>
          <w:b/>
          <w:bCs/>
          <w:color w:val="auto"/>
          <w:spacing w:val="-2"/>
          <w:sz w:val="28"/>
          <w:szCs w:val="28"/>
        </w:rPr>
        <w:t>直接环境经济效益分析</w:t>
      </w:r>
    </w:p>
    <w:p w14:paraId="1F6A22CD">
      <w:pPr>
        <w:pStyle w:val="9"/>
        <w:spacing w:before="204" w:line="359" w:lineRule="auto"/>
        <w:ind w:left="120" w:right="112" w:firstLine="482"/>
        <w:jc w:val="both"/>
        <w:rPr>
          <w:color w:val="auto"/>
          <w:sz w:val="24"/>
          <w:szCs w:val="24"/>
        </w:rPr>
      </w:pPr>
      <w:r>
        <w:rPr>
          <w:color w:val="auto"/>
          <w:spacing w:val="-3"/>
          <w:sz w:val="24"/>
          <w:szCs w:val="24"/>
        </w:rPr>
        <w:t>本专用线的建设对沿线的生态环境、声环境、振动环境、大气环境、水</w:t>
      </w:r>
      <w:r>
        <w:rPr>
          <w:color w:val="auto"/>
          <w:spacing w:val="-4"/>
          <w:sz w:val="24"/>
          <w:szCs w:val="24"/>
        </w:rPr>
        <w:t>环境</w:t>
      </w:r>
      <w:r>
        <w:rPr>
          <w:color w:val="auto"/>
          <w:spacing w:val="-3"/>
          <w:sz w:val="24"/>
          <w:szCs w:val="24"/>
        </w:rPr>
        <w:t>将带来一定的不利影响。本评价要求企业合理的开发利用自然资源，保护区域环境，在建设中对生态环境、声环境、振动环境、水环境、大气环境等采取了一系列有效的保护措施，</w:t>
      </w:r>
      <w:r>
        <w:rPr>
          <w:rFonts w:hint="default" w:ascii="Times New Roman" w:hAnsi="Times New Roman" w:cs="Times New Roman"/>
          <w:color w:val="auto"/>
          <w:sz w:val="24"/>
        </w:rPr>
        <w:t>环保投资</w:t>
      </w:r>
      <w:r>
        <w:rPr>
          <w:rFonts w:hint="eastAsia" w:ascii="Times New Roman" w:hAnsi="Times New Roman" w:cs="Times New Roman"/>
          <w:color w:val="auto"/>
          <w:sz w:val="24"/>
          <w:lang w:val="en-US" w:eastAsia="zh-CN"/>
        </w:rPr>
        <w:t>117.2万</w:t>
      </w:r>
      <w:r>
        <w:rPr>
          <w:rFonts w:hint="default" w:ascii="Times New Roman" w:hAnsi="Times New Roman" w:cs="Times New Roman"/>
          <w:color w:val="auto"/>
          <w:sz w:val="24"/>
        </w:rPr>
        <w:t>，占总投资的</w:t>
      </w:r>
      <w:r>
        <w:rPr>
          <w:rFonts w:hint="eastAsia" w:ascii="Times New Roman" w:hAnsi="Times New Roman" w:cs="Times New Roman"/>
          <w:color w:val="auto"/>
          <w:sz w:val="24"/>
          <w:lang w:val="en-US" w:eastAsia="zh-CN"/>
        </w:rPr>
        <w:t>1.39%</w:t>
      </w:r>
      <w:r>
        <w:rPr>
          <w:rFonts w:hint="default" w:ascii="Times New Roman" w:hAnsi="Times New Roman" w:cs="Times New Roman"/>
          <w:color w:val="auto"/>
          <w:sz w:val="24"/>
        </w:rPr>
        <w:t>。</w:t>
      </w:r>
    </w:p>
    <w:p w14:paraId="636AC96A">
      <w:pPr>
        <w:pStyle w:val="9"/>
        <w:spacing w:line="360" w:lineRule="auto"/>
        <w:ind w:left="122" w:right="112" w:firstLine="480"/>
        <w:jc w:val="both"/>
        <w:rPr>
          <w:color w:val="auto"/>
          <w:sz w:val="24"/>
          <w:szCs w:val="24"/>
        </w:rPr>
      </w:pPr>
      <w:r>
        <w:rPr>
          <w:color w:val="auto"/>
          <w:spacing w:val="-3"/>
          <w:sz w:val="24"/>
          <w:szCs w:val="24"/>
        </w:rPr>
        <w:t>本项目采取措施后每年所挽回的经济损失，亦即环保投资的直接效益是</w:t>
      </w:r>
      <w:r>
        <w:rPr>
          <w:color w:val="auto"/>
          <w:spacing w:val="-4"/>
          <w:sz w:val="24"/>
          <w:szCs w:val="24"/>
        </w:rPr>
        <w:t>显而</w:t>
      </w:r>
      <w:r>
        <w:rPr>
          <w:color w:val="auto"/>
          <w:spacing w:val="-3"/>
          <w:sz w:val="24"/>
          <w:szCs w:val="24"/>
        </w:rPr>
        <w:t>易见的，但目前很难用具体货币形式来衡量。只能对若不采取措施时，因工程建设而导致的生态环境、水环境、声环境、振动环境和环境空气质量的变化所引起的对沿线人体健康、生活质量等方面的经济损失做粗略计算或定性分析用以反馈</w:t>
      </w:r>
      <w:r>
        <w:rPr>
          <w:color w:val="auto"/>
          <w:spacing w:val="-1"/>
          <w:sz w:val="24"/>
          <w:szCs w:val="24"/>
        </w:rPr>
        <w:t>环保投资的直接经济效益。</w:t>
      </w:r>
    </w:p>
    <w:p w14:paraId="544892CB">
      <w:pPr>
        <w:pStyle w:val="9"/>
        <w:spacing w:line="221" w:lineRule="auto"/>
        <w:ind w:left="122"/>
        <w:outlineLvl w:val="3"/>
        <w:rPr>
          <w:color w:val="auto"/>
          <w:sz w:val="28"/>
          <w:szCs w:val="28"/>
        </w:rPr>
      </w:pPr>
      <w:r>
        <w:rPr>
          <w:rFonts w:hint="eastAsia" w:ascii="Times New Roman" w:hAnsi="Times New Roman" w:eastAsia="宋体" w:cs="Times New Roman"/>
          <w:b/>
          <w:bCs/>
          <w:color w:val="auto"/>
          <w:spacing w:val="-5"/>
          <w:sz w:val="28"/>
          <w:szCs w:val="28"/>
          <w:lang w:val="en-US" w:eastAsia="zh-CN"/>
        </w:rPr>
        <w:t>6</w:t>
      </w:r>
      <w:r>
        <w:rPr>
          <w:rFonts w:ascii="Times New Roman" w:hAnsi="Times New Roman" w:eastAsia="Times New Roman" w:cs="Times New Roman"/>
          <w:b/>
          <w:bCs/>
          <w:color w:val="auto"/>
          <w:spacing w:val="-5"/>
          <w:sz w:val="28"/>
          <w:szCs w:val="28"/>
        </w:rPr>
        <w:t>.4.2</w:t>
      </w:r>
      <w:r>
        <w:rPr>
          <w:rFonts w:ascii="Times New Roman" w:hAnsi="Times New Roman" w:eastAsia="Times New Roman" w:cs="Times New Roman"/>
          <w:b/>
          <w:bCs/>
          <w:color w:val="auto"/>
          <w:spacing w:val="44"/>
          <w:sz w:val="28"/>
          <w:szCs w:val="28"/>
        </w:rPr>
        <w:t xml:space="preserve"> </w:t>
      </w:r>
      <w:r>
        <w:rPr>
          <w:b/>
          <w:bCs/>
          <w:color w:val="auto"/>
          <w:spacing w:val="-5"/>
          <w:sz w:val="28"/>
          <w:szCs w:val="28"/>
        </w:rPr>
        <w:t>间接环境经济效益分析</w:t>
      </w:r>
    </w:p>
    <w:p w14:paraId="7EBD1723">
      <w:pPr>
        <w:pStyle w:val="9"/>
        <w:spacing w:before="204" w:line="359" w:lineRule="auto"/>
        <w:ind w:left="121" w:right="112" w:firstLine="481"/>
        <w:jc w:val="both"/>
        <w:rPr>
          <w:color w:val="auto"/>
          <w:sz w:val="24"/>
          <w:szCs w:val="24"/>
        </w:rPr>
      </w:pPr>
      <w:r>
        <w:rPr>
          <w:color w:val="auto"/>
          <w:spacing w:val="-3"/>
          <w:sz w:val="24"/>
          <w:szCs w:val="24"/>
        </w:rPr>
        <w:t>本项目在实施有效的环保措施后，会产生以下的间接效益：本项目的建</w:t>
      </w:r>
      <w:r>
        <w:rPr>
          <w:color w:val="auto"/>
          <w:spacing w:val="-4"/>
          <w:sz w:val="24"/>
          <w:szCs w:val="24"/>
        </w:rPr>
        <w:t>设带</w:t>
      </w:r>
      <w:r>
        <w:rPr>
          <w:color w:val="auto"/>
          <w:spacing w:val="-3"/>
          <w:sz w:val="24"/>
          <w:szCs w:val="24"/>
        </w:rPr>
        <w:t>动了企业的快速发展，企业发展的同时会为社会提供更多的劳动就业机会，为社会创造更大的税收和价值，使运输环境得到改善，促进沿线区域经济发展。所有这些间接效益在目前很难用货币形式来度量，但可以肯定的是，它是环保投资所获取的社会效益的主要组成部分。</w:t>
      </w:r>
    </w:p>
    <w:p w14:paraId="648FECE7">
      <w:pPr>
        <w:pStyle w:val="9"/>
        <w:spacing w:line="219" w:lineRule="auto"/>
        <w:ind w:left="602"/>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环保投资的环境效益分析见下表</w:t>
      </w:r>
      <w:r>
        <w:rPr>
          <w:rFonts w:hint="default" w:ascii="Times New Roman" w:hAnsi="Times New Roman" w:eastAsia="宋体" w:cs="Times New Roman"/>
          <w:color w:val="auto"/>
          <w:spacing w:val="0"/>
          <w:sz w:val="24"/>
          <w:szCs w:val="24"/>
          <w:lang w:val="en-US" w:eastAsia="zh-CN"/>
        </w:rPr>
        <w:t>6</w:t>
      </w:r>
      <w:r>
        <w:rPr>
          <w:rFonts w:hint="default" w:ascii="Times New Roman" w:hAnsi="Times New Roman" w:eastAsia="宋体" w:cs="Times New Roman"/>
          <w:color w:val="auto"/>
          <w:spacing w:val="0"/>
          <w:sz w:val="24"/>
          <w:szCs w:val="24"/>
        </w:rPr>
        <w:t>.4-1。</w:t>
      </w:r>
    </w:p>
    <w:p w14:paraId="52B600CD">
      <w:pPr>
        <w:pStyle w:val="9"/>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rFonts w:hint="default" w:ascii="Times New Roman" w:hAnsi="Times New Roman" w:eastAsia="宋体" w:cs="Times New Roman"/>
          <w:b/>
          <w:bCs/>
          <w:color w:val="auto"/>
          <w:spacing w:val="0"/>
        </w:rPr>
      </w:pPr>
      <w:r>
        <w:rPr>
          <w:rFonts w:hint="default" w:ascii="Times New Roman" w:hAnsi="Times New Roman" w:eastAsia="宋体" w:cs="Times New Roman"/>
          <w:b/>
          <w:bCs/>
          <w:color w:val="auto"/>
          <w:spacing w:val="0"/>
        </w:rPr>
        <w:t>表</w:t>
      </w:r>
      <w:r>
        <w:rPr>
          <w:rFonts w:hint="default" w:ascii="Times New Roman" w:hAnsi="Times New Roman" w:eastAsia="宋体" w:cs="Times New Roman"/>
          <w:b/>
          <w:bCs/>
          <w:color w:val="auto"/>
          <w:spacing w:val="0"/>
          <w:lang w:val="en-US" w:eastAsia="zh-CN"/>
        </w:rPr>
        <w:t>6</w:t>
      </w:r>
      <w:r>
        <w:rPr>
          <w:rFonts w:hint="default" w:ascii="Times New Roman" w:hAnsi="Times New Roman" w:eastAsia="宋体" w:cs="Times New Roman"/>
          <w:b/>
          <w:bCs/>
          <w:color w:val="auto"/>
          <w:spacing w:val="0"/>
        </w:rPr>
        <w:t>.4</w:t>
      </w:r>
      <w:r>
        <w:rPr>
          <w:rFonts w:hint="default" w:ascii="Times New Roman" w:hAnsi="Times New Roman" w:eastAsia="宋体" w:cs="Times New Roman"/>
          <w:b/>
          <w:bCs/>
          <w:color w:val="auto"/>
          <w:spacing w:val="0"/>
          <w:lang w:val="en-US" w:eastAsia="zh-CN"/>
        </w:rPr>
        <w:t>-1</w:t>
      </w:r>
      <w:r>
        <w:rPr>
          <w:rFonts w:hint="default" w:ascii="Times New Roman" w:hAnsi="Times New Roman" w:eastAsia="宋体" w:cs="Times New Roman"/>
          <w:b/>
          <w:bCs/>
          <w:color w:val="auto"/>
          <w:spacing w:val="0"/>
        </w:rPr>
        <w:t>环保投资的环境、经济效益定性分析表</w:t>
      </w:r>
    </w:p>
    <w:tbl>
      <w:tblPr>
        <w:tblStyle w:val="26"/>
        <w:tblW w:w="92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9"/>
        <w:gridCol w:w="2417"/>
        <w:gridCol w:w="3030"/>
        <w:gridCol w:w="2053"/>
      </w:tblGrid>
      <w:tr w14:paraId="29F0C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739" w:type="dxa"/>
            <w:vAlign w:val="center"/>
          </w:tcPr>
          <w:p w14:paraId="2605ECB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b/>
                <w:bCs/>
                <w:color w:val="auto"/>
                <w:spacing w:val="0"/>
                <w:sz w:val="21"/>
                <w:szCs w:val="21"/>
              </w:rPr>
              <w:t>环保投资</w:t>
            </w:r>
          </w:p>
        </w:tc>
        <w:tc>
          <w:tcPr>
            <w:tcW w:w="2417" w:type="dxa"/>
            <w:vAlign w:val="center"/>
          </w:tcPr>
          <w:p w14:paraId="772BCC0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b/>
                <w:bCs/>
                <w:color w:val="auto"/>
                <w:spacing w:val="0"/>
                <w:sz w:val="21"/>
                <w:szCs w:val="21"/>
              </w:rPr>
              <w:t>环境效益</w:t>
            </w:r>
          </w:p>
        </w:tc>
        <w:tc>
          <w:tcPr>
            <w:tcW w:w="3030" w:type="dxa"/>
            <w:vAlign w:val="center"/>
          </w:tcPr>
          <w:p w14:paraId="659D434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b/>
                <w:bCs/>
                <w:color w:val="auto"/>
                <w:spacing w:val="0"/>
                <w:sz w:val="21"/>
                <w:szCs w:val="21"/>
              </w:rPr>
              <w:t>社会经济效益</w:t>
            </w:r>
          </w:p>
        </w:tc>
        <w:tc>
          <w:tcPr>
            <w:tcW w:w="2053" w:type="dxa"/>
            <w:vAlign w:val="center"/>
          </w:tcPr>
          <w:p w14:paraId="48C5D20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b/>
                <w:bCs/>
                <w:color w:val="auto"/>
                <w:spacing w:val="0"/>
                <w:sz w:val="21"/>
                <w:szCs w:val="21"/>
              </w:rPr>
              <w:t>综合效益</w:t>
            </w:r>
          </w:p>
        </w:tc>
      </w:tr>
      <w:tr w14:paraId="73270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2" w:hRule="atLeast"/>
        </w:trPr>
        <w:tc>
          <w:tcPr>
            <w:tcW w:w="1739" w:type="dxa"/>
            <w:vAlign w:val="center"/>
          </w:tcPr>
          <w:p w14:paraId="2B725B6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施工期环保措施。</w:t>
            </w:r>
          </w:p>
        </w:tc>
        <w:tc>
          <w:tcPr>
            <w:tcW w:w="2417" w:type="dxa"/>
            <w:vAlign w:val="center"/>
          </w:tcPr>
          <w:p w14:paraId="1BC16F68">
            <w:pPr>
              <w:pStyle w:val="27"/>
              <w:keepNext w:val="0"/>
              <w:keepLines w:val="0"/>
              <w:pageBreakBefore w:val="0"/>
              <w:widowControl/>
              <w:numPr>
                <w:ilvl w:val="0"/>
                <w:numId w:val="20"/>
              </w:numPr>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防止施工噪声扰民；</w:t>
            </w:r>
          </w:p>
          <w:p w14:paraId="29CCE31C">
            <w:pPr>
              <w:pStyle w:val="27"/>
              <w:keepNext w:val="0"/>
              <w:keepLines w:val="0"/>
              <w:pageBreakBefore w:val="0"/>
              <w:widowControl/>
              <w:numPr>
                <w:ilvl w:val="0"/>
                <w:numId w:val="20"/>
              </w:numPr>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防止水环境污染；</w:t>
            </w:r>
          </w:p>
          <w:p w14:paraId="7FEC6003">
            <w:pPr>
              <w:pStyle w:val="27"/>
              <w:keepNext w:val="0"/>
              <w:keepLines w:val="0"/>
              <w:pageBreakBefore w:val="0"/>
              <w:widowControl/>
              <w:numPr>
                <w:ilvl w:val="0"/>
                <w:numId w:val="20"/>
              </w:numPr>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防止空气污染</w:t>
            </w:r>
          </w:p>
          <w:p w14:paraId="3AA540FE">
            <w:pPr>
              <w:pStyle w:val="27"/>
              <w:keepNext w:val="0"/>
              <w:keepLines w:val="0"/>
              <w:pageBreakBefore w:val="0"/>
              <w:widowControl/>
              <w:numPr>
                <w:ilvl w:val="0"/>
                <w:numId w:val="20"/>
              </w:numPr>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保护表土资源、动植物资源、防治水土流失。</w:t>
            </w:r>
          </w:p>
        </w:tc>
        <w:tc>
          <w:tcPr>
            <w:tcW w:w="3030" w:type="dxa"/>
            <w:vAlign w:val="center"/>
          </w:tcPr>
          <w:p w14:paraId="7282694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1.</w:t>
            </w:r>
            <w:r>
              <w:rPr>
                <w:rFonts w:hint="default" w:ascii="Times New Roman" w:hAnsi="Times New Roman" w:cs="Times New Roman"/>
                <w:color w:val="auto"/>
                <w:spacing w:val="0"/>
                <w:sz w:val="21"/>
                <w:szCs w:val="21"/>
              </w:rPr>
              <w:t>保护</w:t>
            </w:r>
            <w:r>
              <w:rPr>
                <w:rFonts w:hint="eastAsia" w:ascii="Times New Roman" w:hAnsi="Times New Roman" w:cs="Times New Roman"/>
                <w:color w:val="auto"/>
                <w:spacing w:val="0"/>
                <w:sz w:val="21"/>
                <w:szCs w:val="21"/>
                <w:lang w:val="en-US" w:eastAsia="zh-CN"/>
              </w:rPr>
              <w:t>人民</w:t>
            </w:r>
            <w:r>
              <w:rPr>
                <w:rFonts w:hint="default" w:ascii="Times New Roman" w:hAnsi="Times New Roman" w:cs="Times New Roman"/>
                <w:color w:val="auto"/>
                <w:spacing w:val="0"/>
                <w:sz w:val="21"/>
                <w:szCs w:val="21"/>
              </w:rPr>
              <w:t>生活、生产环境；</w:t>
            </w:r>
          </w:p>
          <w:p w14:paraId="32D71E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2.</w:t>
            </w:r>
            <w:r>
              <w:rPr>
                <w:rFonts w:hint="default" w:ascii="Times New Roman" w:hAnsi="Times New Roman" w:cs="Times New Roman"/>
                <w:color w:val="auto"/>
                <w:spacing w:val="0"/>
                <w:sz w:val="21"/>
                <w:szCs w:val="21"/>
              </w:rPr>
              <w:t>保护生态资源等；</w:t>
            </w:r>
          </w:p>
          <w:p w14:paraId="17A9BED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3.</w:t>
            </w:r>
            <w:r>
              <w:rPr>
                <w:rFonts w:hint="default" w:ascii="Times New Roman" w:hAnsi="Times New Roman" w:cs="Times New Roman"/>
                <w:color w:val="auto"/>
                <w:spacing w:val="0"/>
                <w:sz w:val="21"/>
                <w:szCs w:val="21"/>
              </w:rPr>
              <w:t>保护国家财产安全、公众人身安全。</w:t>
            </w:r>
          </w:p>
        </w:tc>
        <w:tc>
          <w:tcPr>
            <w:tcW w:w="2053" w:type="dxa"/>
            <w:vAlign w:val="center"/>
          </w:tcPr>
          <w:p w14:paraId="3BC48C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1.</w:t>
            </w:r>
            <w:r>
              <w:rPr>
                <w:rFonts w:hint="default" w:ascii="Times New Roman" w:hAnsi="Times New Roman" w:cs="Times New Roman"/>
                <w:color w:val="auto"/>
                <w:spacing w:val="0"/>
                <w:sz w:val="21"/>
                <w:szCs w:val="21"/>
              </w:rPr>
              <w:t>使施工期对环境的不利影响降到最低；</w:t>
            </w:r>
          </w:p>
          <w:p w14:paraId="48FA08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2</w:t>
            </w:r>
            <w:r>
              <w:rPr>
                <w:rFonts w:hint="default" w:ascii="Times New Roman" w:hAnsi="Times New Roman" w:eastAsia="Times New Roman" w:cs="Times New Roman"/>
                <w:color w:val="auto"/>
                <w:spacing w:val="0"/>
                <w:sz w:val="21"/>
                <w:szCs w:val="21"/>
              </w:rPr>
              <w:t>.</w:t>
            </w:r>
            <w:r>
              <w:rPr>
                <w:rFonts w:hint="default" w:ascii="Times New Roman" w:hAnsi="Times New Roman" w:cs="Times New Roman"/>
                <w:color w:val="auto"/>
                <w:spacing w:val="0"/>
                <w:sz w:val="21"/>
                <w:szCs w:val="21"/>
              </w:rPr>
              <w:t>提高部分土地的利用价值。</w:t>
            </w:r>
          </w:p>
        </w:tc>
      </w:tr>
      <w:tr w14:paraId="59A3B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3" w:hRule="atLeast"/>
        </w:trPr>
        <w:tc>
          <w:tcPr>
            <w:tcW w:w="1739" w:type="dxa"/>
            <w:vAlign w:val="center"/>
          </w:tcPr>
          <w:p w14:paraId="7096D86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运营期沿线绿化扬尘治理措施。</w:t>
            </w:r>
          </w:p>
        </w:tc>
        <w:tc>
          <w:tcPr>
            <w:tcW w:w="2417" w:type="dxa"/>
            <w:vAlign w:val="center"/>
          </w:tcPr>
          <w:p w14:paraId="0AF6779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1.</w:t>
            </w:r>
            <w:r>
              <w:rPr>
                <w:rFonts w:hint="default" w:ascii="Times New Roman" w:hAnsi="Times New Roman" w:cs="Times New Roman"/>
                <w:color w:val="auto"/>
                <w:spacing w:val="0"/>
                <w:sz w:val="21"/>
                <w:szCs w:val="21"/>
              </w:rPr>
              <w:t>美化景观；</w:t>
            </w:r>
          </w:p>
          <w:p w14:paraId="60E23FC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2.</w:t>
            </w:r>
            <w:r>
              <w:rPr>
                <w:rFonts w:hint="default" w:ascii="Times New Roman" w:hAnsi="Times New Roman" w:cs="Times New Roman"/>
                <w:color w:val="auto"/>
                <w:spacing w:val="0"/>
                <w:sz w:val="21"/>
                <w:szCs w:val="21"/>
              </w:rPr>
              <w:t>水土保持；</w:t>
            </w:r>
          </w:p>
          <w:p w14:paraId="130E431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3.</w:t>
            </w:r>
            <w:r>
              <w:rPr>
                <w:rFonts w:hint="default" w:ascii="Times New Roman" w:hAnsi="Times New Roman" w:cs="Times New Roman"/>
                <w:color w:val="auto"/>
                <w:spacing w:val="0"/>
                <w:sz w:val="21"/>
                <w:szCs w:val="21"/>
              </w:rPr>
              <w:t>恢复或赔偿植被。</w:t>
            </w:r>
          </w:p>
        </w:tc>
        <w:tc>
          <w:tcPr>
            <w:tcW w:w="3030" w:type="dxa"/>
            <w:vAlign w:val="center"/>
          </w:tcPr>
          <w:p w14:paraId="412073A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1.</w:t>
            </w:r>
            <w:r>
              <w:rPr>
                <w:rFonts w:hint="default" w:ascii="Times New Roman" w:hAnsi="Times New Roman" w:cs="Times New Roman"/>
                <w:color w:val="auto"/>
                <w:spacing w:val="0"/>
                <w:sz w:val="21"/>
                <w:szCs w:val="21"/>
              </w:rPr>
              <w:t>改善整体环境；</w:t>
            </w:r>
          </w:p>
          <w:p w14:paraId="02061BA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2.</w:t>
            </w:r>
            <w:r>
              <w:rPr>
                <w:rFonts w:hint="default" w:ascii="Times New Roman" w:hAnsi="Times New Roman" w:cs="Times New Roman"/>
                <w:color w:val="auto"/>
                <w:spacing w:val="0"/>
                <w:sz w:val="21"/>
                <w:szCs w:val="21"/>
              </w:rPr>
              <w:t>防止土壤侵蚀进一步扩大；</w:t>
            </w:r>
          </w:p>
          <w:p w14:paraId="0033D19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3.</w:t>
            </w:r>
            <w:r>
              <w:rPr>
                <w:rFonts w:hint="default" w:ascii="Times New Roman" w:hAnsi="Times New Roman" w:cs="Times New Roman"/>
                <w:color w:val="auto"/>
                <w:spacing w:val="0"/>
                <w:sz w:val="21"/>
                <w:szCs w:val="21"/>
              </w:rPr>
              <w:t>保证路基稳定性；</w:t>
            </w:r>
          </w:p>
          <w:p w14:paraId="2187108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4.</w:t>
            </w:r>
            <w:r>
              <w:rPr>
                <w:rFonts w:hint="default" w:ascii="Times New Roman" w:hAnsi="Times New Roman" w:cs="Times New Roman"/>
                <w:color w:val="auto"/>
                <w:spacing w:val="0"/>
                <w:sz w:val="21"/>
                <w:szCs w:val="21"/>
              </w:rPr>
              <w:t>保护土地资源和动态平衡；</w:t>
            </w:r>
          </w:p>
          <w:p w14:paraId="3073D0B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5.</w:t>
            </w:r>
            <w:r>
              <w:rPr>
                <w:rFonts w:hint="default" w:ascii="Times New Roman" w:hAnsi="Times New Roman" w:cs="Times New Roman"/>
                <w:color w:val="auto"/>
                <w:spacing w:val="0"/>
                <w:sz w:val="21"/>
                <w:szCs w:val="21"/>
              </w:rPr>
              <w:t>提高沿线土地使用价值。</w:t>
            </w:r>
          </w:p>
        </w:tc>
        <w:tc>
          <w:tcPr>
            <w:tcW w:w="2053" w:type="dxa"/>
            <w:vAlign w:val="center"/>
          </w:tcPr>
          <w:p w14:paraId="0DD92C9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1.</w:t>
            </w:r>
            <w:r>
              <w:rPr>
                <w:rFonts w:hint="default" w:ascii="Times New Roman" w:hAnsi="Times New Roman" w:cs="Times New Roman"/>
                <w:color w:val="auto"/>
                <w:spacing w:val="0"/>
                <w:sz w:val="21"/>
                <w:szCs w:val="21"/>
              </w:rPr>
              <w:t>改善区域的生态环境；</w:t>
            </w:r>
          </w:p>
          <w:p w14:paraId="0DAA320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2.</w:t>
            </w:r>
            <w:r>
              <w:rPr>
                <w:rFonts w:hint="default" w:ascii="Times New Roman" w:hAnsi="Times New Roman" w:cs="Times New Roman"/>
                <w:color w:val="auto"/>
                <w:spacing w:val="0"/>
                <w:sz w:val="21"/>
                <w:szCs w:val="21"/>
              </w:rPr>
              <w:t>保障运输安全；</w:t>
            </w:r>
          </w:p>
          <w:p w14:paraId="4421608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3.</w:t>
            </w:r>
            <w:r>
              <w:rPr>
                <w:rFonts w:hint="default" w:ascii="Times New Roman" w:hAnsi="Times New Roman" w:cs="Times New Roman"/>
                <w:color w:val="auto"/>
                <w:spacing w:val="0"/>
                <w:sz w:val="21"/>
                <w:szCs w:val="21"/>
              </w:rPr>
              <w:t>改善区域的大气环境。</w:t>
            </w:r>
          </w:p>
        </w:tc>
      </w:tr>
      <w:tr w14:paraId="4D4E1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739" w:type="dxa"/>
            <w:vAlign w:val="center"/>
          </w:tcPr>
          <w:p w14:paraId="56E1057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噪声防治工程。</w:t>
            </w:r>
          </w:p>
        </w:tc>
        <w:tc>
          <w:tcPr>
            <w:tcW w:w="2417" w:type="dxa"/>
            <w:vAlign w:val="center"/>
          </w:tcPr>
          <w:p w14:paraId="5A9D67F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防止交通噪声、振动对沿线地区声环境的污染。</w:t>
            </w:r>
          </w:p>
        </w:tc>
        <w:tc>
          <w:tcPr>
            <w:tcW w:w="3030" w:type="dxa"/>
            <w:vAlign w:val="center"/>
          </w:tcPr>
          <w:p w14:paraId="7F11BE0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保护沿线居民的生活环境。</w:t>
            </w:r>
          </w:p>
        </w:tc>
        <w:tc>
          <w:tcPr>
            <w:tcW w:w="2053" w:type="dxa"/>
            <w:vAlign w:val="center"/>
          </w:tcPr>
          <w:p w14:paraId="15B1ED6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保护人们生产、生活环境质量，以及人们的身体健康。</w:t>
            </w:r>
          </w:p>
        </w:tc>
      </w:tr>
      <w:tr w14:paraId="5818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739" w:type="dxa"/>
            <w:vAlign w:val="center"/>
          </w:tcPr>
          <w:p w14:paraId="1360F8C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环境监测管理。</w:t>
            </w:r>
          </w:p>
        </w:tc>
        <w:tc>
          <w:tcPr>
            <w:tcW w:w="2417" w:type="dxa"/>
            <w:vAlign w:val="center"/>
          </w:tcPr>
          <w:p w14:paraId="24B66C5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1.</w:t>
            </w:r>
            <w:r>
              <w:rPr>
                <w:rFonts w:hint="default" w:ascii="Times New Roman" w:hAnsi="Times New Roman" w:cs="Times New Roman"/>
                <w:color w:val="auto"/>
                <w:spacing w:val="0"/>
                <w:sz w:val="21"/>
                <w:szCs w:val="21"/>
              </w:rPr>
              <w:t>掌握项目沿线地区环境质量状况及变化趋势；</w:t>
            </w:r>
          </w:p>
        </w:tc>
        <w:tc>
          <w:tcPr>
            <w:tcW w:w="3030" w:type="dxa"/>
            <w:vAlign w:val="center"/>
          </w:tcPr>
          <w:p w14:paraId="05A52B8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1.</w:t>
            </w:r>
            <w:r>
              <w:rPr>
                <w:rFonts w:hint="default" w:ascii="Times New Roman" w:hAnsi="Times New Roman" w:cs="Times New Roman"/>
                <w:color w:val="auto"/>
                <w:spacing w:val="0"/>
                <w:sz w:val="21"/>
                <w:szCs w:val="21"/>
              </w:rPr>
              <w:t>长期维护沿线环境质量；</w:t>
            </w:r>
          </w:p>
          <w:p w14:paraId="3964C1A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eastAsia="Times New Roman" w:cs="Times New Roman"/>
                <w:color w:val="auto"/>
                <w:spacing w:val="0"/>
                <w:sz w:val="21"/>
                <w:szCs w:val="21"/>
              </w:rPr>
              <w:t>2.</w:t>
            </w:r>
            <w:r>
              <w:rPr>
                <w:rFonts w:hint="default" w:ascii="Times New Roman" w:hAnsi="Times New Roman" w:cs="Times New Roman"/>
                <w:color w:val="auto"/>
                <w:spacing w:val="0"/>
                <w:sz w:val="21"/>
                <w:szCs w:val="21"/>
              </w:rPr>
              <w:t>保护人类及生物生存环境。</w:t>
            </w:r>
          </w:p>
        </w:tc>
        <w:tc>
          <w:tcPr>
            <w:tcW w:w="2053" w:type="dxa"/>
            <w:vAlign w:val="center"/>
          </w:tcPr>
          <w:p w14:paraId="149B726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经济与环境可持续发展。</w:t>
            </w:r>
          </w:p>
        </w:tc>
      </w:tr>
    </w:tbl>
    <w:p w14:paraId="5A6A1B4E">
      <w:pPr>
        <w:pStyle w:val="9"/>
        <w:spacing w:before="45" w:line="221" w:lineRule="auto"/>
        <w:ind w:left="123"/>
        <w:outlineLvl w:val="1"/>
        <w:rPr>
          <w:color w:val="auto"/>
          <w:sz w:val="30"/>
          <w:szCs w:val="30"/>
        </w:rPr>
      </w:pPr>
      <w:bookmarkStart w:id="224" w:name="bookmark55"/>
      <w:bookmarkEnd w:id="224"/>
      <w:bookmarkStart w:id="225" w:name="_Toc5375"/>
      <w:r>
        <w:rPr>
          <w:rFonts w:ascii="Times New Roman" w:hAnsi="Times New Roman" w:eastAsia="Times New Roman" w:cs="Times New Roman"/>
          <w:b/>
          <w:bCs/>
          <w:color w:val="auto"/>
          <w:spacing w:val="-8"/>
          <w:sz w:val="30"/>
          <w:szCs w:val="30"/>
        </w:rPr>
        <w:t>.</w:t>
      </w:r>
      <w:r>
        <w:rPr>
          <w:rFonts w:hint="eastAsia" w:ascii="Times New Roman" w:hAnsi="Times New Roman" w:eastAsia="宋体" w:cs="Times New Roman"/>
          <w:b/>
          <w:bCs/>
          <w:color w:val="auto"/>
          <w:spacing w:val="-8"/>
          <w:sz w:val="30"/>
          <w:szCs w:val="30"/>
          <w:lang w:val="en-US" w:eastAsia="zh-CN"/>
        </w:rPr>
        <w:t>6.</w:t>
      </w:r>
      <w:r>
        <w:rPr>
          <w:rFonts w:ascii="Times New Roman" w:hAnsi="Times New Roman" w:eastAsia="Times New Roman" w:cs="Times New Roman"/>
          <w:b/>
          <w:bCs/>
          <w:color w:val="auto"/>
          <w:spacing w:val="-8"/>
          <w:sz w:val="30"/>
          <w:szCs w:val="30"/>
        </w:rPr>
        <w:t>5</w:t>
      </w:r>
      <w:r>
        <w:rPr>
          <w:rFonts w:ascii="Times New Roman" w:hAnsi="Times New Roman" w:eastAsia="Times New Roman" w:cs="Times New Roman"/>
          <w:b/>
          <w:bCs/>
          <w:color w:val="auto"/>
          <w:spacing w:val="21"/>
          <w:sz w:val="30"/>
          <w:szCs w:val="30"/>
        </w:rPr>
        <w:t xml:space="preserve"> </w:t>
      </w:r>
      <w:r>
        <w:rPr>
          <w:b/>
          <w:bCs/>
          <w:color w:val="auto"/>
          <w:spacing w:val="-8"/>
          <w:sz w:val="30"/>
          <w:szCs w:val="30"/>
        </w:rPr>
        <w:t>小结</w:t>
      </w:r>
      <w:bookmarkEnd w:id="225"/>
    </w:p>
    <w:p w14:paraId="0264E7A7">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项目的建设有显著的经济效益和社会效益，环境效益损失不大。项</w:t>
      </w:r>
      <w:r>
        <w:rPr>
          <w:color w:val="auto"/>
          <w:spacing w:val="-4"/>
          <w:sz w:val="24"/>
          <w:szCs w:val="24"/>
        </w:rPr>
        <w:t>目在建设</w:t>
      </w:r>
      <w:r>
        <w:rPr>
          <w:color w:val="auto"/>
          <w:spacing w:val="-3"/>
          <w:sz w:val="24"/>
          <w:szCs w:val="24"/>
        </w:rPr>
        <w:t>和实际运行过程中，应时刻将环境保护和周围环境安全作为重要工作内容，杜绝污染物非正常排放，将污染防治工作当作企业生存和发展的根本，只有这样才能</w:t>
      </w:r>
      <w:r>
        <w:rPr>
          <w:color w:val="auto"/>
          <w:spacing w:val="-1"/>
          <w:sz w:val="24"/>
          <w:szCs w:val="24"/>
        </w:rPr>
        <w:t>实现经济、社会、环境的协调发展。</w:t>
      </w:r>
    </w:p>
    <w:p w14:paraId="21A9C934">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color w:val="auto"/>
          <w:sz w:val="24"/>
          <w:szCs w:val="24"/>
        </w:rPr>
      </w:pPr>
      <w:r>
        <w:rPr>
          <w:color w:val="auto"/>
          <w:spacing w:val="-3"/>
          <w:sz w:val="24"/>
          <w:szCs w:val="24"/>
        </w:rPr>
        <w:t>总体看来，正常情况下，项目建设对环境的正面影响大于负</w:t>
      </w:r>
      <w:r>
        <w:rPr>
          <w:color w:val="auto"/>
          <w:spacing w:val="-4"/>
          <w:sz w:val="24"/>
          <w:szCs w:val="24"/>
        </w:rPr>
        <w:t>面影响。项目在</w:t>
      </w:r>
      <w:r>
        <w:rPr>
          <w:color w:val="auto"/>
          <w:spacing w:val="-3"/>
          <w:sz w:val="24"/>
          <w:szCs w:val="24"/>
        </w:rPr>
        <w:t>建设和运行的过程中，应严格按照国家环境保护相关管理的规定，时刻将周围环境安全放在头等重要位置，做好风险防范工作，确保实现经济、社会、环境的协调发展。</w:t>
      </w:r>
    </w:p>
    <w:p w14:paraId="28B4312C">
      <w:pPr>
        <w:spacing w:before="140" w:line="225" w:lineRule="auto"/>
        <w:ind w:left="2244"/>
        <w:outlineLvl w:val="0"/>
        <w:rPr>
          <w:rFonts w:hint="default" w:ascii="Times New Roman" w:hAnsi="Times New Roman" w:eastAsia="宋体" w:cs="Times New Roman"/>
          <w:b/>
          <w:bCs/>
          <w:color w:val="auto"/>
          <w:spacing w:val="4"/>
          <w:sz w:val="43"/>
          <w:szCs w:val="43"/>
          <w:lang w:val="en-US" w:eastAsia="zh-CN"/>
        </w:rPr>
        <w:sectPr>
          <w:headerReference r:id="rId15" w:type="default"/>
          <w:pgSz w:w="11906" w:h="16839"/>
          <w:pgMar w:top="1317" w:right="1243" w:bottom="1317" w:left="1169" w:header="845" w:footer="1026" w:gutter="0"/>
          <w:pgNumType w:fmt="decimal"/>
          <w:cols w:space="720" w:num="1"/>
        </w:sectPr>
      </w:pPr>
      <w:bookmarkStart w:id="226" w:name="bookmark127"/>
      <w:bookmarkEnd w:id="226"/>
      <w:bookmarkStart w:id="227" w:name="_Toc27780"/>
      <w:bookmarkStart w:id="228" w:name="_Toc27223"/>
    </w:p>
    <w:p w14:paraId="5C4EE2E1">
      <w:pPr>
        <w:spacing w:before="140" w:line="225" w:lineRule="auto"/>
        <w:ind w:left="2244"/>
        <w:outlineLvl w:val="0"/>
        <w:rPr>
          <w:rFonts w:hint="default" w:ascii="Times New Roman" w:hAnsi="Times New Roman" w:eastAsia="宋体" w:cs="Times New Roman"/>
          <w:color w:val="auto"/>
          <w:sz w:val="43"/>
          <w:szCs w:val="43"/>
        </w:rPr>
      </w:pPr>
      <w:bookmarkStart w:id="229" w:name="_Toc14732"/>
      <w:r>
        <w:rPr>
          <w:rFonts w:hint="eastAsia" w:ascii="Times New Roman" w:hAnsi="Times New Roman" w:eastAsia="宋体" w:cs="Times New Roman"/>
          <w:b/>
          <w:bCs/>
          <w:color w:val="auto"/>
          <w:spacing w:val="4"/>
          <w:sz w:val="43"/>
          <w:szCs w:val="43"/>
          <w:lang w:val="en-US" w:eastAsia="zh-CN"/>
        </w:rPr>
        <w:t>7</w:t>
      </w:r>
      <w:r>
        <w:rPr>
          <w:rFonts w:hint="default" w:ascii="Times New Roman" w:hAnsi="Times New Roman" w:eastAsia="Times New Roman" w:cs="Times New Roman"/>
          <w:b/>
          <w:bCs/>
          <w:color w:val="auto"/>
          <w:spacing w:val="4"/>
          <w:sz w:val="43"/>
          <w:szCs w:val="43"/>
        </w:rPr>
        <w:t>.</w:t>
      </w:r>
      <w:r>
        <w:rPr>
          <w:rFonts w:hint="default" w:ascii="Times New Roman" w:hAnsi="Times New Roman" w:eastAsia="宋体" w:cs="Times New Roman"/>
          <w:b/>
          <w:bCs/>
          <w:color w:val="auto"/>
          <w:spacing w:val="4"/>
          <w:sz w:val="43"/>
          <w:szCs w:val="43"/>
        </w:rPr>
        <w:t>环境管理与监测计划</w:t>
      </w:r>
      <w:bookmarkEnd w:id="227"/>
      <w:bookmarkEnd w:id="228"/>
      <w:bookmarkEnd w:id="229"/>
    </w:p>
    <w:p w14:paraId="15208182">
      <w:pPr>
        <w:pStyle w:val="9"/>
        <w:spacing w:line="371" w:lineRule="auto"/>
        <w:rPr>
          <w:rFonts w:hint="default" w:ascii="Times New Roman" w:hAnsi="Times New Roman" w:cs="Times New Roman"/>
          <w:color w:val="auto"/>
        </w:rPr>
      </w:pPr>
    </w:p>
    <w:p w14:paraId="0FC1D434">
      <w:pPr>
        <w:pStyle w:val="9"/>
        <w:keepNext w:val="0"/>
        <w:keepLines w:val="0"/>
        <w:pageBreakBefore w:val="0"/>
        <w:widowControl/>
        <w:kinsoku w:val="0"/>
        <w:wordWrap/>
        <w:overflowPunct/>
        <w:topLinePunct w:val="0"/>
        <w:autoSpaceDE w:val="0"/>
        <w:autoSpaceDN w:val="0"/>
        <w:bidi w:val="0"/>
        <w:spacing w:before="97" w:line="360" w:lineRule="auto"/>
        <w:ind w:left="21"/>
        <w:textAlignment w:val="baseline"/>
        <w:outlineLvl w:val="1"/>
        <w:rPr>
          <w:color w:val="auto"/>
          <w:sz w:val="30"/>
          <w:szCs w:val="30"/>
        </w:rPr>
      </w:pPr>
      <w:bookmarkStart w:id="230" w:name="_Toc31767"/>
      <w:r>
        <w:rPr>
          <w:rFonts w:hint="eastAsia" w:ascii="Times New Roman" w:hAnsi="Times New Roman" w:eastAsia="宋体" w:cs="Times New Roman"/>
          <w:b/>
          <w:bCs/>
          <w:color w:val="auto"/>
          <w:spacing w:val="-10"/>
          <w:sz w:val="30"/>
          <w:szCs w:val="30"/>
          <w:lang w:val="en-US" w:eastAsia="zh-CN"/>
        </w:rPr>
        <w:t>7</w:t>
      </w:r>
      <w:r>
        <w:rPr>
          <w:rFonts w:ascii="Times New Roman" w:hAnsi="Times New Roman" w:eastAsia="Times New Roman" w:cs="Times New Roman"/>
          <w:b/>
          <w:bCs/>
          <w:color w:val="auto"/>
          <w:spacing w:val="-10"/>
          <w:sz w:val="30"/>
          <w:szCs w:val="30"/>
        </w:rPr>
        <w:t xml:space="preserve">.1  </w:t>
      </w:r>
      <w:r>
        <w:rPr>
          <w:b/>
          <w:bCs/>
          <w:color w:val="auto"/>
          <w:spacing w:val="-10"/>
          <w:sz w:val="30"/>
          <w:szCs w:val="30"/>
        </w:rPr>
        <w:t>目的和意义</w:t>
      </w:r>
      <w:bookmarkEnd w:id="230"/>
    </w:p>
    <w:p w14:paraId="4075277E">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color w:val="auto"/>
          <w:spacing w:val="-3"/>
          <w:sz w:val="24"/>
          <w:szCs w:val="24"/>
        </w:rPr>
      </w:pPr>
      <w:r>
        <w:rPr>
          <w:color w:val="auto"/>
          <w:spacing w:val="-3"/>
          <w:sz w:val="24"/>
          <w:szCs w:val="24"/>
        </w:rPr>
        <w:t>环境管理，是使工程建设各时期环保措施得以落实的重要保证手段。通过环境管理，可以使工程建设和环境保护得以同时实施，使项目的建设符合国家经济建设和社会建设的</w:t>
      </w:r>
      <w:r>
        <w:rPr>
          <w:rFonts w:hint="eastAsia"/>
          <w:color w:val="auto"/>
          <w:spacing w:val="-3"/>
          <w:sz w:val="24"/>
          <w:szCs w:val="24"/>
          <w:lang w:eastAsia="zh-CN"/>
        </w:rPr>
        <w:t>“</w:t>
      </w:r>
      <w:r>
        <w:rPr>
          <w:color w:val="auto"/>
          <w:spacing w:val="-3"/>
          <w:sz w:val="24"/>
          <w:szCs w:val="24"/>
        </w:rPr>
        <w:t>三同时</w:t>
      </w:r>
      <w:r>
        <w:rPr>
          <w:rFonts w:hint="eastAsia"/>
          <w:color w:val="auto"/>
          <w:spacing w:val="-3"/>
          <w:sz w:val="24"/>
          <w:szCs w:val="24"/>
          <w:lang w:eastAsia="zh-CN"/>
        </w:rPr>
        <w:t>”</w:t>
      </w:r>
      <w:r>
        <w:rPr>
          <w:color w:val="auto"/>
          <w:spacing w:val="-3"/>
          <w:sz w:val="24"/>
          <w:szCs w:val="24"/>
        </w:rPr>
        <w:t>方针，使地方</w:t>
      </w:r>
      <w:r>
        <w:rPr>
          <w:rFonts w:hint="eastAsia" w:eastAsia="宋体"/>
          <w:color w:val="auto"/>
          <w:spacing w:val="-3"/>
          <w:sz w:val="24"/>
          <w:szCs w:val="24"/>
          <w:lang w:eastAsia="zh-CN"/>
        </w:rPr>
        <w:t>生态环境部门</w:t>
      </w:r>
      <w:r>
        <w:rPr>
          <w:color w:val="auto"/>
          <w:spacing w:val="-3"/>
          <w:sz w:val="24"/>
          <w:szCs w:val="24"/>
        </w:rPr>
        <w:t>具有可监督的依据，通过实施环境管理计划，将本专用线的建设和营运对生态环境、大气环境、环境噪声、振动以及水环境质量的负面影响减缓到相应法规和标准限值要求之内，使工程建设的经济效益和环境效益得以协调、持续和稳定发展。</w:t>
      </w:r>
    </w:p>
    <w:p w14:paraId="7D332929">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1"/>
        <w:rPr>
          <w:color w:val="auto"/>
          <w:sz w:val="30"/>
          <w:szCs w:val="30"/>
        </w:rPr>
      </w:pPr>
      <w:bookmarkStart w:id="231" w:name="bookmark61"/>
      <w:bookmarkEnd w:id="231"/>
      <w:bookmarkStart w:id="232" w:name="_Toc206"/>
      <w:r>
        <w:rPr>
          <w:rFonts w:hint="eastAsia" w:ascii="Times New Roman" w:hAnsi="Times New Roman" w:eastAsia="宋体" w:cs="Times New Roman"/>
          <w:b/>
          <w:bCs/>
          <w:color w:val="auto"/>
          <w:spacing w:val="-3"/>
          <w:sz w:val="30"/>
          <w:szCs w:val="30"/>
          <w:lang w:val="en-US" w:eastAsia="zh-CN"/>
        </w:rPr>
        <w:t>7</w:t>
      </w:r>
      <w:r>
        <w:rPr>
          <w:rFonts w:ascii="Times New Roman" w:hAnsi="Times New Roman" w:eastAsia="Times New Roman" w:cs="Times New Roman"/>
          <w:b/>
          <w:bCs/>
          <w:color w:val="auto"/>
          <w:spacing w:val="-3"/>
          <w:sz w:val="30"/>
          <w:szCs w:val="30"/>
        </w:rPr>
        <w:t xml:space="preserve">.2 </w:t>
      </w:r>
      <w:r>
        <w:rPr>
          <w:b/>
          <w:bCs/>
          <w:color w:val="auto"/>
          <w:spacing w:val="-3"/>
          <w:sz w:val="30"/>
          <w:szCs w:val="30"/>
        </w:rPr>
        <w:t>环境管理</w:t>
      </w:r>
      <w:bookmarkEnd w:id="232"/>
    </w:p>
    <w:p w14:paraId="23077F55">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color w:val="auto"/>
          <w:sz w:val="24"/>
          <w:szCs w:val="24"/>
        </w:rPr>
      </w:pPr>
      <w:bookmarkStart w:id="233" w:name="_Toc14032"/>
      <w:r>
        <w:rPr>
          <w:rFonts w:hint="eastAsia" w:ascii="Times New Roman" w:hAnsi="Times New Roman" w:eastAsia="宋体" w:cs="Times New Roman"/>
          <w:b/>
          <w:bCs/>
          <w:color w:val="auto"/>
          <w:spacing w:val="-2"/>
          <w:sz w:val="24"/>
          <w:szCs w:val="24"/>
          <w:lang w:val="en-US" w:eastAsia="zh-CN"/>
        </w:rPr>
        <w:t>7</w:t>
      </w:r>
      <w:r>
        <w:rPr>
          <w:rFonts w:ascii="Times New Roman" w:hAnsi="Times New Roman" w:eastAsia="Times New Roman" w:cs="Times New Roman"/>
          <w:b/>
          <w:bCs/>
          <w:color w:val="auto"/>
          <w:spacing w:val="-2"/>
          <w:sz w:val="24"/>
          <w:szCs w:val="24"/>
        </w:rPr>
        <w:t>.2.</w:t>
      </w:r>
      <w:r>
        <w:rPr>
          <w:rFonts w:hint="eastAsia" w:ascii="Times New Roman" w:hAnsi="Times New Roman" w:eastAsia="宋体" w:cs="Times New Roman"/>
          <w:b/>
          <w:bCs/>
          <w:color w:val="auto"/>
          <w:spacing w:val="-2"/>
          <w:sz w:val="24"/>
          <w:szCs w:val="24"/>
          <w:lang w:val="en-US" w:eastAsia="zh-CN"/>
        </w:rPr>
        <w:t>1</w:t>
      </w:r>
      <w:r>
        <w:rPr>
          <w:b/>
          <w:bCs/>
          <w:color w:val="auto"/>
          <w:spacing w:val="-2"/>
          <w:sz w:val="24"/>
          <w:szCs w:val="24"/>
        </w:rPr>
        <w:t>施工期环境管理</w:t>
      </w:r>
      <w:bookmarkEnd w:id="233"/>
    </w:p>
    <w:p w14:paraId="27F5C75F">
      <w:pPr>
        <w:pStyle w:val="9"/>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left="0" w:leftChars="0" w:right="0" w:rightChars="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施工期环境管理组成包括施工单位、监理单位和建设单位在内的三级管理体制。项目施工期要制定和健全工程环境监理制度，对所有工程项目进行环境工程监理，保证项目环境工程质量，避免环境隐患的存在。</w:t>
      </w:r>
    </w:p>
    <w:p w14:paraId="46542C56">
      <w:pPr>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firstLine="468" w:firstLineChars="200"/>
        <w:jc w:val="left"/>
        <w:textAlignment w:val="baseline"/>
        <w:outlineLvl w:val="3"/>
        <w:rPr>
          <w:rFonts w:hint="default" w:ascii="Times New Roman" w:hAnsi="Times New Roman" w:eastAsia="Arial" w:cs="Times New Roman"/>
          <w:b/>
          <w:bCs/>
          <w:snapToGrid w:val="0"/>
          <w:color w:val="auto"/>
          <w:spacing w:val="-3"/>
          <w:kern w:val="0"/>
          <w:sz w:val="24"/>
          <w:szCs w:val="24"/>
          <w:lang w:val="en-US" w:eastAsia="zh-CN" w:bidi="ar-SA"/>
        </w:rPr>
      </w:pPr>
      <w:r>
        <w:rPr>
          <w:rFonts w:hint="eastAsia" w:ascii="Times New Roman" w:hAnsi="Times New Roman" w:eastAsia="Arial" w:cs="Times New Roman"/>
          <w:b/>
          <w:bCs/>
          <w:snapToGrid w:val="0"/>
          <w:color w:val="auto"/>
          <w:spacing w:val="-3"/>
          <w:kern w:val="0"/>
          <w:sz w:val="24"/>
          <w:szCs w:val="24"/>
          <w:lang w:val="en-US" w:eastAsia="zh-CN" w:bidi="ar-SA"/>
        </w:rPr>
        <w:t>7.2.1.1环境监理已采取的措施回顾</w:t>
      </w:r>
    </w:p>
    <w:p w14:paraId="5DB1E9B3">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1</w:t>
      </w:r>
      <w:r>
        <w:rPr>
          <w:rFonts w:hint="default" w:ascii="Times New Roman" w:hAnsi="Times New Roman" w:cs="Times New Roman"/>
          <w:color w:val="auto"/>
          <w:spacing w:val="-3"/>
          <w:sz w:val="24"/>
          <w:szCs w:val="24"/>
        </w:rPr>
        <w:t>）建设单位</w:t>
      </w:r>
      <w:r>
        <w:rPr>
          <w:rFonts w:hint="eastAsia" w:ascii="Times New Roman" w:hAnsi="Times New Roman" w:eastAsia="宋体" w:cs="Times New Roman"/>
          <w:color w:val="auto"/>
          <w:spacing w:val="-3"/>
          <w:sz w:val="24"/>
          <w:szCs w:val="24"/>
          <w:lang w:val="en-US" w:eastAsia="zh-CN"/>
        </w:rPr>
        <w:t>已</w:t>
      </w:r>
      <w:r>
        <w:rPr>
          <w:rFonts w:hint="default" w:ascii="Times New Roman" w:hAnsi="Times New Roman" w:cs="Times New Roman"/>
          <w:color w:val="auto"/>
          <w:spacing w:val="-3"/>
          <w:sz w:val="24"/>
          <w:szCs w:val="24"/>
        </w:rPr>
        <w:t>在施工时配备</w:t>
      </w:r>
      <w:r>
        <w:rPr>
          <w:rFonts w:hint="eastAsia" w:ascii="Times New Roman" w:hAnsi="Times New Roman" w:eastAsia="宋体" w:cs="Times New Roman"/>
          <w:color w:val="auto"/>
          <w:spacing w:val="-3"/>
          <w:sz w:val="24"/>
          <w:szCs w:val="24"/>
          <w:lang w:val="en-US" w:eastAsia="zh-CN"/>
        </w:rPr>
        <w:t>了1名</w:t>
      </w:r>
      <w:r>
        <w:rPr>
          <w:rFonts w:hint="default" w:ascii="Times New Roman" w:hAnsi="Times New Roman" w:cs="Times New Roman"/>
          <w:color w:val="auto"/>
          <w:spacing w:val="-3"/>
          <w:sz w:val="24"/>
          <w:szCs w:val="24"/>
        </w:rPr>
        <w:t>环境保护专职人员，负责施工期的环保措施的落实情况及各方面的环境管理工作。对施工单位提出</w:t>
      </w:r>
      <w:r>
        <w:rPr>
          <w:rFonts w:hint="eastAsia" w:ascii="Times New Roman" w:hAnsi="Times New Roman" w:eastAsia="宋体" w:cs="Times New Roman"/>
          <w:color w:val="auto"/>
          <w:spacing w:val="-3"/>
          <w:sz w:val="24"/>
          <w:szCs w:val="24"/>
          <w:lang w:val="en-US" w:eastAsia="zh-CN"/>
        </w:rPr>
        <w:t>了</w:t>
      </w:r>
      <w:r>
        <w:rPr>
          <w:rFonts w:hint="default" w:ascii="Times New Roman" w:hAnsi="Times New Roman" w:cs="Times New Roman"/>
          <w:color w:val="auto"/>
          <w:spacing w:val="-3"/>
          <w:sz w:val="24"/>
          <w:szCs w:val="24"/>
        </w:rPr>
        <w:t>要求，明确</w:t>
      </w:r>
      <w:r>
        <w:rPr>
          <w:rFonts w:hint="eastAsia" w:ascii="Times New Roman" w:hAnsi="Times New Roman" w:eastAsia="宋体" w:cs="Times New Roman"/>
          <w:color w:val="auto"/>
          <w:spacing w:val="-3"/>
          <w:sz w:val="24"/>
          <w:szCs w:val="24"/>
          <w:lang w:val="en-US" w:eastAsia="zh-CN"/>
        </w:rPr>
        <w:t>了</w:t>
      </w:r>
      <w:r>
        <w:rPr>
          <w:rFonts w:hint="default" w:ascii="Times New Roman" w:hAnsi="Times New Roman" w:cs="Times New Roman"/>
          <w:color w:val="auto"/>
          <w:spacing w:val="-3"/>
          <w:sz w:val="24"/>
          <w:szCs w:val="24"/>
        </w:rPr>
        <w:t>责任，督促</w:t>
      </w:r>
      <w:r>
        <w:rPr>
          <w:rFonts w:hint="eastAsia" w:ascii="Times New Roman" w:hAnsi="Times New Roman" w:eastAsia="宋体" w:cs="Times New Roman"/>
          <w:color w:val="auto"/>
          <w:spacing w:val="-3"/>
          <w:sz w:val="24"/>
          <w:szCs w:val="24"/>
          <w:lang w:val="en-US" w:eastAsia="zh-CN"/>
        </w:rPr>
        <w:t>了</w:t>
      </w:r>
      <w:r>
        <w:rPr>
          <w:rFonts w:hint="default" w:ascii="Times New Roman" w:hAnsi="Times New Roman" w:cs="Times New Roman"/>
          <w:color w:val="auto"/>
          <w:spacing w:val="-3"/>
          <w:sz w:val="24"/>
          <w:szCs w:val="24"/>
        </w:rPr>
        <w:t>施工单位按项目设计要求进行施工。</w:t>
      </w:r>
    </w:p>
    <w:p w14:paraId="2326291C">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2</w:t>
      </w: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已</w:t>
      </w:r>
      <w:r>
        <w:rPr>
          <w:rFonts w:hint="default" w:ascii="Times New Roman" w:hAnsi="Times New Roman" w:cs="Times New Roman"/>
          <w:color w:val="auto"/>
          <w:spacing w:val="-3"/>
          <w:sz w:val="24"/>
          <w:szCs w:val="24"/>
        </w:rPr>
        <w:t>检查施工单位是否按要求洒水抑尘的工程设施建设及实施情况，减少扬尘、建筑粉尘对空气环境的污染。</w:t>
      </w:r>
    </w:p>
    <w:p w14:paraId="4535F24B">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3</w:t>
      </w: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已</w:t>
      </w:r>
      <w:r>
        <w:rPr>
          <w:rFonts w:hint="default" w:ascii="Times New Roman" w:hAnsi="Times New Roman" w:cs="Times New Roman"/>
          <w:color w:val="auto"/>
          <w:spacing w:val="-3"/>
          <w:sz w:val="24"/>
          <w:szCs w:val="24"/>
        </w:rPr>
        <w:t>明确施工中废水排放、处理的工程措施及要求，</w:t>
      </w:r>
      <w:r>
        <w:rPr>
          <w:rFonts w:hint="eastAsia" w:ascii="Times New Roman" w:hAnsi="Times New Roman" w:eastAsia="宋体" w:cs="Times New Roman"/>
          <w:color w:val="auto"/>
          <w:spacing w:val="-3"/>
          <w:sz w:val="24"/>
          <w:szCs w:val="24"/>
          <w:lang w:val="en-US" w:eastAsia="zh-CN"/>
        </w:rPr>
        <w:t>按照每月2次的频率</w:t>
      </w:r>
      <w:r>
        <w:rPr>
          <w:rFonts w:hint="default" w:ascii="Times New Roman" w:hAnsi="Times New Roman" w:cs="Times New Roman"/>
          <w:color w:val="auto"/>
          <w:spacing w:val="-3"/>
          <w:sz w:val="24"/>
          <w:szCs w:val="24"/>
        </w:rPr>
        <w:t>组织检查</w:t>
      </w:r>
      <w:r>
        <w:rPr>
          <w:rFonts w:hint="eastAsia" w:ascii="Times New Roman" w:hAnsi="Times New Roman" w:eastAsia="宋体" w:cs="Times New Roman"/>
          <w:color w:val="auto"/>
          <w:spacing w:val="-3"/>
          <w:sz w:val="24"/>
          <w:szCs w:val="24"/>
          <w:lang w:val="en-US" w:eastAsia="zh-CN"/>
        </w:rPr>
        <w:t>了</w:t>
      </w:r>
      <w:r>
        <w:rPr>
          <w:rFonts w:hint="default" w:ascii="Times New Roman" w:hAnsi="Times New Roman" w:cs="Times New Roman"/>
          <w:color w:val="auto"/>
          <w:spacing w:val="-3"/>
          <w:sz w:val="24"/>
          <w:szCs w:val="24"/>
        </w:rPr>
        <w:t>废水回用情况。</w:t>
      </w:r>
    </w:p>
    <w:p w14:paraId="36BBC241">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4</w:t>
      </w: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按照每月2次的频率</w:t>
      </w:r>
      <w:r>
        <w:rPr>
          <w:rFonts w:hint="default" w:ascii="Times New Roman" w:hAnsi="Times New Roman" w:cs="Times New Roman"/>
          <w:color w:val="auto"/>
          <w:spacing w:val="-3"/>
          <w:sz w:val="24"/>
          <w:szCs w:val="24"/>
        </w:rPr>
        <w:t>检查，督促施工单位按要求分类处理项目产生的固体废物，定期运往环卫部门指定地点统一处置。</w:t>
      </w:r>
    </w:p>
    <w:p w14:paraId="6953F357">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eastAsia" w:ascii="Times New Roman" w:hAnsi="Times New Roman" w:cs="Times New Roman"/>
          <w:color w:val="auto"/>
          <w:spacing w:val="-3"/>
          <w:sz w:val="24"/>
          <w:szCs w:val="24"/>
        </w:rPr>
      </w:pPr>
      <w:r>
        <w:rPr>
          <w:rFonts w:hint="eastAsia" w:ascii="Times New Roman" w:hAnsi="Times New Roman" w:cs="Times New Roman"/>
          <w:color w:val="auto"/>
          <w:spacing w:val="-3"/>
          <w:sz w:val="24"/>
          <w:szCs w:val="24"/>
          <w:lang w:eastAsia="zh-CN"/>
        </w:rPr>
        <w:t>（</w:t>
      </w:r>
      <w:r>
        <w:rPr>
          <w:rFonts w:hint="eastAsia" w:ascii="Times New Roman" w:hAnsi="Times New Roman" w:cs="Times New Roman"/>
          <w:color w:val="auto"/>
          <w:spacing w:val="-3"/>
          <w:sz w:val="24"/>
          <w:szCs w:val="24"/>
          <w:lang w:val="en-US" w:eastAsia="zh-CN"/>
        </w:rPr>
        <w:t>5</w:t>
      </w:r>
      <w:r>
        <w:rPr>
          <w:rFonts w:hint="eastAsia" w:ascii="Times New Roman" w:hAnsi="Times New Roman" w:cs="Times New Roman"/>
          <w:color w:val="auto"/>
          <w:spacing w:val="-3"/>
          <w:sz w:val="24"/>
          <w:szCs w:val="24"/>
          <w:lang w:eastAsia="zh-CN"/>
        </w:rPr>
        <w:t>）</w:t>
      </w:r>
      <w:r>
        <w:rPr>
          <w:rFonts w:hint="eastAsia" w:ascii="Times New Roman" w:hAnsi="Times New Roman" w:cs="Times New Roman"/>
          <w:color w:val="auto"/>
          <w:spacing w:val="-3"/>
          <w:sz w:val="24"/>
          <w:szCs w:val="24"/>
        </w:rPr>
        <w:t>对隐蔽工程的隐蔽过程、下道工序施工完成后难以检查的重点部位等进行</w:t>
      </w:r>
      <w:r>
        <w:rPr>
          <w:rFonts w:hint="eastAsia" w:ascii="Times New Roman" w:hAnsi="Times New Roman" w:cs="Times New Roman"/>
          <w:color w:val="auto"/>
          <w:spacing w:val="-3"/>
          <w:sz w:val="24"/>
          <w:szCs w:val="24"/>
          <w:lang w:val="en-US" w:eastAsia="zh-CN"/>
        </w:rPr>
        <w:t>了</w:t>
      </w:r>
      <w:r>
        <w:rPr>
          <w:rFonts w:hint="eastAsia" w:ascii="Times New Roman" w:hAnsi="Times New Roman" w:cs="Times New Roman"/>
          <w:color w:val="auto"/>
          <w:spacing w:val="-3"/>
          <w:sz w:val="24"/>
          <w:szCs w:val="24"/>
        </w:rPr>
        <w:t>旁站监理并出具相关痕迹资料（包括照片、视频等相关影像资料）；</w:t>
      </w:r>
    </w:p>
    <w:p w14:paraId="198AB3A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8" w:firstLineChars="200"/>
        <w:jc w:val="both"/>
        <w:textAlignment w:val="baseline"/>
        <w:rPr>
          <w:rFonts w:hint="default"/>
          <w:color w:val="auto"/>
        </w:rPr>
      </w:pPr>
      <w:r>
        <w:rPr>
          <w:rFonts w:hint="eastAsia" w:ascii="Times New Roman" w:hAnsi="Times New Roman" w:eastAsia="宋体" w:cs="Times New Roman"/>
          <w:color w:val="auto"/>
          <w:spacing w:val="-3"/>
          <w:sz w:val="24"/>
          <w:szCs w:val="24"/>
          <w:lang w:eastAsia="zh-CN"/>
        </w:rPr>
        <w:t>（</w:t>
      </w:r>
      <w:r>
        <w:rPr>
          <w:rFonts w:hint="eastAsia" w:ascii="Times New Roman" w:hAnsi="Times New Roman" w:eastAsia="宋体" w:cs="Times New Roman"/>
          <w:color w:val="auto"/>
          <w:spacing w:val="-3"/>
          <w:sz w:val="24"/>
          <w:szCs w:val="24"/>
          <w:lang w:val="en-US" w:eastAsia="zh-CN"/>
        </w:rPr>
        <w:t>6</w:t>
      </w:r>
      <w:r>
        <w:rPr>
          <w:rFonts w:hint="eastAsia" w:ascii="Times New Roman" w:hAnsi="Times New Roman" w:eastAsia="宋体" w:cs="Times New Roman"/>
          <w:color w:val="auto"/>
          <w:spacing w:val="-3"/>
          <w:sz w:val="24"/>
          <w:szCs w:val="24"/>
          <w:lang w:eastAsia="zh-CN"/>
        </w:rPr>
        <w:t>）</w:t>
      </w:r>
      <w:r>
        <w:rPr>
          <w:rFonts w:hint="eastAsia" w:ascii="Times New Roman" w:hAnsi="Times New Roman" w:cs="Times New Roman"/>
          <w:color w:val="auto"/>
          <w:spacing w:val="-3"/>
          <w:sz w:val="24"/>
          <w:szCs w:val="24"/>
        </w:rPr>
        <w:t>隐蔽工程完成后，</w:t>
      </w:r>
      <w:r>
        <w:rPr>
          <w:rFonts w:hint="eastAsia" w:ascii="Times New Roman" w:hAnsi="Times New Roman" w:eastAsia="宋体" w:cs="Times New Roman"/>
          <w:color w:val="auto"/>
          <w:spacing w:val="-3"/>
          <w:sz w:val="24"/>
          <w:szCs w:val="24"/>
          <w:lang w:val="en-US" w:eastAsia="zh-CN"/>
        </w:rPr>
        <w:t>已</w:t>
      </w:r>
      <w:r>
        <w:rPr>
          <w:rFonts w:hint="eastAsia" w:ascii="Times New Roman" w:hAnsi="Times New Roman" w:cs="Times New Roman"/>
          <w:color w:val="auto"/>
          <w:spacing w:val="-3"/>
          <w:sz w:val="24"/>
          <w:szCs w:val="24"/>
        </w:rPr>
        <w:t>先由承包单位自检、专职检，初验合格后填报隐蔽工程报验单。监理、建设单位、承包单位现场联合检验，确认合格后</w:t>
      </w:r>
      <w:r>
        <w:rPr>
          <w:rFonts w:hint="eastAsia" w:ascii="Times New Roman" w:hAnsi="Times New Roman" w:eastAsia="宋体" w:cs="Times New Roman"/>
          <w:color w:val="auto"/>
          <w:spacing w:val="-3"/>
          <w:sz w:val="24"/>
          <w:szCs w:val="24"/>
          <w:lang w:val="en-US" w:eastAsia="zh-CN"/>
        </w:rPr>
        <w:t>才进行</w:t>
      </w:r>
      <w:r>
        <w:rPr>
          <w:rFonts w:hint="eastAsia" w:ascii="Times New Roman" w:hAnsi="Times New Roman" w:cs="Times New Roman"/>
          <w:color w:val="auto"/>
          <w:spacing w:val="-3"/>
          <w:sz w:val="24"/>
          <w:szCs w:val="24"/>
        </w:rPr>
        <w:t>隐蔽。</w:t>
      </w:r>
    </w:p>
    <w:p w14:paraId="673AADCF">
      <w:pPr>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firstLine="480" w:firstLineChars="200"/>
        <w:jc w:val="left"/>
        <w:textAlignment w:val="baseline"/>
        <w:outlineLvl w:val="3"/>
        <w:rPr>
          <w:rFonts w:hint="default" w:ascii="Times New Roman" w:hAnsi="Times New Roman" w:eastAsia="Arial" w:cs="Times New Roman"/>
          <w:b/>
          <w:bCs/>
          <w:snapToGrid w:val="0"/>
          <w:color w:val="auto"/>
          <w:spacing w:val="-3"/>
          <w:kern w:val="0"/>
          <w:sz w:val="24"/>
          <w:szCs w:val="24"/>
          <w:lang w:val="en-US" w:eastAsia="zh-CN" w:bidi="ar-SA"/>
        </w:rPr>
      </w:pPr>
      <w:r>
        <w:rPr>
          <w:rFonts w:hint="eastAsia" w:ascii="Times New Roman" w:hAnsi="Times New Roman" w:cs="Times New Roman"/>
          <w:b/>
          <w:bCs/>
          <w:color w:val="auto"/>
          <w:spacing w:val="0"/>
          <w:sz w:val="24"/>
          <w:szCs w:val="24"/>
          <w:lang w:val="en-US" w:eastAsia="zh-CN"/>
        </w:rPr>
        <w:t>7.2.1.2后期施工拟采取的</w:t>
      </w:r>
      <w:r>
        <w:rPr>
          <w:rFonts w:hint="eastAsia" w:ascii="Times New Roman" w:hAnsi="Times New Roman" w:eastAsia="Arial" w:cs="Times New Roman"/>
          <w:b/>
          <w:bCs/>
          <w:snapToGrid w:val="0"/>
          <w:color w:val="auto"/>
          <w:spacing w:val="-3"/>
          <w:kern w:val="0"/>
          <w:sz w:val="24"/>
          <w:szCs w:val="24"/>
          <w:lang w:val="en-US" w:eastAsia="zh-CN" w:bidi="ar-SA"/>
        </w:rPr>
        <w:t>环境监理</w:t>
      </w:r>
      <w:r>
        <w:rPr>
          <w:rFonts w:hint="eastAsia" w:ascii="Times New Roman" w:hAnsi="Times New Roman" w:cs="Times New Roman"/>
          <w:b/>
          <w:bCs/>
          <w:color w:val="auto"/>
          <w:spacing w:val="0"/>
          <w:sz w:val="24"/>
          <w:szCs w:val="24"/>
          <w:lang w:val="en-US" w:eastAsia="zh-CN"/>
        </w:rPr>
        <w:t>措施</w:t>
      </w:r>
    </w:p>
    <w:p w14:paraId="1CF2BDDD">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3"/>
          <w:sz w:val="24"/>
          <w:szCs w:val="24"/>
        </w:rPr>
      </w:pPr>
      <w:r>
        <w:rPr>
          <w:rFonts w:hint="eastAsia" w:ascii="Times New Roman" w:hAnsi="Times New Roman" w:eastAsia="宋体" w:cs="Times New Roman"/>
          <w:color w:val="auto"/>
          <w:spacing w:val="0"/>
          <w:sz w:val="24"/>
          <w:szCs w:val="24"/>
          <w:lang w:val="en-US" w:eastAsia="zh-CN"/>
        </w:rPr>
        <w:t>后期施工</w:t>
      </w:r>
      <w:r>
        <w:rPr>
          <w:rFonts w:hint="eastAsia" w:ascii="Times New Roman" w:hAnsi="Times New Roman" w:eastAsia="Arial" w:cs="Times New Roman"/>
          <w:b w:val="0"/>
          <w:bCs w:val="0"/>
          <w:snapToGrid w:val="0"/>
          <w:color w:val="auto"/>
          <w:spacing w:val="-3"/>
          <w:kern w:val="0"/>
          <w:sz w:val="24"/>
          <w:szCs w:val="24"/>
          <w:lang w:val="en-US" w:eastAsia="zh-CN" w:bidi="ar-SA"/>
        </w:rPr>
        <w:t>环境监理</w:t>
      </w:r>
      <w:r>
        <w:rPr>
          <w:rFonts w:hint="eastAsia" w:ascii="Times New Roman" w:hAnsi="Times New Roman" w:eastAsia="宋体" w:cs="Times New Roman"/>
          <w:color w:val="auto"/>
          <w:spacing w:val="0"/>
          <w:sz w:val="24"/>
          <w:szCs w:val="24"/>
          <w:lang w:val="en-US" w:eastAsia="zh-CN"/>
        </w:rPr>
        <w:t>除延续采取前期措施外，还拟增加</w:t>
      </w:r>
      <w:r>
        <w:rPr>
          <w:rFonts w:hint="default" w:ascii="Times New Roman" w:hAnsi="Times New Roman" w:cs="Times New Roman"/>
          <w:color w:val="auto"/>
          <w:spacing w:val="0"/>
          <w:sz w:val="24"/>
          <w:szCs w:val="24"/>
        </w:rPr>
        <w:t>如下环境监理措施：</w:t>
      </w:r>
    </w:p>
    <w:p w14:paraId="60700936">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1</w:t>
      </w:r>
      <w:r>
        <w:rPr>
          <w:rFonts w:hint="default" w:ascii="Times New Roman" w:hAnsi="Times New Roman" w:cs="Times New Roman"/>
          <w:color w:val="auto"/>
          <w:spacing w:val="-3"/>
          <w:sz w:val="24"/>
          <w:szCs w:val="24"/>
        </w:rPr>
        <w:t>）要求施工单位采用符合国家标准的低噪声施工设备、施工机械，并按规范施工，采取有效措施减少施工噪声对周围环境的影响，并严格控制午休、夜间施工时间。</w:t>
      </w:r>
    </w:p>
    <w:p w14:paraId="62168715">
      <w:pPr>
        <w:pStyle w:val="9"/>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color w:val="auto"/>
          <w:spacing w:val="-3"/>
          <w:sz w:val="24"/>
          <w:szCs w:val="24"/>
        </w:rPr>
      </w:pPr>
      <w:r>
        <w:rPr>
          <w:rFonts w:hint="default" w:ascii="Times New Roman" w:hAnsi="Times New Roman"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2</w:t>
      </w:r>
      <w:r>
        <w:rPr>
          <w:rFonts w:hint="default" w:ascii="Times New Roman" w:hAnsi="Times New Roman" w:cs="Times New Roman"/>
          <w:color w:val="auto"/>
          <w:spacing w:val="-3"/>
          <w:sz w:val="24"/>
          <w:szCs w:val="24"/>
        </w:rPr>
        <w:t>）项目施工完毕后，应全面检查施工现场的环境恢复状况。督促施工单位及时撤除占用场地，拆除临时设施，恢复因施工破坏的植被及设施。</w:t>
      </w:r>
    </w:p>
    <w:p w14:paraId="57DCF124">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rFonts w:hint="eastAsia" w:ascii="Times New Roman" w:hAnsi="Times New Roman" w:eastAsia="宋体" w:cs="Times New Roman"/>
          <w:b/>
          <w:bCs/>
          <w:color w:val="auto"/>
          <w:spacing w:val="-2"/>
          <w:sz w:val="24"/>
          <w:szCs w:val="24"/>
          <w:lang w:val="en-US" w:eastAsia="zh-CN"/>
        </w:rPr>
      </w:pPr>
      <w:bookmarkStart w:id="234" w:name="_Toc3271"/>
      <w:r>
        <w:rPr>
          <w:rFonts w:hint="eastAsia" w:ascii="Times New Roman" w:hAnsi="Times New Roman" w:eastAsia="宋体" w:cs="Times New Roman"/>
          <w:b/>
          <w:bCs/>
          <w:color w:val="auto"/>
          <w:spacing w:val="-2"/>
          <w:sz w:val="24"/>
          <w:szCs w:val="24"/>
          <w:lang w:val="en-US" w:eastAsia="zh-CN"/>
        </w:rPr>
        <w:t>7.2.2运营期环境管理</w:t>
      </w:r>
      <w:bookmarkEnd w:id="234"/>
    </w:p>
    <w:p w14:paraId="1A83E9B2">
      <w:pPr>
        <w:pStyle w:val="9"/>
        <w:spacing w:before="205" w:line="219" w:lineRule="auto"/>
        <w:ind w:left="507"/>
        <w:rPr>
          <w:color w:val="auto"/>
          <w:sz w:val="24"/>
          <w:szCs w:val="24"/>
        </w:rPr>
      </w:pPr>
      <w:r>
        <w:rPr>
          <w:rFonts w:ascii="Times New Roman" w:hAnsi="Times New Roman" w:eastAsia="Times New Roman" w:cs="Times New Roman"/>
          <w:b/>
          <w:bCs/>
          <w:color w:val="auto"/>
          <w:spacing w:val="-9"/>
          <w:sz w:val="24"/>
          <w:szCs w:val="24"/>
        </w:rPr>
        <w:t>1</w:t>
      </w:r>
      <w:r>
        <w:rPr>
          <w:rFonts w:ascii="Times New Roman" w:hAnsi="Times New Roman" w:eastAsia="Times New Roman" w:cs="Times New Roman"/>
          <w:b/>
          <w:bCs/>
          <w:color w:val="auto"/>
          <w:spacing w:val="-31"/>
          <w:sz w:val="24"/>
          <w:szCs w:val="24"/>
        </w:rPr>
        <w:t xml:space="preserve"> </w:t>
      </w:r>
      <w:r>
        <w:rPr>
          <w:b/>
          <w:bCs/>
          <w:color w:val="auto"/>
          <w:spacing w:val="-9"/>
          <w:sz w:val="24"/>
          <w:szCs w:val="24"/>
        </w:rPr>
        <w:t>、验收阶段</w:t>
      </w:r>
    </w:p>
    <w:p w14:paraId="17E3E1BE">
      <w:pPr>
        <w:pStyle w:val="9"/>
        <w:spacing w:before="182" w:line="359" w:lineRule="auto"/>
        <w:ind w:left="22" w:firstLine="489"/>
        <w:rPr>
          <w:color w:val="auto"/>
          <w:sz w:val="24"/>
          <w:szCs w:val="24"/>
        </w:rPr>
      </w:pPr>
      <w:r>
        <w:rPr>
          <w:color w:val="auto"/>
          <w:spacing w:val="-5"/>
          <w:sz w:val="24"/>
          <w:szCs w:val="24"/>
        </w:rPr>
        <w:t>（</w:t>
      </w:r>
      <w:r>
        <w:rPr>
          <w:rFonts w:ascii="Times New Roman" w:hAnsi="Times New Roman" w:eastAsia="Times New Roman" w:cs="Times New Roman"/>
          <w:color w:val="auto"/>
          <w:spacing w:val="-5"/>
          <w:sz w:val="24"/>
          <w:szCs w:val="24"/>
        </w:rPr>
        <w:t>1</w:t>
      </w:r>
      <w:r>
        <w:rPr>
          <w:color w:val="auto"/>
          <w:spacing w:val="-5"/>
          <w:sz w:val="24"/>
          <w:szCs w:val="24"/>
        </w:rPr>
        <w:t>）项目建成投产前，应由</w:t>
      </w:r>
      <w:r>
        <w:rPr>
          <w:rFonts w:hint="eastAsia" w:eastAsia="宋体"/>
          <w:color w:val="auto"/>
          <w:spacing w:val="-5"/>
          <w:sz w:val="24"/>
          <w:szCs w:val="24"/>
          <w:lang w:val="en-US" w:eastAsia="zh-CN"/>
        </w:rPr>
        <w:t>专家</w:t>
      </w:r>
      <w:r>
        <w:rPr>
          <w:color w:val="auto"/>
          <w:spacing w:val="-5"/>
          <w:sz w:val="24"/>
          <w:szCs w:val="24"/>
        </w:rPr>
        <w:t>、建设单位共同参与对建设项目验收，</w:t>
      </w:r>
      <w:r>
        <w:rPr>
          <w:color w:val="auto"/>
          <w:spacing w:val="-4"/>
          <w:sz w:val="24"/>
          <w:szCs w:val="24"/>
        </w:rPr>
        <w:t>核查项目环评及批复提出的环保要求落实情况，环保设施是否达到</w:t>
      </w:r>
      <w:r>
        <w:rPr>
          <w:rFonts w:hint="eastAsia" w:eastAsia="宋体"/>
          <w:color w:val="auto"/>
          <w:spacing w:val="-4"/>
          <w:sz w:val="24"/>
          <w:szCs w:val="24"/>
          <w:lang w:eastAsia="zh-CN"/>
        </w:rPr>
        <w:t>“</w:t>
      </w:r>
      <w:r>
        <w:rPr>
          <w:color w:val="auto"/>
          <w:spacing w:val="-4"/>
          <w:sz w:val="24"/>
          <w:szCs w:val="24"/>
        </w:rPr>
        <w:t>三同时</w:t>
      </w:r>
      <w:r>
        <w:rPr>
          <w:rFonts w:hint="eastAsia" w:eastAsia="宋体"/>
          <w:color w:val="auto"/>
          <w:spacing w:val="-82"/>
          <w:sz w:val="24"/>
          <w:szCs w:val="24"/>
          <w:lang w:eastAsia="zh-CN"/>
        </w:rPr>
        <w:t>”</w:t>
      </w:r>
      <w:r>
        <w:rPr>
          <w:color w:val="auto"/>
          <w:spacing w:val="-4"/>
          <w:sz w:val="24"/>
          <w:szCs w:val="24"/>
        </w:rPr>
        <w:t>要</w:t>
      </w:r>
      <w:r>
        <w:rPr>
          <w:color w:val="auto"/>
          <w:spacing w:val="-6"/>
          <w:sz w:val="24"/>
          <w:szCs w:val="24"/>
        </w:rPr>
        <w:t>求。</w:t>
      </w:r>
    </w:p>
    <w:p w14:paraId="104D7AF3">
      <w:pPr>
        <w:pStyle w:val="9"/>
        <w:spacing w:line="359" w:lineRule="auto"/>
        <w:ind w:left="24" w:right="61" w:firstLine="487"/>
        <w:rPr>
          <w:color w:val="auto"/>
          <w:sz w:val="24"/>
          <w:szCs w:val="24"/>
        </w:rPr>
      </w:pPr>
      <w:r>
        <w:rPr>
          <w:color w:val="auto"/>
          <w:sz w:val="24"/>
          <w:szCs w:val="24"/>
        </w:rPr>
        <w:t>（</w:t>
      </w:r>
      <w:r>
        <w:rPr>
          <w:rFonts w:ascii="Times New Roman" w:hAnsi="Times New Roman" w:eastAsia="Times New Roman" w:cs="Times New Roman"/>
          <w:color w:val="auto"/>
          <w:sz w:val="24"/>
          <w:szCs w:val="24"/>
        </w:rPr>
        <w:t>2</w:t>
      </w:r>
      <w:r>
        <w:rPr>
          <w:color w:val="auto"/>
          <w:sz w:val="24"/>
          <w:szCs w:val="24"/>
        </w:rPr>
        <w:t>）项目建成投产前，调查和监测项目污染物处理和排放情况，分析评估</w:t>
      </w:r>
      <w:r>
        <w:rPr>
          <w:color w:val="auto"/>
          <w:spacing w:val="-1"/>
          <w:sz w:val="24"/>
          <w:szCs w:val="24"/>
        </w:rPr>
        <w:t>项目环境影响，考核项目运营是否满足环保要求。</w:t>
      </w:r>
    </w:p>
    <w:p w14:paraId="3432E53C">
      <w:pPr>
        <w:pStyle w:val="9"/>
        <w:spacing w:before="1" w:line="219" w:lineRule="auto"/>
        <w:ind w:left="512"/>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3</w:t>
      </w:r>
      <w:r>
        <w:rPr>
          <w:color w:val="auto"/>
          <w:spacing w:val="-1"/>
          <w:sz w:val="24"/>
          <w:szCs w:val="24"/>
        </w:rPr>
        <w:t>）组织项目竣工环保验收，并针对所存在的环境问题提出整改意见。</w:t>
      </w:r>
    </w:p>
    <w:p w14:paraId="734C1AED">
      <w:pPr>
        <w:pStyle w:val="9"/>
        <w:spacing w:before="180" w:line="220" w:lineRule="auto"/>
        <w:ind w:left="497"/>
        <w:rPr>
          <w:color w:val="auto"/>
          <w:sz w:val="24"/>
          <w:szCs w:val="24"/>
        </w:rPr>
      </w:pPr>
      <w:r>
        <w:rPr>
          <w:rFonts w:ascii="Times New Roman" w:hAnsi="Times New Roman" w:eastAsia="Times New Roman" w:cs="Times New Roman"/>
          <w:b/>
          <w:bCs/>
          <w:color w:val="auto"/>
          <w:spacing w:val="-7"/>
          <w:sz w:val="24"/>
          <w:szCs w:val="24"/>
        </w:rPr>
        <w:t>2</w:t>
      </w:r>
      <w:r>
        <w:rPr>
          <w:rFonts w:ascii="Times New Roman" w:hAnsi="Times New Roman" w:eastAsia="Times New Roman" w:cs="Times New Roman"/>
          <w:b/>
          <w:bCs/>
          <w:color w:val="auto"/>
          <w:spacing w:val="-33"/>
          <w:sz w:val="24"/>
          <w:szCs w:val="24"/>
        </w:rPr>
        <w:t xml:space="preserve"> </w:t>
      </w:r>
      <w:r>
        <w:rPr>
          <w:b/>
          <w:bCs/>
          <w:color w:val="auto"/>
          <w:spacing w:val="-7"/>
          <w:sz w:val="24"/>
          <w:szCs w:val="24"/>
        </w:rPr>
        <w:t>、运营阶段</w:t>
      </w:r>
    </w:p>
    <w:p w14:paraId="2F7D43F7">
      <w:pPr>
        <w:pStyle w:val="9"/>
        <w:spacing w:before="183" w:line="359" w:lineRule="auto"/>
        <w:ind w:left="23" w:right="61" w:firstLine="488"/>
        <w:rPr>
          <w:color w:val="auto"/>
          <w:sz w:val="24"/>
          <w:szCs w:val="24"/>
        </w:rPr>
      </w:pPr>
      <w:r>
        <w:rPr>
          <w:color w:val="auto"/>
          <w:sz w:val="24"/>
          <w:szCs w:val="24"/>
        </w:rPr>
        <w:t>（</w:t>
      </w:r>
      <w:r>
        <w:rPr>
          <w:rFonts w:ascii="Times New Roman" w:hAnsi="Times New Roman" w:eastAsia="Times New Roman" w:cs="Times New Roman"/>
          <w:color w:val="auto"/>
          <w:sz w:val="24"/>
          <w:szCs w:val="24"/>
        </w:rPr>
        <w:t>1</w:t>
      </w:r>
      <w:r>
        <w:rPr>
          <w:color w:val="auto"/>
          <w:sz w:val="24"/>
          <w:szCs w:val="24"/>
        </w:rPr>
        <w:t>）运营单位加强铁路日常管理和保养，定期进行轨道打磨和旋轮等，使</w:t>
      </w:r>
      <w:r>
        <w:rPr>
          <w:color w:val="auto"/>
          <w:spacing w:val="-1"/>
          <w:sz w:val="24"/>
          <w:szCs w:val="24"/>
        </w:rPr>
        <w:t>线路在较佳的线路条件下运行，降低噪声。</w:t>
      </w:r>
    </w:p>
    <w:p w14:paraId="35AEF54E">
      <w:pPr>
        <w:pStyle w:val="9"/>
        <w:spacing w:line="359" w:lineRule="auto"/>
        <w:ind w:left="26" w:right="61" w:firstLine="485"/>
        <w:rPr>
          <w:color w:val="auto"/>
          <w:sz w:val="24"/>
          <w:szCs w:val="24"/>
        </w:rPr>
      </w:pPr>
      <w:r>
        <w:rPr>
          <w:color w:val="auto"/>
          <w:sz w:val="24"/>
          <w:szCs w:val="24"/>
        </w:rPr>
        <w:t>（</w:t>
      </w:r>
      <w:r>
        <w:rPr>
          <w:rFonts w:ascii="Times New Roman" w:hAnsi="Times New Roman" w:eastAsia="Times New Roman" w:cs="Times New Roman"/>
          <w:color w:val="auto"/>
          <w:sz w:val="24"/>
          <w:szCs w:val="24"/>
        </w:rPr>
        <w:t>2</w:t>
      </w:r>
      <w:r>
        <w:rPr>
          <w:color w:val="auto"/>
          <w:sz w:val="24"/>
          <w:szCs w:val="24"/>
        </w:rPr>
        <w:t>）运用经济、教育、行政、法律及其他手段，加强职工的环保意识，加</w:t>
      </w:r>
      <w:r>
        <w:rPr>
          <w:color w:val="auto"/>
          <w:spacing w:val="-1"/>
          <w:sz w:val="24"/>
          <w:szCs w:val="24"/>
        </w:rPr>
        <w:t>强环境保护的自觉性，不断提高环境管理水平。</w:t>
      </w:r>
    </w:p>
    <w:p w14:paraId="60AC3DB5">
      <w:pPr>
        <w:pStyle w:val="9"/>
        <w:spacing w:line="220" w:lineRule="auto"/>
        <w:ind w:left="512"/>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3</w:t>
      </w:r>
      <w:r>
        <w:rPr>
          <w:color w:val="auto"/>
          <w:spacing w:val="-1"/>
          <w:sz w:val="24"/>
          <w:szCs w:val="24"/>
        </w:rPr>
        <w:t>）运营过程中，防止噪声、振动对环境造成影响。</w:t>
      </w:r>
    </w:p>
    <w:p w14:paraId="0176E087">
      <w:pPr>
        <w:pStyle w:val="9"/>
        <w:spacing w:before="182" w:line="219" w:lineRule="auto"/>
        <w:ind w:left="512"/>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4</w:t>
      </w:r>
      <w:r>
        <w:rPr>
          <w:color w:val="auto"/>
          <w:spacing w:val="-1"/>
          <w:sz w:val="24"/>
          <w:szCs w:val="24"/>
        </w:rPr>
        <w:t>）定期向</w:t>
      </w:r>
      <w:r>
        <w:rPr>
          <w:rFonts w:hint="eastAsia" w:eastAsia="宋体"/>
          <w:color w:val="auto"/>
          <w:spacing w:val="-1"/>
          <w:sz w:val="24"/>
          <w:szCs w:val="24"/>
          <w:lang w:eastAsia="zh-CN"/>
        </w:rPr>
        <w:t>生态环境部门</w:t>
      </w:r>
      <w:r>
        <w:rPr>
          <w:color w:val="auto"/>
          <w:spacing w:val="-1"/>
          <w:sz w:val="24"/>
          <w:szCs w:val="24"/>
        </w:rPr>
        <w:t>汇报建设项目的环保工作情况。</w:t>
      </w:r>
    </w:p>
    <w:p w14:paraId="67F6D492">
      <w:pPr>
        <w:pStyle w:val="9"/>
        <w:spacing w:before="181" w:line="219" w:lineRule="auto"/>
        <w:ind w:left="512"/>
        <w:rPr>
          <w:color w:val="auto"/>
          <w:sz w:val="24"/>
          <w:szCs w:val="24"/>
        </w:rPr>
      </w:pPr>
      <w:r>
        <w:rPr>
          <w:color w:val="auto"/>
          <w:spacing w:val="-1"/>
          <w:sz w:val="24"/>
          <w:szCs w:val="24"/>
        </w:rPr>
        <w:t>（</w:t>
      </w:r>
      <w:r>
        <w:rPr>
          <w:rFonts w:ascii="Times New Roman" w:hAnsi="Times New Roman" w:eastAsia="Times New Roman" w:cs="Times New Roman"/>
          <w:color w:val="auto"/>
          <w:spacing w:val="-1"/>
          <w:sz w:val="24"/>
          <w:szCs w:val="24"/>
        </w:rPr>
        <w:t>5</w:t>
      </w:r>
      <w:r>
        <w:rPr>
          <w:color w:val="auto"/>
          <w:spacing w:val="-1"/>
          <w:sz w:val="24"/>
          <w:szCs w:val="24"/>
        </w:rPr>
        <w:t>）组织技术培训，提高管理人员及操作人员的业务能力。</w:t>
      </w:r>
    </w:p>
    <w:p w14:paraId="60CC0FE5">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rFonts w:hint="eastAsia" w:ascii="Times New Roman" w:hAnsi="Times New Roman" w:eastAsia="宋体" w:cs="Times New Roman"/>
          <w:b/>
          <w:bCs/>
          <w:color w:val="auto"/>
          <w:spacing w:val="-2"/>
          <w:sz w:val="24"/>
          <w:szCs w:val="24"/>
          <w:lang w:val="en-US" w:eastAsia="zh-CN"/>
        </w:rPr>
      </w:pPr>
      <w:bookmarkStart w:id="235" w:name="_Toc5532"/>
      <w:r>
        <w:rPr>
          <w:rFonts w:hint="eastAsia" w:ascii="Times New Roman" w:hAnsi="Times New Roman" w:eastAsia="宋体" w:cs="Times New Roman"/>
          <w:b/>
          <w:bCs/>
          <w:color w:val="auto"/>
          <w:spacing w:val="-2"/>
          <w:sz w:val="24"/>
          <w:szCs w:val="24"/>
          <w:lang w:val="en-US" w:eastAsia="zh-CN"/>
        </w:rPr>
        <w:t>7.2.3环境监理</w:t>
      </w:r>
      <w:bookmarkEnd w:id="235"/>
    </w:p>
    <w:p w14:paraId="7A9D76F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color w:val="auto"/>
          <w:spacing w:val="0"/>
          <w:sz w:val="24"/>
          <w:szCs w:val="24"/>
        </w:rPr>
      </w:pPr>
      <w:r>
        <w:rPr>
          <w:color w:val="auto"/>
          <w:spacing w:val="0"/>
          <w:sz w:val="24"/>
          <w:szCs w:val="24"/>
        </w:rPr>
        <w:t>为保证报告书的有关环保对策措施得到实施，并能满足环境管理部门对项目环境保护的要求，落实建设项目的</w:t>
      </w:r>
      <w:r>
        <w:rPr>
          <w:rFonts w:hint="eastAsia"/>
          <w:color w:val="auto"/>
          <w:spacing w:val="0"/>
          <w:sz w:val="24"/>
          <w:szCs w:val="24"/>
          <w:lang w:eastAsia="zh-CN"/>
        </w:rPr>
        <w:t>“</w:t>
      </w:r>
      <w:r>
        <w:rPr>
          <w:color w:val="auto"/>
          <w:spacing w:val="0"/>
          <w:sz w:val="24"/>
          <w:szCs w:val="24"/>
        </w:rPr>
        <w:t>三同时</w:t>
      </w:r>
      <w:r>
        <w:rPr>
          <w:rFonts w:hint="eastAsia"/>
          <w:color w:val="auto"/>
          <w:spacing w:val="0"/>
          <w:sz w:val="24"/>
          <w:szCs w:val="24"/>
          <w:lang w:eastAsia="zh-CN"/>
        </w:rPr>
        <w:t>”</w:t>
      </w:r>
      <w:r>
        <w:rPr>
          <w:color w:val="auto"/>
          <w:spacing w:val="0"/>
          <w:sz w:val="24"/>
          <w:szCs w:val="24"/>
        </w:rPr>
        <w:t>，按《</w:t>
      </w:r>
      <w:r>
        <w:rPr>
          <w:rFonts w:hint="eastAsia"/>
          <w:color w:val="auto"/>
          <w:spacing w:val="0"/>
          <w:sz w:val="24"/>
          <w:szCs w:val="24"/>
        </w:rPr>
        <w:t>云南省建设项目环境保护管理规定</w:t>
      </w:r>
      <w:r>
        <w:rPr>
          <w:color w:val="auto"/>
          <w:spacing w:val="0"/>
          <w:sz w:val="24"/>
          <w:szCs w:val="24"/>
        </w:rPr>
        <w:t>》的规定，建设单位在施工阶段聘请有资质的第三方作为工程监理单位的同时，应将工程的有关环境保护纳入工程的监理内容，即项目的环境保护监理应与工程监理同时进行。</w:t>
      </w:r>
    </w:p>
    <w:p w14:paraId="3E65ADE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 xml:space="preserve">项目建设期及营运期各级实施机构、负责机构和监督机构应各负其责地进行有效的工作。建设项目施工期和运营期环境管理计划列于表 </w:t>
      </w:r>
      <w:r>
        <w:rPr>
          <w:rFonts w:hint="default" w:ascii="Times New Roman" w:hAnsi="Times New Roman" w:eastAsia="宋体" w:cs="Times New Roman"/>
          <w:color w:val="auto"/>
          <w:spacing w:val="0"/>
          <w:sz w:val="24"/>
          <w:szCs w:val="24"/>
          <w:lang w:val="en-US" w:eastAsia="zh-CN"/>
        </w:rPr>
        <w:t>7</w:t>
      </w:r>
      <w:r>
        <w:rPr>
          <w:rFonts w:hint="default" w:ascii="Times New Roman" w:hAnsi="Times New Roman" w:cs="Times New Roman"/>
          <w:color w:val="auto"/>
          <w:spacing w:val="0"/>
          <w:sz w:val="24"/>
          <w:szCs w:val="24"/>
        </w:rPr>
        <w:t>.2- 1。</w:t>
      </w:r>
    </w:p>
    <w:p w14:paraId="4B5355E6">
      <w:pPr>
        <w:pStyle w:val="9"/>
        <w:spacing w:before="180" w:line="213" w:lineRule="auto"/>
        <w:ind w:left="3088"/>
        <w:rPr>
          <w:rFonts w:hint="default" w:ascii="Times New Roman" w:hAnsi="Times New Roman" w:cs="Times New Roman"/>
          <w:color w:val="auto"/>
          <w:spacing w:val="0"/>
          <w:sz w:val="21"/>
        </w:rPr>
      </w:pPr>
      <w:r>
        <w:rPr>
          <w:rFonts w:hint="default" w:ascii="Times New Roman" w:hAnsi="Times New Roman" w:cs="Times New Roman"/>
          <w:b/>
          <w:bCs/>
          <w:color w:val="auto"/>
          <w:spacing w:val="0"/>
          <w:sz w:val="21"/>
        </w:rPr>
        <w:t>表</w:t>
      </w:r>
      <w:r>
        <w:rPr>
          <w:rFonts w:hint="default" w:ascii="Times New Roman" w:hAnsi="Times New Roman" w:eastAsia="宋体" w:cs="Times New Roman"/>
          <w:color w:val="auto"/>
          <w:spacing w:val="0"/>
          <w:sz w:val="21"/>
          <w:lang w:val="en-US" w:eastAsia="zh-CN"/>
        </w:rPr>
        <w:t>7</w:t>
      </w:r>
      <w:r>
        <w:rPr>
          <w:rFonts w:hint="default" w:ascii="Times New Roman" w:hAnsi="Times New Roman" w:eastAsia="Times New Roman" w:cs="Times New Roman"/>
          <w:b/>
          <w:bCs/>
          <w:color w:val="auto"/>
          <w:spacing w:val="0"/>
          <w:sz w:val="21"/>
        </w:rPr>
        <w:t xml:space="preserve">.2-1    </w:t>
      </w:r>
      <w:r>
        <w:rPr>
          <w:rFonts w:hint="default" w:ascii="Times New Roman" w:hAnsi="Times New Roman" w:cs="Times New Roman"/>
          <w:b/>
          <w:bCs/>
          <w:color w:val="auto"/>
          <w:spacing w:val="0"/>
          <w:sz w:val="21"/>
        </w:rPr>
        <w:t>环境管理计划表</w:t>
      </w:r>
    </w:p>
    <w:tbl>
      <w:tblPr>
        <w:tblStyle w:val="26"/>
        <w:tblW w:w="858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55"/>
        <w:gridCol w:w="1336"/>
        <w:gridCol w:w="3678"/>
        <w:gridCol w:w="1195"/>
        <w:gridCol w:w="1216"/>
      </w:tblGrid>
      <w:tr w14:paraId="50E2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1155" w:type="dxa"/>
            <w:vAlign w:val="center"/>
          </w:tcPr>
          <w:p w14:paraId="26977A5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工程阶段</w:t>
            </w:r>
          </w:p>
        </w:tc>
        <w:tc>
          <w:tcPr>
            <w:tcW w:w="1336" w:type="dxa"/>
            <w:vAlign w:val="center"/>
          </w:tcPr>
          <w:p w14:paraId="4CCC405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潜在的不利影响</w:t>
            </w:r>
          </w:p>
        </w:tc>
        <w:tc>
          <w:tcPr>
            <w:tcW w:w="3678" w:type="dxa"/>
            <w:vAlign w:val="center"/>
          </w:tcPr>
          <w:p w14:paraId="7EFCDB9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减缓措施</w:t>
            </w:r>
          </w:p>
        </w:tc>
        <w:tc>
          <w:tcPr>
            <w:tcW w:w="1195" w:type="dxa"/>
            <w:vAlign w:val="center"/>
          </w:tcPr>
          <w:p w14:paraId="6EFC4D2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实施机构</w:t>
            </w:r>
          </w:p>
        </w:tc>
        <w:tc>
          <w:tcPr>
            <w:tcW w:w="1216" w:type="dxa"/>
            <w:vAlign w:val="center"/>
          </w:tcPr>
          <w:p w14:paraId="796398A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监督单位</w:t>
            </w:r>
          </w:p>
        </w:tc>
      </w:tr>
      <w:tr w14:paraId="3E9A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1155" w:type="dxa"/>
            <w:vMerge w:val="restart"/>
            <w:vAlign w:val="center"/>
          </w:tcPr>
          <w:p w14:paraId="45B1FDD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施工阶段</w:t>
            </w:r>
          </w:p>
        </w:tc>
        <w:tc>
          <w:tcPr>
            <w:tcW w:w="1336" w:type="dxa"/>
            <w:vAlign w:val="center"/>
          </w:tcPr>
          <w:p w14:paraId="3889725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植被破坏、水土流失等</w:t>
            </w:r>
          </w:p>
        </w:tc>
        <w:tc>
          <w:tcPr>
            <w:tcW w:w="3678" w:type="dxa"/>
            <w:vAlign w:val="center"/>
          </w:tcPr>
          <w:p w14:paraId="764922D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减小临时占地面积；按水保及环评要求采取相应的水土保持措施；施工结束后及时进行植被恢复。</w:t>
            </w:r>
          </w:p>
        </w:tc>
        <w:tc>
          <w:tcPr>
            <w:tcW w:w="1195" w:type="dxa"/>
            <w:vMerge w:val="restart"/>
            <w:vAlign w:val="center"/>
          </w:tcPr>
          <w:p w14:paraId="5CCE3DF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施工单位、建设单位、监理单位。</w:t>
            </w:r>
          </w:p>
        </w:tc>
        <w:tc>
          <w:tcPr>
            <w:tcW w:w="1216" w:type="dxa"/>
            <w:vMerge w:val="restart"/>
            <w:vAlign w:val="center"/>
          </w:tcPr>
          <w:p w14:paraId="5A74224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lang w:val="en-US" w:eastAsia="zh-CN"/>
              </w:rPr>
              <w:t>曲靖</w:t>
            </w:r>
            <w:r>
              <w:rPr>
                <w:rFonts w:hint="default" w:ascii="Times New Roman" w:hAnsi="Times New Roman" w:cs="Times New Roman" w:eastAsiaTheme="minorEastAsia"/>
                <w:color w:val="auto"/>
                <w:spacing w:val="0"/>
                <w:w w:val="100"/>
                <w:position w:val="0"/>
                <w:sz w:val="21"/>
                <w:szCs w:val="21"/>
              </w:rPr>
              <w:t>市</w:t>
            </w:r>
            <w:r>
              <w:rPr>
                <w:rFonts w:hint="default" w:ascii="Times New Roman" w:hAnsi="Times New Roman" w:cs="Times New Roman" w:eastAsiaTheme="minorEastAsia"/>
                <w:color w:val="auto"/>
                <w:spacing w:val="0"/>
                <w:w w:val="100"/>
                <w:position w:val="0"/>
                <w:sz w:val="21"/>
                <w:szCs w:val="21"/>
                <w:lang w:val="en-US" w:eastAsia="zh-CN"/>
              </w:rPr>
              <w:t>生态环境局沾益</w:t>
            </w:r>
            <w:r>
              <w:rPr>
                <w:rFonts w:hint="default" w:ascii="Times New Roman" w:hAnsi="Times New Roman" w:cs="Times New Roman" w:eastAsiaTheme="minorEastAsia"/>
                <w:color w:val="auto"/>
                <w:spacing w:val="0"/>
                <w:w w:val="100"/>
                <w:position w:val="0"/>
                <w:sz w:val="21"/>
                <w:szCs w:val="21"/>
              </w:rPr>
              <w:t>分局。</w:t>
            </w:r>
          </w:p>
        </w:tc>
      </w:tr>
      <w:tr w14:paraId="48F6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1155" w:type="dxa"/>
            <w:vMerge w:val="continue"/>
            <w:vAlign w:val="center"/>
          </w:tcPr>
          <w:p w14:paraId="77EE59B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70C8E1B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噪声、振动污染</w:t>
            </w:r>
          </w:p>
        </w:tc>
        <w:tc>
          <w:tcPr>
            <w:tcW w:w="3678" w:type="dxa"/>
            <w:vAlign w:val="center"/>
          </w:tcPr>
          <w:p w14:paraId="5468450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使用低噪声设备，合理布局施工现场、尽量远离居民敏感点，合理安排施工时间，避免在夜间进行高噪声作业。</w:t>
            </w:r>
          </w:p>
        </w:tc>
        <w:tc>
          <w:tcPr>
            <w:tcW w:w="1195" w:type="dxa"/>
            <w:vMerge w:val="continue"/>
            <w:vAlign w:val="center"/>
          </w:tcPr>
          <w:p w14:paraId="26D85D3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6D17D22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12E8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trPr>
        <w:tc>
          <w:tcPr>
            <w:tcW w:w="1155" w:type="dxa"/>
            <w:vMerge w:val="continue"/>
            <w:vAlign w:val="center"/>
          </w:tcPr>
          <w:p w14:paraId="243861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20B2377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扬尘污染</w:t>
            </w:r>
          </w:p>
        </w:tc>
        <w:tc>
          <w:tcPr>
            <w:tcW w:w="3678" w:type="dxa"/>
            <w:vAlign w:val="center"/>
          </w:tcPr>
          <w:p w14:paraId="538225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施工场地及道路定期洒水、运输车辆加盖篷布等。</w:t>
            </w:r>
          </w:p>
        </w:tc>
        <w:tc>
          <w:tcPr>
            <w:tcW w:w="1195" w:type="dxa"/>
            <w:vMerge w:val="continue"/>
            <w:vAlign w:val="center"/>
          </w:tcPr>
          <w:p w14:paraId="1EBC25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76CE133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2428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1155" w:type="dxa"/>
            <w:vMerge w:val="continue"/>
            <w:vAlign w:val="center"/>
          </w:tcPr>
          <w:p w14:paraId="030CCB5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0AF2974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施工废水</w:t>
            </w:r>
          </w:p>
        </w:tc>
        <w:tc>
          <w:tcPr>
            <w:tcW w:w="3678" w:type="dxa"/>
            <w:vAlign w:val="center"/>
          </w:tcPr>
          <w:p w14:paraId="728B576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设置1个</w:t>
            </w:r>
            <w:r>
              <w:rPr>
                <w:rFonts w:hint="eastAsia" w:ascii="Times New Roman" w:hAnsi="Times New Roman" w:cs="Times New Roman" w:eastAsiaTheme="minorEastAsia"/>
                <w:color w:val="auto"/>
                <w:spacing w:val="0"/>
                <w:w w:val="100"/>
                <w:position w:val="0"/>
                <w:sz w:val="21"/>
                <w:szCs w:val="21"/>
                <w:lang w:val="en-US" w:eastAsia="zh-CN"/>
              </w:rPr>
              <w:t>2</w:t>
            </w:r>
            <w:r>
              <w:rPr>
                <w:rFonts w:hint="default" w:ascii="Times New Roman" w:hAnsi="Times New Roman" w:cs="Times New Roman" w:eastAsiaTheme="minorEastAsia"/>
                <w:color w:val="auto"/>
                <w:spacing w:val="0"/>
                <w:w w:val="100"/>
                <w:position w:val="0"/>
                <w:sz w:val="21"/>
                <w:szCs w:val="21"/>
              </w:rPr>
              <w:t>m</w:t>
            </w:r>
            <w:r>
              <w:rPr>
                <w:rFonts w:hint="default" w:ascii="Times New Roman" w:hAnsi="Times New Roman" w:cs="Times New Roman" w:eastAsiaTheme="minorEastAsia"/>
                <w:color w:val="auto"/>
                <w:spacing w:val="0"/>
                <w:w w:val="100"/>
                <w:position w:val="0"/>
                <w:sz w:val="21"/>
                <w:szCs w:val="21"/>
                <w:vertAlign w:val="superscript"/>
              </w:rPr>
              <w:t>3</w:t>
            </w:r>
            <w:r>
              <w:rPr>
                <w:rFonts w:hint="default" w:ascii="Times New Roman" w:hAnsi="Times New Roman" w:cs="Times New Roman" w:eastAsiaTheme="minorEastAsia"/>
                <w:color w:val="auto"/>
                <w:spacing w:val="0"/>
                <w:w w:val="100"/>
                <w:position w:val="0"/>
                <w:sz w:val="21"/>
                <w:szCs w:val="21"/>
              </w:rPr>
              <w:t>的临时沉淀池沉淀处理建筑施工废水后回用；</w:t>
            </w:r>
          </w:p>
        </w:tc>
        <w:tc>
          <w:tcPr>
            <w:tcW w:w="1195" w:type="dxa"/>
            <w:vMerge w:val="continue"/>
            <w:vAlign w:val="center"/>
          </w:tcPr>
          <w:p w14:paraId="4D3710D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7207B60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1A86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1" w:hRule="atLeast"/>
        </w:trPr>
        <w:tc>
          <w:tcPr>
            <w:tcW w:w="1155" w:type="dxa"/>
            <w:vMerge w:val="continue"/>
            <w:vAlign w:val="center"/>
          </w:tcPr>
          <w:p w14:paraId="48B9831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08AE7DC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施工期固体废物</w:t>
            </w:r>
          </w:p>
        </w:tc>
        <w:tc>
          <w:tcPr>
            <w:tcW w:w="3678" w:type="dxa"/>
            <w:vAlign w:val="center"/>
          </w:tcPr>
          <w:p w14:paraId="194CBC0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生活垃圾集中收集后委托环卫部门统一处置；建筑垃圾可利用的回收利用或外售给废品回收站，不可利用部分清运至管理部门指定地点处置。</w:t>
            </w:r>
          </w:p>
        </w:tc>
        <w:tc>
          <w:tcPr>
            <w:tcW w:w="1195" w:type="dxa"/>
            <w:vMerge w:val="continue"/>
            <w:vAlign w:val="center"/>
          </w:tcPr>
          <w:p w14:paraId="636EB44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5CAB890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282A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trPr>
        <w:tc>
          <w:tcPr>
            <w:tcW w:w="1155" w:type="dxa"/>
            <w:vMerge w:val="restart"/>
            <w:vAlign w:val="center"/>
          </w:tcPr>
          <w:p w14:paraId="4DBDA0B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运营阶段</w:t>
            </w:r>
          </w:p>
        </w:tc>
        <w:tc>
          <w:tcPr>
            <w:tcW w:w="1336" w:type="dxa"/>
            <w:vAlign w:val="center"/>
          </w:tcPr>
          <w:p w14:paraId="5CE45C7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列车运行时噪声</w:t>
            </w:r>
          </w:p>
        </w:tc>
        <w:tc>
          <w:tcPr>
            <w:tcW w:w="3678" w:type="dxa"/>
            <w:vAlign w:val="center"/>
          </w:tcPr>
          <w:p w14:paraId="1874695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控制机车鸣笛，合理安排调度时间，加强线路维护、加强铁路两侧绿化。货物运输车辆禁止鸣笛等。</w:t>
            </w:r>
          </w:p>
        </w:tc>
        <w:tc>
          <w:tcPr>
            <w:tcW w:w="1195" w:type="dxa"/>
            <w:vMerge w:val="restart"/>
            <w:vAlign w:val="center"/>
          </w:tcPr>
          <w:p w14:paraId="68537EC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建设单位</w:t>
            </w:r>
          </w:p>
        </w:tc>
        <w:tc>
          <w:tcPr>
            <w:tcW w:w="1216" w:type="dxa"/>
            <w:vMerge w:val="restart"/>
            <w:vAlign w:val="center"/>
          </w:tcPr>
          <w:p w14:paraId="586FE05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lang w:val="en-US" w:eastAsia="zh-CN"/>
              </w:rPr>
              <w:t>曲靖</w:t>
            </w:r>
            <w:r>
              <w:rPr>
                <w:rFonts w:hint="default" w:ascii="Times New Roman" w:hAnsi="Times New Roman" w:cs="Times New Roman" w:eastAsiaTheme="minorEastAsia"/>
                <w:color w:val="auto"/>
                <w:spacing w:val="0"/>
                <w:w w:val="100"/>
                <w:position w:val="0"/>
                <w:sz w:val="21"/>
                <w:szCs w:val="21"/>
              </w:rPr>
              <w:t>市</w:t>
            </w:r>
            <w:r>
              <w:rPr>
                <w:rFonts w:hint="default" w:ascii="Times New Roman" w:hAnsi="Times New Roman" w:cs="Times New Roman" w:eastAsiaTheme="minorEastAsia"/>
                <w:color w:val="auto"/>
                <w:spacing w:val="0"/>
                <w:w w:val="100"/>
                <w:position w:val="0"/>
                <w:sz w:val="21"/>
                <w:szCs w:val="21"/>
                <w:lang w:val="en-US" w:eastAsia="zh-CN"/>
              </w:rPr>
              <w:t>生态环境局沾益</w:t>
            </w:r>
            <w:r>
              <w:rPr>
                <w:rFonts w:hint="default" w:ascii="Times New Roman" w:hAnsi="Times New Roman" w:cs="Times New Roman" w:eastAsiaTheme="minorEastAsia"/>
                <w:color w:val="auto"/>
                <w:spacing w:val="0"/>
                <w:w w:val="100"/>
                <w:position w:val="0"/>
                <w:sz w:val="21"/>
                <w:szCs w:val="21"/>
              </w:rPr>
              <w:t>分局</w:t>
            </w:r>
          </w:p>
        </w:tc>
      </w:tr>
      <w:tr w14:paraId="6487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trPr>
        <w:tc>
          <w:tcPr>
            <w:tcW w:w="1155" w:type="dxa"/>
            <w:vMerge w:val="continue"/>
            <w:vAlign w:val="center"/>
          </w:tcPr>
          <w:p w14:paraId="7D7D922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76670B2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列车运行时振动</w:t>
            </w:r>
          </w:p>
        </w:tc>
        <w:tc>
          <w:tcPr>
            <w:tcW w:w="3678" w:type="dxa"/>
            <w:vAlign w:val="center"/>
          </w:tcPr>
          <w:p w14:paraId="436D467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加强轮轨的维护、保养，定期旋轮和打磨钢轨，以保证其良好的运行状态，减少附加振动。</w:t>
            </w:r>
          </w:p>
        </w:tc>
        <w:tc>
          <w:tcPr>
            <w:tcW w:w="1195" w:type="dxa"/>
            <w:vMerge w:val="continue"/>
            <w:vAlign w:val="center"/>
          </w:tcPr>
          <w:p w14:paraId="516EBE6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5E05D92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7674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5" w:hRule="atLeast"/>
        </w:trPr>
        <w:tc>
          <w:tcPr>
            <w:tcW w:w="1155" w:type="dxa"/>
            <w:vMerge w:val="continue"/>
            <w:vAlign w:val="center"/>
          </w:tcPr>
          <w:p w14:paraId="375A974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4A302B4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列车及车辆运行废气</w:t>
            </w:r>
          </w:p>
        </w:tc>
        <w:tc>
          <w:tcPr>
            <w:tcW w:w="3678" w:type="dxa"/>
            <w:vAlign w:val="center"/>
          </w:tcPr>
          <w:p w14:paraId="1A8B165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加强对内燃机的维护保养，保证其正常工作；货物运输车辆减速慢行；运输道路晴天早晚各洒水一次等。</w:t>
            </w:r>
          </w:p>
        </w:tc>
        <w:tc>
          <w:tcPr>
            <w:tcW w:w="1195" w:type="dxa"/>
            <w:vMerge w:val="continue"/>
            <w:vAlign w:val="center"/>
          </w:tcPr>
          <w:p w14:paraId="4FEEF3B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62DA84B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4525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55" w:type="dxa"/>
            <w:vMerge w:val="continue"/>
            <w:vAlign w:val="center"/>
          </w:tcPr>
          <w:p w14:paraId="2570C1D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0BAF7E7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生活污水</w:t>
            </w:r>
          </w:p>
        </w:tc>
        <w:tc>
          <w:tcPr>
            <w:tcW w:w="3678" w:type="dxa"/>
            <w:vAlign w:val="center"/>
          </w:tcPr>
          <w:p w14:paraId="1C4A09C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员工生活污水按照环评进行处理。</w:t>
            </w:r>
          </w:p>
        </w:tc>
        <w:tc>
          <w:tcPr>
            <w:tcW w:w="1195" w:type="dxa"/>
            <w:vMerge w:val="continue"/>
            <w:vAlign w:val="center"/>
          </w:tcPr>
          <w:p w14:paraId="28491BE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21F793D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77A9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trPr>
        <w:tc>
          <w:tcPr>
            <w:tcW w:w="1155" w:type="dxa"/>
            <w:vMerge w:val="continue"/>
            <w:vAlign w:val="center"/>
          </w:tcPr>
          <w:p w14:paraId="4C8FBA7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2A5DF29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植被破坏及水土流失</w:t>
            </w:r>
          </w:p>
        </w:tc>
        <w:tc>
          <w:tcPr>
            <w:tcW w:w="3678" w:type="dxa"/>
            <w:vAlign w:val="center"/>
          </w:tcPr>
          <w:p w14:paraId="623DF69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加强项目绿化区的保养和维护工作。</w:t>
            </w:r>
          </w:p>
        </w:tc>
        <w:tc>
          <w:tcPr>
            <w:tcW w:w="1195" w:type="dxa"/>
            <w:vMerge w:val="continue"/>
            <w:vAlign w:val="center"/>
          </w:tcPr>
          <w:p w14:paraId="096EE4B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027350A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r w14:paraId="2054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1155" w:type="dxa"/>
            <w:vMerge w:val="continue"/>
            <w:vAlign w:val="center"/>
          </w:tcPr>
          <w:p w14:paraId="5381065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336" w:type="dxa"/>
            <w:vAlign w:val="center"/>
          </w:tcPr>
          <w:p w14:paraId="411F27D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环境风险</w:t>
            </w:r>
          </w:p>
        </w:tc>
        <w:tc>
          <w:tcPr>
            <w:tcW w:w="3678" w:type="dxa"/>
            <w:vAlign w:val="center"/>
          </w:tcPr>
          <w:p w14:paraId="1A4E025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加强对危险废物的管理，</w:t>
            </w:r>
            <w:r>
              <w:rPr>
                <w:rFonts w:hint="default" w:ascii="Times New Roman" w:hAnsi="Times New Roman" w:cs="Times New Roman" w:eastAsiaTheme="minorEastAsia"/>
                <w:color w:val="auto"/>
                <w:spacing w:val="0"/>
                <w:w w:val="100"/>
                <w:position w:val="0"/>
                <w:sz w:val="21"/>
                <w:szCs w:val="21"/>
                <w:lang w:eastAsia="zh-CN"/>
              </w:rPr>
              <w:t>危废暂存间</w:t>
            </w:r>
            <w:r>
              <w:rPr>
                <w:rFonts w:hint="default" w:ascii="Times New Roman" w:hAnsi="Times New Roman" w:cs="Times New Roman" w:eastAsiaTheme="minorEastAsia"/>
                <w:color w:val="auto"/>
                <w:spacing w:val="0"/>
                <w:w w:val="100"/>
                <w:position w:val="0"/>
                <w:sz w:val="21"/>
                <w:szCs w:val="21"/>
              </w:rPr>
              <w:t>做重点防渗，项目区配备相应的应急物资等。</w:t>
            </w:r>
          </w:p>
        </w:tc>
        <w:tc>
          <w:tcPr>
            <w:tcW w:w="1195" w:type="dxa"/>
            <w:vMerge w:val="continue"/>
            <w:vAlign w:val="center"/>
          </w:tcPr>
          <w:p w14:paraId="6F968A2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216" w:type="dxa"/>
            <w:vMerge w:val="continue"/>
            <w:vAlign w:val="center"/>
          </w:tcPr>
          <w:p w14:paraId="5632EA2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r>
    </w:tbl>
    <w:p w14:paraId="775D7F1A">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1"/>
        <w:rPr>
          <w:color w:val="auto"/>
          <w:sz w:val="30"/>
          <w:szCs w:val="30"/>
        </w:rPr>
      </w:pPr>
      <w:bookmarkStart w:id="236" w:name="bookmark62"/>
      <w:bookmarkEnd w:id="236"/>
      <w:bookmarkStart w:id="237" w:name="_Toc17120"/>
      <w:r>
        <w:rPr>
          <w:rFonts w:hint="eastAsia" w:ascii="Times New Roman" w:hAnsi="Times New Roman" w:eastAsia="宋体" w:cs="Times New Roman"/>
          <w:b/>
          <w:bCs/>
          <w:color w:val="auto"/>
          <w:spacing w:val="-3"/>
          <w:sz w:val="30"/>
          <w:szCs w:val="30"/>
          <w:lang w:val="en-US" w:eastAsia="zh-CN"/>
        </w:rPr>
        <w:t>7</w:t>
      </w:r>
      <w:r>
        <w:rPr>
          <w:rFonts w:ascii="Times New Roman" w:hAnsi="Times New Roman" w:eastAsia="Times New Roman" w:cs="Times New Roman"/>
          <w:b/>
          <w:bCs/>
          <w:color w:val="auto"/>
          <w:spacing w:val="-3"/>
          <w:sz w:val="30"/>
          <w:szCs w:val="30"/>
        </w:rPr>
        <w:t xml:space="preserve">.3 </w:t>
      </w:r>
      <w:r>
        <w:rPr>
          <w:b/>
          <w:bCs/>
          <w:color w:val="auto"/>
          <w:spacing w:val="-3"/>
          <w:sz w:val="30"/>
          <w:szCs w:val="30"/>
        </w:rPr>
        <w:t>污染物排放管理要求</w:t>
      </w:r>
      <w:bookmarkEnd w:id="237"/>
    </w:p>
    <w:p w14:paraId="7109CAA6">
      <w:pPr>
        <w:pStyle w:val="9"/>
        <w:keepNext w:val="0"/>
        <w:keepLines w:val="0"/>
        <w:pageBreakBefore w:val="0"/>
        <w:widowControl/>
        <w:kinsoku w:val="0"/>
        <w:wordWrap/>
        <w:overflowPunct/>
        <w:topLinePunct w:val="0"/>
        <w:autoSpaceDE w:val="0"/>
        <w:autoSpaceDN w:val="0"/>
        <w:bidi w:val="0"/>
        <w:adjustRightInd/>
        <w:snapToGrid/>
        <w:spacing w:line="360" w:lineRule="auto"/>
        <w:ind w:left="0"/>
        <w:textAlignment w:val="baseline"/>
        <w:outlineLvl w:val="2"/>
        <w:rPr>
          <w:rFonts w:hint="eastAsia" w:ascii="Times New Roman" w:hAnsi="Times New Roman" w:eastAsia="宋体" w:cs="Times New Roman"/>
          <w:b/>
          <w:bCs/>
          <w:color w:val="auto"/>
          <w:spacing w:val="-2"/>
          <w:sz w:val="24"/>
          <w:szCs w:val="24"/>
          <w:lang w:val="en-US" w:eastAsia="zh-CN"/>
        </w:rPr>
      </w:pPr>
      <w:bookmarkStart w:id="238" w:name="_Toc27641"/>
      <w:r>
        <w:rPr>
          <w:rFonts w:hint="eastAsia" w:ascii="Times New Roman" w:hAnsi="Times New Roman" w:eastAsia="宋体" w:cs="Times New Roman"/>
          <w:b/>
          <w:bCs/>
          <w:color w:val="auto"/>
          <w:spacing w:val="-2"/>
          <w:sz w:val="24"/>
          <w:szCs w:val="24"/>
          <w:lang w:val="en-US" w:eastAsia="zh-CN"/>
        </w:rPr>
        <w:t>7.3.1 污染物排放清单</w:t>
      </w:r>
      <w:bookmarkEnd w:id="238"/>
    </w:p>
    <w:p w14:paraId="55D23B7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sz w:val="24"/>
          <w:szCs w:val="24"/>
        </w:rPr>
      </w:pPr>
      <w:r>
        <w:rPr>
          <w:color w:val="auto"/>
          <w:spacing w:val="0"/>
          <w:w w:val="100"/>
          <w:sz w:val="24"/>
          <w:szCs w:val="24"/>
        </w:rPr>
        <w:t>为了</w:t>
      </w:r>
      <w:r>
        <w:rPr>
          <w:rFonts w:hint="eastAsia" w:eastAsia="宋体"/>
          <w:color w:val="auto"/>
          <w:spacing w:val="0"/>
          <w:w w:val="100"/>
          <w:sz w:val="24"/>
          <w:szCs w:val="24"/>
          <w:lang w:eastAsia="zh-CN"/>
        </w:rPr>
        <w:t>全面贯彻落实</w:t>
      </w:r>
      <w:r>
        <w:rPr>
          <w:color w:val="auto"/>
          <w:spacing w:val="0"/>
          <w:w w:val="100"/>
          <w:sz w:val="24"/>
          <w:szCs w:val="24"/>
        </w:rPr>
        <w:t>国家以及地方环境保护政策、法律、法规，保护本工程周围环境，保证企业各环保设施正常运行，达到企业污染物达标排放，企业必须按照《排污许可证暂行管理规定》做好污染物排放管理工作。</w:t>
      </w:r>
    </w:p>
    <w:p w14:paraId="4C6FBDD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sz w:val="24"/>
          <w:szCs w:val="24"/>
        </w:rPr>
      </w:pPr>
      <w:r>
        <w:rPr>
          <w:rFonts w:ascii="Times New Roman" w:hAnsi="Times New Roman" w:eastAsia="Times New Roman" w:cs="Times New Roman"/>
          <w:color w:val="auto"/>
          <w:spacing w:val="0"/>
          <w:w w:val="100"/>
          <w:sz w:val="24"/>
          <w:szCs w:val="24"/>
        </w:rPr>
        <w:t>1</w:t>
      </w:r>
      <w:r>
        <w:rPr>
          <w:color w:val="auto"/>
          <w:spacing w:val="0"/>
          <w:w w:val="100"/>
          <w:sz w:val="24"/>
          <w:szCs w:val="24"/>
        </w:rPr>
        <w:t>、废气污染物排放清单</w:t>
      </w:r>
    </w:p>
    <w:p w14:paraId="33F8DB3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sz w:val="24"/>
          <w:szCs w:val="24"/>
        </w:rPr>
      </w:pPr>
      <w:r>
        <w:rPr>
          <w:color w:val="auto"/>
          <w:spacing w:val="0"/>
          <w:w w:val="100"/>
          <w:sz w:val="24"/>
          <w:szCs w:val="24"/>
        </w:rPr>
        <w:t xml:space="preserve">本工程根据污染源的特点对无组织废气进行相应的处理，保证 </w:t>
      </w:r>
      <w:r>
        <w:rPr>
          <w:rFonts w:ascii="Times New Roman" w:hAnsi="Times New Roman" w:eastAsia="Times New Roman" w:cs="Times New Roman"/>
          <w:color w:val="auto"/>
          <w:spacing w:val="0"/>
          <w:w w:val="100"/>
          <w:sz w:val="24"/>
          <w:szCs w:val="24"/>
        </w:rPr>
        <w:t xml:space="preserve">TSP </w:t>
      </w:r>
      <w:r>
        <w:rPr>
          <w:color w:val="auto"/>
          <w:spacing w:val="0"/>
          <w:w w:val="100"/>
          <w:sz w:val="24"/>
          <w:szCs w:val="24"/>
        </w:rPr>
        <w:t>的排放达到较低的水平。废气污染物排放清单见下表。</w:t>
      </w:r>
    </w:p>
    <w:p w14:paraId="3DC8668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sz w:val="24"/>
          <w:szCs w:val="24"/>
        </w:rPr>
      </w:pPr>
      <w:r>
        <w:rPr>
          <w:rFonts w:ascii="Times New Roman" w:hAnsi="Times New Roman" w:eastAsia="Times New Roman" w:cs="Times New Roman"/>
          <w:color w:val="auto"/>
          <w:spacing w:val="0"/>
          <w:w w:val="100"/>
          <w:sz w:val="24"/>
          <w:szCs w:val="24"/>
        </w:rPr>
        <w:t xml:space="preserve">2 </w:t>
      </w:r>
      <w:r>
        <w:rPr>
          <w:color w:val="auto"/>
          <w:spacing w:val="0"/>
          <w:w w:val="100"/>
          <w:sz w:val="24"/>
          <w:szCs w:val="24"/>
        </w:rPr>
        <w:t>、信息公开企业应做到以下要求：</w:t>
      </w:r>
    </w:p>
    <w:p w14:paraId="7B15D6C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sz w:val="24"/>
          <w:szCs w:val="24"/>
        </w:rPr>
      </w:pPr>
      <w:r>
        <w:rPr>
          <w:color w:val="auto"/>
          <w:spacing w:val="0"/>
          <w:w w:val="100"/>
          <w:sz w:val="24"/>
          <w:szCs w:val="24"/>
        </w:rPr>
        <w:t>（</w:t>
      </w:r>
      <w:r>
        <w:rPr>
          <w:rFonts w:ascii="Times New Roman" w:hAnsi="Times New Roman" w:eastAsia="Times New Roman" w:cs="Times New Roman"/>
          <w:color w:val="auto"/>
          <w:spacing w:val="0"/>
          <w:w w:val="100"/>
          <w:sz w:val="24"/>
          <w:szCs w:val="24"/>
        </w:rPr>
        <w:t>1</w:t>
      </w:r>
      <w:r>
        <w:rPr>
          <w:color w:val="auto"/>
          <w:spacing w:val="0"/>
          <w:w w:val="100"/>
          <w:sz w:val="24"/>
          <w:szCs w:val="24"/>
        </w:rPr>
        <w:t>）须按照《关于发布＜建设项目环境影响评价政府信息公开指南（试行）</w:t>
      </w:r>
      <w:r>
        <w:rPr>
          <w:rFonts w:ascii="Times New Roman" w:hAnsi="Times New Roman" w:eastAsia="Times New Roman" w:cs="Times New Roman"/>
          <w:color w:val="auto"/>
          <w:spacing w:val="0"/>
          <w:w w:val="100"/>
          <w:sz w:val="24"/>
          <w:szCs w:val="24"/>
        </w:rPr>
        <w:t>&gt;</w:t>
      </w:r>
      <w:r>
        <w:rPr>
          <w:color w:val="auto"/>
          <w:spacing w:val="0"/>
          <w:w w:val="100"/>
          <w:sz w:val="24"/>
          <w:szCs w:val="24"/>
        </w:rPr>
        <w:t>的公告》（环办〔</w:t>
      </w:r>
      <w:r>
        <w:rPr>
          <w:rFonts w:ascii="Times New Roman" w:hAnsi="Times New Roman" w:eastAsia="Times New Roman" w:cs="Times New Roman"/>
          <w:color w:val="auto"/>
          <w:spacing w:val="0"/>
          <w:w w:val="100"/>
          <w:sz w:val="24"/>
          <w:szCs w:val="24"/>
        </w:rPr>
        <w:t>2013</w:t>
      </w:r>
      <w:r>
        <w:rPr>
          <w:color w:val="auto"/>
          <w:spacing w:val="0"/>
          <w:w w:val="100"/>
          <w:sz w:val="24"/>
          <w:szCs w:val="24"/>
        </w:rPr>
        <w:t>〕</w:t>
      </w:r>
      <w:r>
        <w:rPr>
          <w:rFonts w:ascii="Times New Roman" w:hAnsi="Times New Roman" w:eastAsia="Times New Roman" w:cs="Times New Roman"/>
          <w:color w:val="auto"/>
          <w:spacing w:val="0"/>
          <w:w w:val="100"/>
          <w:sz w:val="24"/>
          <w:szCs w:val="24"/>
        </w:rPr>
        <w:t xml:space="preserve">103 </w:t>
      </w:r>
      <w:r>
        <w:rPr>
          <w:color w:val="auto"/>
          <w:spacing w:val="0"/>
          <w:w w:val="100"/>
          <w:sz w:val="24"/>
          <w:szCs w:val="24"/>
        </w:rPr>
        <w:t>号）、《环境信息公开办法（试行）》等做好信息公开工作。</w:t>
      </w:r>
    </w:p>
    <w:p w14:paraId="7DA014E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sz w:val="24"/>
          <w:szCs w:val="24"/>
        </w:rPr>
        <w:sectPr>
          <w:pgSz w:w="11906" w:h="16839"/>
          <w:pgMar w:top="1317" w:right="1243" w:bottom="1317" w:left="1169" w:header="845" w:footer="1026" w:gutter="0"/>
          <w:pgNumType w:fmt="decimal"/>
          <w:cols w:space="720" w:num="1"/>
        </w:sectPr>
      </w:pPr>
      <w:r>
        <w:rPr>
          <w:color w:val="auto"/>
          <w:spacing w:val="0"/>
          <w:w w:val="100"/>
          <w:sz w:val="24"/>
          <w:szCs w:val="24"/>
        </w:rPr>
        <w:t>（</w:t>
      </w:r>
      <w:r>
        <w:rPr>
          <w:rFonts w:ascii="Times New Roman" w:hAnsi="Times New Roman" w:eastAsia="Times New Roman" w:cs="Times New Roman"/>
          <w:color w:val="auto"/>
          <w:spacing w:val="0"/>
          <w:w w:val="100"/>
          <w:sz w:val="24"/>
          <w:szCs w:val="24"/>
        </w:rPr>
        <w:t>2</w:t>
      </w:r>
      <w:r>
        <w:rPr>
          <w:color w:val="auto"/>
          <w:spacing w:val="0"/>
          <w:w w:val="100"/>
          <w:sz w:val="24"/>
          <w:szCs w:val="24"/>
        </w:rPr>
        <w:t>）建议委托有资质的环境监测单位按监测方案的内容定期监测，对监测数据及其它环保信息及时向外公布。同时，本报告要求企业按照</w:t>
      </w:r>
      <w:r>
        <w:rPr>
          <w:rFonts w:hint="eastAsia" w:eastAsia="宋体"/>
          <w:color w:val="auto"/>
          <w:spacing w:val="0"/>
          <w:w w:val="100"/>
          <w:sz w:val="24"/>
          <w:szCs w:val="24"/>
          <w:lang w:val="en-US" w:eastAsia="zh-CN"/>
        </w:rPr>
        <w:t>原</w:t>
      </w:r>
      <w:r>
        <w:rPr>
          <w:color w:val="auto"/>
          <w:spacing w:val="0"/>
          <w:w w:val="100"/>
          <w:sz w:val="24"/>
          <w:szCs w:val="24"/>
        </w:rPr>
        <w:t xml:space="preserve">环境保护部 </w:t>
      </w:r>
      <w:r>
        <w:rPr>
          <w:rFonts w:ascii="Times New Roman" w:hAnsi="Times New Roman" w:eastAsia="Times New Roman" w:cs="Times New Roman"/>
          <w:color w:val="auto"/>
          <w:spacing w:val="0"/>
          <w:w w:val="100"/>
          <w:sz w:val="24"/>
          <w:szCs w:val="24"/>
        </w:rPr>
        <w:t>2011</w:t>
      </w:r>
      <w:r>
        <w:rPr>
          <w:color w:val="auto"/>
          <w:spacing w:val="0"/>
          <w:w w:val="100"/>
          <w:sz w:val="24"/>
          <w:szCs w:val="24"/>
        </w:rPr>
        <w:t xml:space="preserve">年 </w:t>
      </w:r>
      <w:r>
        <w:rPr>
          <w:rFonts w:ascii="Times New Roman" w:hAnsi="Times New Roman" w:eastAsia="Times New Roman" w:cs="Times New Roman"/>
          <w:color w:val="auto"/>
          <w:spacing w:val="0"/>
          <w:w w:val="100"/>
          <w:sz w:val="24"/>
          <w:szCs w:val="24"/>
        </w:rPr>
        <w:t xml:space="preserve">6 </w:t>
      </w:r>
      <w:r>
        <w:rPr>
          <w:color w:val="auto"/>
          <w:spacing w:val="0"/>
          <w:w w:val="100"/>
          <w:sz w:val="24"/>
          <w:szCs w:val="24"/>
        </w:rPr>
        <w:t xml:space="preserve">月 </w:t>
      </w:r>
      <w:r>
        <w:rPr>
          <w:rFonts w:ascii="Times New Roman" w:hAnsi="Times New Roman" w:eastAsia="Times New Roman" w:cs="Times New Roman"/>
          <w:color w:val="auto"/>
          <w:spacing w:val="0"/>
          <w:w w:val="100"/>
          <w:sz w:val="24"/>
          <w:szCs w:val="24"/>
        </w:rPr>
        <w:t xml:space="preserve">24 </w:t>
      </w:r>
      <w:r>
        <w:rPr>
          <w:color w:val="auto"/>
          <w:spacing w:val="0"/>
          <w:w w:val="100"/>
          <w:sz w:val="24"/>
          <w:szCs w:val="24"/>
        </w:rPr>
        <w:t>日发布的《企业环境报告书编制导则》（</w:t>
      </w:r>
      <w:r>
        <w:rPr>
          <w:rFonts w:ascii="Times New Roman" w:hAnsi="Times New Roman" w:eastAsia="Times New Roman" w:cs="Times New Roman"/>
          <w:color w:val="auto"/>
          <w:spacing w:val="0"/>
          <w:w w:val="100"/>
          <w:sz w:val="24"/>
          <w:szCs w:val="24"/>
        </w:rPr>
        <w:t>HJ617-2011</w:t>
      </w:r>
      <w:r>
        <w:rPr>
          <w:color w:val="auto"/>
          <w:spacing w:val="0"/>
          <w:w w:val="100"/>
          <w:sz w:val="24"/>
          <w:szCs w:val="24"/>
        </w:rPr>
        <w:t>）编制年度企业环境报告书，并向社会公布。</w:t>
      </w:r>
    </w:p>
    <w:p w14:paraId="053BB390">
      <w:pPr>
        <w:pStyle w:val="9"/>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rPr>
          <w:color w:val="auto"/>
        </w:rPr>
      </w:pPr>
      <w:r>
        <w:rPr>
          <w:b/>
          <w:bCs/>
          <w:color w:val="auto"/>
          <w:spacing w:val="-2"/>
        </w:rPr>
        <w:t>表</w:t>
      </w:r>
      <w:r>
        <w:rPr>
          <w:color w:val="auto"/>
          <w:spacing w:val="-47"/>
        </w:rPr>
        <w:t xml:space="preserve"> </w:t>
      </w:r>
      <w:r>
        <w:rPr>
          <w:rFonts w:hint="eastAsia" w:ascii="Times New Roman" w:hAnsi="Times New Roman" w:eastAsia="宋体" w:cs="Times New Roman"/>
          <w:b/>
          <w:bCs/>
          <w:color w:val="auto"/>
          <w:spacing w:val="-2"/>
          <w:lang w:val="en-US" w:eastAsia="zh-CN"/>
        </w:rPr>
        <w:t>7</w:t>
      </w:r>
      <w:r>
        <w:rPr>
          <w:rFonts w:ascii="Times New Roman" w:hAnsi="Times New Roman" w:eastAsia="Times New Roman" w:cs="Times New Roman"/>
          <w:b/>
          <w:bCs/>
          <w:color w:val="auto"/>
          <w:spacing w:val="-2"/>
        </w:rPr>
        <w:t xml:space="preserve">.3-1    </w:t>
      </w:r>
      <w:r>
        <w:rPr>
          <w:b/>
          <w:bCs/>
          <w:color w:val="auto"/>
          <w:spacing w:val="-2"/>
        </w:rPr>
        <w:t>项目污染物排放清单</w:t>
      </w:r>
    </w:p>
    <w:tbl>
      <w:tblPr>
        <w:tblStyle w:val="26"/>
        <w:tblW w:w="14198"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7"/>
        <w:gridCol w:w="2222"/>
        <w:gridCol w:w="1310"/>
        <w:gridCol w:w="1417"/>
        <w:gridCol w:w="2966"/>
        <w:gridCol w:w="1133"/>
        <w:gridCol w:w="1466"/>
        <w:gridCol w:w="933"/>
        <w:gridCol w:w="2084"/>
      </w:tblGrid>
      <w:tr w14:paraId="3C04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trPr>
        <w:tc>
          <w:tcPr>
            <w:tcW w:w="2889" w:type="dxa"/>
            <w:gridSpan w:val="2"/>
            <w:vAlign w:val="center"/>
          </w:tcPr>
          <w:p w14:paraId="5808501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污染源</w:t>
            </w:r>
          </w:p>
        </w:tc>
        <w:tc>
          <w:tcPr>
            <w:tcW w:w="1310" w:type="dxa"/>
            <w:vAlign w:val="center"/>
          </w:tcPr>
          <w:p w14:paraId="6103D45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污染物名称</w:t>
            </w:r>
          </w:p>
        </w:tc>
        <w:tc>
          <w:tcPr>
            <w:tcW w:w="1417" w:type="dxa"/>
            <w:vAlign w:val="center"/>
          </w:tcPr>
          <w:p w14:paraId="413A59E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排放量（</w:t>
            </w:r>
            <w:r>
              <w:rPr>
                <w:rFonts w:ascii="Times New Roman" w:hAnsi="Times New Roman" w:eastAsia="Times New Roman" w:cs="Times New Roman"/>
                <w:b/>
                <w:bCs/>
                <w:color w:val="auto"/>
                <w:spacing w:val="0"/>
                <w:position w:val="0"/>
                <w:sz w:val="21"/>
                <w:szCs w:val="21"/>
              </w:rPr>
              <w:t>t/a</w:t>
            </w:r>
            <w:r>
              <w:rPr>
                <w:b/>
                <w:bCs/>
                <w:color w:val="auto"/>
                <w:spacing w:val="0"/>
                <w:position w:val="0"/>
                <w:sz w:val="21"/>
                <w:szCs w:val="21"/>
              </w:rPr>
              <w:t>）</w:t>
            </w:r>
          </w:p>
        </w:tc>
        <w:tc>
          <w:tcPr>
            <w:tcW w:w="2966" w:type="dxa"/>
            <w:vAlign w:val="center"/>
          </w:tcPr>
          <w:p w14:paraId="08E5561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治理措施</w:t>
            </w:r>
          </w:p>
        </w:tc>
        <w:tc>
          <w:tcPr>
            <w:tcW w:w="1133" w:type="dxa"/>
            <w:vAlign w:val="center"/>
          </w:tcPr>
          <w:p w14:paraId="3422159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排放方式</w:t>
            </w:r>
          </w:p>
        </w:tc>
        <w:tc>
          <w:tcPr>
            <w:tcW w:w="1466" w:type="dxa"/>
            <w:vAlign w:val="center"/>
          </w:tcPr>
          <w:p w14:paraId="1821EA0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排放标准（</w:t>
            </w:r>
            <w:r>
              <w:rPr>
                <w:rFonts w:ascii="Times New Roman" w:hAnsi="Times New Roman" w:eastAsia="Times New Roman" w:cs="Times New Roman"/>
                <w:b/>
                <w:bCs/>
                <w:color w:val="auto"/>
                <w:spacing w:val="0"/>
                <w:position w:val="0"/>
                <w:sz w:val="21"/>
                <w:szCs w:val="21"/>
              </w:rPr>
              <w:t>mg/m</w:t>
            </w:r>
            <w:r>
              <w:rPr>
                <w:rFonts w:ascii="Times New Roman" w:hAnsi="Times New Roman" w:eastAsia="Times New Roman" w:cs="Times New Roman"/>
                <w:b/>
                <w:bCs/>
                <w:color w:val="auto"/>
                <w:spacing w:val="0"/>
                <w:position w:val="0"/>
                <w:sz w:val="21"/>
                <w:szCs w:val="21"/>
                <w:vertAlign w:val="superscript"/>
              </w:rPr>
              <w:t>3</w:t>
            </w:r>
            <w:r>
              <w:rPr>
                <w:b/>
                <w:bCs/>
                <w:color w:val="auto"/>
                <w:spacing w:val="0"/>
                <w:position w:val="0"/>
                <w:sz w:val="21"/>
                <w:szCs w:val="21"/>
              </w:rPr>
              <w:t>）</w:t>
            </w:r>
          </w:p>
        </w:tc>
        <w:tc>
          <w:tcPr>
            <w:tcW w:w="933" w:type="dxa"/>
            <w:vAlign w:val="center"/>
          </w:tcPr>
          <w:p w14:paraId="590E6B1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排污口设置</w:t>
            </w:r>
          </w:p>
        </w:tc>
        <w:tc>
          <w:tcPr>
            <w:tcW w:w="2084" w:type="dxa"/>
            <w:vAlign w:val="center"/>
          </w:tcPr>
          <w:p w14:paraId="3D8541D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b/>
                <w:bCs/>
                <w:color w:val="auto"/>
                <w:spacing w:val="0"/>
                <w:position w:val="0"/>
                <w:sz w:val="21"/>
                <w:szCs w:val="21"/>
              </w:rPr>
              <w:t>执行标准</w:t>
            </w:r>
          </w:p>
        </w:tc>
      </w:tr>
      <w:tr w14:paraId="187D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667" w:type="dxa"/>
            <w:vAlign w:val="center"/>
          </w:tcPr>
          <w:p w14:paraId="20FAC52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废水</w:t>
            </w:r>
          </w:p>
        </w:tc>
        <w:tc>
          <w:tcPr>
            <w:tcW w:w="2222" w:type="dxa"/>
            <w:vAlign w:val="center"/>
          </w:tcPr>
          <w:p w14:paraId="1CE1B72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生活污水</w:t>
            </w:r>
          </w:p>
        </w:tc>
        <w:tc>
          <w:tcPr>
            <w:tcW w:w="1310" w:type="dxa"/>
            <w:vAlign w:val="center"/>
          </w:tcPr>
          <w:p w14:paraId="0D833CF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val="en-US" w:eastAsia="zh-CN"/>
              </w:rPr>
            </w:pPr>
            <w:r>
              <w:rPr>
                <w:rFonts w:hint="eastAsia"/>
                <w:color w:val="auto"/>
                <w:spacing w:val="0"/>
                <w:position w:val="0"/>
                <w:sz w:val="21"/>
                <w:szCs w:val="21"/>
                <w:lang w:val="en-US" w:eastAsia="zh-CN"/>
              </w:rPr>
              <w:t>废水量</w:t>
            </w:r>
          </w:p>
        </w:tc>
        <w:tc>
          <w:tcPr>
            <w:tcW w:w="1417" w:type="dxa"/>
            <w:vAlign w:val="center"/>
          </w:tcPr>
          <w:p w14:paraId="1ABAB2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eastAsia" w:ascii="Times New Roman" w:hAnsi="Times New Roman" w:eastAsia="宋体" w:cs="Times New Roman"/>
                <w:color w:val="auto"/>
                <w:spacing w:val="0"/>
                <w:position w:val="0"/>
                <w:sz w:val="21"/>
                <w:szCs w:val="21"/>
                <w:lang w:val="en-US" w:eastAsia="zh-CN"/>
              </w:rPr>
              <w:t>197.1</w:t>
            </w:r>
          </w:p>
        </w:tc>
        <w:tc>
          <w:tcPr>
            <w:tcW w:w="2966" w:type="dxa"/>
            <w:vAlign w:val="center"/>
          </w:tcPr>
          <w:p w14:paraId="42AED10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rFonts w:hint="eastAsia" w:ascii="Times New Roman" w:hAnsi="Times New Roman" w:eastAsia="宋体" w:cs="Times New Roman"/>
                <w:color w:val="auto"/>
                <w:spacing w:val="0"/>
                <w:position w:val="0"/>
                <w:sz w:val="21"/>
                <w:szCs w:val="21"/>
                <w:lang w:val="en-US" w:eastAsia="zh-CN"/>
              </w:rPr>
              <w:t>化粪池</w:t>
            </w:r>
          </w:p>
        </w:tc>
        <w:tc>
          <w:tcPr>
            <w:tcW w:w="1133" w:type="dxa"/>
            <w:vAlign w:val="center"/>
          </w:tcPr>
          <w:p w14:paraId="4D2EC0E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eastAsia="宋体"/>
                <w:color w:val="auto"/>
                <w:spacing w:val="0"/>
                <w:position w:val="0"/>
                <w:sz w:val="21"/>
                <w:szCs w:val="21"/>
                <w:lang w:val="en-US" w:eastAsia="zh-CN"/>
              </w:rPr>
            </w:pPr>
            <w:r>
              <w:rPr>
                <w:rFonts w:hint="eastAsia"/>
                <w:color w:val="auto"/>
                <w:spacing w:val="0"/>
                <w:position w:val="0"/>
                <w:sz w:val="21"/>
                <w:szCs w:val="21"/>
                <w:lang w:val="en-US" w:eastAsia="zh-CN"/>
              </w:rPr>
              <w:t>清运处置，不排放</w:t>
            </w:r>
          </w:p>
        </w:tc>
        <w:tc>
          <w:tcPr>
            <w:tcW w:w="1466" w:type="dxa"/>
            <w:vAlign w:val="center"/>
          </w:tcPr>
          <w:p w14:paraId="707BB3B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w:t>
            </w:r>
          </w:p>
        </w:tc>
        <w:tc>
          <w:tcPr>
            <w:tcW w:w="933" w:type="dxa"/>
            <w:vAlign w:val="center"/>
          </w:tcPr>
          <w:p w14:paraId="5F310B7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w:t>
            </w:r>
          </w:p>
        </w:tc>
        <w:tc>
          <w:tcPr>
            <w:tcW w:w="2084" w:type="dxa"/>
            <w:vAlign w:val="center"/>
          </w:tcPr>
          <w:p w14:paraId="6FC07D4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val="en-US" w:eastAsia="zh-CN"/>
              </w:rPr>
            </w:pPr>
            <w:r>
              <w:rPr>
                <w:rFonts w:hint="eastAsia"/>
                <w:color w:val="auto"/>
                <w:spacing w:val="0"/>
                <w:position w:val="0"/>
                <w:sz w:val="21"/>
                <w:szCs w:val="21"/>
                <w:lang w:val="en-US" w:eastAsia="zh-CN"/>
              </w:rPr>
              <w:t>/</w:t>
            </w:r>
          </w:p>
        </w:tc>
      </w:tr>
      <w:tr w14:paraId="3EB1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trPr>
        <w:tc>
          <w:tcPr>
            <w:tcW w:w="667" w:type="dxa"/>
            <w:vMerge w:val="restart"/>
            <w:vAlign w:val="center"/>
          </w:tcPr>
          <w:p w14:paraId="2B426F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废气</w:t>
            </w:r>
          </w:p>
        </w:tc>
        <w:tc>
          <w:tcPr>
            <w:tcW w:w="2222" w:type="dxa"/>
            <w:vMerge w:val="restart"/>
            <w:vAlign w:val="center"/>
          </w:tcPr>
          <w:p w14:paraId="3CE79A7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内燃机废气</w:t>
            </w:r>
          </w:p>
        </w:tc>
        <w:tc>
          <w:tcPr>
            <w:tcW w:w="1310" w:type="dxa"/>
            <w:vAlign w:val="center"/>
          </w:tcPr>
          <w:p w14:paraId="52A5A22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颗粒物</w:t>
            </w:r>
          </w:p>
        </w:tc>
        <w:tc>
          <w:tcPr>
            <w:tcW w:w="1417" w:type="dxa"/>
            <w:vAlign w:val="center"/>
          </w:tcPr>
          <w:p w14:paraId="3423C3ED">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0.6462 </w:t>
            </w:r>
          </w:p>
        </w:tc>
        <w:tc>
          <w:tcPr>
            <w:tcW w:w="2966" w:type="dxa"/>
            <w:vMerge w:val="restart"/>
            <w:vAlign w:val="center"/>
          </w:tcPr>
          <w:p w14:paraId="05A8222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自然排放、大气稀释扩散、绿</w:t>
            </w:r>
          </w:p>
          <w:p w14:paraId="79918D1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化吸收等。</w:t>
            </w:r>
          </w:p>
        </w:tc>
        <w:tc>
          <w:tcPr>
            <w:tcW w:w="1133" w:type="dxa"/>
            <w:vMerge w:val="restart"/>
            <w:vAlign w:val="center"/>
          </w:tcPr>
          <w:p w14:paraId="4F8D7E0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无组织</w:t>
            </w:r>
          </w:p>
        </w:tc>
        <w:tc>
          <w:tcPr>
            <w:tcW w:w="1466" w:type="dxa"/>
            <w:vAlign w:val="center"/>
          </w:tcPr>
          <w:p w14:paraId="4A20BCF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1.0</w:t>
            </w:r>
          </w:p>
        </w:tc>
        <w:tc>
          <w:tcPr>
            <w:tcW w:w="933" w:type="dxa"/>
            <w:vMerge w:val="restart"/>
            <w:vAlign w:val="center"/>
          </w:tcPr>
          <w:p w14:paraId="5D79A68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Merge w:val="restart"/>
            <w:vAlign w:val="center"/>
          </w:tcPr>
          <w:p w14:paraId="7017A8C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《大气污染物综合</w:t>
            </w:r>
          </w:p>
          <w:p w14:paraId="5CFC5EC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排放标准》（</w:t>
            </w:r>
            <w:r>
              <w:rPr>
                <w:rFonts w:ascii="Times New Roman" w:hAnsi="Times New Roman" w:eastAsia="Times New Roman" w:cs="Times New Roman"/>
                <w:color w:val="auto"/>
                <w:spacing w:val="0"/>
                <w:position w:val="0"/>
                <w:sz w:val="21"/>
                <w:szCs w:val="21"/>
              </w:rPr>
              <w:t>GB16297- 1996</w:t>
            </w:r>
            <w:r>
              <w:rPr>
                <w:color w:val="auto"/>
                <w:spacing w:val="0"/>
                <w:position w:val="0"/>
                <w:sz w:val="21"/>
                <w:szCs w:val="21"/>
              </w:rPr>
              <w:t>）表</w:t>
            </w:r>
            <w:r>
              <w:rPr>
                <w:rFonts w:ascii="Times New Roman" w:hAnsi="Times New Roman" w:eastAsia="Times New Roman" w:cs="Times New Roman"/>
                <w:color w:val="auto"/>
                <w:spacing w:val="0"/>
                <w:position w:val="0"/>
                <w:sz w:val="21"/>
                <w:szCs w:val="21"/>
              </w:rPr>
              <w:t xml:space="preserve">2 </w:t>
            </w:r>
            <w:r>
              <w:rPr>
                <w:color w:val="auto"/>
                <w:spacing w:val="0"/>
                <w:position w:val="0"/>
                <w:sz w:val="21"/>
                <w:szCs w:val="21"/>
              </w:rPr>
              <w:t>中的无组织排放监控浓度限值。</w:t>
            </w:r>
          </w:p>
        </w:tc>
      </w:tr>
      <w:tr w14:paraId="5769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667" w:type="dxa"/>
            <w:vMerge w:val="continue"/>
            <w:vAlign w:val="center"/>
          </w:tcPr>
          <w:p w14:paraId="5608912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Merge w:val="continue"/>
            <w:vAlign w:val="center"/>
          </w:tcPr>
          <w:p w14:paraId="41C0A85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310" w:type="dxa"/>
            <w:vAlign w:val="center"/>
          </w:tcPr>
          <w:p w14:paraId="0AE1352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SO</w:t>
            </w:r>
            <w:r>
              <w:rPr>
                <w:rFonts w:ascii="Times New Roman" w:hAnsi="Times New Roman" w:eastAsia="Times New Roman" w:cs="Times New Roman"/>
                <w:color w:val="auto"/>
                <w:spacing w:val="0"/>
                <w:position w:val="0"/>
                <w:sz w:val="21"/>
                <w:szCs w:val="21"/>
                <w:vertAlign w:val="superscript"/>
              </w:rPr>
              <w:t>2</w:t>
            </w:r>
          </w:p>
        </w:tc>
        <w:tc>
          <w:tcPr>
            <w:tcW w:w="1417" w:type="dxa"/>
            <w:vAlign w:val="center"/>
          </w:tcPr>
          <w:p w14:paraId="6DBB1692">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0.9862 </w:t>
            </w:r>
          </w:p>
        </w:tc>
        <w:tc>
          <w:tcPr>
            <w:tcW w:w="2966" w:type="dxa"/>
            <w:vMerge w:val="continue"/>
            <w:vAlign w:val="center"/>
          </w:tcPr>
          <w:p w14:paraId="2C4C0AC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33" w:type="dxa"/>
            <w:vMerge w:val="continue"/>
            <w:vAlign w:val="center"/>
          </w:tcPr>
          <w:p w14:paraId="798279A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466" w:type="dxa"/>
            <w:vAlign w:val="center"/>
          </w:tcPr>
          <w:p w14:paraId="4A3D37F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0.4</w:t>
            </w:r>
          </w:p>
        </w:tc>
        <w:tc>
          <w:tcPr>
            <w:tcW w:w="933" w:type="dxa"/>
            <w:vMerge w:val="continue"/>
            <w:vAlign w:val="center"/>
          </w:tcPr>
          <w:p w14:paraId="5FE97D0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084" w:type="dxa"/>
            <w:vMerge w:val="continue"/>
            <w:vAlign w:val="center"/>
          </w:tcPr>
          <w:p w14:paraId="5BAD8DD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r>
      <w:tr w14:paraId="2D10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trPr>
        <w:tc>
          <w:tcPr>
            <w:tcW w:w="667" w:type="dxa"/>
            <w:vMerge w:val="continue"/>
            <w:vAlign w:val="center"/>
          </w:tcPr>
          <w:p w14:paraId="415BBBF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Merge w:val="continue"/>
            <w:vAlign w:val="center"/>
          </w:tcPr>
          <w:p w14:paraId="232CE5F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310" w:type="dxa"/>
            <w:vAlign w:val="center"/>
          </w:tcPr>
          <w:p w14:paraId="0C88F9F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NOx</w:t>
            </w:r>
          </w:p>
        </w:tc>
        <w:tc>
          <w:tcPr>
            <w:tcW w:w="1417" w:type="dxa"/>
            <w:vAlign w:val="center"/>
          </w:tcPr>
          <w:p w14:paraId="62470071">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eastAsia" w:ascii="Times New Roman" w:hAnsi="Times New Roman" w:eastAsia="宋体" w:cs="Times New Roman"/>
                <w:i w:val="0"/>
                <w:iCs w:val="0"/>
                <w:snapToGrid w:val="0"/>
                <w:color w:val="auto"/>
                <w:kern w:val="0"/>
                <w:sz w:val="21"/>
                <w:szCs w:val="21"/>
                <w:u w:val="none"/>
                <w:lang w:val="en-US" w:eastAsia="zh-CN" w:bidi="ar"/>
              </w:rPr>
              <w:t xml:space="preserve">0.8077 </w:t>
            </w:r>
          </w:p>
        </w:tc>
        <w:tc>
          <w:tcPr>
            <w:tcW w:w="2966" w:type="dxa"/>
            <w:vMerge w:val="continue"/>
            <w:vAlign w:val="center"/>
          </w:tcPr>
          <w:p w14:paraId="63B3EA4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33" w:type="dxa"/>
            <w:vMerge w:val="continue"/>
            <w:vAlign w:val="center"/>
          </w:tcPr>
          <w:p w14:paraId="680D849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466" w:type="dxa"/>
            <w:vAlign w:val="center"/>
          </w:tcPr>
          <w:p w14:paraId="26E22EC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0. 12</w:t>
            </w:r>
          </w:p>
        </w:tc>
        <w:tc>
          <w:tcPr>
            <w:tcW w:w="933" w:type="dxa"/>
            <w:vMerge w:val="continue"/>
            <w:vAlign w:val="center"/>
          </w:tcPr>
          <w:p w14:paraId="62B019E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084" w:type="dxa"/>
            <w:vMerge w:val="continue"/>
            <w:vAlign w:val="center"/>
          </w:tcPr>
          <w:p w14:paraId="675ABE8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r>
      <w:tr w14:paraId="62B3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trPr>
        <w:tc>
          <w:tcPr>
            <w:tcW w:w="667" w:type="dxa"/>
            <w:vMerge w:val="continue"/>
            <w:vAlign w:val="center"/>
          </w:tcPr>
          <w:p w14:paraId="6BADCC5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Align w:val="center"/>
          </w:tcPr>
          <w:p w14:paraId="49A3C3F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装卸扬尘</w:t>
            </w:r>
          </w:p>
        </w:tc>
        <w:tc>
          <w:tcPr>
            <w:tcW w:w="1310" w:type="dxa"/>
            <w:vAlign w:val="center"/>
          </w:tcPr>
          <w:p w14:paraId="3F647AA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扬尘</w:t>
            </w:r>
          </w:p>
        </w:tc>
        <w:tc>
          <w:tcPr>
            <w:tcW w:w="1417" w:type="dxa"/>
            <w:vAlign w:val="center"/>
          </w:tcPr>
          <w:p w14:paraId="06BFB3B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少量</w:t>
            </w:r>
          </w:p>
        </w:tc>
        <w:tc>
          <w:tcPr>
            <w:tcW w:w="2966" w:type="dxa"/>
            <w:vAlign w:val="center"/>
          </w:tcPr>
          <w:p w14:paraId="6A169CA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自然通风、大气稀释扩散。</w:t>
            </w:r>
          </w:p>
        </w:tc>
        <w:tc>
          <w:tcPr>
            <w:tcW w:w="1133" w:type="dxa"/>
            <w:vAlign w:val="center"/>
          </w:tcPr>
          <w:p w14:paraId="5F1BBEC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无组织</w:t>
            </w:r>
          </w:p>
        </w:tc>
        <w:tc>
          <w:tcPr>
            <w:tcW w:w="1466" w:type="dxa"/>
            <w:vAlign w:val="center"/>
          </w:tcPr>
          <w:p w14:paraId="372C307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少量</w:t>
            </w:r>
          </w:p>
        </w:tc>
        <w:tc>
          <w:tcPr>
            <w:tcW w:w="933" w:type="dxa"/>
            <w:vAlign w:val="center"/>
          </w:tcPr>
          <w:p w14:paraId="275877E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Align w:val="center"/>
          </w:tcPr>
          <w:p w14:paraId="0AAF655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4860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trPr>
        <w:tc>
          <w:tcPr>
            <w:tcW w:w="667" w:type="dxa"/>
            <w:vMerge w:val="continue"/>
            <w:vAlign w:val="center"/>
          </w:tcPr>
          <w:p w14:paraId="48F00C8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Merge w:val="restart"/>
            <w:vAlign w:val="center"/>
          </w:tcPr>
          <w:p w14:paraId="7965E15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eastAsia="宋体"/>
                <w:color w:val="auto"/>
                <w:spacing w:val="0"/>
                <w:position w:val="0"/>
                <w:sz w:val="21"/>
                <w:szCs w:val="21"/>
                <w:lang w:val="en-US" w:eastAsia="zh-CN"/>
              </w:rPr>
            </w:pPr>
            <w:r>
              <w:rPr>
                <w:color w:val="auto"/>
                <w:spacing w:val="0"/>
                <w:position w:val="0"/>
                <w:sz w:val="21"/>
                <w:szCs w:val="21"/>
              </w:rPr>
              <w:t>汽车</w:t>
            </w:r>
            <w:r>
              <w:rPr>
                <w:rFonts w:hint="eastAsia"/>
                <w:color w:val="auto"/>
                <w:spacing w:val="0"/>
                <w:position w:val="0"/>
                <w:sz w:val="21"/>
                <w:szCs w:val="21"/>
                <w:lang w:val="en-US" w:eastAsia="zh-CN"/>
              </w:rPr>
              <w:t>尾气</w:t>
            </w:r>
          </w:p>
        </w:tc>
        <w:tc>
          <w:tcPr>
            <w:tcW w:w="1310" w:type="dxa"/>
            <w:vAlign w:val="center"/>
          </w:tcPr>
          <w:p w14:paraId="5409C35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总烃</w:t>
            </w:r>
          </w:p>
        </w:tc>
        <w:tc>
          <w:tcPr>
            <w:tcW w:w="1417" w:type="dxa"/>
            <w:vAlign w:val="center"/>
          </w:tcPr>
          <w:p w14:paraId="1794EB64">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0.053</w:t>
            </w:r>
          </w:p>
        </w:tc>
        <w:tc>
          <w:tcPr>
            <w:tcW w:w="2966" w:type="dxa"/>
            <w:vMerge w:val="restart"/>
            <w:vAlign w:val="center"/>
          </w:tcPr>
          <w:p w14:paraId="61557F7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减速慢行、绿化吸收等。</w:t>
            </w:r>
          </w:p>
        </w:tc>
        <w:tc>
          <w:tcPr>
            <w:tcW w:w="1133" w:type="dxa"/>
            <w:vMerge w:val="restart"/>
            <w:vAlign w:val="center"/>
          </w:tcPr>
          <w:p w14:paraId="41CD71F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无组织</w:t>
            </w:r>
          </w:p>
        </w:tc>
        <w:tc>
          <w:tcPr>
            <w:tcW w:w="1466" w:type="dxa"/>
            <w:vAlign w:val="center"/>
          </w:tcPr>
          <w:p w14:paraId="628D7AC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933" w:type="dxa"/>
            <w:vMerge w:val="restart"/>
            <w:vAlign w:val="center"/>
          </w:tcPr>
          <w:p w14:paraId="26D54F4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Merge w:val="restart"/>
            <w:vAlign w:val="center"/>
          </w:tcPr>
          <w:p w14:paraId="2467FC6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32B1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1" w:hRule="atLeast"/>
        </w:trPr>
        <w:tc>
          <w:tcPr>
            <w:tcW w:w="667" w:type="dxa"/>
            <w:vMerge w:val="continue"/>
            <w:vAlign w:val="center"/>
          </w:tcPr>
          <w:p w14:paraId="7D65FB8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Merge w:val="continue"/>
            <w:vAlign w:val="center"/>
          </w:tcPr>
          <w:p w14:paraId="361131F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310" w:type="dxa"/>
            <w:vAlign w:val="center"/>
          </w:tcPr>
          <w:p w14:paraId="27B1F93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CO</w:t>
            </w:r>
          </w:p>
        </w:tc>
        <w:tc>
          <w:tcPr>
            <w:tcW w:w="1417" w:type="dxa"/>
            <w:vAlign w:val="center"/>
          </w:tcPr>
          <w:p w14:paraId="7770A697">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0.322</w:t>
            </w:r>
          </w:p>
        </w:tc>
        <w:tc>
          <w:tcPr>
            <w:tcW w:w="2966" w:type="dxa"/>
            <w:vMerge w:val="continue"/>
            <w:vAlign w:val="center"/>
          </w:tcPr>
          <w:p w14:paraId="1E45FEA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33" w:type="dxa"/>
            <w:vMerge w:val="continue"/>
            <w:vAlign w:val="center"/>
          </w:tcPr>
          <w:p w14:paraId="2A67F82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466" w:type="dxa"/>
            <w:vAlign w:val="center"/>
          </w:tcPr>
          <w:p w14:paraId="1C4E71A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933" w:type="dxa"/>
            <w:vMerge w:val="continue"/>
            <w:vAlign w:val="center"/>
          </w:tcPr>
          <w:p w14:paraId="316481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084" w:type="dxa"/>
            <w:vMerge w:val="continue"/>
            <w:vAlign w:val="center"/>
          </w:tcPr>
          <w:p w14:paraId="2378F13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r>
      <w:tr w14:paraId="03A1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trPr>
        <w:tc>
          <w:tcPr>
            <w:tcW w:w="667" w:type="dxa"/>
            <w:vMerge w:val="continue"/>
            <w:vAlign w:val="center"/>
          </w:tcPr>
          <w:p w14:paraId="4C62C9A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Merge w:val="continue"/>
            <w:vAlign w:val="center"/>
          </w:tcPr>
          <w:p w14:paraId="47429A4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310" w:type="dxa"/>
            <w:vAlign w:val="center"/>
          </w:tcPr>
          <w:p w14:paraId="3B3A552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NO2</w:t>
            </w:r>
          </w:p>
        </w:tc>
        <w:tc>
          <w:tcPr>
            <w:tcW w:w="1417" w:type="dxa"/>
            <w:vAlign w:val="center"/>
          </w:tcPr>
          <w:p w14:paraId="73A9ACC0">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0.529</w:t>
            </w:r>
          </w:p>
        </w:tc>
        <w:tc>
          <w:tcPr>
            <w:tcW w:w="2966" w:type="dxa"/>
            <w:vMerge w:val="continue"/>
            <w:vAlign w:val="center"/>
          </w:tcPr>
          <w:p w14:paraId="0A4F0C5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133" w:type="dxa"/>
            <w:vMerge w:val="continue"/>
            <w:vAlign w:val="center"/>
          </w:tcPr>
          <w:p w14:paraId="1CD5F8A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1466" w:type="dxa"/>
            <w:vAlign w:val="center"/>
          </w:tcPr>
          <w:p w14:paraId="2B32833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933" w:type="dxa"/>
            <w:vMerge w:val="continue"/>
            <w:vAlign w:val="center"/>
          </w:tcPr>
          <w:p w14:paraId="7D74984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084" w:type="dxa"/>
            <w:vMerge w:val="continue"/>
            <w:vAlign w:val="center"/>
          </w:tcPr>
          <w:p w14:paraId="45EEEC1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r>
      <w:tr w14:paraId="30F6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trPr>
        <w:tc>
          <w:tcPr>
            <w:tcW w:w="667" w:type="dxa"/>
            <w:vMerge w:val="continue"/>
            <w:vAlign w:val="center"/>
          </w:tcPr>
          <w:p w14:paraId="0AF75BD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Align w:val="center"/>
          </w:tcPr>
          <w:p w14:paraId="763FA20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道路扬尘</w:t>
            </w:r>
          </w:p>
        </w:tc>
        <w:tc>
          <w:tcPr>
            <w:tcW w:w="1310" w:type="dxa"/>
            <w:vAlign w:val="center"/>
          </w:tcPr>
          <w:p w14:paraId="6007C35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TSP</w:t>
            </w:r>
          </w:p>
        </w:tc>
        <w:tc>
          <w:tcPr>
            <w:tcW w:w="1417" w:type="dxa"/>
            <w:vAlign w:val="center"/>
          </w:tcPr>
          <w:p w14:paraId="25FD6EF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3.754</w:t>
            </w:r>
          </w:p>
        </w:tc>
        <w:tc>
          <w:tcPr>
            <w:tcW w:w="2966" w:type="dxa"/>
            <w:vAlign w:val="center"/>
          </w:tcPr>
          <w:p w14:paraId="50CC73B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早、晚各洒水降尘</w:t>
            </w:r>
            <w:r>
              <w:rPr>
                <w:rFonts w:ascii="Times New Roman" w:hAnsi="Times New Roman" w:eastAsia="Times New Roman" w:cs="Times New Roman"/>
                <w:color w:val="auto"/>
                <w:spacing w:val="0"/>
                <w:position w:val="0"/>
                <w:sz w:val="21"/>
                <w:szCs w:val="21"/>
              </w:rPr>
              <w:t>1</w:t>
            </w:r>
            <w:r>
              <w:rPr>
                <w:color w:val="auto"/>
                <w:spacing w:val="0"/>
                <w:position w:val="0"/>
                <w:sz w:val="21"/>
                <w:szCs w:val="21"/>
              </w:rPr>
              <w:t>次、定期清扫道路。</w:t>
            </w:r>
          </w:p>
        </w:tc>
        <w:tc>
          <w:tcPr>
            <w:tcW w:w="1133" w:type="dxa"/>
            <w:vAlign w:val="center"/>
          </w:tcPr>
          <w:p w14:paraId="3106066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无组织</w:t>
            </w:r>
          </w:p>
        </w:tc>
        <w:tc>
          <w:tcPr>
            <w:tcW w:w="1466" w:type="dxa"/>
            <w:vAlign w:val="center"/>
          </w:tcPr>
          <w:p w14:paraId="2D637D8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1.0</w:t>
            </w:r>
          </w:p>
        </w:tc>
        <w:tc>
          <w:tcPr>
            <w:tcW w:w="933" w:type="dxa"/>
            <w:vAlign w:val="center"/>
          </w:tcPr>
          <w:p w14:paraId="5617FBA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Align w:val="center"/>
          </w:tcPr>
          <w:p w14:paraId="2205AAA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1EC8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9" w:hRule="atLeast"/>
        </w:trPr>
        <w:tc>
          <w:tcPr>
            <w:tcW w:w="667" w:type="dxa"/>
            <w:vMerge w:val="restart"/>
            <w:vAlign w:val="center"/>
          </w:tcPr>
          <w:p w14:paraId="04CA81D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噪声</w:t>
            </w:r>
          </w:p>
        </w:tc>
        <w:tc>
          <w:tcPr>
            <w:tcW w:w="2222" w:type="dxa"/>
            <w:vAlign w:val="center"/>
          </w:tcPr>
          <w:p w14:paraId="154C6EA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列车运行</w:t>
            </w:r>
          </w:p>
        </w:tc>
        <w:tc>
          <w:tcPr>
            <w:tcW w:w="1310" w:type="dxa"/>
            <w:vAlign w:val="center"/>
          </w:tcPr>
          <w:p w14:paraId="2EEC3C4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列车噪声</w:t>
            </w:r>
          </w:p>
        </w:tc>
        <w:tc>
          <w:tcPr>
            <w:tcW w:w="1417" w:type="dxa"/>
            <w:vAlign w:val="center"/>
          </w:tcPr>
          <w:p w14:paraId="07387474">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color w:val="auto"/>
                <w:spacing w:val="0"/>
                <w:position w:val="0"/>
                <w:sz w:val="21"/>
                <w:szCs w:val="21"/>
              </w:rPr>
            </w:pPr>
            <w:r>
              <w:rPr>
                <w:color w:val="auto"/>
                <w:spacing w:val="0"/>
                <w:position w:val="0"/>
                <w:sz w:val="21"/>
                <w:szCs w:val="21"/>
              </w:rPr>
              <w:t>频发，噪声值：</w:t>
            </w:r>
            <w:r>
              <w:rPr>
                <w:rFonts w:hint="eastAsia" w:ascii="Times New Roman" w:hAnsi="Times New Roman" w:cs="Times New Roman"/>
                <w:color w:val="auto"/>
                <w:spacing w:val="0"/>
                <w:position w:val="0"/>
                <w:sz w:val="21"/>
                <w:szCs w:val="21"/>
                <w:lang w:val="en-US" w:eastAsia="zh-CN"/>
              </w:rPr>
              <w:t>74.2</w:t>
            </w:r>
            <w:r>
              <w:rPr>
                <w:rFonts w:ascii="Times New Roman" w:hAnsi="Times New Roman" w:eastAsia="Times New Roman" w:cs="Times New Roman"/>
                <w:color w:val="auto"/>
                <w:spacing w:val="0"/>
                <w:position w:val="0"/>
                <w:sz w:val="21"/>
                <w:szCs w:val="21"/>
              </w:rPr>
              <w:t>dB</w:t>
            </w:r>
            <w:r>
              <w:rPr>
                <w:color w:val="auto"/>
                <w:spacing w:val="0"/>
                <w:position w:val="0"/>
                <w:sz w:val="21"/>
                <w:szCs w:val="21"/>
              </w:rPr>
              <w:t>（</w:t>
            </w:r>
            <w:r>
              <w:rPr>
                <w:rFonts w:ascii="Times New Roman" w:hAnsi="Times New Roman" w:eastAsia="Times New Roman" w:cs="Times New Roman"/>
                <w:color w:val="auto"/>
                <w:spacing w:val="0"/>
                <w:position w:val="0"/>
                <w:sz w:val="21"/>
                <w:szCs w:val="21"/>
              </w:rPr>
              <w:t>A</w:t>
            </w:r>
            <w:r>
              <w:rPr>
                <w:color w:val="auto"/>
                <w:spacing w:val="0"/>
                <w:position w:val="0"/>
                <w:sz w:val="21"/>
                <w:szCs w:val="21"/>
              </w:rPr>
              <w:t>）</w:t>
            </w:r>
          </w:p>
        </w:tc>
        <w:tc>
          <w:tcPr>
            <w:tcW w:w="2966" w:type="dxa"/>
            <w:vAlign w:val="center"/>
          </w:tcPr>
          <w:p w14:paraId="48EEFF53">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提高铁路装备技术含量，控制</w:t>
            </w:r>
          </w:p>
          <w:p w14:paraId="18A176C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机车鸣笛，合理安排调度时间，加强线路维护、加强铁路两侧</w:t>
            </w:r>
          </w:p>
          <w:p w14:paraId="4E855C8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绿化等。</w:t>
            </w:r>
          </w:p>
        </w:tc>
        <w:tc>
          <w:tcPr>
            <w:tcW w:w="1133" w:type="dxa"/>
            <w:vAlign w:val="center"/>
          </w:tcPr>
          <w:p w14:paraId="4B7DD5D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eastAsia="宋体" w:cs="Times New Roman"/>
                <w:color w:val="auto"/>
                <w:spacing w:val="0"/>
                <w:position w:val="0"/>
                <w:sz w:val="21"/>
                <w:szCs w:val="21"/>
                <w:lang w:val="en-US" w:eastAsia="zh-CN"/>
              </w:rPr>
            </w:pPr>
            <w:r>
              <w:rPr>
                <w:color w:val="auto"/>
                <w:spacing w:val="0"/>
                <w:position w:val="0"/>
                <w:sz w:val="21"/>
                <w:szCs w:val="21"/>
              </w:rPr>
              <w:t>频发</w:t>
            </w:r>
          </w:p>
        </w:tc>
        <w:tc>
          <w:tcPr>
            <w:tcW w:w="1466" w:type="dxa"/>
            <w:vMerge w:val="restart"/>
            <w:vAlign w:val="center"/>
          </w:tcPr>
          <w:p w14:paraId="33A1DF1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hint="eastAsia"/>
                <w:color w:val="auto"/>
                <w:spacing w:val="0"/>
                <w:position w:val="0"/>
                <w:sz w:val="21"/>
                <w:szCs w:val="21"/>
                <w:lang w:val="en-US" w:eastAsia="zh-CN"/>
              </w:rPr>
              <w:t>场界</w:t>
            </w:r>
            <w:r>
              <w:rPr>
                <w:color w:val="auto"/>
                <w:spacing w:val="0"/>
                <w:position w:val="0"/>
                <w:sz w:val="21"/>
                <w:szCs w:val="21"/>
              </w:rPr>
              <w:t>昼间</w:t>
            </w:r>
            <w:r>
              <w:rPr>
                <w:rFonts w:ascii="Times New Roman" w:hAnsi="Times New Roman" w:eastAsia="Times New Roman" w:cs="Times New Roman"/>
                <w:color w:val="auto"/>
                <w:spacing w:val="0"/>
                <w:position w:val="0"/>
                <w:sz w:val="21"/>
                <w:szCs w:val="21"/>
              </w:rPr>
              <w:t>≤65dB</w:t>
            </w:r>
          </w:p>
          <w:p w14:paraId="19A0A5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铁路边界</w:t>
            </w:r>
            <w:r>
              <w:rPr>
                <w:color w:val="auto"/>
                <w:spacing w:val="0"/>
                <w:position w:val="0"/>
                <w:sz w:val="21"/>
                <w:szCs w:val="21"/>
              </w:rPr>
              <w:t>昼间</w:t>
            </w:r>
            <w:r>
              <w:rPr>
                <w:rFonts w:ascii="Times New Roman" w:hAnsi="Times New Roman" w:eastAsia="Times New Roman" w:cs="Times New Roman"/>
                <w:color w:val="auto"/>
                <w:spacing w:val="0"/>
                <w:position w:val="0"/>
                <w:sz w:val="21"/>
                <w:szCs w:val="21"/>
              </w:rPr>
              <w:t>≤</w:t>
            </w:r>
            <w:r>
              <w:rPr>
                <w:rFonts w:hint="eastAsia" w:ascii="Times New Roman" w:hAnsi="Times New Roman" w:eastAsia="宋体" w:cs="Times New Roman"/>
                <w:color w:val="auto"/>
                <w:spacing w:val="0"/>
                <w:position w:val="0"/>
                <w:sz w:val="21"/>
                <w:szCs w:val="21"/>
                <w:lang w:val="en-US" w:eastAsia="zh-CN"/>
              </w:rPr>
              <w:t>70</w:t>
            </w:r>
            <w:r>
              <w:rPr>
                <w:rFonts w:ascii="Times New Roman" w:hAnsi="Times New Roman" w:eastAsia="Times New Roman" w:cs="Times New Roman"/>
                <w:color w:val="auto"/>
                <w:spacing w:val="0"/>
                <w:position w:val="0"/>
                <w:sz w:val="21"/>
                <w:szCs w:val="21"/>
              </w:rPr>
              <w:t>B</w:t>
            </w:r>
          </w:p>
        </w:tc>
        <w:tc>
          <w:tcPr>
            <w:tcW w:w="933" w:type="dxa"/>
            <w:vMerge w:val="restart"/>
            <w:vAlign w:val="center"/>
          </w:tcPr>
          <w:p w14:paraId="081ECAD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Merge w:val="restart"/>
            <w:vAlign w:val="center"/>
          </w:tcPr>
          <w:p w14:paraId="0E2468F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《工业企业厂界环境噪声排放标准》（</w:t>
            </w:r>
            <w:r>
              <w:rPr>
                <w:rFonts w:ascii="Times New Roman" w:hAnsi="Times New Roman" w:eastAsia="Times New Roman" w:cs="Times New Roman"/>
                <w:color w:val="auto"/>
                <w:spacing w:val="0"/>
                <w:position w:val="0"/>
                <w:sz w:val="21"/>
                <w:szCs w:val="21"/>
              </w:rPr>
              <w:t>GB12348-2008</w:t>
            </w:r>
            <w:r>
              <w:rPr>
                <w:color w:val="auto"/>
                <w:spacing w:val="0"/>
                <w:position w:val="0"/>
                <w:sz w:val="21"/>
                <w:szCs w:val="21"/>
              </w:rPr>
              <w:t>）中的</w:t>
            </w:r>
            <w:r>
              <w:rPr>
                <w:rFonts w:ascii="Times New Roman" w:hAnsi="Times New Roman" w:eastAsia="Times New Roman" w:cs="Times New Roman"/>
                <w:color w:val="auto"/>
                <w:spacing w:val="0"/>
                <w:position w:val="0"/>
                <w:sz w:val="21"/>
                <w:szCs w:val="21"/>
              </w:rPr>
              <w:t>3</w:t>
            </w:r>
            <w:r>
              <w:rPr>
                <w:color w:val="auto"/>
                <w:spacing w:val="0"/>
                <w:position w:val="0"/>
                <w:sz w:val="21"/>
                <w:szCs w:val="21"/>
              </w:rPr>
              <w:t>类标准</w:t>
            </w:r>
          </w:p>
          <w:p w14:paraId="0FE42B5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r>
              <w:rPr>
                <w:rFonts w:hint="default" w:ascii="Times New Roman" w:hAnsi="Times New Roman" w:eastAsia="宋体" w:cs="Times New Roman"/>
                <w:color w:val="auto"/>
                <w:sz w:val="21"/>
                <w:szCs w:val="21"/>
                <w:lang w:val="en-US" w:eastAsia="zh-CN"/>
              </w:rPr>
              <w:t>《铁路边界噪声限值及其测量方法》（GB12525－90）及其修改方案</w:t>
            </w:r>
            <w:r>
              <w:rPr>
                <w:rFonts w:hint="eastAsia" w:ascii="Times New Roman" w:hAnsi="Times New Roman" w:eastAsia="宋体" w:cs="Times New Roman"/>
                <w:b w:val="0"/>
                <w:bCs w:val="0"/>
                <w:caps w:val="0"/>
                <w:color w:val="auto"/>
                <w:spacing w:val="0"/>
                <w:sz w:val="24"/>
                <w:szCs w:val="24"/>
                <w:highlight w:val="none"/>
                <w:lang w:val="en-US" w:eastAsia="zh-CN"/>
              </w:rPr>
              <w:t>。</w:t>
            </w:r>
          </w:p>
        </w:tc>
      </w:tr>
      <w:tr w14:paraId="5CAD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4" w:hRule="atLeast"/>
        </w:trPr>
        <w:tc>
          <w:tcPr>
            <w:tcW w:w="667" w:type="dxa"/>
            <w:vMerge w:val="continue"/>
            <w:vAlign w:val="center"/>
          </w:tcPr>
          <w:p w14:paraId="2C190F4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222" w:type="dxa"/>
            <w:vAlign w:val="center"/>
          </w:tcPr>
          <w:p w14:paraId="21FA793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装卸场运输车辆</w:t>
            </w:r>
          </w:p>
        </w:tc>
        <w:tc>
          <w:tcPr>
            <w:tcW w:w="1310" w:type="dxa"/>
            <w:vAlign w:val="center"/>
          </w:tcPr>
          <w:p w14:paraId="1CE7073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交通噪声</w:t>
            </w:r>
          </w:p>
        </w:tc>
        <w:tc>
          <w:tcPr>
            <w:tcW w:w="1417" w:type="dxa"/>
            <w:vAlign w:val="center"/>
          </w:tcPr>
          <w:p w14:paraId="1FE37E5A">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color w:val="auto"/>
                <w:spacing w:val="0"/>
                <w:position w:val="0"/>
                <w:sz w:val="21"/>
                <w:szCs w:val="21"/>
              </w:rPr>
            </w:pPr>
            <w:r>
              <w:rPr>
                <w:color w:val="auto"/>
                <w:spacing w:val="0"/>
                <w:position w:val="0"/>
                <w:sz w:val="21"/>
                <w:szCs w:val="21"/>
              </w:rPr>
              <w:t>频发，噪声值：</w:t>
            </w:r>
            <w:r>
              <w:rPr>
                <w:rFonts w:hint="eastAsia" w:ascii="Times New Roman" w:hAnsi="Times New Roman" w:eastAsia="宋体" w:cs="Times New Roman"/>
                <w:color w:val="auto"/>
                <w:spacing w:val="0"/>
                <w:position w:val="0"/>
                <w:sz w:val="21"/>
                <w:szCs w:val="21"/>
                <w:lang w:val="en-US" w:eastAsia="zh-CN"/>
              </w:rPr>
              <w:t>75</w:t>
            </w:r>
            <w:r>
              <w:rPr>
                <w:rFonts w:ascii="Times New Roman" w:hAnsi="Times New Roman" w:eastAsia="Times New Roman" w:cs="Times New Roman"/>
                <w:color w:val="auto"/>
                <w:spacing w:val="0"/>
                <w:position w:val="0"/>
                <w:sz w:val="21"/>
                <w:szCs w:val="21"/>
              </w:rPr>
              <w:t>dB</w:t>
            </w:r>
            <w:r>
              <w:rPr>
                <w:color w:val="auto"/>
                <w:spacing w:val="0"/>
                <w:position w:val="0"/>
                <w:sz w:val="21"/>
                <w:szCs w:val="21"/>
              </w:rPr>
              <w:t>（</w:t>
            </w:r>
            <w:r>
              <w:rPr>
                <w:rFonts w:ascii="Times New Roman" w:hAnsi="Times New Roman" w:eastAsia="Times New Roman" w:cs="Times New Roman"/>
                <w:color w:val="auto"/>
                <w:spacing w:val="0"/>
                <w:position w:val="0"/>
                <w:sz w:val="21"/>
                <w:szCs w:val="21"/>
              </w:rPr>
              <w:t>A</w:t>
            </w:r>
            <w:r>
              <w:rPr>
                <w:color w:val="auto"/>
                <w:spacing w:val="0"/>
                <w:position w:val="0"/>
                <w:sz w:val="21"/>
                <w:szCs w:val="21"/>
              </w:rPr>
              <w:t>）</w:t>
            </w:r>
          </w:p>
        </w:tc>
        <w:tc>
          <w:tcPr>
            <w:tcW w:w="2966" w:type="dxa"/>
            <w:vAlign w:val="center"/>
          </w:tcPr>
          <w:p w14:paraId="083F943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禁鸣、限速、加强管理等。</w:t>
            </w:r>
          </w:p>
        </w:tc>
        <w:tc>
          <w:tcPr>
            <w:tcW w:w="1133" w:type="dxa"/>
            <w:vAlign w:val="center"/>
          </w:tcPr>
          <w:p w14:paraId="7512F77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频发</w:t>
            </w:r>
          </w:p>
        </w:tc>
        <w:tc>
          <w:tcPr>
            <w:tcW w:w="1466" w:type="dxa"/>
            <w:vMerge w:val="continue"/>
            <w:vAlign w:val="center"/>
          </w:tcPr>
          <w:p w14:paraId="1882DB0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933" w:type="dxa"/>
            <w:vMerge w:val="continue"/>
            <w:vAlign w:val="center"/>
          </w:tcPr>
          <w:p w14:paraId="0B58D26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2084" w:type="dxa"/>
            <w:vMerge w:val="continue"/>
            <w:vAlign w:val="center"/>
          </w:tcPr>
          <w:p w14:paraId="0D12BB6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r>
      <w:tr w14:paraId="67BA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4" w:hRule="atLeast"/>
        </w:trPr>
        <w:tc>
          <w:tcPr>
            <w:tcW w:w="667" w:type="dxa"/>
            <w:vAlign w:val="center"/>
          </w:tcPr>
          <w:p w14:paraId="6E3894C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振动</w:t>
            </w:r>
          </w:p>
        </w:tc>
        <w:tc>
          <w:tcPr>
            <w:tcW w:w="2222" w:type="dxa"/>
            <w:vAlign w:val="center"/>
          </w:tcPr>
          <w:p w14:paraId="5ED573D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列车运行</w:t>
            </w:r>
          </w:p>
        </w:tc>
        <w:tc>
          <w:tcPr>
            <w:tcW w:w="1310" w:type="dxa"/>
            <w:vAlign w:val="center"/>
          </w:tcPr>
          <w:p w14:paraId="6D9BD6F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列车振动</w:t>
            </w:r>
          </w:p>
        </w:tc>
        <w:tc>
          <w:tcPr>
            <w:tcW w:w="1417" w:type="dxa"/>
            <w:vAlign w:val="center"/>
          </w:tcPr>
          <w:p w14:paraId="5CA67A5D">
            <w:pPr>
              <w:pStyle w:val="27"/>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baseline"/>
              <w:rPr>
                <w:rFonts w:ascii="Times New Roman" w:hAnsi="Times New Roman" w:eastAsia="Times New Roman" w:cs="Times New Roman"/>
                <w:color w:val="auto"/>
                <w:spacing w:val="0"/>
                <w:position w:val="0"/>
                <w:sz w:val="21"/>
                <w:szCs w:val="21"/>
              </w:rPr>
            </w:pPr>
            <w:r>
              <w:rPr>
                <w:color w:val="auto"/>
                <w:spacing w:val="0"/>
                <w:position w:val="0"/>
                <w:sz w:val="21"/>
                <w:szCs w:val="21"/>
              </w:rPr>
              <w:t>频发，振动值：</w:t>
            </w:r>
            <w:r>
              <w:rPr>
                <w:rFonts w:hint="eastAsia" w:ascii="Times New Roman" w:hAnsi="Times New Roman" w:cs="Times New Roman"/>
                <w:color w:val="auto"/>
                <w:spacing w:val="0"/>
                <w:position w:val="0"/>
                <w:sz w:val="21"/>
                <w:szCs w:val="21"/>
                <w:lang w:val="en-US" w:eastAsia="zh-CN"/>
              </w:rPr>
              <w:t>78.5</w:t>
            </w:r>
            <w:r>
              <w:rPr>
                <w:rFonts w:ascii="Times New Roman" w:hAnsi="Times New Roman" w:eastAsia="Times New Roman" w:cs="Times New Roman"/>
                <w:color w:val="auto"/>
                <w:spacing w:val="0"/>
                <w:position w:val="0"/>
                <w:sz w:val="21"/>
                <w:szCs w:val="21"/>
              </w:rPr>
              <w:t>dB</w:t>
            </w:r>
          </w:p>
        </w:tc>
        <w:tc>
          <w:tcPr>
            <w:tcW w:w="2966" w:type="dxa"/>
            <w:vAlign w:val="center"/>
          </w:tcPr>
          <w:p w14:paraId="40CB16A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应定期对钢轨进行打磨，保持钢轨顶面平顺、光滑；对车轮定期进行铣、镟，减少车轮与钢轨撞击出现扁疤等。</w:t>
            </w:r>
          </w:p>
        </w:tc>
        <w:tc>
          <w:tcPr>
            <w:tcW w:w="1133" w:type="dxa"/>
            <w:vAlign w:val="center"/>
          </w:tcPr>
          <w:p w14:paraId="4648D53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频发</w:t>
            </w:r>
          </w:p>
        </w:tc>
        <w:tc>
          <w:tcPr>
            <w:tcW w:w="1466" w:type="dxa"/>
            <w:vAlign w:val="center"/>
          </w:tcPr>
          <w:p w14:paraId="09E5B37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昼间</w:t>
            </w:r>
            <w:r>
              <w:rPr>
                <w:rFonts w:ascii="Times New Roman" w:hAnsi="Times New Roman" w:eastAsia="Times New Roman" w:cs="Times New Roman"/>
                <w:color w:val="auto"/>
                <w:spacing w:val="0"/>
                <w:position w:val="0"/>
                <w:sz w:val="21"/>
                <w:szCs w:val="21"/>
              </w:rPr>
              <w:t>≤75dB</w:t>
            </w:r>
          </w:p>
        </w:tc>
        <w:tc>
          <w:tcPr>
            <w:tcW w:w="933" w:type="dxa"/>
            <w:vAlign w:val="center"/>
          </w:tcPr>
          <w:p w14:paraId="6DAECEB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Align w:val="center"/>
          </w:tcPr>
          <w:p w14:paraId="7BECB81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《城市区域环境振</w:t>
            </w:r>
          </w:p>
          <w:p w14:paraId="1209232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动标准》</w:t>
            </w:r>
          </w:p>
          <w:p w14:paraId="2267D08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w:t>
            </w:r>
            <w:r>
              <w:rPr>
                <w:rFonts w:ascii="Times New Roman" w:hAnsi="Times New Roman" w:eastAsia="Times New Roman" w:cs="Times New Roman"/>
                <w:color w:val="auto"/>
                <w:spacing w:val="0"/>
                <w:position w:val="0"/>
                <w:sz w:val="21"/>
                <w:szCs w:val="21"/>
              </w:rPr>
              <w:t>GB10070-88</w:t>
            </w:r>
            <w:r>
              <w:rPr>
                <w:color w:val="auto"/>
                <w:spacing w:val="0"/>
                <w:position w:val="0"/>
                <w:sz w:val="21"/>
                <w:szCs w:val="21"/>
              </w:rPr>
              <w:t>）。</w:t>
            </w:r>
          </w:p>
        </w:tc>
      </w:tr>
      <w:tr w14:paraId="59E8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4" w:hRule="atLeast"/>
        </w:trPr>
        <w:tc>
          <w:tcPr>
            <w:tcW w:w="667" w:type="dxa"/>
            <w:vMerge w:val="restart"/>
            <w:vAlign w:val="center"/>
          </w:tcPr>
          <w:p w14:paraId="020DF5F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固废</w:t>
            </w:r>
          </w:p>
        </w:tc>
        <w:tc>
          <w:tcPr>
            <w:tcW w:w="3532" w:type="dxa"/>
            <w:gridSpan w:val="2"/>
            <w:vAlign w:val="center"/>
          </w:tcPr>
          <w:p w14:paraId="4A73DF2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生活垃圾</w:t>
            </w:r>
          </w:p>
        </w:tc>
        <w:tc>
          <w:tcPr>
            <w:tcW w:w="1417" w:type="dxa"/>
            <w:vAlign w:val="center"/>
          </w:tcPr>
          <w:p w14:paraId="140A24C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10.89</w:t>
            </w:r>
          </w:p>
        </w:tc>
        <w:tc>
          <w:tcPr>
            <w:tcW w:w="2966" w:type="dxa"/>
            <w:vAlign w:val="center"/>
          </w:tcPr>
          <w:p w14:paraId="25D769F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由垃圾桶收集后定期清运至指定垃圾收集点，委托环卫部门统一清运处置</w:t>
            </w:r>
          </w:p>
        </w:tc>
        <w:tc>
          <w:tcPr>
            <w:tcW w:w="1133" w:type="dxa"/>
            <w:vAlign w:val="center"/>
          </w:tcPr>
          <w:p w14:paraId="677B2794">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466" w:type="dxa"/>
            <w:vAlign w:val="center"/>
          </w:tcPr>
          <w:p w14:paraId="5A1603B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933" w:type="dxa"/>
            <w:vAlign w:val="center"/>
          </w:tcPr>
          <w:p w14:paraId="4BE1D6B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Align w:val="center"/>
          </w:tcPr>
          <w:p w14:paraId="1D0B64C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06E2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trPr>
        <w:tc>
          <w:tcPr>
            <w:tcW w:w="667" w:type="dxa"/>
            <w:vMerge w:val="continue"/>
            <w:vAlign w:val="center"/>
          </w:tcPr>
          <w:p w14:paraId="2270269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3532" w:type="dxa"/>
            <w:gridSpan w:val="2"/>
            <w:vAlign w:val="center"/>
          </w:tcPr>
          <w:p w14:paraId="2FDD1D9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污泥</w:t>
            </w:r>
          </w:p>
        </w:tc>
        <w:tc>
          <w:tcPr>
            <w:tcW w:w="1417" w:type="dxa"/>
            <w:vAlign w:val="center"/>
          </w:tcPr>
          <w:p w14:paraId="136620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1.17</w:t>
            </w:r>
          </w:p>
        </w:tc>
        <w:tc>
          <w:tcPr>
            <w:tcW w:w="2966" w:type="dxa"/>
            <w:vAlign w:val="center"/>
          </w:tcPr>
          <w:p w14:paraId="5AA53F6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化粪池污泥委托</w:t>
            </w:r>
            <w:r>
              <w:rPr>
                <w:rFonts w:hint="eastAsia"/>
                <w:color w:val="auto"/>
                <w:spacing w:val="0"/>
                <w:position w:val="0"/>
                <w:sz w:val="21"/>
                <w:szCs w:val="21"/>
                <w:lang w:eastAsia="zh-CN"/>
              </w:rPr>
              <w:t>环卫部门</w:t>
            </w:r>
            <w:r>
              <w:rPr>
                <w:color w:val="auto"/>
                <w:spacing w:val="0"/>
                <w:position w:val="0"/>
                <w:sz w:val="21"/>
                <w:szCs w:val="21"/>
              </w:rPr>
              <w:t>定期</w:t>
            </w:r>
          </w:p>
          <w:p w14:paraId="382C5E5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清掏处置。</w:t>
            </w:r>
          </w:p>
        </w:tc>
        <w:tc>
          <w:tcPr>
            <w:tcW w:w="1133" w:type="dxa"/>
            <w:vAlign w:val="center"/>
          </w:tcPr>
          <w:p w14:paraId="791C7E9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466" w:type="dxa"/>
            <w:vAlign w:val="center"/>
          </w:tcPr>
          <w:p w14:paraId="3290C17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933" w:type="dxa"/>
            <w:vAlign w:val="center"/>
          </w:tcPr>
          <w:p w14:paraId="0A98458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Align w:val="center"/>
          </w:tcPr>
          <w:p w14:paraId="5C4D05C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33BA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5" w:hRule="atLeast"/>
        </w:trPr>
        <w:tc>
          <w:tcPr>
            <w:tcW w:w="667" w:type="dxa"/>
            <w:vMerge w:val="continue"/>
            <w:vAlign w:val="center"/>
          </w:tcPr>
          <w:p w14:paraId="26F5447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3532" w:type="dxa"/>
            <w:gridSpan w:val="2"/>
            <w:vAlign w:val="center"/>
          </w:tcPr>
          <w:p w14:paraId="736518E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rFonts w:hint="eastAsia"/>
                <w:color w:val="auto"/>
                <w:spacing w:val="0"/>
                <w:position w:val="0"/>
                <w:sz w:val="21"/>
                <w:szCs w:val="21"/>
              </w:rPr>
              <w:t>含油抹布、手套</w:t>
            </w:r>
          </w:p>
        </w:tc>
        <w:tc>
          <w:tcPr>
            <w:tcW w:w="1417" w:type="dxa"/>
            <w:vAlign w:val="center"/>
          </w:tcPr>
          <w:p w14:paraId="6F48EDF6">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0.05</w:t>
            </w:r>
          </w:p>
        </w:tc>
        <w:tc>
          <w:tcPr>
            <w:tcW w:w="2966" w:type="dxa"/>
            <w:vMerge w:val="restart"/>
            <w:vAlign w:val="center"/>
          </w:tcPr>
          <w:p w14:paraId="0E16B76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收集后暂存于危险废物暂存间，委托有资质的单位清运处置</w:t>
            </w:r>
          </w:p>
        </w:tc>
        <w:tc>
          <w:tcPr>
            <w:tcW w:w="1133" w:type="dxa"/>
            <w:vAlign w:val="center"/>
          </w:tcPr>
          <w:p w14:paraId="26C5502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466" w:type="dxa"/>
            <w:vAlign w:val="center"/>
          </w:tcPr>
          <w:p w14:paraId="23AC97C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933" w:type="dxa"/>
            <w:vAlign w:val="center"/>
          </w:tcPr>
          <w:p w14:paraId="6D1C263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Align w:val="center"/>
          </w:tcPr>
          <w:p w14:paraId="7329768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r>
      <w:tr w14:paraId="4BEF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trPr>
        <w:tc>
          <w:tcPr>
            <w:tcW w:w="667" w:type="dxa"/>
            <w:vMerge w:val="continue"/>
            <w:vAlign w:val="center"/>
          </w:tcPr>
          <w:p w14:paraId="2149BCE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position w:val="0"/>
                <w:sz w:val="21"/>
                <w:szCs w:val="21"/>
              </w:rPr>
            </w:pPr>
          </w:p>
        </w:tc>
        <w:tc>
          <w:tcPr>
            <w:tcW w:w="3532" w:type="dxa"/>
            <w:gridSpan w:val="2"/>
            <w:vAlign w:val="center"/>
          </w:tcPr>
          <w:p w14:paraId="1D8D8F9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r>
              <w:rPr>
                <w:color w:val="auto"/>
                <w:spacing w:val="0"/>
                <w:position w:val="0"/>
                <w:sz w:val="21"/>
                <w:szCs w:val="21"/>
              </w:rPr>
              <w:t>废矿物油</w:t>
            </w:r>
          </w:p>
        </w:tc>
        <w:tc>
          <w:tcPr>
            <w:tcW w:w="1417" w:type="dxa"/>
            <w:vAlign w:val="center"/>
          </w:tcPr>
          <w:p w14:paraId="473DF83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0.01</w:t>
            </w:r>
          </w:p>
        </w:tc>
        <w:tc>
          <w:tcPr>
            <w:tcW w:w="2966" w:type="dxa"/>
            <w:vMerge w:val="continue"/>
            <w:vAlign w:val="center"/>
          </w:tcPr>
          <w:p w14:paraId="7CD9B0B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position w:val="0"/>
                <w:sz w:val="21"/>
                <w:szCs w:val="21"/>
              </w:rPr>
            </w:pPr>
          </w:p>
        </w:tc>
        <w:tc>
          <w:tcPr>
            <w:tcW w:w="1133" w:type="dxa"/>
            <w:vAlign w:val="center"/>
          </w:tcPr>
          <w:p w14:paraId="22BA434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1466" w:type="dxa"/>
            <w:vAlign w:val="center"/>
          </w:tcPr>
          <w:p w14:paraId="27B5987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933" w:type="dxa"/>
            <w:vAlign w:val="center"/>
          </w:tcPr>
          <w:p w14:paraId="6D4A317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r>
              <w:rPr>
                <w:rFonts w:ascii="Times New Roman" w:hAnsi="Times New Roman" w:eastAsia="Times New Roman" w:cs="Times New Roman"/>
                <w:color w:val="auto"/>
                <w:spacing w:val="0"/>
                <w:position w:val="0"/>
                <w:sz w:val="21"/>
                <w:szCs w:val="21"/>
              </w:rPr>
              <w:t>/</w:t>
            </w:r>
          </w:p>
        </w:tc>
        <w:tc>
          <w:tcPr>
            <w:tcW w:w="2084" w:type="dxa"/>
            <w:vAlign w:val="center"/>
          </w:tcPr>
          <w:p w14:paraId="7ADE825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position w:val="0"/>
                <w:sz w:val="21"/>
                <w:szCs w:val="21"/>
              </w:rPr>
            </w:pPr>
          </w:p>
        </w:tc>
      </w:tr>
    </w:tbl>
    <w:p w14:paraId="557117CD">
      <w:pPr>
        <w:rPr>
          <w:rFonts w:ascii="Arial"/>
          <w:color w:val="auto"/>
          <w:sz w:val="21"/>
        </w:rPr>
      </w:pPr>
    </w:p>
    <w:p w14:paraId="6BAD8A93">
      <w:pPr>
        <w:rPr>
          <w:rFonts w:ascii="Arial" w:hAnsi="Arial" w:eastAsia="Arial" w:cs="Arial"/>
          <w:color w:val="auto"/>
          <w:sz w:val="21"/>
          <w:szCs w:val="21"/>
        </w:rPr>
        <w:sectPr>
          <w:pgSz w:w="16839" w:h="11906" w:orient="landscape"/>
          <w:pgMar w:top="1169" w:right="1317" w:bottom="1243" w:left="1317" w:header="845" w:footer="1026" w:gutter="0"/>
          <w:pgNumType w:fmt="decimal"/>
          <w:cols w:space="720" w:num="1"/>
        </w:sectPr>
      </w:pPr>
    </w:p>
    <w:p w14:paraId="017E2007">
      <w:pPr>
        <w:pStyle w:val="9"/>
        <w:spacing w:before="198" w:line="221" w:lineRule="auto"/>
        <w:ind w:left="20"/>
        <w:outlineLvl w:val="3"/>
        <w:rPr>
          <w:color w:val="auto"/>
          <w:sz w:val="28"/>
          <w:szCs w:val="28"/>
        </w:rPr>
      </w:pPr>
      <w:r>
        <w:rPr>
          <w:rFonts w:hint="eastAsia" w:ascii="Times New Roman" w:hAnsi="Times New Roman" w:eastAsia="宋体" w:cs="Times New Roman"/>
          <w:b/>
          <w:bCs/>
          <w:color w:val="auto"/>
          <w:spacing w:val="-2"/>
          <w:sz w:val="28"/>
          <w:szCs w:val="28"/>
          <w:lang w:val="en-US" w:eastAsia="zh-CN"/>
        </w:rPr>
        <w:t>7</w:t>
      </w:r>
      <w:r>
        <w:rPr>
          <w:rFonts w:ascii="Times New Roman" w:hAnsi="Times New Roman" w:eastAsia="Times New Roman" w:cs="Times New Roman"/>
          <w:b/>
          <w:bCs/>
          <w:color w:val="auto"/>
          <w:spacing w:val="-2"/>
          <w:sz w:val="28"/>
          <w:szCs w:val="28"/>
        </w:rPr>
        <w:t xml:space="preserve">.3.2 </w:t>
      </w:r>
      <w:r>
        <w:rPr>
          <w:b/>
          <w:bCs/>
          <w:color w:val="auto"/>
          <w:spacing w:val="-2"/>
          <w:sz w:val="28"/>
          <w:szCs w:val="28"/>
        </w:rPr>
        <w:t>污染物总量控制</w:t>
      </w:r>
    </w:p>
    <w:p w14:paraId="1C0733DF">
      <w:pPr>
        <w:pStyle w:val="9"/>
        <w:spacing w:before="205" w:line="359" w:lineRule="auto"/>
        <w:ind w:left="21" w:right="94" w:firstLine="480"/>
        <w:jc w:val="both"/>
        <w:rPr>
          <w:color w:val="auto"/>
          <w:sz w:val="24"/>
          <w:szCs w:val="24"/>
        </w:rPr>
      </w:pPr>
      <w:r>
        <w:rPr>
          <w:color w:val="auto"/>
          <w:spacing w:val="-8"/>
          <w:sz w:val="24"/>
          <w:szCs w:val="24"/>
        </w:rPr>
        <w:t>根据生态环境部</w:t>
      </w:r>
      <w:r>
        <w:rPr>
          <w:rFonts w:hint="eastAsia" w:eastAsia="宋体"/>
          <w:color w:val="auto"/>
          <w:spacing w:val="-8"/>
          <w:sz w:val="24"/>
          <w:szCs w:val="24"/>
          <w:lang w:val="en-US" w:eastAsia="zh-CN"/>
        </w:rPr>
        <w:t>有关总量意见</w:t>
      </w:r>
      <w:r>
        <w:rPr>
          <w:color w:val="auto"/>
          <w:spacing w:val="12"/>
          <w:sz w:val="24"/>
          <w:szCs w:val="24"/>
        </w:rPr>
        <w:t>，</w:t>
      </w:r>
      <w:r>
        <w:rPr>
          <w:color w:val="auto"/>
          <w:spacing w:val="-1"/>
          <w:sz w:val="24"/>
          <w:szCs w:val="24"/>
        </w:rPr>
        <w:t>废气污染物控制指标为氮氧化物、挥发性有机物；主要水污染物控制指标为</w:t>
      </w:r>
      <w:r>
        <w:rPr>
          <w:rFonts w:ascii="Times New Roman" w:hAnsi="Times New Roman" w:eastAsia="Times New Roman" w:cs="Times New Roman"/>
          <w:color w:val="auto"/>
          <w:spacing w:val="-1"/>
          <w:sz w:val="24"/>
          <w:szCs w:val="24"/>
        </w:rPr>
        <w:t>COD</w:t>
      </w:r>
      <w:r>
        <w:rPr>
          <w:color w:val="auto"/>
          <w:spacing w:val="-1"/>
          <w:sz w:val="24"/>
          <w:szCs w:val="24"/>
        </w:rPr>
        <w:t>和氨氮。</w:t>
      </w:r>
    </w:p>
    <w:p w14:paraId="713C7DDE">
      <w:pPr>
        <w:pStyle w:val="9"/>
        <w:spacing w:line="359" w:lineRule="auto"/>
        <w:ind w:left="20" w:firstLine="479"/>
        <w:rPr>
          <w:color w:val="auto"/>
          <w:sz w:val="24"/>
          <w:szCs w:val="24"/>
        </w:rPr>
      </w:pPr>
      <w:r>
        <w:rPr>
          <w:color w:val="auto"/>
          <w:sz w:val="24"/>
          <w:szCs w:val="24"/>
        </w:rPr>
        <w:t>废气：项目建成后</w:t>
      </w:r>
      <w:r>
        <w:rPr>
          <w:color w:val="auto"/>
          <w:spacing w:val="-4"/>
          <w:sz w:val="24"/>
          <w:szCs w:val="24"/>
        </w:rPr>
        <w:t>废气均呈无组织排放。</w:t>
      </w:r>
    </w:p>
    <w:p w14:paraId="029C3311">
      <w:pPr>
        <w:pStyle w:val="9"/>
        <w:spacing w:line="360" w:lineRule="auto"/>
        <w:ind w:left="20" w:right="199" w:firstLine="480"/>
        <w:jc w:val="both"/>
        <w:rPr>
          <w:rFonts w:hint="eastAsia" w:eastAsia="宋体"/>
          <w:color w:val="auto"/>
          <w:sz w:val="24"/>
          <w:szCs w:val="24"/>
          <w:lang w:eastAsia="zh-CN"/>
        </w:rPr>
      </w:pPr>
      <w:r>
        <w:rPr>
          <w:color w:val="auto"/>
          <w:spacing w:val="-3"/>
          <w:sz w:val="24"/>
          <w:szCs w:val="24"/>
        </w:rPr>
        <w:t>废水：</w:t>
      </w:r>
      <w:r>
        <w:rPr>
          <w:rFonts w:hint="eastAsia" w:eastAsia="宋体"/>
          <w:color w:val="auto"/>
          <w:spacing w:val="-3"/>
          <w:sz w:val="24"/>
          <w:szCs w:val="24"/>
          <w:lang w:val="en-US" w:eastAsia="zh-CN"/>
        </w:rPr>
        <w:t>不外排</w:t>
      </w:r>
    </w:p>
    <w:p w14:paraId="76C0C501">
      <w:pPr>
        <w:pStyle w:val="9"/>
        <w:spacing w:before="3" w:line="220" w:lineRule="auto"/>
        <w:ind w:left="21"/>
        <w:outlineLvl w:val="1"/>
        <w:rPr>
          <w:color w:val="auto"/>
          <w:sz w:val="30"/>
          <w:szCs w:val="30"/>
        </w:rPr>
      </w:pPr>
      <w:bookmarkStart w:id="239" w:name="bookmark63"/>
      <w:bookmarkEnd w:id="239"/>
      <w:bookmarkStart w:id="240" w:name="_Toc1396"/>
      <w:r>
        <w:rPr>
          <w:rFonts w:hint="eastAsia" w:ascii="Times New Roman" w:hAnsi="Times New Roman" w:eastAsia="宋体" w:cs="Times New Roman"/>
          <w:b/>
          <w:bCs/>
          <w:color w:val="auto"/>
          <w:spacing w:val="-3"/>
          <w:sz w:val="30"/>
          <w:szCs w:val="30"/>
          <w:lang w:val="en-US" w:eastAsia="zh-CN"/>
        </w:rPr>
        <w:t>7</w:t>
      </w:r>
      <w:r>
        <w:rPr>
          <w:rFonts w:ascii="Times New Roman" w:hAnsi="Times New Roman" w:eastAsia="Times New Roman" w:cs="Times New Roman"/>
          <w:b/>
          <w:bCs/>
          <w:color w:val="auto"/>
          <w:spacing w:val="-3"/>
          <w:sz w:val="30"/>
          <w:szCs w:val="30"/>
        </w:rPr>
        <w:t xml:space="preserve">.4 </w:t>
      </w:r>
      <w:r>
        <w:rPr>
          <w:b/>
          <w:bCs/>
          <w:color w:val="auto"/>
          <w:spacing w:val="-3"/>
          <w:sz w:val="30"/>
          <w:szCs w:val="30"/>
        </w:rPr>
        <w:t>环境监测计划</w:t>
      </w:r>
      <w:bookmarkEnd w:id="240"/>
    </w:p>
    <w:p w14:paraId="385111AB">
      <w:pPr>
        <w:pStyle w:val="9"/>
        <w:spacing w:before="215" w:line="360" w:lineRule="auto"/>
        <w:ind w:left="20" w:right="120" w:firstLine="481"/>
        <w:jc w:val="both"/>
        <w:rPr>
          <w:color w:val="auto"/>
          <w:sz w:val="24"/>
          <w:szCs w:val="24"/>
        </w:rPr>
      </w:pPr>
      <w:r>
        <w:rPr>
          <w:color w:val="auto"/>
          <w:spacing w:val="4"/>
          <w:sz w:val="24"/>
          <w:szCs w:val="24"/>
        </w:rPr>
        <w:t>制定环境监测计划的目的是为了监测工程各项环保措施的落实情况及工程</w:t>
      </w:r>
      <w:r>
        <w:rPr>
          <w:color w:val="auto"/>
          <w:spacing w:val="-3"/>
          <w:sz w:val="24"/>
          <w:szCs w:val="24"/>
        </w:rPr>
        <w:t>对周围环境的污染情况，根据监测结果适时调整环境保护行动计划，为环保措施实施方案提供依据。针对本工程建设、生产和排污的特征，制定出既合理又具有</w:t>
      </w:r>
      <w:r>
        <w:rPr>
          <w:color w:val="auto"/>
          <w:spacing w:val="-7"/>
          <w:sz w:val="24"/>
          <w:szCs w:val="24"/>
        </w:rPr>
        <w:t>可操作性的环境管理计划与方案，使其与生产管理融为一体，贯穿</w:t>
      </w:r>
      <w:r>
        <w:rPr>
          <w:color w:val="auto"/>
          <w:spacing w:val="-8"/>
          <w:sz w:val="24"/>
          <w:szCs w:val="24"/>
        </w:rPr>
        <w:t>于生产全过程。</w:t>
      </w:r>
    </w:p>
    <w:p w14:paraId="732491BC">
      <w:pPr>
        <w:pStyle w:val="9"/>
        <w:spacing w:before="1" w:line="220" w:lineRule="auto"/>
        <w:ind w:left="20"/>
        <w:outlineLvl w:val="3"/>
        <w:rPr>
          <w:color w:val="auto"/>
          <w:sz w:val="28"/>
          <w:szCs w:val="28"/>
        </w:rPr>
      </w:pPr>
      <w:r>
        <w:rPr>
          <w:rFonts w:hint="eastAsia" w:ascii="Times New Roman" w:hAnsi="Times New Roman" w:eastAsia="宋体" w:cs="Times New Roman"/>
          <w:b/>
          <w:bCs/>
          <w:color w:val="auto"/>
          <w:spacing w:val="-1"/>
          <w:sz w:val="28"/>
          <w:szCs w:val="28"/>
          <w:lang w:val="en-US" w:eastAsia="zh-CN"/>
        </w:rPr>
        <w:t>7</w:t>
      </w:r>
      <w:r>
        <w:rPr>
          <w:rFonts w:ascii="Times New Roman" w:hAnsi="Times New Roman" w:eastAsia="Times New Roman" w:cs="Times New Roman"/>
          <w:b/>
          <w:bCs/>
          <w:color w:val="auto"/>
          <w:spacing w:val="-1"/>
          <w:sz w:val="28"/>
          <w:szCs w:val="28"/>
        </w:rPr>
        <w:t>.4.</w:t>
      </w:r>
      <w:r>
        <w:rPr>
          <w:rFonts w:ascii="Times New Roman" w:hAnsi="Times New Roman" w:eastAsia="Times New Roman" w:cs="Times New Roman"/>
          <w:b/>
          <w:bCs/>
          <w:color w:val="auto"/>
          <w:spacing w:val="-49"/>
          <w:sz w:val="28"/>
          <w:szCs w:val="28"/>
        </w:rPr>
        <w:t xml:space="preserve"> </w:t>
      </w:r>
      <w:r>
        <w:rPr>
          <w:rFonts w:hint="eastAsia" w:ascii="Times New Roman" w:hAnsi="Times New Roman" w:eastAsia="宋体" w:cs="Times New Roman"/>
          <w:b/>
          <w:bCs/>
          <w:color w:val="auto"/>
          <w:spacing w:val="-1"/>
          <w:sz w:val="28"/>
          <w:szCs w:val="28"/>
          <w:lang w:val="en-US" w:eastAsia="zh-CN"/>
        </w:rPr>
        <w:t>1</w:t>
      </w:r>
      <w:r>
        <w:rPr>
          <w:b/>
          <w:bCs/>
          <w:color w:val="auto"/>
          <w:spacing w:val="-1"/>
          <w:sz w:val="28"/>
          <w:szCs w:val="28"/>
        </w:rPr>
        <w:t>环境监测计划</w:t>
      </w:r>
    </w:p>
    <w:p w14:paraId="24B62F7C">
      <w:pPr>
        <w:pStyle w:val="9"/>
        <w:spacing w:before="215" w:line="360" w:lineRule="auto"/>
        <w:ind w:left="20" w:right="120" w:firstLine="481"/>
        <w:jc w:val="both"/>
        <w:rPr>
          <w:color w:val="auto"/>
        </w:rPr>
      </w:pPr>
      <w:r>
        <w:rPr>
          <w:rFonts w:hint="default" w:ascii="Times New Roman" w:hAnsi="Times New Roman" w:cs="Times New Roman"/>
          <w:color w:val="auto"/>
          <w:spacing w:val="4"/>
          <w:sz w:val="24"/>
          <w:szCs w:val="24"/>
        </w:rPr>
        <w:t>根据项目工程特点以及参考《排污单位自行监测技术指南总则》（HJ 819-2017），项目监测计划详见下表</w:t>
      </w:r>
      <w:r>
        <w:rPr>
          <w:rFonts w:hint="eastAsia" w:ascii="Times New Roman" w:hAnsi="Times New Roman" w:eastAsia="宋体" w:cs="Times New Roman"/>
          <w:color w:val="auto"/>
          <w:spacing w:val="4"/>
          <w:sz w:val="24"/>
          <w:szCs w:val="24"/>
          <w:lang w:val="en-US" w:eastAsia="zh-CN"/>
        </w:rPr>
        <w:t>7</w:t>
      </w:r>
      <w:r>
        <w:rPr>
          <w:rFonts w:hint="default" w:ascii="Times New Roman" w:hAnsi="Times New Roman" w:cs="Times New Roman"/>
          <w:color w:val="auto"/>
          <w:spacing w:val="4"/>
          <w:sz w:val="24"/>
          <w:szCs w:val="24"/>
        </w:rPr>
        <w:t>.4-1所示。</w:t>
      </w:r>
    </w:p>
    <w:p w14:paraId="5F59EFD5">
      <w:pPr>
        <w:spacing w:line="362" w:lineRule="auto"/>
        <w:rPr>
          <w:color w:val="auto"/>
        </w:rPr>
        <w:sectPr>
          <w:headerReference r:id="rId16" w:type="default"/>
          <w:pgSz w:w="11906" w:h="16839"/>
          <w:pgMar w:top="1169" w:right="1596" w:bottom="1243" w:left="1785" w:header="845" w:footer="1026" w:gutter="0"/>
          <w:pgNumType w:fmt="decimal"/>
          <w:cols w:space="720" w:num="1"/>
        </w:sectPr>
      </w:pPr>
    </w:p>
    <w:p w14:paraId="42F9263D">
      <w:pPr>
        <w:pStyle w:val="9"/>
        <w:spacing w:before="78" w:line="212" w:lineRule="auto"/>
        <w:ind w:left="5706"/>
        <w:rPr>
          <w:color w:val="auto"/>
        </w:rPr>
      </w:pPr>
      <w:r>
        <w:rPr>
          <w:b/>
          <w:bCs/>
          <w:color w:val="auto"/>
          <w:spacing w:val="-2"/>
        </w:rPr>
        <w:t>表</w:t>
      </w:r>
      <w:r>
        <w:rPr>
          <w:color w:val="auto"/>
          <w:spacing w:val="-51"/>
        </w:rPr>
        <w:t xml:space="preserve"> </w:t>
      </w:r>
      <w:r>
        <w:rPr>
          <w:rFonts w:hint="eastAsia" w:ascii="Times New Roman" w:hAnsi="Times New Roman" w:eastAsia="宋体" w:cs="Times New Roman"/>
          <w:b/>
          <w:bCs/>
          <w:color w:val="auto"/>
          <w:spacing w:val="-2"/>
          <w:lang w:val="en-US" w:eastAsia="zh-CN"/>
        </w:rPr>
        <w:t>7</w:t>
      </w:r>
      <w:r>
        <w:rPr>
          <w:rFonts w:ascii="Times New Roman" w:hAnsi="Times New Roman" w:eastAsia="Times New Roman" w:cs="Times New Roman"/>
          <w:b/>
          <w:bCs/>
          <w:color w:val="auto"/>
          <w:spacing w:val="-2"/>
        </w:rPr>
        <w:t xml:space="preserve">.4-1  </w:t>
      </w:r>
      <w:r>
        <w:rPr>
          <w:b/>
          <w:bCs/>
          <w:color w:val="auto"/>
          <w:spacing w:val="-2"/>
        </w:rPr>
        <w:t>项目监测计划一览表</w:t>
      </w:r>
    </w:p>
    <w:tbl>
      <w:tblPr>
        <w:tblStyle w:val="26"/>
        <w:tblW w:w="14128"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3"/>
        <w:gridCol w:w="1567"/>
        <w:gridCol w:w="1317"/>
        <w:gridCol w:w="1294"/>
        <w:gridCol w:w="3147"/>
        <w:gridCol w:w="1140"/>
        <w:gridCol w:w="4690"/>
      </w:tblGrid>
      <w:tr w14:paraId="3125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973" w:type="dxa"/>
            <w:vAlign w:val="center"/>
          </w:tcPr>
          <w:p w14:paraId="515F993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阶段</w:t>
            </w:r>
          </w:p>
        </w:tc>
        <w:tc>
          <w:tcPr>
            <w:tcW w:w="1567" w:type="dxa"/>
            <w:vAlign w:val="center"/>
          </w:tcPr>
          <w:p w14:paraId="57F2BC1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监测类型</w:t>
            </w:r>
          </w:p>
        </w:tc>
        <w:tc>
          <w:tcPr>
            <w:tcW w:w="1317" w:type="dxa"/>
            <w:vAlign w:val="center"/>
          </w:tcPr>
          <w:p w14:paraId="2BA44E2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监测对象</w:t>
            </w:r>
          </w:p>
        </w:tc>
        <w:tc>
          <w:tcPr>
            <w:tcW w:w="1294" w:type="dxa"/>
            <w:vAlign w:val="center"/>
          </w:tcPr>
          <w:p w14:paraId="5184A6A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监测项目</w:t>
            </w:r>
          </w:p>
        </w:tc>
        <w:tc>
          <w:tcPr>
            <w:tcW w:w="3147" w:type="dxa"/>
            <w:vAlign w:val="center"/>
          </w:tcPr>
          <w:p w14:paraId="2CE418D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监测位置</w:t>
            </w:r>
          </w:p>
        </w:tc>
        <w:tc>
          <w:tcPr>
            <w:tcW w:w="1140" w:type="dxa"/>
            <w:vAlign w:val="center"/>
          </w:tcPr>
          <w:p w14:paraId="4F98081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监测频率</w:t>
            </w:r>
          </w:p>
        </w:tc>
        <w:tc>
          <w:tcPr>
            <w:tcW w:w="4690" w:type="dxa"/>
            <w:vAlign w:val="center"/>
          </w:tcPr>
          <w:p w14:paraId="638CFF7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b/>
                <w:bCs/>
                <w:color w:val="auto"/>
                <w:spacing w:val="0"/>
                <w:w w:val="100"/>
                <w:position w:val="0"/>
                <w:sz w:val="21"/>
                <w:szCs w:val="21"/>
              </w:rPr>
              <w:t>执行标准</w:t>
            </w:r>
          </w:p>
        </w:tc>
      </w:tr>
      <w:tr w14:paraId="2666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1" w:hRule="atLeast"/>
        </w:trPr>
        <w:tc>
          <w:tcPr>
            <w:tcW w:w="973" w:type="dxa"/>
            <w:vMerge w:val="restart"/>
            <w:vAlign w:val="center"/>
          </w:tcPr>
          <w:p w14:paraId="38AB48E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运营期</w:t>
            </w:r>
          </w:p>
        </w:tc>
        <w:tc>
          <w:tcPr>
            <w:tcW w:w="1567" w:type="dxa"/>
            <w:vMerge w:val="restart"/>
            <w:vAlign w:val="center"/>
          </w:tcPr>
          <w:p w14:paraId="19F5AAC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污染源监测</w:t>
            </w:r>
          </w:p>
        </w:tc>
        <w:tc>
          <w:tcPr>
            <w:tcW w:w="1317" w:type="dxa"/>
            <w:vAlign w:val="center"/>
          </w:tcPr>
          <w:p w14:paraId="1D1F4A8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无组织废气</w:t>
            </w:r>
          </w:p>
        </w:tc>
        <w:tc>
          <w:tcPr>
            <w:tcW w:w="1294" w:type="dxa"/>
            <w:vAlign w:val="center"/>
          </w:tcPr>
          <w:p w14:paraId="4F4030F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TSP</w:t>
            </w:r>
          </w:p>
        </w:tc>
        <w:tc>
          <w:tcPr>
            <w:tcW w:w="3147" w:type="dxa"/>
            <w:vAlign w:val="center"/>
          </w:tcPr>
          <w:p w14:paraId="523AE3D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上风向厂界外</w:t>
            </w:r>
            <w:r>
              <w:rPr>
                <w:rFonts w:ascii="Times New Roman" w:hAnsi="Times New Roman" w:eastAsia="Times New Roman" w:cs="Times New Roman"/>
                <w:color w:val="auto"/>
                <w:spacing w:val="0"/>
                <w:w w:val="100"/>
                <w:position w:val="0"/>
                <w:sz w:val="21"/>
                <w:szCs w:val="21"/>
              </w:rPr>
              <w:t>10m</w:t>
            </w:r>
            <w:r>
              <w:rPr>
                <w:color w:val="auto"/>
                <w:spacing w:val="0"/>
                <w:w w:val="100"/>
                <w:position w:val="0"/>
                <w:sz w:val="21"/>
                <w:szCs w:val="21"/>
              </w:rPr>
              <w:t>处设置</w:t>
            </w:r>
            <w:r>
              <w:rPr>
                <w:rFonts w:ascii="Times New Roman" w:hAnsi="Times New Roman" w:eastAsia="Times New Roman" w:cs="Times New Roman"/>
                <w:color w:val="auto"/>
                <w:spacing w:val="0"/>
                <w:w w:val="100"/>
                <w:position w:val="0"/>
                <w:sz w:val="21"/>
                <w:szCs w:val="21"/>
              </w:rPr>
              <w:t>1</w:t>
            </w:r>
            <w:r>
              <w:rPr>
                <w:color w:val="auto"/>
                <w:spacing w:val="0"/>
                <w:w w:val="100"/>
                <w:position w:val="0"/>
                <w:sz w:val="21"/>
                <w:szCs w:val="21"/>
              </w:rPr>
              <w:t>个照点，下风向厂界外</w:t>
            </w:r>
            <w:r>
              <w:rPr>
                <w:rFonts w:ascii="Times New Roman" w:hAnsi="Times New Roman" w:eastAsia="Times New Roman" w:cs="Times New Roman"/>
                <w:color w:val="auto"/>
                <w:spacing w:val="0"/>
                <w:w w:val="100"/>
                <w:position w:val="0"/>
                <w:sz w:val="21"/>
                <w:szCs w:val="21"/>
              </w:rPr>
              <w:t>10m</w:t>
            </w:r>
            <w:r>
              <w:rPr>
                <w:color w:val="auto"/>
                <w:spacing w:val="0"/>
                <w:w w:val="100"/>
                <w:position w:val="0"/>
                <w:sz w:val="21"/>
                <w:szCs w:val="21"/>
              </w:rPr>
              <w:t>处，设三个监控点，其中下风向轴线上设一点，在轴线两侧</w:t>
            </w:r>
            <w:r>
              <w:rPr>
                <w:rFonts w:ascii="Times New Roman" w:hAnsi="Times New Roman" w:eastAsia="Times New Roman" w:cs="Times New Roman"/>
                <w:color w:val="auto"/>
                <w:spacing w:val="0"/>
                <w:w w:val="100"/>
                <w:position w:val="0"/>
                <w:sz w:val="21"/>
                <w:szCs w:val="21"/>
              </w:rPr>
              <w:t>15°</w:t>
            </w:r>
            <w:r>
              <w:rPr>
                <w:color w:val="auto"/>
                <w:spacing w:val="0"/>
                <w:w w:val="100"/>
                <w:position w:val="0"/>
                <w:sz w:val="21"/>
                <w:szCs w:val="21"/>
              </w:rPr>
              <w:t>夹角处设置两点。</w:t>
            </w:r>
          </w:p>
        </w:tc>
        <w:tc>
          <w:tcPr>
            <w:tcW w:w="1140" w:type="dxa"/>
            <w:vAlign w:val="center"/>
          </w:tcPr>
          <w:p w14:paraId="4B81A1E0">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1</w:t>
            </w:r>
            <w:r>
              <w:rPr>
                <w:color w:val="auto"/>
                <w:spacing w:val="0"/>
                <w:w w:val="100"/>
                <w:position w:val="0"/>
                <w:sz w:val="21"/>
                <w:szCs w:val="21"/>
              </w:rPr>
              <w:t>次</w:t>
            </w:r>
            <w:r>
              <w:rPr>
                <w:rFonts w:ascii="Times New Roman" w:hAnsi="Times New Roman" w:eastAsia="Times New Roman" w:cs="Times New Roman"/>
                <w:color w:val="auto"/>
                <w:spacing w:val="0"/>
                <w:w w:val="100"/>
                <w:position w:val="0"/>
                <w:sz w:val="21"/>
                <w:szCs w:val="21"/>
              </w:rPr>
              <w:t>/</w:t>
            </w:r>
            <w:r>
              <w:rPr>
                <w:color w:val="auto"/>
                <w:spacing w:val="0"/>
                <w:w w:val="100"/>
                <w:position w:val="0"/>
                <w:sz w:val="21"/>
                <w:szCs w:val="21"/>
              </w:rPr>
              <w:t>年</w:t>
            </w:r>
          </w:p>
        </w:tc>
        <w:tc>
          <w:tcPr>
            <w:tcW w:w="4690" w:type="dxa"/>
            <w:vAlign w:val="center"/>
          </w:tcPr>
          <w:p w14:paraId="25E2840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《大气污染物综合排放标准》</w:t>
            </w:r>
          </w:p>
          <w:p w14:paraId="1DF0718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GB16297- 1996</w:t>
            </w:r>
            <w:r>
              <w:rPr>
                <w:color w:val="auto"/>
                <w:spacing w:val="0"/>
                <w:w w:val="100"/>
                <w:position w:val="0"/>
                <w:sz w:val="21"/>
                <w:szCs w:val="21"/>
              </w:rPr>
              <w:t xml:space="preserve">）表 </w:t>
            </w:r>
            <w:r>
              <w:rPr>
                <w:rFonts w:ascii="Times New Roman" w:hAnsi="Times New Roman" w:eastAsia="Times New Roman" w:cs="Times New Roman"/>
                <w:color w:val="auto"/>
                <w:spacing w:val="0"/>
                <w:w w:val="100"/>
                <w:position w:val="0"/>
                <w:sz w:val="21"/>
                <w:szCs w:val="21"/>
              </w:rPr>
              <w:t xml:space="preserve">2 </w:t>
            </w:r>
            <w:r>
              <w:rPr>
                <w:color w:val="auto"/>
                <w:spacing w:val="0"/>
                <w:w w:val="100"/>
                <w:position w:val="0"/>
                <w:sz w:val="21"/>
                <w:szCs w:val="21"/>
              </w:rPr>
              <w:t>中的无组织排放监控浓度限值。</w:t>
            </w:r>
          </w:p>
        </w:tc>
      </w:tr>
      <w:tr w14:paraId="293B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trPr>
        <w:tc>
          <w:tcPr>
            <w:tcW w:w="973" w:type="dxa"/>
            <w:vMerge w:val="continue"/>
            <w:vAlign w:val="center"/>
          </w:tcPr>
          <w:p w14:paraId="26FB3DE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567" w:type="dxa"/>
            <w:vMerge w:val="continue"/>
            <w:vAlign w:val="center"/>
          </w:tcPr>
          <w:p w14:paraId="1335481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317" w:type="dxa"/>
            <w:vMerge w:val="restart"/>
            <w:vAlign w:val="center"/>
          </w:tcPr>
          <w:p w14:paraId="0E234F9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噪声</w:t>
            </w:r>
          </w:p>
        </w:tc>
        <w:tc>
          <w:tcPr>
            <w:tcW w:w="1294" w:type="dxa"/>
            <w:vAlign w:val="center"/>
          </w:tcPr>
          <w:p w14:paraId="4FC7DEE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eastAsia"/>
                <w:color w:val="auto"/>
                <w:spacing w:val="0"/>
                <w:w w:val="100"/>
                <w:position w:val="0"/>
                <w:sz w:val="21"/>
                <w:szCs w:val="21"/>
                <w:lang w:val="en-US" w:eastAsia="zh-CN"/>
              </w:rPr>
              <w:t>昼间</w:t>
            </w:r>
            <w:r>
              <w:rPr>
                <w:color w:val="auto"/>
                <w:spacing w:val="0"/>
                <w:w w:val="100"/>
                <w:position w:val="0"/>
                <w:sz w:val="21"/>
                <w:szCs w:val="21"/>
              </w:rPr>
              <w:t>等效</w:t>
            </w:r>
          </w:p>
          <w:p w14:paraId="758DF79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连续</w:t>
            </w:r>
            <w:r>
              <w:rPr>
                <w:rFonts w:ascii="Times New Roman" w:hAnsi="Times New Roman" w:eastAsia="Times New Roman" w:cs="Times New Roman"/>
                <w:color w:val="auto"/>
                <w:spacing w:val="0"/>
                <w:w w:val="100"/>
                <w:position w:val="0"/>
                <w:sz w:val="21"/>
                <w:szCs w:val="21"/>
              </w:rPr>
              <w:t>A</w:t>
            </w:r>
            <w:r>
              <w:rPr>
                <w:color w:val="auto"/>
                <w:spacing w:val="0"/>
                <w:w w:val="100"/>
                <w:position w:val="0"/>
                <w:sz w:val="21"/>
                <w:szCs w:val="21"/>
              </w:rPr>
              <w:t>声级</w:t>
            </w:r>
          </w:p>
        </w:tc>
        <w:tc>
          <w:tcPr>
            <w:tcW w:w="3147" w:type="dxa"/>
            <w:vAlign w:val="center"/>
          </w:tcPr>
          <w:p w14:paraId="211BEC0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eastAsia"/>
                <w:color w:val="auto"/>
                <w:spacing w:val="0"/>
                <w:w w:val="100"/>
                <w:position w:val="0"/>
                <w:sz w:val="21"/>
                <w:szCs w:val="21"/>
                <w:lang w:val="en-US" w:eastAsia="zh-CN"/>
              </w:rPr>
              <w:t>项目</w:t>
            </w:r>
            <w:r>
              <w:rPr>
                <w:rFonts w:hint="eastAsia" w:ascii="Times New Roman" w:hAnsi="Times New Roman" w:cs="Times New Roman" w:eastAsiaTheme="minorEastAsia"/>
                <w:color w:val="auto"/>
                <w:spacing w:val="0"/>
                <w:w w:val="100"/>
                <w:position w:val="0"/>
                <w:sz w:val="21"/>
                <w:szCs w:val="21"/>
                <w:lang w:val="en-US" w:eastAsia="zh-CN"/>
              </w:rPr>
              <w:t>场</w:t>
            </w:r>
            <w:r>
              <w:rPr>
                <w:color w:val="auto"/>
                <w:spacing w:val="0"/>
                <w:w w:val="100"/>
                <w:position w:val="0"/>
                <w:sz w:val="21"/>
                <w:szCs w:val="21"/>
              </w:rPr>
              <w:t>界四周。</w:t>
            </w:r>
          </w:p>
        </w:tc>
        <w:tc>
          <w:tcPr>
            <w:tcW w:w="1140" w:type="dxa"/>
            <w:vAlign w:val="center"/>
          </w:tcPr>
          <w:p w14:paraId="5BD25C7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1</w:t>
            </w:r>
            <w:r>
              <w:rPr>
                <w:color w:val="auto"/>
                <w:spacing w:val="0"/>
                <w:w w:val="100"/>
                <w:position w:val="0"/>
                <w:sz w:val="21"/>
                <w:szCs w:val="21"/>
              </w:rPr>
              <w:t>次</w:t>
            </w:r>
            <w:r>
              <w:rPr>
                <w:rFonts w:ascii="Times New Roman" w:hAnsi="Times New Roman" w:eastAsia="Times New Roman" w:cs="Times New Roman"/>
                <w:color w:val="auto"/>
                <w:spacing w:val="0"/>
                <w:w w:val="100"/>
                <w:position w:val="0"/>
                <w:sz w:val="21"/>
                <w:szCs w:val="21"/>
              </w:rPr>
              <w:t>/</w:t>
            </w:r>
            <w:r>
              <w:rPr>
                <w:color w:val="auto"/>
                <w:spacing w:val="0"/>
                <w:w w:val="100"/>
                <w:position w:val="0"/>
                <w:sz w:val="21"/>
                <w:szCs w:val="21"/>
              </w:rPr>
              <w:t>季</w:t>
            </w:r>
          </w:p>
        </w:tc>
        <w:tc>
          <w:tcPr>
            <w:tcW w:w="4690" w:type="dxa"/>
            <w:vAlign w:val="center"/>
          </w:tcPr>
          <w:p w14:paraId="26AD097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color w:val="auto"/>
                <w:spacing w:val="0"/>
                <w:w w:val="100"/>
                <w:position w:val="0"/>
                <w:sz w:val="21"/>
                <w:szCs w:val="21"/>
              </w:rPr>
              <w:t>《工业企业厂界环境噪声排放标准》 （</w:t>
            </w:r>
            <w:r>
              <w:rPr>
                <w:rFonts w:ascii="Times New Roman" w:hAnsi="Times New Roman" w:eastAsia="Times New Roman" w:cs="Times New Roman"/>
                <w:color w:val="auto"/>
                <w:spacing w:val="0"/>
                <w:w w:val="100"/>
                <w:position w:val="0"/>
                <w:sz w:val="21"/>
                <w:szCs w:val="21"/>
              </w:rPr>
              <w:t>GB12348—2008</w:t>
            </w:r>
            <w:r>
              <w:rPr>
                <w:color w:val="auto"/>
                <w:spacing w:val="0"/>
                <w:w w:val="100"/>
                <w:position w:val="0"/>
                <w:sz w:val="21"/>
                <w:szCs w:val="21"/>
              </w:rPr>
              <w:t>）</w:t>
            </w:r>
            <w:r>
              <w:rPr>
                <w:rFonts w:ascii="Times New Roman" w:hAnsi="Times New Roman" w:eastAsia="Times New Roman" w:cs="Times New Roman"/>
                <w:color w:val="auto"/>
                <w:spacing w:val="0"/>
                <w:w w:val="100"/>
                <w:position w:val="0"/>
                <w:sz w:val="21"/>
                <w:szCs w:val="21"/>
              </w:rPr>
              <w:t>3</w:t>
            </w:r>
            <w:r>
              <w:rPr>
                <w:color w:val="auto"/>
                <w:spacing w:val="0"/>
                <w:w w:val="100"/>
                <w:position w:val="0"/>
                <w:sz w:val="21"/>
                <w:szCs w:val="21"/>
              </w:rPr>
              <w:t>类标准。</w:t>
            </w:r>
          </w:p>
        </w:tc>
      </w:tr>
      <w:tr w14:paraId="0688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trPr>
        <w:tc>
          <w:tcPr>
            <w:tcW w:w="973" w:type="dxa"/>
            <w:vMerge w:val="continue"/>
            <w:vAlign w:val="center"/>
          </w:tcPr>
          <w:p w14:paraId="57B7A8D0">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567" w:type="dxa"/>
            <w:vMerge w:val="continue"/>
            <w:vAlign w:val="center"/>
          </w:tcPr>
          <w:p w14:paraId="489398B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p>
        </w:tc>
        <w:tc>
          <w:tcPr>
            <w:tcW w:w="1317" w:type="dxa"/>
            <w:vMerge w:val="continue"/>
            <w:vAlign w:val="center"/>
          </w:tcPr>
          <w:p w14:paraId="2BF446A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p>
        </w:tc>
        <w:tc>
          <w:tcPr>
            <w:tcW w:w="1294" w:type="dxa"/>
            <w:vAlign w:val="center"/>
          </w:tcPr>
          <w:p w14:paraId="56372CE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eastAsia"/>
                <w:color w:val="auto"/>
                <w:spacing w:val="0"/>
                <w:w w:val="100"/>
                <w:position w:val="0"/>
                <w:sz w:val="21"/>
                <w:szCs w:val="21"/>
                <w:lang w:val="en-US" w:eastAsia="zh-CN"/>
              </w:rPr>
              <w:t>昼间</w:t>
            </w:r>
            <w:r>
              <w:rPr>
                <w:color w:val="auto"/>
                <w:spacing w:val="0"/>
                <w:w w:val="100"/>
                <w:position w:val="0"/>
                <w:sz w:val="21"/>
                <w:szCs w:val="21"/>
              </w:rPr>
              <w:t>等效</w:t>
            </w:r>
          </w:p>
          <w:p w14:paraId="024D217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Times New Roman" w:hAnsi="Times New Roman" w:eastAsia="Times New Roman" w:cs="Times New Roman"/>
                <w:color w:val="auto"/>
                <w:spacing w:val="0"/>
                <w:w w:val="100"/>
                <w:position w:val="0"/>
                <w:sz w:val="21"/>
                <w:szCs w:val="21"/>
              </w:rPr>
            </w:pPr>
            <w:r>
              <w:rPr>
                <w:color w:val="auto"/>
                <w:spacing w:val="0"/>
                <w:w w:val="100"/>
                <w:position w:val="0"/>
                <w:sz w:val="21"/>
                <w:szCs w:val="21"/>
              </w:rPr>
              <w:t>连续</w:t>
            </w:r>
            <w:r>
              <w:rPr>
                <w:rFonts w:ascii="Times New Roman" w:hAnsi="Times New Roman" w:eastAsia="Times New Roman" w:cs="Times New Roman"/>
                <w:color w:val="auto"/>
                <w:spacing w:val="0"/>
                <w:w w:val="100"/>
                <w:position w:val="0"/>
                <w:sz w:val="21"/>
                <w:szCs w:val="21"/>
              </w:rPr>
              <w:t>A</w:t>
            </w:r>
            <w:r>
              <w:rPr>
                <w:color w:val="auto"/>
                <w:spacing w:val="0"/>
                <w:w w:val="100"/>
                <w:position w:val="0"/>
                <w:sz w:val="21"/>
                <w:szCs w:val="21"/>
              </w:rPr>
              <w:t>声级</w:t>
            </w:r>
          </w:p>
        </w:tc>
        <w:tc>
          <w:tcPr>
            <w:tcW w:w="3147" w:type="dxa"/>
            <w:vAlign w:val="center"/>
          </w:tcPr>
          <w:p w14:paraId="5BC1871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both"/>
              <w:textAlignment w:val="baseline"/>
              <w:rPr>
                <w:rFonts w:hint="default" w:ascii="Times New Roman" w:hAnsi="Times New Roman" w:cs="Times New Roman"/>
                <w:color w:val="auto"/>
                <w:spacing w:val="-2"/>
                <w:sz w:val="21"/>
                <w:szCs w:val="21"/>
              </w:rPr>
            </w:pPr>
            <w:r>
              <w:rPr>
                <w:rFonts w:hint="eastAsia" w:ascii="Times New Roman" w:hAnsi="Times New Roman" w:cs="Times New Roman"/>
                <w:color w:val="auto"/>
                <w:spacing w:val="-2"/>
                <w:sz w:val="21"/>
                <w:szCs w:val="21"/>
                <w:lang w:val="en-US" w:eastAsia="zh-CN"/>
              </w:rPr>
              <w:t>①</w:t>
            </w:r>
            <w:r>
              <w:rPr>
                <w:rFonts w:hint="eastAsia" w:ascii="Times New Roman" w:hAnsi="Times New Roman" w:cs="Times New Roman"/>
                <w:color w:val="auto"/>
                <w:spacing w:val="-2"/>
                <w:sz w:val="21"/>
                <w:szCs w:val="21"/>
                <w:lang w:eastAsia="zh-CN"/>
              </w:rPr>
              <w:t>既有铁路（现有到发4条货运线）外轨中心线西30m</w:t>
            </w:r>
          </w:p>
          <w:p w14:paraId="0040506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both"/>
              <w:textAlignment w:val="baseline"/>
              <w:rPr>
                <w:rFonts w:hint="eastAsia" w:eastAsia="宋体"/>
                <w:color w:val="auto"/>
                <w:spacing w:val="0"/>
                <w:w w:val="100"/>
                <w:position w:val="0"/>
                <w:sz w:val="21"/>
                <w:szCs w:val="21"/>
                <w:lang w:eastAsia="zh-CN"/>
              </w:rPr>
            </w:pPr>
            <w:r>
              <w:rPr>
                <w:rFonts w:hint="eastAsia" w:ascii="Times New Roman" w:hAnsi="Times New Roman" w:cs="Times New Roman"/>
                <w:color w:val="auto"/>
                <w:spacing w:val="-2"/>
                <w:sz w:val="21"/>
                <w:szCs w:val="21"/>
                <w:lang w:val="en-US" w:eastAsia="zh-CN"/>
              </w:rPr>
              <w:t>②</w:t>
            </w:r>
            <w:r>
              <w:rPr>
                <w:rFonts w:hint="eastAsia" w:ascii="Times New Roman" w:hAnsi="Times New Roman" w:cs="Times New Roman"/>
                <w:color w:val="auto"/>
                <w:spacing w:val="-2"/>
                <w:sz w:val="21"/>
                <w:szCs w:val="21"/>
                <w:lang w:eastAsia="zh-CN"/>
              </w:rPr>
              <w:t>既有铁路（现有到发4条货运线）外轨中心线东30m</w:t>
            </w:r>
            <w:r>
              <w:rPr>
                <w:rFonts w:hint="default" w:ascii="Times New Roman" w:hAnsi="Times New Roman" w:cs="Times New Roman"/>
                <w:color w:val="auto"/>
                <w:spacing w:val="-2"/>
                <w:sz w:val="21"/>
                <w:szCs w:val="21"/>
              </w:rPr>
              <w:t>与</w:t>
            </w:r>
            <w:r>
              <w:rPr>
                <w:rFonts w:hint="eastAsia" w:ascii="Times New Roman" w:hAnsi="Times New Roman" w:cs="Times New Roman"/>
                <w:color w:val="auto"/>
                <w:spacing w:val="-2"/>
                <w:sz w:val="21"/>
                <w:szCs w:val="21"/>
                <w:lang w:eastAsia="zh-CN"/>
              </w:rPr>
              <w:t>新建铁路（H1、H2新建货运线）外轨中心线西30m</w:t>
            </w:r>
            <w:r>
              <w:rPr>
                <w:rFonts w:hint="default" w:ascii="Times New Roman" w:hAnsi="Times New Roman" w:cs="Times New Roman"/>
                <w:color w:val="auto"/>
                <w:spacing w:val="-2"/>
                <w:sz w:val="21"/>
                <w:szCs w:val="21"/>
              </w:rPr>
              <w:t>交叉点</w:t>
            </w:r>
          </w:p>
        </w:tc>
        <w:tc>
          <w:tcPr>
            <w:tcW w:w="1140" w:type="dxa"/>
            <w:vAlign w:val="center"/>
          </w:tcPr>
          <w:p w14:paraId="2C6E4F8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ascii="Times New Roman" w:hAnsi="Times New Roman" w:eastAsia="Times New Roman" w:cs="Times New Roman"/>
                <w:color w:val="auto"/>
                <w:spacing w:val="0"/>
                <w:w w:val="100"/>
                <w:position w:val="0"/>
                <w:sz w:val="21"/>
                <w:szCs w:val="21"/>
              </w:rPr>
              <w:t>1</w:t>
            </w:r>
            <w:r>
              <w:rPr>
                <w:color w:val="auto"/>
                <w:spacing w:val="0"/>
                <w:w w:val="100"/>
                <w:position w:val="0"/>
                <w:sz w:val="21"/>
                <w:szCs w:val="21"/>
              </w:rPr>
              <w:t>次</w:t>
            </w:r>
            <w:r>
              <w:rPr>
                <w:rFonts w:ascii="Times New Roman" w:hAnsi="Times New Roman" w:eastAsia="Times New Roman" w:cs="Times New Roman"/>
                <w:color w:val="auto"/>
                <w:spacing w:val="0"/>
                <w:w w:val="100"/>
                <w:position w:val="0"/>
                <w:sz w:val="21"/>
                <w:szCs w:val="21"/>
              </w:rPr>
              <w:t>/</w:t>
            </w:r>
            <w:r>
              <w:rPr>
                <w:color w:val="auto"/>
                <w:spacing w:val="0"/>
                <w:w w:val="100"/>
                <w:position w:val="0"/>
                <w:sz w:val="21"/>
                <w:szCs w:val="21"/>
              </w:rPr>
              <w:t>季</w:t>
            </w:r>
          </w:p>
        </w:tc>
        <w:tc>
          <w:tcPr>
            <w:tcW w:w="4690" w:type="dxa"/>
            <w:vAlign w:val="center"/>
          </w:tcPr>
          <w:p w14:paraId="3A675CA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color w:val="auto"/>
                <w:spacing w:val="0"/>
                <w:w w:val="100"/>
                <w:position w:val="0"/>
                <w:sz w:val="21"/>
                <w:szCs w:val="21"/>
              </w:rPr>
            </w:pPr>
            <w:r>
              <w:rPr>
                <w:rFonts w:hint="default" w:ascii="Times New Roman" w:hAnsi="Times New Roman" w:cs="Times New Roman"/>
                <w:color w:val="auto"/>
                <w:spacing w:val="-2"/>
                <w:sz w:val="21"/>
                <w:szCs w:val="21"/>
              </w:rPr>
              <w:t>《铁路边界噪声限值及其测量方法》（GB12525-90）修改方案中表1</w:t>
            </w:r>
            <w:r>
              <w:rPr>
                <w:rFonts w:hint="eastAsia" w:ascii="Times New Roman" w:hAnsi="Times New Roman" w:cs="Times New Roman"/>
                <w:color w:val="auto"/>
                <w:spacing w:val="-2"/>
                <w:sz w:val="21"/>
                <w:szCs w:val="21"/>
                <w:lang w:val="en-US" w:eastAsia="zh-CN"/>
              </w:rPr>
              <w:t>及表2</w:t>
            </w:r>
            <w:r>
              <w:rPr>
                <w:rFonts w:hint="default" w:ascii="Times New Roman" w:hAnsi="Times New Roman" w:cs="Times New Roman"/>
                <w:color w:val="auto"/>
                <w:spacing w:val="-2"/>
                <w:sz w:val="21"/>
                <w:szCs w:val="21"/>
              </w:rPr>
              <w:t>限值</w:t>
            </w:r>
          </w:p>
        </w:tc>
      </w:tr>
      <w:tr w14:paraId="7DD8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trPr>
        <w:tc>
          <w:tcPr>
            <w:tcW w:w="973" w:type="dxa"/>
            <w:vMerge w:val="continue"/>
            <w:vAlign w:val="center"/>
          </w:tcPr>
          <w:p w14:paraId="3D57DED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ascii="Arial"/>
                <w:color w:val="auto"/>
                <w:spacing w:val="0"/>
                <w:w w:val="100"/>
                <w:position w:val="0"/>
                <w:sz w:val="21"/>
                <w:szCs w:val="21"/>
              </w:rPr>
            </w:pPr>
          </w:p>
        </w:tc>
        <w:tc>
          <w:tcPr>
            <w:tcW w:w="1567" w:type="dxa"/>
            <w:vAlign w:val="center"/>
          </w:tcPr>
          <w:p w14:paraId="6BA849C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地下水跟踪监测井</w:t>
            </w:r>
          </w:p>
        </w:tc>
        <w:tc>
          <w:tcPr>
            <w:tcW w:w="1317" w:type="dxa"/>
            <w:vAlign w:val="center"/>
          </w:tcPr>
          <w:p w14:paraId="5AC129F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地下水</w:t>
            </w:r>
          </w:p>
        </w:tc>
        <w:tc>
          <w:tcPr>
            <w:tcW w:w="1294" w:type="dxa"/>
            <w:vAlign w:val="center"/>
          </w:tcPr>
          <w:p w14:paraId="49F9222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水位、</w:t>
            </w:r>
            <w:r>
              <w:rPr>
                <w:rFonts w:hint="default" w:ascii="Times New Roman" w:hAnsi="Times New Roman" w:cs="Times New Roman"/>
                <w:color w:val="auto"/>
                <w:spacing w:val="-2"/>
                <w:sz w:val="21"/>
                <w:szCs w:val="21"/>
                <w:lang w:val="en-US" w:eastAsia="zh-CN"/>
              </w:rPr>
              <w:t>pH、总磷、耗氧量、氨氮、动植物油、SS和BOD</w:t>
            </w:r>
          </w:p>
        </w:tc>
        <w:tc>
          <w:tcPr>
            <w:tcW w:w="3147" w:type="dxa"/>
            <w:vAlign w:val="center"/>
          </w:tcPr>
          <w:p w14:paraId="55117AC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J2项目区污染监测井</w:t>
            </w:r>
          </w:p>
          <w:p w14:paraId="25311BD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J3</w:t>
            </w:r>
            <w:r>
              <w:rPr>
                <w:rFonts w:hint="default" w:ascii="Times New Roman" w:hAnsi="Times New Roman" w:cs="Times New Roman"/>
                <w:color w:val="auto"/>
                <w:spacing w:val="-2"/>
                <w:sz w:val="21"/>
                <w:szCs w:val="21"/>
                <w:lang w:val="en-US" w:eastAsia="zh-CN"/>
              </w:rPr>
              <w:t>下游污染扩散监测井（曲靖大为焦化制气地下水监测井DX01）</w:t>
            </w:r>
          </w:p>
        </w:tc>
        <w:tc>
          <w:tcPr>
            <w:tcW w:w="1140" w:type="dxa"/>
            <w:vAlign w:val="center"/>
          </w:tcPr>
          <w:p w14:paraId="0B94BAF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2"/>
                <w:sz w:val="21"/>
                <w:szCs w:val="21"/>
                <w:lang w:val="en-US" w:eastAsia="zh-CN"/>
              </w:rPr>
            </w:pPr>
            <w:r>
              <w:rPr>
                <w:rFonts w:ascii="Times New Roman" w:hAnsi="Times New Roman" w:eastAsia="Times New Roman" w:cs="Times New Roman"/>
                <w:color w:val="auto"/>
                <w:spacing w:val="0"/>
                <w:w w:val="100"/>
                <w:position w:val="0"/>
                <w:sz w:val="21"/>
                <w:szCs w:val="21"/>
              </w:rPr>
              <w:t>1</w:t>
            </w:r>
            <w:r>
              <w:rPr>
                <w:color w:val="auto"/>
                <w:spacing w:val="0"/>
                <w:w w:val="100"/>
                <w:position w:val="0"/>
                <w:sz w:val="21"/>
                <w:szCs w:val="21"/>
              </w:rPr>
              <w:t>次</w:t>
            </w:r>
            <w:r>
              <w:rPr>
                <w:rFonts w:ascii="Times New Roman" w:hAnsi="Times New Roman" w:eastAsia="Times New Roman" w:cs="Times New Roman"/>
                <w:color w:val="auto"/>
                <w:spacing w:val="0"/>
                <w:w w:val="100"/>
                <w:position w:val="0"/>
                <w:sz w:val="21"/>
                <w:szCs w:val="21"/>
              </w:rPr>
              <w:t>/</w:t>
            </w:r>
            <w:r>
              <w:rPr>
                <w:rFonts w:hint="eastAsia" w:ascii="Times New Roman" w:hAnsi="Times New Roman" w:cs="Times New Roman"/>
                <w:color w:val="auto"/>
                <w:spacing w:val="-2"/>
                <w:sz w:val="21"/>
                <w:szCs w:val="21"/>
                <w:lang w:val="en-US" w:eastAsia="zh-CN"/>
              </w:rPr>
              <w:t>年</w:t>
            </w:r>
          </w:p>
        </w:tc>
        <w:tc>
          <w:tcPr>
            <w:tcW w:w="4690" w:type="dxa"/>
            <w:vAlign w:val="center"/>
          </w:tcPr>
          <w:p w14:paraId="7B1F8CA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color w:val="auto"/>
                <w:spacing w:val="-2"/>
                <w:sz w:val="21"/>
                <w:szCs w:val="21"/>
                <w:lang w:val="en-US" w:eastAsia="zh-CN"/>
              </w:rPr>
            </w:pPr>
            <w:r>
              <w:rPr>
                <w:rFonts w:hint="default" w:ascii="Times New Roman" w:hAnsi="Times New Roman" w:cs="Times New Roman"/>
                <w:color w:val="auto"/>
                <w:spacing w:val="-2"/>
                <w:sz w:val="21"/>
                <w:szCs w:val="21"/>
                <w:lang w:val="en-US" w:eastAsia="zh-CN"/>
              </w:rPr>
              <w:t>《地下水质量标准》（GB/T14848-2017）Ш类标准</w:t>
            </w:r>
          </w:p>
        </w:tc>
      </w:tr>
    </w:tbl>
    <w:p w14:paraId="5D7556ED">
      <w:pPr>
        <w:rPr>
          <w:rFonts w:ascii="Arial"/>
          <w:color w:val="auto"/>
          <w:sz w:val="21"/>
        </w:rPr>
      </w:pPr>
    </w:p>
    <w:p w14:paraId="3CC2AD7C">
      <w:pPr>
        <w:rPr>
          <w:rFonts w:ascii="Arial" w:hAnsi="Arial" w:eastAsia="Arial" w:cs="Arial"/>
          <w:color w:val="auto"/>
          <w:sz w:val="21"/>
          <w:szCs w:val="21"/>
        </w:rPr>
        <w:sectPr>
          <w:headerReference r:id="rId17" w:type="default"/>
          <w:pgSz w:w="16839" w:h="11906"/>
          <w:pgMar w:top="1169" w:right="1352" w:bottom="1243" w:left="1327" w:header="845" w:footer="1026" w:gutter="0"/>
          <w:pgNumType w:fmt="decimal"/>
          <w:cols w:space="720" w:num="1"/>
        </w:sectPr>
      </w:pPr>
    </w:p>
    <w:p w14:paraId="77104701">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4"/>
          <w:szCs w:val="24"/>
        </w:rPr>
      </w:pPr>
      <w:r>
        <w:rPr>
          <w:rFonts w:hint="eastAsia" w:ascii="Times New Roman" w:hAnsi="Times New Roman" w:eastAsia="宋体" w:cs="Times New Roman"/>
          <w:b/>
          <w:bCs/>
          <w:color w:val="auto"/>
          <w:spacing w:val="0"/>
          <w:w w:val="100"/>
          <w:sz w:val="24"/>
          <w:szCs w:val="24"/>
          <w:lang w:val="en-US" w:eastAsia="zh-CN"/>
        </w:rPr>
        <w:t>7</w:t>
      </w:r>
      <w:r>
        <w:rPr>
          <w:rFonts w:ascii="Times New Roman" w:hAnsi="Times New Roman" w:eastAsia="Times New Roman" w:cs="Times New Roman"/>
          <w:b/>
          <w:bCs/>
          <w:color w:val="auto"/>
          <w:spacing w:val="0"/>
          <w:w w:val="100"/>
          <w:sz w:val="24"/>
          <w:szCs w:val="24"/>
        </w:rPr>
        <w:t xml:space="preserve">.4.2 </w:t>
      </w:r>
      <w:r>
        <w:rPr>
          <w:b/>
          <w:bCs/>
          <w:color w:val="auto"/>
          <w:spacing w:val="0"/>
          <w:w w:val="100"/>
          <w:sz w:val="24"/>
          <w:szCs w:val="24"/>
        </w:rPr>
        <w:t>监测结果的反馈</w:t>
      </w:r>
    </w:p>
    <w:p w14:paraId="607A619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color w:val="auto"/>
          <w:spacing w:val="0"/>
          <w:w w:val="100"/>
          <w:sz w:val="24"/>
          <w:szCs w:val="24"/>
        </w:rPr>
      </w:pPr>
      <w:r>
        <w:rPr>
          <w:color w:val="auto"/>
          <w:spacing w:val="0"/>
          <w:w w:val="100"/>
          <w:sz w:val="24"/>
          <w:szCs w:val="24"/>
        </w:rPr>
        <w:t>根据以上监测项目，点位及频率进行监测，每次监测完毕后，及时整理监测数据，以报表的形式写出监测分析报告，经安环部上报公司，同时报送县、市</w:t>
      </w:r>
      <w:r>
        <w:rPr>
          <w:rFonts w:hint="eastAsia" w:eastAsia="宋体"/>
          <w:color w:val="auto"/>
          <w:spacing w:val="0"/>
          <w:w w:val="100"/>
          <w:sz w:val="24"/>
          <w:szCs w:val="24"/>
          <w:lang w:val="en-US" w:eastAsia="zh-CN"/>
        </w:rPr>
        <w:t>生态环境</w:t>
      </w:r>
      <w:r>
        <w:rPr>
          <w:color w:val="auto"/>
          <w:spacing w:val="0"/>
          <w:w w:val="100"/>
          <w:sz w:val="24"/>
          <w:szCs w:val="24"/>
        </w:rPr>
        <w:t>部门，以便公司内各管理部门和地方</w:t>
      </w:r>
      <w:r>
        <w:rPr>
          <w:rFonts w:hint="eastAsia" w:eastAsia="宋体"/>
          <w:color w:val="auto"/>
          <w:spacing w:val="0"/>
          <w:w w:val="100"/>
          <w:sz w:val="24"/>
          <w:szCs w:val="24"/>
          <w:lang w:eastAsia="zh-CN"/>
        </w:rPr>
        <w:t>生态环境部门</w:t>
      </w:r>
      <w:r>
        <w:rPr>
          <w:color w:val="auto"/>
          <w:spacing w:val="0"/>
          <w:w w:val="100"/>
          <w:sz w:val="24"/>
          <w:szCs w:val="24"/>
        </w:rPr>
        <w:t>及时了解全公司排污及环保治理措施的运行状况，及时发现问题，及时解决。</w:t>
      </w:r>
    </w:p>
    <w:p w14:paraId="76F94C6D">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pacing w:val="0"/>
          <w:w w:val="100"/>
          <w:sz w:val="24"/>
          <w:szCs w:val="24"/>
        </w:rPr>
      </w:pPr>
      <w:bookmarkStart w:id="241" w:name="bookmark64"/>
      <w:bookmarkEnd w:id="241"/>
      <w:bookmarkStart w:id="242" w:name="_Toc17503"/>
      <w:r>
        <w:rPr>
          <w:rFonts w:hint="eastAsia" w:ascii="Times New Roman" w:hAnsi="Times New Roman" w:eastAsia="宋体" w:cs="Times New Roman"/>
          <w:b/>
          <w:bCs/>
          <w:color w:val="auto"/>
          <w:spacing w:val="0"/>
          <w:w w:val="100"/>
          <w:sz w:val="24"/>
          <w:szCs w:val="24"/>
          <w:lang w:val="en-US" w:eastAsia="zh-CN"/>
        </w:rPr>
        <w:t>7</w:t>
      </w:r>
      <w:r>
        <w:rPr>
          <w:rFonts w:ascii="Times New Roman" w:hAnsi="Times New Roman" w:eastAsia="Times New Roman" w:cs="Times New Roman"/>
          <w:b/>
          <w:bCs/>
          <w:color w:val="auto"/>
          <w:spacing w:val="0"/>
          <w:w w:val="100"/>
          <w:sz w:val="24"/>
          <w:szCs w:val="24"/>
        </w:rPr>
        <w:t xml:space="preserve">.5 </w:t>
      </w:r>
      <w:r>
        <w:rPr>
          <w:b/>
          <w:bCs/>
          <w:color w:val="auto"/>
          <w:spacing w:val="0"/>
          <w:w w:val="100"/>
          <w:sz w:val="24"/>
          <w:szCs w:val="24"/>
        </w:rPr>
        <w:t>环保竣工验收</w:t>
      </w:r>
      <w:bookmarkEnd w:id="242"/>
    </w:p>
    <w:p w14:paraId="2B59C912">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359"/>
        <w:jc w:val="both"/>
        <w:textAlignment w:val="baseline"/>
        <w:rPr>
          <w:rFonts w:hint="default" w:ascii="Times New Roman" w:hAnsi="Times New Roman" w:cs="Times New Roman"/>
          <w:color w:val="auto"/>
          <w:spacing w:val="0"/>
          <w:w w:val="100"/>
          <w:sz w:val="24"/>
          <w:szCs w:val="24"/>
        </w:rPr>
        <w:sectPr>
          <w:headerReference r:id="rId18" w:type="default"/>
          <w:pgSz w:w="11906" w:h="16839"/>
          <w:pgMar w:top="1722" w:right="1243" w:bottom="1722" w:left="1169" w:header="845" w:footer="1026" w:gutter="0"/>
          <w:pgNumType w:fmt="decimal"/>
          <w:cols w:space="720" w:num="1"/>
        </w:sectPr>
      </w:pPr>
      <w:r>
        <w:rPr>
          <w:color w:val="auto"/>
          <w:spacing w:val="0"/>
          <w:w w:val="100"/>
          <w:sz w:val="24"/>
          <w:szCs w:val="24"/>
        </w:rPr>
        <w:t>根据《中华人民共和国固体废物污染环境防治法》《关于发布〈建设项目竣工环境保护验收暂行办法〉的公告》（国环规环评〔</w:t>
      </w:r>
      <w:r>
        <w:rPr>
          <w:rFonts w:ascii="Times New Roman" w:hAnsi="Times New Roman" w:eastAsia="Times New Roman" w:cs="Times New Roman"/>
          <w:color w:val="auto"/>
          <w:spacing w:val="0"/>
          <w:w w:val="100"/>
          <w:sz w:val="24"/>
          <w:szCs w:val="24"/>
        </w:rPr>
        <w:t>2017</w:t>
      </w:r>
      <w:r>
        <w:rPr>
          <w:color w:val="auto"/>
          <w:spacing w:val="0"/>
          <w:w w:val="100"/>
          <w:sz w:val="24"/>
          <w:szCs w:val="24"/>
        </w:rPr>
        <w:t>〕</w:t>
      </w:r>
      <w:r>
        <w:rPr>
          <w:rFonts w:ascii="Times New Roman" w:hAnsi="Times New Roman" w:eastAsia="Times New Roman" w:cs="Times New Roman"/>
          <w:color w:val="auto"/>
          <w:spacing w:val="0"/>
          <w:w w:val="100"/>
          <w:sz w:val="24"/>
          <w:szCs w:val="24"/>
        </w:rPr>
        <w:t>4</w:t>
      </w:r>
      <w:r>
        <w:rPr>
          <w:color w:val="auto"/>
          <w:spacing w:val="0"/>
          <w:w w:val="100"/>
          <w:sz w:val="24"/>
          <w:szCs w:val="24"/>
        </w:rPr>
        <w:t>号）以及其他有关规定，本项目建成投入初步运营后，建设单位需进行自主验收，自主环保竣工验收参照《建设项目竣工环境保护验收暂行办法》（国环规环评〔</w:t>
      </w:r>
      <w:r>
        <w:rPr>
          <w:rFonts w:ascii="Times New Roman" w:hAnsi="Times New Roman" w:eastAsia="Times New Roman" w:cs="Times New Roman"/>
          <w:color w:val="auto"/>
          <w:spacing w:val="0"/>
          <w:w w:val="100"/>
          <w:sz w:val="24"/>
          <w:szCs w:val="24"/>
        </w:rPr>
        <w:t>2017</w:t>
      </w:r>
      <w:r>
        <w:rPr>
          <w:color w:val="auto"/>
          <w:spacing w:val="0"/>
          <w:w w:val="100"/>
          <w:sz w:val="24"/>
          <w:szCs w:val="24"/>
        </w:rPr>
        <w:t>〕</w:t>
      </w:r>
      <w:r>
        <w:rPr>
          <w:rFonts w:ascii="Times New Roman" w:hAnsi="Times New Roman" w:eastAsia="Times New Roman" w:cs="Times New Roman"/>
          <w:color w:val="auto"/>
          <w:spacing w:val="0"/>
          <w:w w:val="100"/>
          <w:sz w:val="24"/>
          <w:szCs w:val="24"/>
        </w:rPr>
        <w:t>4</w:t>
      </w:r>
      <w:r>
        <w:rPr>
          <w:color w:val="auto"/>
          <w:spacing w:val="0"/>
          <w:w w:val="100"/>
          <w:sz w:val="24"/>
          <w:szCs w:val="24"/>
        </w:rPr>
        <w:t>号）进行。</w:t>
      </w:r>
      <w:r>
        <w:rPr>
          <w:rFonts w:hint="default" w:ascii="Times New Roman" w:hAnsi="Times New Roman" w:cs="Times New Roman"/>
          <w:color w:val="auto"/>
          <w:spacing w:val="0"/>
          <w:w w:val="100"/>
          <w:sz w:val="24"/>
          <w:szCs w:val="24"/>
        </w:rPr>
        <w:t>项目环保竣工验收一览表见表</w:t>
      </w:r>
      <w:r>
        <w:rPr>
          <w:rFonts w:hint="default" w:ascii="Times New Roman" w:hAnsi="Times New Roman" w:eastAsia="宋体" w:cs="Times New Roman"/>
          <w:color w:val="auto"/>
          <w:spacing w:val="0"/>
          <w:w w:val="100"/>
          <w:sz w:val="24"/>
          <w:szCs w:val="24"/>
          <w:lang w:val="en-US" w:eastAsia="zh-CN"/>
        </w:rPr>
        <w:t>7</w:t>
      </w:r>
      <w:r>
        <w:rPr>
          <w:rFonts w:hint="default" w:ascii="Times New Roman" w:hAnsi="Times New Roman" w:eastAsia="Times New Roman" w:cs="Times New Roman"/>
          <w:color w:val="auto"/>
          <w:spacing w:val="0"/>
          <w:w w:val="100"/>
          <w:sz w:val="24"/>
          <w:szCs w:val="24"/>
        </w:rPr>
        <w:t>.5- 1</w:t>
      </w:r>
      <w:r>
        <w:rPr>
          <w:rFonts w:hint="default" w:ascii="Times New Roman" w:hAnsi="Times New Roman" w:cs="Times New Roman"/>
          <w:color w:val="auto"/>
          <w:spacing w:val="0"/>
          <w:w w:val="100"/>
          <w:sz w:val="24"/>
          <w:szCs w:val="24"/>
        </w:rPr>
        <w:t>。</w:t>
      </w:r>
    </w:p>
    <w:p w14:paraId="61FDA872">
      <w:pPr>
        <w:pStyle w:val="9"/>
        <w:keepNext w:val="0"/>
        <w:keepLines w:val="0"/>
        <w:pageBreakBefore w:val="0"/>
        <w:widowControl/>
        <w:kinsoku/>
        <w:wordWrap/>
        <w:overflowPunct/>
        <w:topLinePunct w:val="0"/>
        <w:autoSpaceDE w:val="0"/>
        <w:autoSpaceDN w:val="0"/>
        <w:bidi w:val="0"/>
        <w:adjustRightInd/>
        <w:snapToGrid/>
        <w:spacing w:line="212" w:lineRule="auto"/>
        <w:ind w:left="0"/>
        <w:jc w:val="center"/>
        <w:textAlignment w:val="baseline"/>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spacing w:val="0"/>
          <w:sz w:val="21"/>
        </w:rPr>
        <w:t>表</w:t>
      </w:r>
      <w:r>
        <w:rPr>
          <w:rFonts w:hint="eastAsia" w:ascii="Times New Roman" w:hAnsi="Times New Roman" w:cs="Times New Roman" w:eastAsiaTheme="minorEastAsia"/>
          <w:b/>
          <w:bCs/>
          <w:color w:val="auto"/>
          <w:spacing w:val="0"/>
          <w:sz w:val="21"/>
          <w:lang w:val="en-US" w:eastAsia="zh-CN"/>
        </w:rPr>
        <w:t>7.5-1</w:t>
      </w:r>
      <w:r>
        <w:rPr>
          <w:rFonts w:hint="default" w:ascii="Times New Roman" w:hAnsi="Times New Roman" w:cs="Times New Roman" w:eastAsiaTheme="minorEastAsia"/>
          <w:b/>
          <w:bCs/>
          <w:color w:val="auto"/>
          <w:spacing w:val="0"/>
          <w:sz w:val="21"/>
        </w:rPr>
        <w:t xml:space="preserve">    项目环境保护竣工验收一览表</w:t>
      </w:r>
    </w:p>
    <w:tbl>
      <w:tblPr>
        <w:tblStyle w:val="26"/>
        <w:tblW w:w="13388"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06"/>
        <w:gridCol w:w="905"/>
        <w:gridCol w:w="758"/>
        <w:gridCol w:w="1190"/>
        <w:gridCol w:w="3730"/>
        <w:gridCol w:w="3330"/>
        <w:gridCol w:w="2369"/>
      </w:tblGrid>
      <w:tr w14:paraId="61EC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1106" w:type="dxa"/>
            <w:vAlign w:val="center"/>
          </w:tcPr>
          <w:p w14:paraId="17018F1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验收对象</w:t>
            </w:r>
          </w:p>
        </w:tc>
        <w:tc>
          <w:tcPr>
            <w:tcW w:w="1663" w:type="dxa"/>
            <w:gridSpan w:val="2"/>
            <w:vAlign w:val="center"/>
          </w:tcPr>
          <w:p w14:paraId="454F066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污染源</w:t>
            </w:r>
          </w:p>
        </w:tc>
        <w:tc>
          <w:tcPr>
            <w:tcW w:w="1190" w:type="dxa"/>
            <w:vAlign w:val="center"/>
          </w:tcPr>
          <w:p w14:paraId="6BDF8C9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主要污染因子</w:t>
            </w:r>
          </w:p>
        </w:tc>
        <w:tc>
          <w:tcPr>
            <w:tcW w:w="3730" w:type="dxa"/>
            <w:vAlign w:val="center"/>
          </w:tcPr>
          <w:p w14:paraId="7B60F6C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治理措施及效果</w:t>
            </w:r>
          </w:p>
        </w:tc>
        <w:tc>
          <w:tcPr>
            <w:tcW w:w="3330" w:type="dxa"/>
            <w:vAlign w:val="center"/>
          </w:tcPr>
          <w:p w14:paraId="1A86CE9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验收要求</w:t>
            </w:r>
          </w:p>
        </w:tc>
        <w:tc>
          <w:tcPr>
            <w:tcW w:w="2369" w:type="dxa"/>
            <w:vAlign w:val="center"/>
          </w:tcPr>
          <w:p w14:paraId="3224A49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b/>
                <w:bCs/>
                <w:color w:val="auto"/>
                <w:spacing w:val="0"/>
                <w:w w:val="100"/>
                <w:position w:val="0"/>
                <w:sz w:val="21"/>
                <w:szCs w:val="21"/>
              </w:rPr>
              <w:t>验收点</w:t>
            </w:r>
          </w:p>
        </w:tc>
      </w:tr>
      <w:tr w14:paraId="6A0A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1106" w:type="dxa"/>
            <w:vAlign w:val="center"/>
          </w:tcPr>
          <w:p w14:paraId="07D5232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废气</w:t>
            </w:r>
          </w:p>
        </w:tc>
        <w:tc>
          <w:tcPr>
            <w:tcW w:w="905" w:type="dxa"/>
            <w:vAlign w:val="center"/>
          </w:tcPr>
          <w:p w14:paraId="23E667E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无组织</w:t>
            </w:r>
          </w:p>
        </w:tc>
        <w:tc>
          <w:tcPr>
            <w:tcW w:w="758" w:type="dxa"/>
            <w:vAlign w:val="center"/>
          </w:tcPr>
          <w:p w14:paraId="7F74E56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运输道路</w:t>
            </w:r>
          </w:p>
        </w:tc>
        <w:tc>
          <w:tcPr>
            <w:tcW w:w="1190" w:type="dxa"/>
            <w:vAlign w:val="center"/>
          </w:tcPr>
          <w:p w14:paraId="41EAC5C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TSP</w:t>
            </w:r>
          </w:p>
        </w:tc>
        <w:tc>
          <w:tcPr>
            <w:tcW w:w="3730" w:type="dxa"/>
            <w:vAlign w:val="center"/>
          </w:tcPr>
          <w:p w14:paraId="78E412F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早、晚各洒水降尘1次、定期清扫道路。</w:t>
            </w:r>
          </w:p>
        </w:tc>
        <w:tc>
          <w:tcPr>
            <w:tcW w:w="3330" w:type="dxa"/>
            <w:vAlign w:val="center"/>
          </w:tcPr>
          <w:p w14:paraId="7C13666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《大气污染物综合排放标准》（GB16297- 1996）表 2 中的无组织排放监控浓度限值。</w:t>
            </w:r>
          </w:p>
        </w:tc>
        <w:tc>
          <w:tcPr>
            <w:tcW w:w="2369" w:type="dxa"/>
            <w:vAlign w:val="center"/>
          </w:tcPr>
          <w:p w14:paraId="381BCEB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项目厂界。</w:t>
            </w:r>
          </w:p>
        </w:tc>
      </w:tr>
      <w:tr w14:paraId="06DF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trPr>
        <w:tc>
          <w:tcPr>
            <w:tcW w:w="1106" w:type="dxa"/>
            <w:vMerge w:val="restart"/>
            <w:vAlign w:val="center"/>
          </w:tcPr>
          <w:p w14:paraId="2C97405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噪声</w:t>
            </w:r>
          </w:p>
        </w:tc>
        <w:tc>
          <w:tcPr>
            <w:tcW w:w="1663" w:type="dxa"/>
            <w:gridSpan w:val="2"/>
            <w:vMerge w:val="restart"/>
            <w:vAlign w:val="center"/>
          </w:tcPr>
          <w:p w14:paraId="7FC00AD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列车运行噪声、交通运输噪声。</w:t>
            </w:r>
          </w:p>
        </w:tc>
        <w:tc>
          <w:tcPr>
            <w:tcW w:w="1190" w:type="dxa"/>
            <w:vMerge w:val="restart"/>
            <w:vAlign w:val="center"/>
          </w:tcPr>
          <w:p w14:paraId="7A163A5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昼</w:t>
            </w:r>
            <w:r>
              <w:rPr>
                <w:rFonts w:hint="eastAsia" w:ascii="Times New Roman" w:hAnsi="Times New Roman" w:cs="Times New Roman" w:eastAsiaTheme="minorEastAsia"/>
                <w:color w:val="auto"/>
                <w:spacing w:val="0"/>
                <w:w w:val="100"/>
                <w:position w:val="0"/>
                <w:sz w:val="21"/>
                <w:szCs w:val="21"/>
                <w:lang w:val="en-US" w:eastAsia="zh-CN"/>
              </w:rPr>
              <w:t>间</w:t>
            </w:r>
            <w:r>
              <w:rPr>
                <w:rFonts w:hint="default" w:ascii="Times New Roman" w:hAnsi="Times New Roman" w:cs="Times New Roman" w:eastAsiaTheme="minorEastAsia"/>
                <w:color w:val="auto"/>
                <w:spacing w:val="0"/>
                <w:w w:val="100"/>
                <w:position w:val="0"/>
                <w:sz w:val="21"/>
                <w:szCs w:val="21"/>
              </w:rPr>
              <w:t>等效连续A声级</w:t>
            </w:r>
          </w:p>
        </w:tc>
        <w:tc>
          <w:tcPr>
            <w:tcW w:w="3730" w:type="dxa"/>
            <w:vMerge w:val="restart"/>
            <w:vAlign w:val="center"/>
          </w:tcPr>
          <w:p w14:paraId="3AA16EC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控制机车鸣笛，合理安排调度时间，加强线路维护、加强铁路两侧绿化等。装卸场货车禁鸣、限速、加强管理等。</w:t>
            </w:r>
          </w:p>
        </w:tc>
        <w:tc>
          <w:tcPr>
            <w:tcW w:w="3330" w:type="dxa"/>
            <w:vAlign w:val="center"/>
          </w:tcPr>
          <w:p w14:paraId="585D8FC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《工业企业厂界环境噪声排放标准》（GB12348-2008）3类；</w:t>
            </w:r>
          </w:p>
        </w:tc>
        <w:tc>
          <w:tcPr>
            <w:tcW w:w="2369" w:type="dxa"/>
            <w:vAlign w:val="center"/>
          </w:tcPr>
          <w:p w14:paraId="3703D13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eastAsia" w:ascii="Times New Roman" w:hAnsi="Times New Roman" w:cs="Times New Roman" w:eastAsiaTheme="minorEastAsia"/>
                <w:color w:val="auto"/>
                <w:spacing w:val="0"/>
                <w:w w:val="100"/>
                <w:position w:val="0"/>
                <w:sz w:val="21"/>
                <w:szCs w:val="21"/>
                <w:lang w:val="en-US" w:eastAsia="zh-CN"/>
              </w:rPr>
              <w:t>场</w:t>
            </w:r>
            <w:r>
              <w:rPr>
                <w:rFonts w:hint="default" w:ascii="Times New Roman" w:hAnsi="Times New Roman" w:cs="Times New Roman" w:eastAsiaTheme="minorEastAsia"/>
                <w:color w:val="auto"/>
                <w:spacing w:val="0"/>
                <w:w w:val="100"/>
                <w:position w:val="0"/>
                <w:sz w:val="21"/>
                <w:szCs w:val="21"/>
              </w:rPr>
              <w:t>界</w:t>
            </w:r>
          </w:p>
        </w:tc>
      </w:tr>
      <w:tr w14:paraId="0738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trPr>
        <w:tc>
          <w:tcPr>
            <w:tcW w:w="1106" w:type="dxa"/>
            <w:vMerge w:val="continue"/>
            <w:vAlign w:val="center"/>
          </w:tcPr>
          <w:p w14:paraId="41F8D23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663" w:type="dxa"/>
            <w:gridSpan w:val="2"/>
            <w:vMerge w:val="continue"/>
            <w:vAlign w:val="center"/>
          </w:tcPr>
          <w:p w14:paraId="2143321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1190" w:type="dxa"/>
            <w:vMerge w:val="continue"/>
            <w:vAlign w:val="center"/>
          </w:tcPr>
          <w:p w14:paraId="404EC06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3730" w:type="dxa"/>
            <w:vMerge w:val="continue"/>
            <w:vAlign w:val="center"/>
          </w:tcPr>
          <w:p w14:paraId="5DAD270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3330" w:type="dxa"/>
            <w:vAlign w:val="center"/>
          </w:tcPr>
          <w:p w14:paraId="48992C7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color w:val="auto"/>
                <w:spacing w:val="-2"/>
                <w:sz w:val="21"/>
                <w:szCs w:val="21"/>
              </w:rPr>
              <w:t>《铁路边界噪声限值及其测量方法》（GB12525-90）修改方案中表1</w:t>
            </w:r>
            <w:r>
              <w:rPr>
                <w:rFonts w:hint="eastAsia" w:ascii="Times New Roman" w:hAnsi="Times New Roman" w:cs="Times New Roman"/>
                <w:color w:val="auto"/>
                <w:spacing w:val="-2"/>
                <w:sz w:val="21"/>
                <w:szCs w:val="21"/>
                <w:lang w:val="en-US" w:eastAsia="zh-CN"/>
              </w:rPr>
              <w:t>及表2</w:t>
            </w:r>
            <w:r>
              <w:rPr>
                <w:rFonts w:hint="default" w:ascii="Times New Roman" w:hAnsi="Times New Roman" w:cs="Times New Roman"/>
                <w:color w:val="auto"/>
                <w:spacing w:val="-2"/>
                <w:sz w:val="21"/>
                <w:szCs w:val="21"/>
              </w:rPr>
              <w:t>限值</w:t>
            </w:r>
          </w:p>
        </w:tc>
        <w:tc>
          <w:tcPr>
            <w:tcW w:w="2369" w:type="dxa"/>
            <w:shd w:val="clear" w:color="auto" w:fill="auto"/>
            <w:vAlign w:val="center"/>
          </w:tcPr>
          <w:p w14:paraId="08A12EDA">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both"/>
              <w:textAlignment w:val="baseline"/>
              <w:rPr>
                <w:rFonts w:hint="default" w:ascii="Times New Roman" w:hAnsi="Times New Roman" w:cs="Times New Roman"/>
                <w:color w:val="auto"/>
                <w:spacing w:val="-2"/>
                <w:sz w:val="21"/>
                <w:szCs w:val="21"/>
              </w:rPr>
            </w:pPr>
            <w:r>
              <w:rPr>
                <w:rFonts w:hint="eastAsia" w:ascii="Times New Roman" w:hAnsi="Times New Roman" w:cs="Times New Roman"/>
                <w:color w:val="auto"/>
                <w:spacing w:val="-2"/>
                <w:sz w:val="21"/>
                <w:szCs w:val="21"/>
                <w:lang w:val="en-US" w:eastAsia="zh-CN"/>
              </w:rPr>
              <w:t>①</w:t>
            </w:r>
            <w:r>
              <w:rPr>
                <w:rFonts w:hint="eastAsia" w:ascii="Times New Roman" w:hAnsi="Times New Roman" w:cs="Times New Roman"/>
                <w:color w:val="auto"/>
                <w:spacing w:val="-2"/>
                <w:sz w:val="21"/>
                <w:szCs w:val="21"/>
                <w:lang w:eastAsia="zh-CN"/>
              </w:rPr>
              <w:t>既有铁路（现有到发4条货运线）外轨中心线西30m</w:t>
            </w:r>
          </w:p>
          <w:p w14:paraId="3B84F4B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both"/>
              <w:textAlignment w:val="baseline"/>
              <w:rPr>
                <w:rFonts w:hint="eastAsia" w:ascii="宋体" w:hAnsi="宋体" w:eastAsia="宋体" w:cs="宋体"/>
                <w:snapToGrid w:val="0"/>
                <w:color w:val="auto"/>
                <w:spacing w:val="0"/>
                <w:w w:val="100"/>
                <w:kern w:val="0"/>
                <w:position w:val="0"/>
                <w:sz w:val="21"/>
                <w:szCs w:val="21"/>
                <w:lang w:val="en-US" w:eastAsia="zh-CN" w:bidi="ar-SA"/>
              </w:rPr>
            </w:pPr>
            <w:r>
              <w:rPr>
                <w:rFonts w:hint="eastAsia" w:ascii="Times New Roman" w:hAnsi="Times New Roman" w:cs="Times New Roman"/>
                <w:color w:val="auto"/>
                <w:spacing w:val="-2"/>
                <w:sz w:val="21"/>
                <w:szCs w:val="21"/>
                <w:lang w:val="en-US" w:eastAsia="zh-CN"/>
              </w:rPr>
              <w:t>②</w:t>
            </w:r>
            <w:r>
              <w:rPr>
                <w:rFonts w:hint="eastAsia" w:ascii="Times New Roman" w:hAnsi="Times New Roman" w:cs="Times New Roman"/>
                <w:color w:val="auto"/>
                <w:spacing w:val="-2"/>
                <w:sz w:val="21"/>
                <w:szCs w:val="21"/>
                <w:lang w:eastAsia="zh-CN"/>
              </w:rPr>
              <w:t>既有铁路（现有到发4条货运线）外轨中心线东30m</w:t>
            </w:r>
            <w:r>
              <w:rPr>
                <w:rFonts w:hint="default" w:ascii="Times New Roman" w:hAnsi="Times New Roman" w:cs="Times New Roman"/>
                <w:color w:val="auto"/>
                <w:spacing w:val="-2"/>
                <w:sz w:val="21"/>
                <w:szCs w:val="21"/>
              </w:rPr>
              <w:t>与</w:t>
            </w:r>
            <w:r>
              <w:rPr>
                <w:rFonts w:hint="eastAsia" w:ascii="Times New Roman" w:hAnsi="Times New Roman" w:cs="Times New Roman"/>
                <w:color w:val="auto"/>
                <w:spacing w:val="-2"/>
                <w:sz w:val="21"/>
                <w:szCs w:val="21"/>
                <w:lang w:eastAsia="zh-CN"/>
              </w:rPr>
              <w:t>新建铁路（H1、H2新建货运线）外轨中心线西30m</w:t>
            </w:r>
            <w:r>
              <w:rPr>
                <w:rFonts w:hint="default" w:ascii="Times New Roman" w:hAnsi="Times New Roman" w:cs="Times New Roman"/>
                <w:color w:val="auto"/>
                <w:spacing w:val="-2"/>
                <w:sz w:val="21"/>
                <w:szCs w:val="21"/>
              </w:rPr>
              <w:t>交叉点</w:t>
            </w:r>
          </w:p>
        </w:tc>
      </w:tr>
      <w:tr w14:paraId="74B7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106" w:type="dxa"/>
            <w:vMerge w:val="restart"/>
            <w:vAlign w:val="center"/>
          </w:tcPr>
          <w:p w14:paraId="6BCBBBA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固废</w:t>
            </w:r>
          </w:p>
        </w:tc>
        <w:tc>
          <w:tcPr>
            <w:tcW w:w="2853" w:type="dxa"/>
            <w:gridSpan w:val="3"/>
            <w:vAlign w:val="center"/>
          </w:tcPr>
          <w:p w14:paraId="38F7ADF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生活垃圾</w:t>
            </w:r>
          </w:p>
        </w:tc>
        <w:tc>
          <w:tcPr>
            <w:tcW w:w="3730" w:type="dxa"/>
            <w:vAlign w:val="center"/>
          </w:tcPr>
          <w:p w14:paraId="57C4383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收集后由专人定期清运至厂区指定垃圾收集点，委托环卫部门统一清运处置</w:t>
            </w:r>
          </w:p>
        </w:tc>
        <w:tc>
          <w:tcPr>
            <w:tcW w:w="3330" w:type="dxa"/>
            <w:vMerge w:val="restart"/>
            <w:vAlign w:val="center"/>
          </w:tcPr>
          <w:p w14:paraId="7AB0B2D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100%处置</w:t>
            </w:r>
          </w:p>
        </w:tc>
        <w:tc>
          <w:tcPr>
            <w:tcW w:w="2369" w:type="dxa"/>
            <w:vAlign w:val="center"/>
          </w:tcPr>
          <w:p w14:paraId="2D8AA7F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185F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1106" w:type="dxa"/>
            <w:vMerge w:val="continue"/>
            <w:vAlign w:val="center"/>
          </w:tcPr>
          <w:p w14:paraId="6D1A7077">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2853" w:type="dxa"/>
            <w:gridSpan w:val="3"/>
            <w:vAlign w:val="center"/>
          </w:tcPr>
          <w:p w14:paraId="16142EC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污泥</w:t>
            </w:r>
          </w:p>
        </w:tc>
        <w:tc>
          <w:tcPr>
            <w:tcW w:w="3730" w:type="dxa"/>
            <w:vAlign w:val="center"/>
          </w:tcPr>
          <w:p w14:paraId="5655207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委托</w:t>
            </w:r>
            <w:r>
              <w:rPr>
                <w:rFonts w:hint="eastAsia" w:ascii="Times New Roman" w:hAnsi="Times New Roman" w:cs="Times New Roman" w:eastAsiaTheme="minorEastAsia"/>
                <w:color w:val="auto"/>
                <w:spacing w:val="0"/>
                <w:w w:val="100"/>
                <w:position w:val="0"/>
                <w:sz w:val="21"/>
                <w:szCs w:val="21"/>
                <w:lang w:eastAsia="zh-CN"/>
              </w:rPr>
              <w:t>环卫部门</w:t>
            </w:r>
            <w:r>
              <w:rPr>
                <w:rFonts w:hint="default" w:ascii="Times New Roman" w:hAnsi="Times New Roman" w:cs="Times New Roman" w:eastAsiaTheme="minorEastAsia"/>
                <w:color w:val="auto"/>
                <w:spacing w:val="0"/>
                <w:w w:val="100"/>
                <w:position w:val="0"/>
                <w:sz w:val="21"/>
                <w:szCs w:val="21"/>
              </w:rPr>
              <w:t>定期清掏处置。</w:t>
            </w:r>
          </w:p>
        </w:tc>
        <w:tc>
          <w:tcPr>
            <w:tcW w:w="3330" w:type="dxa"/>
            <w:vMerge w:val="continue"/>
            <w:vAlign w:val="center"/>
          </w:tcPr>
          <w:p w14:paraId="720B9AA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2369" w:type="dxa"/>
            <w:vAlign w:val="center"/>
          </w:tcPr>
          <w:p w14:paraId="2B89E1D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25E0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 w:hRule="atLeast"/>
        </w:trPr>
        <w:tc>
          <w:tcPr>
            <w:tcW w:w="1106" w:type="dxa"/>
            <w:vMerge w:val="continue"/>
            <w:vAlign w:val="center"/>
          </w:tcPr>
          <w:p w14:paraId="5A3E315F">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2853" w:type="dxa"/>
            <w:gridSpan w:val="3"/>
            <w:vAlign w:val="center"/>
          </w:tcPr>
          <w:p w14:paraId="08FB9FB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eastAsia"/>
                <w:color w:val="auto"/>
                <w:spacing w:val="0"/>
                <w:position w:val="0"/>
                <w:sz w:val="21"/>
                <w:szCs w:val="21"/>
              </w:rPr>
              <w:t>含油抹布、手套</w:t>
            </w:r>
          </w:p>
        </w:tc>
        <w:tc>
          <w:tcPr>
            <w:tcW w:w="3730" w:type="dxa"/>
            <w:vMerge w:val="restart"/>
            <w:vAlign w:val="center"/>
          </w:tcPr>
          <w:p w14:paraId="25F625D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暂存至</w:t>
            </w:r>
            <w:r>
              <w:rPr>
                <w:rFonts w:hint="default" w:ascii="Times New Roman" w:hAnsi="Times New Roman" w:cs="Times New Roman" w:eastAsiaTheme="minorEastAsia"/>
                <w:color w:val="auto"/>
                <w:spacing w:val="0"/>
                <w:w w:val="100"/>
                <w:position w:val="0"/>
                <w:sz w:val="21"/>
                <w:szCs w:val="21"/>
                <w:lang w:eastAsia="zh-CN"/>
              </w:rPr>
              <w:t>危废暂存间</w:t>
            </w:r>
            <w:r>
              <w:rPr>
                <w:rFonts w:hint="default" w:ascii="Times New Roman" w:hAnsi="Times New Roman" w:cs="Times New Roman" w:eastAsiaTheme="minorEastAsia"/>
                <w:color w:val="auto"/>
                <w:spacing w:val="0"/>
                <w:w w:val="100"/>
                <w:position w:val="0"/>
                <w:sz w:val="21"/>
                <w:szCs w:val="21"/>
              </w:rPr>
              <w:t>（1个，</w:t>
            </w:r>
            <w:r>
              <w:rPr>
                <w:rFonts w:hint="eastAsia" w:ascii="Times New Roman" w:hAnsi="Times New Roman" w:cs="Times New Roman" w:eastAsiaTheme="minorEastAsia"/>
                <w:color w:val="auto"/>
                <w:spacing w:val="0"/>
                <w:w w:val="100"/>
                <w:position w:val="0"/>
                <w:sz w:val="21"/>
                <w:szCs w:val="21"/>
                <w:lang w:val="en-US" w:eastAsia="zh-CN"/>
              </w:rPr>
              <w:t>2</w:t>
            </w:r>
            <w:r>
              <w:rPr>
                <w:rFonts w:hint="default" w:ascii="Times New Roman" w:hAnsi="Times New Roman" w:cs="Times New Roman" w:eastAsiaTheme="minorEastAsia"/>
                <w:color w:val="auto"/>
                <w:spacing w:val="0"/>
                <w:w w:val="100"/>
                <w:position w:val="0"/>
                <w:sz w:val="21"/>
                <w:szCs w:val="21"/>
              </w:rPr>
              <w:t>m</w:t>
            </w:r>
            <w:r>
              <w:rPr>
                <w:rFonts w:hint="default" w:ascii="Times New Roman" w:hAnsi="Times New Roman" w:cs="Times New Roman" w:eastAsiaTheme="minorEastAsia"/>
                <w:color w:val="auto"/>
                <w:spacing w:val="0"/>
                <w:w w:val="100"/>
                <w:position w:val="0"/>
                <w:sz w:val="21"/>
                <w:szCs w:val="21"/>
                <w:vertAlign w:val="superscript"/>
              </w:rPr>
              <w:t>2</w:t>
            </w:r>
            <w:r>
              <w:rPr>
                <w:rFonts w:hint="default" w:ascii="Times New Roman" w:hAnsi="Times New Roman" w:cs="Times New Roman" w:eastAsiaTheme="minorEastAsia"/>
                <w:color w:val="auto"/>
                <w:spacing w:val="0"/>
                <w:w w:val="100"/>
                <w:position w:val="0"/>
                <w:sz w:val="21"/>
                <w:szCs w:val="21"/>
              </w:rPr>
              <w:t>），委托有资质的单位清运处置。</w:t>
            </w:r>
          </w:p>
        </w:tc>
        <w:tc>
          <w:tcPr>
            <w:tcW w:w="3330" w:type="dxa"/>
            <w:vMerge w:val="continue"/>
            <w:vAlign w:val="center"/>
          </w:tcPr>
          <w:p w14:paraId="288D220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2369" w:type="dxa"/>
            <w:vAlign w:val="center"/>
          </w:tcPr>
          <w:p w14:paraId="37B2DF1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7E3F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trPr>
        <w:tc>
          <w:tcPr>
            <w:tcW w:w="1106" w:type="dxa"/>
            <w:vMerge w:val="continue"/>
            <w:vAlign w:val="center"/>
          </w:tcPr>
          <w:p w14:paraId="05BF2988">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2853" w:type="dxa"/>
            <w:gridSpan w:val="3"/>
            <w:vAlign w:val="center"/>
          </w:tcPr>
          <w:p w14:paraId="6183E52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废矿物油</w:t>
            </w:r>
          </w:p>
        </w:tc>
        <w:tc>
          <w:tcPr>
            <w:tcW w:w="3730" w:type="dxa"/>
            <w:vMerge w:val="continue"/>
            <w:vAlign w:val="center"/>
          </w:tcPr>
          <w:p w14:paraId="65FD185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3330" w:type="dxa"/>
            <w:vMerge w:val="continue"/>
            <w:vAlign w:val="center"/>
          </w:tcPr>
          <w:p w14:paraId="056F01A5">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2369" w:type="dxa"/>
            <w:vAlign w:val="center"/>
          </w:tcPr>
          <w:p w14:paraId="54777CF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7B94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trPr>
        <w:tc>
          <w:tcPr>
            <w:tcW w:w="1106" w:type="dxa"/>
            <w:vMerge w:val="restart"/>
            <w:vAlign w:val="center"/>
          </w:tcPr>
          <w:p w14:paraId="78C0499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环境风险</w:t>
            </w:r>
          </w:p>
        </w:tc>
        <w:tc>
          <w:tcPr>
            <w:tcW w:w="2853" w:type="dxa"/>
            <w:gridSpan w:val="3"/>
            <w:vAlign w:val="center"/>
          </w:tcPr>
          <w:p w14:paraId="3688C948">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应急装置</w:t>
            </w:r>
          </w:p>
        </w:tc>
        <w:tc>
          <w:tcPr>
            <w:tcW w:w="3730" w:type="dxa"/>
            <w:vAlign w:val="center"/>
          </w:tcPr>
          <w:p w14:paraId="2EC92D7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储备应急设施，设备与器材等，如消防器材和灭火器。</w:t>
            </w:r>
          </w:p>
        </w:tc>
        <w:tc>
          <w:tcPr>
            <w:tcW w:w="3330" w:type="dxa"/>
            <w:vAlign w:val="center"/>
          </w:tcPr>
          <w:p w14:paraId="4DC79FF5">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满足应急要求</w:t>
            </w:r>
          </w:p>
        </w:tc>
        <w:tc>
          <w:tcPr>
            <w:tcW w:w="2369" w:type="dxa"/>
            <w:vAlign w:val="center"/>
          </w:tcPr>
          <w:p w14:paraId="6B001FBB">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15DE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4" w:hRule="atLeast"/>
        </w:trPr>
        <w:tc>
          <w:tcPr>
            <w:tcW w:w="1106" w:type="dxa"/>
            <w:vMerge w:val="continue"/>
            <w:vAlign w:val="center"/>
          </w:tcPr>
          <w:p w14:paraId="107566C9">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p>
        </w:tc>
        <w:tc>
          <w:tcPr>
            <w:tcW w:w="2853" w:type="dxa"/>
            <w:gridSpan w:val="3"/>
            <w:vAlign w:val="center"/>
          </w:tcPr>
          <w:p w14:paraId="42B86C7E">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应急预案</w:t>
            </w:r>
          </w:p>
        </w:tc>
        <w:tc>
          <w:tcPr>
            <w:tcW w:w="3730" w:type="dxa"/>
            <w:vAlign w:val="center"/>
          </w:tcPr>
          <w:p w14:paraId="5C364007">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配套相关风险防范措施，制定突发环境事件应急预案并报环保管理部门备案，并保证通信、运输等保障。</w:t>
            </w:r>
          </w:p>
        </w:tc>
        <w:tc>
          <w:tcPr>
            <w:tcW w:w="3330" w:type="dxa"/>
            <w:vAlign w:val="center"/>
          </w:tcPr>
          <w:p w14:paraId="7D2CC1E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满足应急要求</w:t>
            </w:r>
          </w:p>
        </w:tc>
        <w:tc>
          <w:tcPr>
            <w:tcW w:w="2369" w:type="dxa"/>
            <w:vAlign w:val="center"/>
          </w:tcPr>
          <w:p w14:paraId="58F68BD1">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3616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trPr>
        <w:tc>
          <w:tcPr>
            <w:tcW w:w="1106" w:type="dxa"/>
            <w:vAlign w:val="center"/>
          </w:tcPr>
          <w:p w14:paraId="15AC64C2">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cs="Times New Roman" w:eastAsiaTheme="minorEastAsia"/>
                <w:color w:val="auto"/>
                <w:spacing w:val="0"/>
                <w:w w:val="100"/>
                <w:position w:val="0"/>
                <w:sz w:val="21"/>
                <w:szCs w:val="21"/>
                <w:lang w:val="en-US" w:eastAsia="zh-CN"/>
              </w:rPr>
            </w:pPr>
            <w:r>
              <w:rPr>
                <w:rFonts w:hint="eastAsia" w:ascii="Times New Roman" w:hAnsi="Times New Roman" w:cs="Times New Roman" w:eastAsiaTheme="minorEastAsia"/>
                <w:color w:val="auto"/>
                <w:spacing w:val="0"/>
                <w:w w:val="100"/>
                <w:position w:val="0"/>
                <w:sz w:val="21"/>
                <w:szCs w:val="21"/>
                <w:lang w:val="en-US" w:eastAsia="zh-CN"/>
              </w:rPr>
              <w:t>地下水</w:t>
            </w:r>
          </w:p>
        </w:tc>
        <w:tc>
          <w:tcPr>
            <w:tcW w:w="2853" w:type="dxa"/>
            <w:gridSpan w:val="3"/>
            <w:vAlign w:val="center"/>
          </w:tcPr>
          <w:p w14:paraId="30A1975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color w:val="auto"/>
                <w:spacing w:val="-2"/>
                <w:sz w:val="21"/>
                <w:szCs w:val="21"/>
                <w:lang w:val="en-US" w:eastAsia="zh-CN"/>
              </w:rPr>
              <w:t>pH、总磷、耗氧量、氨氮、动植物油、SS和BOD</w:t>
            </w:r>
          </w:p>
        </w:tc>
        <w:tc>
          <w:tcPr>
            <w:tcW w:w="3730" w:type="dxa"/>
            <w:vAlign w:val="center"/>
          </w:tcPr>
          <w:p w14:paraId="5820A23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both"/>
              <w:textAlignment w:val="baseline"/>
              <w:rPr>
                <w:rFonts w:hint="default"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跟踪监测井</w:t>
            </w:r>
          </w:p>
          <w:p w14:paraId="5F48935D">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both"/>
              <w:textAlignment w:val="baseline"/>
              <w:rPr>
                <w:rFonts w:hint="default"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①J2项目区污染监测井</w:t>
            </w:r>
          </w:p>
          <w:p w14:paraId="22737D51">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both"/>
              <w:textAlignment w:val="baseline"/>
              <w:rPr>
                <w:rFonts w:hint="default" w:ascii="Times New Roman" w:hAnsi="Times New Roman" w:cs="Times New Roman" w:eastAsiaTheme="minorEastAsia"/>
                <w:color w:val="auto"/>
                <w:spacing w:val="0"/>
                <w:w w:val="100"/>
                <w:position w:val="0"/>
                <w:sz w:val="21"/>
                <w:szCs w:val="21"/>
              </w:rPr>
            </w:pPr>
            <w:r>
              <w:rPr>
                <w:rFonts w:hint="eastAsia" w:ascii="Times New Roman" w:hAnsi="Times New Roman" w:cs="Times New Roman"/>
                <w:color w:val="auto"/>
                <w:spacing w:val="-2"/>
                <w:sz w:val="21"/>
                <w:szCs w:val="21"/>
                <w:lang w:val="en-US" w:eastAsia="zh-CN"/>
              </w:rPr>
              <w:t>J3</w:t>
            </w:r>
            <w:r>
              <w:rPr>
                <w:rFonts w:hint="default" w:ascii="Times New Roman" w:hAnsi="Times New Roman" w:cs="Times New Roman"/>
                <w:color w:val="auto"/>
                <w:spacing w:val="-2"/>
                <w:sz w:val="21"/>
                <w:szCs w:val="21"/>
                <w:lang w:val="en-US" w:eastAsia="zh-CN"/>
              </w:rPr>
              <w:t>下游污染扩散监测井（曲靖大为焦化制气地下水监测井DX01）</w:t>
            </w:r>
          </w:p>
        </w:tc>
        <w:tc>
          <w:tcPr>
            <w:tcW w:w="3330" w:type="dxa"/>
            <w:vAlign w:val="center"/>
          </w:tcPr>
          <w:p w14:paraId="5CF19CF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eastAsia" w:ascii="Times New Roman" w:hAnsi="Times New Roman" w:cs="Times New Roman"/>
                <w:color w:val="auto"/>
                <w:spacing w:val="-2"/>
                <w:sz w:val="21"/>
                <w:szCs w:val="21"/>
                <w:lang w:val="en-US" w:eastAsia="zh-CN"/>
              </w:rPr>
              <w:t>《</w:t>
            </w:r>
            <w:r>
              <w:rPr>
                <w:rFonts w:hint="default" w:ascii="Times New Roman" w:hAnsi="Times New Roman" w:cs="Times New Roman"/>
                <w:color w:val="auto"/>
                <w:spacing w:val="-2"/>
                <w:sz w:val="21"/>
                <w:szCs w:val="21"/>
                <w:lang w:val="en-US" w:eastAsia="zh-CN"/>
              </w:rPr>
              <w:t>地下水环境监测技术规范</w:t>
            </w:r>
            <w:r>
              <w:rPr>
                <w:rFonts w:hint="eastAsia" w:ascii="Times New Roman" w:hAnsi="Times New Roman" w:cs="Times New Roman"/>
                <w:color w:val="auto"/>
                <w:spacing w:val="-2"/>
                <w:sz w:val="21"/>
                <w:szCs w:val="21"/>
                <w:lang w:val="en-US" w:eastAsia="zh-CN"/>
              </w:rPr>
              <w:t>》（HJ164-2020）</w:t>
            </w:r>
          </w:p>
        </w:tc>
        <w:tc>
          <w:tcPr>
            <w:tcW w:w="2369" w:type="dxa"/>
            <w:vAlign w:val="center"/>
          </w:tcPr>
          <w:p w14:paraId="0AB2BE1A">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eastAsia" w:ascii="Times New Roman" w:hAnsi="Times New Roman" w:cs="Times New Roman" w:eastAsiaTheme="minorEastAsia"/>
                <w:color w:val="auto"/>
                <w:spacing w:val="0"/>
                <w:w w:val="100"/>
                <w:position w:val="0"/>
                <w:sz w:val="21"/>
                <w:szCs w:val="21"/>
                <w:lang w:val="en-US" w:eastAsia="zh-CN"/>
              </w:rPr>
            </w:pPr>
            <w:r>
              <w:rPr>
                <w:rFonts w:hint="eastAsia" w:ascii="Times New Roman" w:hAnsi="Times New Roman" w:cs="Times New Roman" w:eastAsiaTheme="minorEastAsia"/>
                <w:color w:val="auto"/>
                <w:spacing w:val="0"/>
                <w:w w:val="100"/>
                <w:position w:val="0"/>
                <w:sz w:val="21"/>
                <w:szCs w:val="21"/>
                <w:lang w:val="en-US" w:eastAsia="zh-CN"/>
              </w:rPr>
              <w:t>/</w:t>
            </w:r>
          </w:p>
        </w:tc>
      </w:tr>
      <w:tr w14:paraId="3ADD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106" w:type="dxa"/>
            <w:vAlign w:val="center"/>
          </w:tcPr>
          <w:p w14:paraId="3CC34EDB">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绿化</w:t>
            </w:r>
          </w:p>
        </w:tc>
        <w:tc>
          <w:tcPr>
            <w:tcW w:w="6583" w:type="dxa"/>
            <w:gridSpan w:val="4"/>
            <w:shd w:val="clear" w:color="auto" w:fill="auto"/>
            <w:vAlign w:val="center"/>
          </w:tcPr>
          <w:p w14:paraId="35371EEE">
            <w:pPr>
              <w:keepNext/>
              <w:keepLines w:val="0"/>
              <w:pageBreakBefore w:val="0"/>
              <w:widowControl w:val="0"/>
              <w:kinsoku/>
              <w:wordWrap/>
              <w:overflowPunct/>
              <w:topLinePunct w:val="0"/>
              <w:autoSpaceDE/>
              <w:autoSpaceDN/>
              <w:bidi w:val="0"/>
              <w:snapToGrid w:val="0"/>
              <w:spacing w:line="240" w:lineRule="auto"/>
              <w:ind w:firstLine="0" w:firstLineChars="0"/>
              <w:jc w:val="both"/>
              <w:textAlignment w:val="auto"/>
              <w:rPr>
                <w:rFonts w:hint="default" w:ascii="Times New Roman" w:hAnsi="Times New Roman" w:eastAsia="Arial" w:cs="Times New Roman"/>
                <w:b/>
                <w:bCs/>
                <w:snapToGrid w:val="0"/>
                <w:color w:val="auto"/>
                <w:kern w:val="0"/>
                <w:sz w:val="24"/>
                <w:szCs w:val="24"/>
                <w:vertAlign w:val="baseline"/>
                <w:lang w:val="en-US" w:eastAsia="zh-CN" w:bidi="ar-SA"/>
              </w:rPr>
            </w:pPr>
            <w:r>
              <w:rPr>
                <w:rFonts w:hint="default" w:ascii="Times New Roman" w:hAnsi="Times New Roman" w:eastAsia="宋体" w:cs="Times New Roman"/>
                <w:b w:val="0"/>
                <w:bCs w:val="0"/>
                <w:color w:val="auto"/>
                <w:sz w:val="21"/>
                <w:szCs w:val="21"/>
                <w:lang w:val="en-US" w:eastAsia="zh-CN"/>
              </w:rPr>
              <w:t>绿化面积6537.27m</w:t>
            </w:r>
            <w:r>
              <w:rPr>
                <w:rFonts w:hint="default" w:ascii="Times New Roman" w:hAnsi="Times New Roman" w:eastAsia="宋体" w:cs="Times New Roman"/>
                <w:b w:val="0"/>
                <w:bCs w:val="0"/>
                <w:color w:val="auto"/>
                <w:sz w:val="21"/>
                <w:szCs w:val="21"/>
                <w:vertAlign w:val="superscript"/>
                <w:lang w:val="en-US" w:eastAsia="zh-CN"/>
              </w:rPr>
              <w:t>2</w:t>
            </w:r>
            <w:r>
              <w:rPr>
                <w:rFonts w:hint="default" w:ascii="Times New Roman" w:hAnsi="Times New Roman" w:eastAsia="宋体" w:cs="Times New Roman"/>
                <w:b w:val="0"/>
                <w:bCs w:val="0"/>
                <w:color w:val="auto"/>
                <w:sz w:val="21"/>
                <w:szCs w:val="21"/>
                <w:lang w:val="en-US" w:eastAsia="zh-CN"/>
              </w:rPr>
              <w:t>，主要种植当地常见绿化植被。</w:t>
            </w:r>
          </w:p>
        </w:tc>
        <w:tc>
          <w:tcPr>
            <w:tcW w:w="3330" w:type="dxa"/>
            <w:vAlign w:val="center"/>
          </w:tcPr>
          <w:p w14:paraId="31DD493E">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c>
          <w:tcPr>
            <w:tcW w:w="2369" w:type="dxa"/>
            <w:vAlign w:val="center"/>
          </w:tcPr>
          <w:p w14:paraId="69DD7A1D">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1F5C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1106" w:type="dxa"/>
            <w:vAlign w:val="center"/>
          </w:tcPr>
          <w:p w14:paraId="35007E64">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环境监测</w:t>
            </w:r>
          </w:p>
        </w:tc>
        <w:tc>
          <w:tcPr>
            <w:tcW w:w="6583" w:type="dxa"/>
            <w:gridSpan w:val="4"/>
            <w:vAlign w:val="center"/>
          </w:tcPr>
          <w:p w14:paraId="5E9D092F">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购置常规监测仪器、设备等</w:t>
            </w:r>
          </w:p>
        </w:tc>
        <w:tc>
          <w:tcPr>
            <w:tcW w:w="3330" w:type="dxa"/>
            <w:vAlign w:val="center"/>
          </w:tcPr>
          <w:p w14:paraId="232CE14C">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c>
          <w:tcPr>
            <w:tcW w:w="2369" w:type="dxa"/>
            <w:vAlign w:val="center"/>
          </w:tcPr>
          <w:p w14:paraId="0EEF96E3">
            <w:pPr>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w:t>
            </w:r>
          </w:p>
        </w:tc>
      </w:tr>
      <w:tr w14:paraId="197A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6" w:hRule="atLeast"/>
        </w:trPr>
        <w:tc>
          <w:tcPr>
            <w:tcW w:w="1106" w:type="dxa"/>
            <w:vAlign w:val="center"/>
          </w:tcPr>
          <w:p w14:paraId="02126816">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环境管理</w:t>
            </w:r>
          </w:p>
        </w:tc>
        <w:tc>
          <w:tcPr>
            <w:tcW w:w="12282" w:type="dxa"/>
            <w:gridSpan w:val="6"/>
            <w:vAlign w:val="center"/>
          </w:tcPr>
          <w:p w14:paraId="177B6DDC">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编制设备维护保养检修项目与备品备件计划；加强环保设施管理，确保污染防治设备完好率达 100% ，处理效果达到设计和排放标准</w:t>
            </w:r>
          </w:p>
          <w:p w14:paraId="0D346A49">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center"/>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要求；制定环境管理计划，及时对环保设备进行维护、修理、改造；建立并运行环境管理体系，环境管理手册、程序文件及作业文</w:t>
            </w:r>
          </w:p>
          <w:p w14:paraId="50D7D262">
            <w:pPr>
              <w:pStyle w:val="27"/>
              <w:keepNext w:val="0"/>
              <w:keepLines w:val="0"/>
              <w:pageBreakBefore w:val="0"/>
              <w:widowControl/>
              <w:kinsoku/>
              <w:wordWrap/>
              <w:overflowPunct/>
              <w:topLinePunct w:val="0"/>
              <w:autoSpaceDE w:val="0"/>
              <w:autoSpaceDN w:val="0"/>
              <w:bidi w:val="0"/>
              <w:adjustRightInd/>
              <w:snapToGrid/>
              <w:spacing w:line="240" w:lineRule="auto"/>
              <w:ind w:left="0" w:right="0" w:firstLine="0"/>
              <w:jc w:val="left"/>
              <w:textAlignment w:val="baseline"/>
              <w:rPr>
                <w:rFonts w:hint="default" w:ascii="Times New Roman" w:hAnsi="Times New Roman" w:cs="Times New Roman" w:eastAsiaTheme="minorEastAsia"/>
                <w:color w:val="auto"/>
                <w:spacing w:val="0"/>
                <w:w w:val="100"/>
                <w:position w:val="0"/>
                <w:sz w:val="21"/>
                <w:szCs w:val="21"/>
              </w:rPr>
            </w:pPr>
            <w:r>
              <w:rPr>
                <w:rFonts w:hint="default" w:ascii="Times New Roman" w:hAnsi="Times New Roman" w:cs="Times New Roman" w:eastAsiaTheme="minorEastAsia"/>
                <w:color w:val="auto"/>
                <w:spacing w:val="0"/>
                <w:w w:val="100"/>
                <w:position w:val="0"/>
                <w:sz w:val="21"/>
                <w:szCs w:val="21"/>
              </w:rPr>
              <w:t>件齐备。</w:t>
            </w:r>
          </w:p>
        </w:tc>
      </w:tr>
    </w:tbl>
    <w:p w14:paraId="2D9991A1">
      <w:pPr>
        <w:spacing w:line="370" w:lineRule="auto"/>
        <w:rPr>
          <w:rFonts w:hint="default" w:ascii="Times New Roman" w:hAnsi="Times New Roman" w:eastAsia="宋体" w:cs="Times New Roman"/>
          <w:color w:val="auto"/>
          <w:sz w:val="24"/>
          <w:szCs w:val="24"/>
        </w:rPr>
        <w:sectPr>
          <w:headerReference r:id="rId19" w:type="default"/>
          <w:pgSz w:w="16840" w:h="11905" w:orient="landscape"/>
          <w:pgMar w:top="1473" w:right="1161" w:bottom="1472" w:left="1209" w:header="829" w:footer="1048" w:gutter="0"/>
          <w:pgNumType w:fmt="decimal"/>
          <w:cols w:space="720" w:num="1"/>
        </w:sectPr>
      </w:pPr>
    </w:p>
    <w:p w14:paraId="4032CE61">
      <w:pPr>
        <w:spacing w:before="139" w:line="223" w:lineRule="auto"/>
        <w:ind w:left="2477"/>
        <w:outlineLvl w:val="0"/>
        <w:rPr>
          <w:rFonts w:hint="default" w:ascii="Times New Roman" w:hAnsi="Times New Roman" w:eastAsia="宋体" w:cs="Times New Roman"/>
          <w:color w:val="auto"/>
          <w:sz w:val="43"/>
          <w:szCs w:val="43"/>
        </w:rPr>
      </w:pPr>
      <w:bookmarkStart w:id="243" w:name="_Toc18553"/>
      <w:bookmarkStart w:id="244" w:name="_Toc4264"/>
      <w:bookmarkStart w:id="245" w:name="_Toc27888"/>
      <w:r>
        <w:rPr>
          <w:rFonts w:hint="eastAsia" w:ascii="Times New Roman" w:hAnsi="Times New Roman" w:eastAsia="宋体" w:cs="Times New Roman"/>
          <w:b/>
          <w:bCs/>
          <w:color w:val="auto"/>
          <w:spacing w:val="1"/>
          <w:sz w:val="43"/>
          <w:szCs w:val="43"/>
          <w:lang w:val="en-US" w:eastAsia="zh-CN"/>
        </w:rPr>
        <w:t>8</w:t>
      </w:r>
      <w:r>
        <w:rPr>
          <w:rFonts w:hint="default" w:ascii="Times New Roman" w:hAnsi="Times New Roman" w:eastAsia="Times New Roman" w:cs="Times New Roman"/>
          <w:b/>
          <w:bCs/>
          <w:color w:val="auto"/>
          <w:spacing w:val="1"/>
          <w:sz w:val="43"/>
          <w:szCs w:val="43"/>
        </w:rPr>
        <w:t>.</w:t>
      </w:r>
      <w:r>
        <w:rPr>
          <w:rFonts w:hint="default" w:ascii="Times New Roman" w:hAnsi="Times New Roman" w:eastAsia="宋体" w:cs="Times New Roman"/>
          <w:b/>
          <w:bCs/>
          <w:color w:val="auto"/>
          <w:spacing w:val="1"/>
          <w:sz w:val="43"/>
          <w:szCs w:val="43"/>
        </w:rPr>
        <w:t>环境影响评价结论</w:t>
      </w:r>
      <w:bookmarkEnd w:id="243"/>
      <w:bookmarkEnd w:id="244"/>
      <w:bookmarkEnd w:id="245"/>
    </w:p>
    <w:p w14:paraId="3B97F805">
      <w:pPr>
        <w:pStyle w:val="9"/>
        <w:spacing w:line="374" w:lineRule="auto"/>
        <w:rPr>
          <w:rFonts w:hint="default" w:ascii="Times New Roman" w:hAnsi="Times New Roman" w:cs="Times New Roman"/>
          <w:color w:val="auto"/>
        </w:rPr>
      </w:pPr>
    </w:p>
    <w:p w14:paraId="306A2556">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pacing w:val="0"/>
          <w:w w:val="100"/>
          <w:sz w:val="30"/>
          <w:szCs w:val="30"/>
        </w:rPr>
      </w:pPr>
      <w:bookmarkStart w:id="246" w:name="_Toc4297"/>
      <w:r>
        <w:rPr>
          <w:rFonts w:hint="eastAsia" w:ascii="Times New Roman" w:hAnsi="Times New Roman" w:eastAsia="宋体" w:cs="Times New Roman"/>
          <w:b/>
          <w:bCs/>
          <w:color w:val="auto"/>
          <w:spacing w:val="0"/>
          <w:w w:val="100"/>
          <w:sz w:val="30"/>
          <w:szCs w:val="30"/>
          <w:lang w:val="en-US" w:eastAsia="zh-CN"/>
        </w:rPr>
        <w:t>8</w:t>
      </w:r>
      <w:r>
        <w:rPr>
          <w:rFonts w:ascii="Times New Roman" w:hAnsi="Times New Roman" w:eastAsia="Times New Roman" w:cs="Times New Roman"/>
          <w:b/>
          <w:bCs/>
          <w:color w:val="auto"/>
          <w:spacing w:val="0"/>
          <w:w w:val="100"/>
          <w:sz w:val="30"/>
          <w:szCs w:val="30"/>
        </w:rPr>
        <w:t xml:space="preserve">.1 </w:t>
      </w:r>
      <w:r>
        <w:rPr>
          <w:b/>
          <w:bCs/>
          <w:color w:val="auto"/>
          <w:spacing w:val="0"/>
          <w:w w:val="100"/>
          <w:sz w:val="30"/>
          <w:szCs w:val="30"/>
        </w:rPr>
        <w:t>项目概况</w:t>
      </w:r>
      <w:bookmarkEnd w:id="246"/>
    </w:p>
    <w:p w14:paraId="4E29ED7E">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50"/>
        <w:jc w:val="both"/>
        <w:textAlignment w:val="baseline"/>
        <w:rPr>
          <w:color w:val="auto"/>
          <w:spacing w:val="0"/>
          <w:w w:val="100"/>
          <w:sz w:val="24"/>
          <w:szCs w:val="24"/>
        </w:rPr>
      </w:pPr>
      <w:r>
        <w:rPr>
          <w:rFonts w:hint="default" w:ascii="Times New Roman" w:hAnsi="Times New Roman" w:eastAsia="宋体" w:cs="Times New Roman"/>
          <w:color w:val="auto"/>
          <w:spacing w:val="0"/>
          <w:w w:val="100"/>
          <w:sz w:val="24"/>
          <w:lang w:val="en-US" w:eastAsia="zh-CN"/>
        </w:rPr>
        <w:t>项目利用曲煤焦化专用铁路开展集装箱堆场</w:t>
      </w:r>
      <w:r>
        <w:rPr>
          <w:rFonts w:hint="eastAsia" w:ascii="Times New Roman" w:hAnsi="Times New Roman" w:eastAsia="宋体" w:cs="Times New Roman"/>
          <w:color w:val="auto"/>
          <w:spacing w:val="0"/>
          <w:w w:val="100"/>
          <w:sz w:val="24"/>
          <w:lang w:val="en-US" w:eastAsia="zh-CN"/>
        </w:rPr>
        <w:t>的</w:t>
      </w:r>
      <w:r>
        <w:rPr>
          <w:rFonts w:hint="default" w:ascii="Times New Roman" w:hAnsi="Times New Roman" w:eastAsia="宋体" w:cs="Times New Roman"/>
          <w:color w:val="auto"/>
          <w:spacing w:val="0"/>
          <w:w w:val="100"/>
          <w:sz w:val="24"/>
          <w:lang w:val="en-US" w:eastAsia="zh-CN"/>
        </w:rPr>
        <w:t>提质改造，</w:t>
      </w:r>
      <w:r>
        <w:rPr>
          <w:rFonts w:hint="eastAsia" w:ascii="Times New Roman" w:hAnsi="Times New Roman" w:eastAsia="宋体" w:cs="Times New Roman"/>
          <w:color w:val="auto"/>
          <w:spacing w:val="0"/>
          <w:w w:val="100"/>
          <w:sz w:val="24"/>
          <w:lang w:val="en-US" w:eastAsia="zh-CN"/>
        </w:rPr>
        <w:t>以此</w:t>
      </w:r>
      <w:r>
        <w:rPr>
          <w:rFonts w:hint="default" w:ascii="Times New Roman" w:hAnsi="Times New Roman" w:eastAsia="宋体" w:cs="Times New Roman"/>
          <w:color w:val="auto"/>
          <w:spacing w:val="0"/>
          <w:w w:val="100"/>
          <w:sz w:val="24"/>
          <w:lang w:val="en-US" w:eastAsia="zh-CN"/>
        </w:rPr>
        <w:t>开通集装箱装卸业务。本项目</w:t>
      </w:r>
      <w:r>
        <w:rPr>
          <w:rFonts w:hint="eastAsia" w:ascii="Times New Roman" w:hAnsi="Times New Roman" w:eastAsia="宋体" w:cs="Times New Roman"/>
          <w:color w:val="auto"/>
          <w:spacing w:val="0"/>
          <w:w w:val="100"/>
          <w:sz w:val="24"/>
          <w:lang w:val="en-US" w:eastAsia="zh-CN"/>
        </w:rPr>
        <w:t>建设</w:t>
      </w:r>
      <w:r>
        <w:rPr>
          <w:rFonts w:hint="default" w:ascii="Times New Roman" w:hAnsi="Times New Roman" w:eastAsia="宋体" w:cs="Times New Roman"/>
          <w:color w:val="auto"/>
          <w:spacing w:val="0"/>
          <w:w w:val="100"/>
          <w:sz w:val="24"/>
          <w:lang w:val="en-US" w:eastAsia="zh-CN"/>
        </w:rPr>
        <w:t>地块为云南云维集团有限公司原云南沾益化肥厂空地，曲煤焦化已与云维集团达成土地购买意向协议（见附件12），目前正在办理土地购买手续；</w:t>
      </w:r>
      <w:r>
        <w:rPr>
          <w:rFonts w:hint="eastAsia" w:ascii="Times New Roman" w:hAnsi="Times New Roman" w:eastAsia="宋体" w:cs="Times New Roman"/>
          <w:color w:val="auto"/>
          <w:spacing w:val="0"/>
          <w:w w:val="100"/>
          <w:sz w:val="24"/>
          <w:lang w:val="en-US" w:eastAsia="zh-CN"/>
        </w:rPr>
        <w:t>项目</w:t>
      </w:r>
      <w:r>
        <w:rPr>
          <w:rFonts w:hint="default" w:ascii="Times New Roman" w:hAnsi="Times New Roman" w:eastAsia="宋体" w:cs="Times New Roman"/>
          <w:color w:val="auto"/>
          <w:spacing w:val="0"/>
          <w:w w:val="100"/>
          <w:sz w:val="24"/>
          <w:lang w:val="en-US" w:eastAsia="zh-CN"/>
        </w:rPr>
        <w:t>占地约148亩，设计运量为250万吨/年（</w:t>
      </w:r>
      <w:r>
        <w:rPr>
          <w:rFonts w:hint="default" w:ascii="Times New Roman" w:hAnsi="Times New Roman" w:cs="Times New Roman"/>
          <w:color w:val="auto"/>
          <w:spacing w:val="0"/>
          <w:w w:val="100"/>
          <w:sz w:val="24"/>
          <w:lang w:val="en-US" w:eastAsia="zh-CN"/>
        </w:rPr>
        <w:t>转运</w:t>
      </w:r>
      <w:r>
        <w:rPr>
          <w:rFonts w:hint="default" w:ascii="Times New Roman" w:hAnsi="Times New Roman" w:eastAsia="宋体" w:cs="Times New Roman"/>
          <w:color w:val="auto"/>
          <w:spacing w:val="0"/>
          <w:w w:val="100"/>
          <w:sz w:val="24"/>
          <w:lang w:val="en-US" w:eastAsia="zh-CN"/>
        </w:rPr>
        <w:t>密闭集装箱，箱内装煤焦），投资估算为8418万元。新修建H1道及H2道尽头式货物线采用整体道床，将曲煤焦化专用铁路</w:t>
      </w:r>
      <w:r>
        <w:rPr>
          <w:rFonts w:hint="eastAsia" w:ascii="Times New Roman" w:hAnsi="Times New Roman" w:eastAsia="宋体" w:cs="Times New Roman"/>
          <w:color w:val="auto"/>
          <w:spacing w:val="0"/>
          <w:w w:val="100"/>
          <w:sz w:val="24"/>
          <w:lang w:val="en-US" w:eastAsia="zh-CN"/>
        </w:rPr>
        <w:t>现有到发4条货运线的使用性质变更</w:t>
      </w:r>
      <w:r>
        <w:rPr>
          <w:rFonts w:hint="default" w:ascii="Times New Roman" w:hAnsi="Times New Roman" w:eastAsia="宋体" w:cs="Times New Roman"/>
          <w:color w:val="auto"/>
          <w:spacing w:val="0"/>
          <w:w w:val="100"/>
          <w:sz w:val="24"/>
          <w:lang w:val="en-US" w:eastAsia="zh-CN"/>
        </w:rPr>
        <w:t>为集装箱到发兼货物线（</w:t>
      </w:r>
      <w:r>
        <w:rPr>
          <w:rFonts w:hint="eastAsia" w:ascii="Times New Roman" w:hAnsi="Times New Roman" w:eastAsia="宋体" w:cs="Times New Roman"/>
          <w:color w:val="auto"/>
          <w:spacing w:val="0"/>
          <w:w w:val="100"/>
          <w:sz w:val="24"/>
          <w:lang w:val="en-US" w:eastAsia="zh-CN"/>
        </w:rPr>
        <w:t>现有到发4条货运线</w:t>
      </w:r>
      <w:r>
        <w:rPr>
          <w:rFonts w:hint="eastAsia" w:ascii="Times New Roman" w:hAnsi="Times New Roman" w:cs="Times New Roman"/>
          <w:color w:val="auto"/>
          <w:spacing w:val="0"/>
          <w:w w:val="100"/>
          <w:sz w:val="24"/>
          <w:lang w:val="en-US" w:eastAsia="zh-CN"/>
        </w:rPr>
        <w:t>不涉及改造建设，只改变其用途性质</w:t>
      </w:r>
      <w:r>
        <w:rPr>
          <w:rFonts w:hint="default" w:ascii="Times New Roman" w:hAnsi="Times New Roman" w:eastAsia="宋体" w:cs="Times New Roman"/>
          <w:color w:val="auto"/>
          <w:spacing w:val="0"/>
          <w:w w:val="100"/>
          <w:sz w:val="24"/>
          <w:lang w:val="en-US" w:eastAsia="zh-CN"/>
        </w:rPr>
        <w:t>）。</w:t>
      </w:r>
      <w:r>
        <w:rPr>
          <w:rFonts w:hint="eastAsia" w:ascii="Times New Roman" w:hAnsi="Times New Roman" w:eastAsia="宋体" w:cs="Times New Roman"/>
          <w:color w:val="auto"/>
          <w:spacing w:val="0"/>
          <w:w w:val="100"/>
          <w:sz w:val="24"/>
          <w:lang w:val="en-US" w:eastAsia="zh-CN"/>
        </w:rPr>
        <w:t>项目</w:t>
      </w:r>
      <w:r>
        <w:rPr>
          <w:rFonts w:hint="default" w:ascii="Times New Roman" w:hAnsi="Times New Roman" w:eastAsia="宋体" w:cs="Times New Roman"/>
          <w:color w:val="auto"/>
          <w:spacing w:val="0"/>
          <w:w w:val="100"/>
          <w:sz w:val="24"/>
          <w:lang w:val="en-US" w:eastAsia="zh-CN"/>
        </w:rPr>
        <w:t>新建2处采用平过道沟通</w:t>
      </w:r>
      <w:r>
        <w:rPr>
          <w:rFonts w:hint="eastAsia" w:ascii="Times New Roman" w:hAnsi="Times New Roman" w:eastAsia="宋体" w:cs="Times New Roman"/>
          <w:color w:val="auto"/>
          <w:spacing w:val="0"/>
          <w:w w:val="100"/>
          <w:sz w:val="24"/>
          <w:lang w:val="en-US" w:eastAsia="zh-CN"/>
        </w:rPr>
        <w:t>且</w:t>
      </w:r>
      <w:r>
        <w:rPr>
          <w:rFonts w:hint="default" w:ascii="Times New Roman" w:hAnsi="Times New Roman" w:eastAsia="宋体" w:cs="Times New Roman"/>
          <w:color w:val="auto"/>
          <w:spacing w:val="0"/>
          <w:w w:val="100"/>
          <w:sz w:val="24"/>
          <w:lang w:val="en-US" w:eastAsia="zh-CN"/>
        </w:rPr>
        <w:t>双面配筋的集装箱堆场，</w:t>
      </w:r>
      <w:r>
        <w:rPr>
          <w:rFonts w:hint="eastAsia" w:ascii="Times New Roman" w:hAnsi="Times New Roman" w:eastAsia="宋体" w:cs="Times New Roman"/>
          <w:color w:val="auto"/>
          <w:spacing w:val="0"/>
          <w:w w:val="100"/>
          <w:sz w:val="24"/>
          <w:lang w:val="en-US" w:eastAsia="zh-CN"/>
        </w:rPr>
        <w:t>同时</w:t>
      </w:r>
      <w:r>
        <w:rPr>
          <w:rFonts w:hint="default" w:ascii="Times New Roman" w:hAnsi="Times New Roman" w:eastAsia="宋体" w:cs="Times New Roman"/>
          <w:color w:val="auto"/>
          <w:spacing w:val="0"/>
          <w:w w:val="100"/>
          <w:sz w:val="24"/>
          <w:lang w:val="en-US" w:eastAsia="zh-CN"/>
        </w:rPr>
        <w:t>在集装箱货场配置电动正面吊2台、1台重型叉车进行装卸作业及配套附属设施等。本项目的建设可以实现利用既有曲煤焦化专用铁路开展集装箱装卸的业务，</w:t>
      </w:r>
      <w:r>
        <w:rPr>
          <w:rFonts w:hint="eastAsia" w:ascii="Times New Roman" w:hAnsi="Times New Roman" w:eastAsia="宋体" w:cs="Times New Roman"/>
          <w:color w:val="auto"/>
          <w:spacing w:val="0"/>
          <w:w w:val="100"/>
          <w:sz w:val="24"/>
          <w:lang w:val="en-US" w:eastAsia="zh-CN"/>
        </w:rPr>
        <w:t>可</w:t>
      </w:r>
      <w:r>
        <w:rPr>
          <w:rFonts w:hint="default" w:ascii="Times New Roman" w:hAnsi="Times New Roman" w:eastAsia="宋体" w:cs="Times New Roman"/>
          <w:color w:val="auto"/>
          <w:spacing w:val="0"/>
          <w:w w:val="100"/>
          <w:sz w:val="24"/>
          <w:lang w:val="en-US" w:eastAsia="zh-CN"/>
        </w:rPr>
        <w:t>极大地提高物流效率、降低企业物流成本，</w:t>
      </w:r>
      <w:r>
        <w:rPr>
          <w:rFonts w:hint="eastAsia" w:ascii="Times New Roman" w:hAnsi="Times New Roman" w:eastAsia="宋体" w:cs="Times New Roman"/>
          <w:color w:val="auto"/>
          <w:spacing w:val="0"/>
          <w:w w:val="100"/>
          <w:sz w:val="24"/>
          <w:lang w:val="en-US" w:eastAsia="zh-CN"/>
        </w:rPr>
        <w:t>能</w:t>
      </w:r>
      <w:r>
        <w:rPr>
          <w:rFonts w:hint="default" w:ascii="Times New Roman" w:hAnsi="Times New Roman" w:eastAsia="宋体" w:cs="Times New Roman"/>
          <w:color w:val="auto"/>
          <w:spacing w:val="0"/>
          <w:w w:val="100"/>
          <w:sz w:val="24"/>
          <w:lang w:val="en-US" w:eastAsia="zh-CN"/>
        </w:rPr>
        <w:t>给企业带来较好的经济效益。</w:t>
      </w:r>
    </w:p>
    <w:p w14:paraId="41106773">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pacing w:val="0"/>
          <w:w w:val="100"/>
          <w:sz w:val="30"/>
          <w:szCs w:val="30"/>
        </w:rPr>
      </w:pPr>
      <w:bookmarkStart w:id="247" w:name="bookmark67"/>
      <w:bookmarkEnd w:id="247"/>
      <w:bookmarkStart w:id="248" w:name="_Toc13430"/>
      <w:r>
        <w:rPr>
          <w:rFonts w:hint="eastAsia" w:ascii="Times New Roman" w:hAnsi="Times New Roman" w:eastAsia="宋体" w:cs="Times New Roman"/>
          <w:b/>
          <w:bCs/>
          <w:color w:val="auto"/>
          <w:spacing w:val="0"/>
          <w:w w:val="100"/>
          <w:sz w:val="30"/>
          <w:szCs w:val="30"/>
          <w:lang w:val="en-US" w:eastAsia="zh-CN"/>
        </w:rPr>
        <w:t>8</w:t>
      </w:r>
      <w:r>
        <w:rPr>
          <w:rFonts w:ascii="Times New Roman" w:hAnsi="Times New Roman" w:eastAsia="Times New Roman" w:cs="Times New Roman"/>
          <w:b/>
          <w:bCs/>
          <w:color w:val="auto"/>
          <w:spacing w:val="0"/>
          <w:w w:val="100"/>
          <w:sz w:val="30"/>
          <w:szCs w:val="30"/>
        </w:rPr>
        <w:t xml:space="preserve">.2 </w:t>
      </w:r>
      <w:r>
        <w:rPr>
          <w:b/>
          <w:bCs/>
          <w:color w:val="auto"/>
          <w:spacing w:val="0"/>
          <w:w w:val="100"/>
          <w:sz w:val="30"/>
          <w:szCs w:val="30"/>
        </w:rPr>
        <w:t>环境质量现状</w:t>
      </w:r>
      <w:bookmarkEnd w:id="248"/>
    </w:p>
    <w:p w14:paraId="40E90EBB">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.2.1 </w:t>
      </w:r>
      <w:r>
        <w:rPr>
          <w:b/>
          <w:bCs/>
          <w:color w:val="auto"/>
          <w:spacing w:val="0"/>
          <w:w w:val="100"/>
          <w:sz w:val="28"/>
          <w:szCs w:val="28"/>
        </w:rPr>
        <w:t>大气</w:t>
      </w:r>
    </w:p>
    <w:p w14:paraId="404B40EE">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rPr>
          <w:color w:val="auto"/>
          <w:spacing w:val="0"/>
          <w:w w:val="100"/>
          <w:sz w:val="24"/>
          <w:szCs w:val="24"/>
        </w:rPr>
      </w:pPr>
      <w:r>
        <w:rPr>
          <w:b/>
          <w:bCs/>
          <w:color w:val="auto"/>
          <w:spacing w:val="0"/>
          <w:w w:val="100"/>
          <w:sz w:val="24"/>
          <w:szCs w:val="24"/>
        </w:rPr>
        <w:t>（</w:t>
      </w:r>
      <w:r>
        <w:rPr>
          <w:rFonts w:ascii="Times New Roman" w:hAnsi="Times New Roman" w:eastAsia="Times New Roman" w:cs="Times New Roman"/>
          <w:b/>
          <w:bCs/>
          <w:color w:val="auto"/>
          <w:spacing w:val="0"/>
          <w:w w:val="100"/>
          <w:sz w:val="24"/>
          <w:szCs w:val="24"/>
        </w:rPr>
        <w:t>1</w:t>
      </w:r>
      <w:r>
        <w:rPr>
          <w:b/>
          <w:bCs/>
          <w:color w:val="auto"/>
          <w:spacing w:val="0"/>
          <w:w w:val="100"/>
          <w:sz w:val="24"/>
          <w:szCs w:val="24"/>
        </w:rPr>
        <w:t>）环境空气达标区判断</w:t>
      </w:r>
    </w:p>
    <w:p w14:paraId="738443F6">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cs="Times New Roman"/>
          <w:color w:val="auto"/>
          <w:spacing w:val="0"/>
          <w:w w:val="100"/>
          <w:sz w:val="24"/>
          <w:szCs w:val="24"/>
          <w:lang w:eastAsia="zh-CN"/>
        </w:rPr>
      </w:pPr>
      <w:r>
        <w:rPr>
          <w:rFonts w:hint="default" w:ascii="Times New Roman" w:hAnsi="Times New Roman" w:cs="Times New Roman"/>
          <w:color w:val="auto"/>
          <w:spacing w:val="0"/>
          <w:w w:val="100"/>
          <w:sz w:val="24"/>
          <w:szCs w:val="24"/>
          <w:lang w:eastAsia="zh-CN"/>
        </w:rPr>
        <w:t>项目所在地属于环境空气二类区，项目区执行《环境空气质量标准》（GB3095-20</w:t>
      </w:r>
      <w:r>
        <w:rPr>
          <w:rFonts w:hint="eastAsia" w:ascii="Times New Roman" w:hAnsi="Times New Roman" w:cs="Times New Roman"/>
          <w:color w:val="auto"/>
          <w:spacing w:val="0"/>
          <w:w w:val="100"/>
          <w:sz w:val="24"/>
          <w:szCs w:val="24"/>
          <w:lang w:val="en-US" w:eastAsia="zh-CN"/>
        </w:rPr>
        <w:t>26</w:t>
      </w:r>
      <w:r>
        <w:rPr>
          <w:rFonts w:hint="default" w:ascii="Times New Roman" w:hAnsi="Times New Roman" w:cs="Times New Roman"/>
          <w:color w:val="auto"/>
          <w:spacing w:val="0"/>
          <w:w w:val="100"/>
          <w:sz w:val="24"/>
          <w:szCs w:val="24"/>
          <w:lang w:eastAsia="zh-CN"/>
        </w:rPr>
        <w:t>）二级标准，环境空气质量现状描述如下。</w:t>
      </w:r>
    </w:p>
    <w:p w14:paraId="29A8CB09">
      <w:pPr>
        <w:bidi w:val="0"/>
        <w:spacing w:line="360" w:lineRule="auto"/>
        <w:ind w:firstLine="480" w:firstLineChars="200"/>
        <w:jc w:val="both"/>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根据《曲靖市环境质量年报（202</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年）》，曲靖市202</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eastAsia="zh-CN"/>
        </w:rPr>
        <w:t>年环境空气中SO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、NO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10</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2.5</w:t>
      </w:r>
      <w:r>
        <w:rPr>
          <w:rFonts w:hint="default" w:ascii="Times New Roman" w:hAnsi="Times New Roman" w:cs="Times New Roman"/>
          <w:color w:val="auto"/>
          <w:sz w:val="24"/>
          <w:szCs w:val="24"/>
          <w:lang w:eastAsia="zh-CN"/>
        </w:rPr>
        <w:t>年均浓度、CO24小时平均第95百分位数浓度及O</w:t>
      </w:r>
      <w:r>
        <w:rPr>
          <w:rFonts w:hint="default" w:ascii="Times New Roman" w:hAnsi="Times New Roman" w:cs="Times New Roman"/>
          <w:color w:val="auto"/>
          <w:sz w:val="24"/>
          <w:szCs w:val="24"/>
          <w:vertAlign w:val="subscript"/>
          <w:lang w:eastAsia="zh-CN"/>
        </w:rPr>
        <w:t>3</w:t>
      </w:r>
      <w:r>
        <w:rPr>
          <w:rFonts w:hint="default" w:ascii="Times New Roman" w:hAnsi="Times New Roman" w:cs="Times New Roman"/>
          <w:color w:val="auto"/>
          <w:sz w:val="24"/>
          <w:szCs w:val="24"/>
          <w:lang w:eastAsia="zh-CN"/>
        </w:rPr>
        <w:t>日最大8小时平均第90百分位数浓度均小于《环境空气质量标准》（GB3095-20</w:t>
      </w:r>
      <w:r>
        <w:rPr>
          <w:rFonts w:hint="eastAsia" w:ascii="Times New Roman" w:hAnsi="Times New Roman" w:cs="Times New Roman"/>
          <w:color w:val="auto"/>
          <w:sz w:val="24"/>
          <w:szCs w:val="24"/>
          <w:lang w:val="en-US" w:eastAsia="zh-CN"/>
        </w:rPr>
        <w:t>26</w:t>
      </w:r>
      <w:r>
        <w:rPr>
          <w:rFonts w:hint="default" w:ascii="Times New Roman" w:hAnsi="Times New Roman" w:cs="Times New Roman"/>
          <w:color w:val="auto"/>
          <w:sz w:val="24"/>
          <w:szCs w:val="24"/>
          <w:lang w:eastAsia="zh-CN"/>
        </w:rPr>
        <w:t>）二级标准，项目所在区域为环境空气质量达标区</w:t>
      </w:r>
      <w:r>
        <w:rPr>
          <w:rFonts w:hint="default" w:ascii="Times New Roman" w:hAnsi="Times New Roman" w:cs="Times New Roman"/>
          <w:color w:val="auto"/>
          <w:sz w:val="24"/>
          <w:szCs w:val="24"/>
          <w:lang w:val="en-US" w:eastAsia="zh-CN"/>
        </w:rPr>
        <w:t>。</w:t>
      </w:r>
    </w:p>
    <w:p w14:paraId="3F80276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w:t>
      </w:r>
      <w:r>
        <w:rPr>
          <w:rFonts w:hint="eastAsia" w:ascii="Times New Roman" w:hAnsi="Times New Roman" w:cs="Times New Roman"/>
          <w:color w:val="auto"/>
          <w:sz w:val="24"/>
          <w:szCs w:val="24"/>
          <w:lang w:val="en-US" w:eastAsia="zh-CN"/>
        </w:rPr>
        <w:t>2025</w:t>
      </w:r>
      <w:r>
        <w:rPr>
          <w:rFonts w:hint="default" w:ascii="Times New Roman" w:hAnsi="Times New Roman" w:cs="Times New Roman"/>
          <w:color w:val="auto"/>
          <w:sz w:val="24"/>
          <w:szCs w:val="24"/>
          <w:lang w:eastAsia="zh-CN"/>
        </w:rPr>
        <w:t>年曲靖市</w:t>
      </w:r>
      <w:r>
        <w:rPr>
          <w:rFonts w:hint="eastAsia" w:ascii="Times New Roman" w:hAnsi="Times New Roman" w:cs="Times New Roman"/>
          <w:color w:val="auto"/>
          <w:sz w:val="24"/>
          <w:szCs w:val="24"/>
          <w:lang w:val="en-US" w:eastAsia="zh-CN"/>
        </w:rPr>
        <w:t>沾益区</w:t>
      </w:r>
      <w:r>
        <w:rPr>
          <w:rFonts w:hint="default" w:ascii="Times New Roman" w:hAnsi="Times New Roman" w:cs="Times New Roman"/>
          <w:color w:val="auto"/>
          <w:sz w:val="24"/>
          <w:szCs w:val="24"/>
          <w:lang w:eastAsia="zh-CN"/>
        </w:rPr>
        <w:t>环境质量数据的统计，曲靖市</w:t>
      </w:r>
      <w:r>
        <w:rPr>
          <w:rFonts w:hint="eastAsia" w:ascii="Times New Roman" w:hAnsi="Times New Roman" w:cs="Times New Roman"/>
          <w:color w:val="auto"/>
          <w:sz w:val="24"/>
          <w:szCs w:val="24"/>
          <w:lang w:val="en-US" w:eastAsia="zh-CN"/>
        </w:rPr>
        <w:t>沾益区</w:t>
      </w:r>
      <w:r>
        <w:rPr>
          <w:rFonts w:hint="default" w:ascii="Times New Roman" w:hAnsi="Times New Roman" w:cs="Times New Roman"/>
          <w:color w:val="auto"/>
          <w:sz w:val="24"/>
          <w:szCs w:val="24"/>
          <w:lang w:eastAsia="zh-CN"/>
        </w:rPr>
        <w:t>202</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年SO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、NO</w:t>
      </w:r>
      <w:r>
        <w:rPr>
          <w:rFonts w:hint="default" w:ascii="Times New Roman" w:hAnsi="Times New Roman" w:cs="Times New Roman"/>
          <w:color w:val="auto"/>
          <w:sz w:val="24"/>
          <w:szCs w:val="24"/>
          <w:vertAlign w:val="subscript"/>
          <w:lang w:eastAsia="zh-CN"/>
        </w:rPr>
        <w:t>2</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10</w:t>
      </w:r>
      <w:r>
        <w:rPr>
          <w:rFonts w:hint="default" w:ascii="Times New Roman" w:hAnsi="Times New Roman" w:cs="Times New Roman"/>
          <w:color w:val="auto"/>
          <w:sz w:val="24"/>
          <w:szCs w:val="24"/>
          <w:lang w:eastAsia="zh-CN"/>
        </w:rPr>
        <w:t>、PM</w:t>
      </w:r>
      <w:r>
        <w:rPr>
          <w:rFonts w:hint="default" w:ascii="Times New Roman" w:hAnsi="Times New Roman" w:cs="Times New Roman"/>
          <w:color w:val="auto"/>
          <w:sz w:val="24"/>
          <w:szCs w:val="24"/>
          <w:vertAlign w:val="subscript"/>
          <w:lang w:eastAsia="zh-CN"/>
        </w:rPr>
        <w:t>2.5</w:t>
      </w:r>
      <w:r>
        <w:rPr>
          <w:rFonts w:hint="default" w:ascii="Times New Roman" w:hAnsi="Times New Roman" w:cs="Times New Roman"/>
          <w:color w:val="auto"/>
          <w:sz w:val="24"/>
          <w:szCs w:val="24"/>
          <w:lang w:eastAsia="zh-CN"/>
        </w:rPr>
        <w:t>年均浓度分别为</w:t>
      </w:r>
      <w:r>
        <w:rPr>
          <w:rFonts w:hint="eastAsia" w:ascii="Times New Roman" w:hAnsi="Times New Roman" w:cs="Times New Roman"/>
          <w:color w:val="auto"/>
          <w:sz w:val="24"/>
          <w:szCs w:val="24"/>
          <w:lang w:val="en-US" w:eastAsia="zh-CN"/>
        </w:rPr>
        <w:t>11</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13</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36</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23</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；CO24小时平均第95百分位数为</w:t>
      </w:r>
      <w:r>
        <w:rPr>
          <w:rFonts w:hint="eastAsia" w:ascii="Times New Roman" w:hAnsi="Times New Roman" w:cs="Times New Roman"/>
          <w:color w:val="auto"/>
          <w:sz w:val="24"/>
          <w:szCs w:val="24"/>
          <w:lang w:val="en-US" w:eastAsia="zh-CN"/>
        </w:rPr>
        <w:t>1.1</w:t>
      </w:r>
      <w:r>
        <w:rPr>
          <w:rFonts w:hint="default" w:ascii="Times New Roman" w:hAnsi="Times New Roman" w:cs="Times New Roman"/>
          <w:color w:val="auto"/>
          <w:sz w:val="24"/>
          <w:szCs w:val="24"/>
          <w:lang w:eastAsia="zh-CN"/>
        </w:rPr>
        <w:t>mg/m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，O</w:t>
      </w:r>
      <w:r>
        <w:rPr>
          <w:rFonts w:hint="default" w:ascii="Times New Roman" w:hAnsi="Times New Roman" w:cs="Times New Roman"/>
          <w:color w:val="auto"/>
          <w:sz w:val="24"/>
          <w:szCs w:val="24"/>
          <w:vertAlign w:val="subscript"/>
          <w:lang w:eastAsia="zh-CN"/>
        </w:rPr>
        <w:t>3</w:t>
      </w:r>
      <w:r>
        <w:rPr>
          <w:rFonts w:hint="default" w:ascii="Times New Roman" w:hAnsi="Times New Roman" w:cs="Times New Roman"/>
          <w:color w:val="auto"/>
          <w:sz w:val="24"/>
          <w:szCs w:val="24"/>
          <w:lang w:eastAsia="zh-CN"/>
        </w:rPr>
        <w:t>日最大8小时平均第90百分位数为</w:t>
      </w:r>
      <w:r>
        <w:rPr>
          <w:rFonts w:hint="eastAsia" w:ascii="Times New Roman" w:hAnsi="Times New Roman" w:cs="Times New Roman"/>
          <w:color w:val="auto"/>
          <w:sz w:val="24"/>
          <w:szCs w:val="24"/>
          <w:lang w:val="en-US" w:eastAsia="zh-CN"/>
        </w:rPr>
        <w:t>127</w:t>
      </w:r>
      <w:r>
        <w:rPr>
          <w:rFonts w:hint="default" w:ascii="Times New Roman" w:hAnsi="Times New Roman" w:cs="Times New Roman"/>
          <w:color w:val="auto"/>
          <w:sz w:val="24"/>
          <w:szCs w:val="24"/>
          <w:lang w:eastAsia="zh-CN"/>
        </w:rPr>
        <w:t>μg/m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lang w:eastAsia="zh-CN"/>
        </w:rPr>
        <w:t>，各污染物平均浓度均优于《环境空气质量标准》（GB3095-</w:t>
      </w:r>
      <w:r>
        <w:rPr>
          <w:rFonts w:hint="eastAsia" w:ascii="Times New Roman" w:hAnsi="Times New Roman" w:cs="Times New Roman"/>
          <w:color w:val="auto"/>
          <w:sz w:val="24"/>
          <w:szCs w:val="24"/>
          <w:lang w:val="en-US" w:eastAsia="zh-CN"/>
        </w:rPr>
        <w:t>2026</w:t>
      </w:r>
      <w:r>
        <w:rPr>
          <w:rFonts w:hint="default" w:ascii="Times New Roman" w:hAnsi="Times New Roman" w:cs="Times New Roman"/>
          <w:color w:val="auto"/>
          <w:sz w:val="24"/>
          <w:szCs w:val="24"/>
          <w:lang w:eastAsia="zh-CN"/>
        </w:rPr>
        <w:t>）中二级标准限值，由此判定曲靖市</w:t>
      </w:r>
      <w:r>
        <w:rPr>
          <w:rFonts w:hint="eastAsia" w:ascii="Times New Roman" w:hAnsi="Times New Roman" w:cs="Times New Roman"/>
          <w:color w:val="auto"/>
          <w:sz w:val="24"/>
          <w:szCs w:val="24"/>
          <w:lang w:val="en-US" w:eastAsia="zh-CN"/>
        </w:rPr>
        <w:t>沾益区</w:t>
      </w:r>
      <w:r>
        <w:rPr>
          <w:rFonts w:hint="default" w:ascii="Times New Roman" w:hAnsi="Times New Roman" w:cs="Times New Roman"/>
          <w:color w:val="auto"/>
          <w:sz w:val="24"/>
          <w:szCs w:val="24"/>
          <w:lang w:eastAsia="zh-CN"/>
        </w:rPr>
        <w:t>为达标区。</w:t>
      </w:r>
    </w:p>
    <w:p w14:paraId="3042ED1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20" w:firstLineChars="200"/>
        <w:textAlignment w:val="baseline"/>
        <w:rPr>
          <w:color w:val="auto"/>
          <w:spacing w:val="0"/>
          <w:w w:val="100"/>
        </w:rPr>
      </w:pPr>
      <w:r>
        <w:rPr>
          <w:b/>
          <w:bCs/>
          <w:color w:val="auto"/>
          <w:spacing w:val="0"/>
          <w:w w:val="100"/>
        </w:rPr>
        <w:t>（</w:t>
      </w:r>
      <w:r>
        <w:rPr>
          <w:rFonts w:ascii="Times New Roman" w:hAnsi="Times New Roman" w:eastAsia="Times New Roman" w:cs="Times New Roman"/>
          <w:b/>
          <w:bCs/>
          <w:color w:val="auto"/>
          <w:spacing w:val="0"/>
          <w:w w:val="100"/>
        </w:rPr>
        <w:t>2</w:t>
      </w:r>
      <w:r>
        <w:rPr>
          <w:b/>
          <w:bCs/>
          <w:color w:val="auto"/>
          <w:spacing w:val="0"/>
          <w:w w:val="100"/>
        </w:rPr>
        <w:t>）其他污染物环境质量现状</w:t>
      </w:r>
    </w:p>
    <w:p w14:paraId="79C4D382">
      <w:pPr>
        <w:keepNext w:val="0"/>
        <w:keepLines w:val="0"/>
        <w:pageBreakBefore w:val="0"/>
        <w:widowControl/>
        <w:kinsoku/>
        <w:wordWrap/>
        <w:overflowPunct/>
        <w:topLinePunct w:val="0"/>
        <w:autoSpaceDE w:val="0"/>
        <w:autoSpaceDN w:val="0"/>
        <w:bidi w:val="0"/>
        <w:adjustRightInd/>
        <w:snapToGrid/>
        <w:spacing w:line="360" w:lineRule="auto"/>
        <w:ind w:left="0" w:right="0" w:firstLine="470" w:firstLineChars="196"/>
        <w:jc w:val="both"/>
        <w:textAlignment w:val="baseline"/>
        <w:rPr>
          <w:color w:val="auto"/>
          <w:spacing w:val="0"/>
          <w:w w:val="100"/>
        </w:rPr>
      </w:pPr>
      <w:r>
        <w:rPr>
          <w:rFonts w:hint="default" w:ascii="Times New Roman" w:hAnsi="Times New Roman" w:eastAsia="宋体" w:cs="Times New Roman"/>
          <w:color w:val="auto"/>
          <w:spacing w:val="0"/>
          <w:w w:val="100"/>
          <w:sz w:val="24"/>
          <w:lang w:val="en-US" w:eastAsia="zh-CN"/>
        </w:rPr>
        <w:t>项目</w:t>
      </w:r>
      <w:r>
        <w:rPr>
          <w:rFonts w:hint="eastAsia" w:ascii="Times New Roman" w:hAnsi="Times New Roman" w:eastAsia="宋体" w:cs="Times New Roman"/>
          <w:color w:val="auto"/>
          <w:spacing w:val="0"/>
          <w:w w:val="100"/>
          <w:sz w:val="24"/>
          <w:lang w:val="en-US" w:eastAsia="zh-CN"/>
        </w:rPr>
        <w:t>补充监测的和</w:t>
      </w:r>
      <w:r>
        <w:rPr>
          <w:rFonts w:hint="default" w:ascii="Times New Roman" w:hAnsi="Times New Roman" w:eastAsia="宋体" w:cs="Times New Roman"/>
          <w:color w:val="auto"/>
          <w:spacing w:val="0"/>
          <w:w w:val="100"/>
          <w:sz w:val="24"/>
          <w:lang w:val="en-US" w:eastAsia="zh-CN"/>
        </w:rPr>
        <w:t>引用的总悬浮颗粒物现状质量能满足《环境空气质量标准》（GB3095-20</w:t>
      </w:r>
      <w:r>
        <w:rPr>
          <w:rFonts w:hint="eastAsia" w:ascii="Times New Roman" w:hAnsi="Times New Roman" w:eastAsia="宋体" w:cs="Times New Roman"/>
          <w:color w:val="auto"/>
          <w:spacing w:val="0"/>
          <w:w w:val="100"/>
          <w:sz w:val="24"/>
          <w:lang w:val="en-US" w:eastAsia="zh-CN"/>
        </w:rPr>
        <w:t>26</w:t>
      </w:r>
      <w:r>
        <w:rPr>
          <w:rFonts w:hint="default" w:ascii="Times New Roman" w:hAnsi="Times New Roman" w:eastAsia="宋体" w:cs="Times New Roman"/>
          <w:color w:val="auto"/>
          <w:spacing w:val="0"/>
          <w:w w:val="100"/>
          <w:sz w:val="24"/>
          <w:lang w:val="en-US" w:eastAsia="zh-CN"/>
        </w:rPr>
        <w:t>）中二级标准值要求。</w:t>
      </w:r>
    </w:p>
    <w:p w14:paraId="2528F218">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.2.2 </w:t>
      </w:r>
      <w:r>
        <w:rPr>
          <w:b/>
          <w:bCs/>
          <w:color w:val="auto"/>
          <w:spacing w:val="0"/>
          <w:w w:val="100"/>
          <w:sz w:val="28"/>
          <w:szCs w:val="28"/>
        </w:rPr>
        <w:t>地表水</w:t>
      </w:r>
    </w:p>
    <w:p w14:paraId="3CB4F2C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rFonts w:hint="default" w:ascii="Times New Roman" w:hAnsi="Times New Roman" w:cs="Times New Roman"/>
          <w:color w:val="auto"/>
          <w:spacing w:val="0"/>
          <w:w w:val="100"/>
          <w:sz w:val="24"/>
          <w:szCs w:val="24"/>
          <w:lang w:eastAsia="zh-CN"/>
        </w:rPr>
      </w:pPr>
      <w:r>
        <w:rPr>
          <w:rFonts w:hint="default" w:ascii="Times New Roman" w:hAnsi="Times New Roman" w:cs="Times New Roman"/>
          <w:color w:val="auto"/>
          <w:spacing w:val="0"/>
          <w:w w:val="100"/>
          <w:sz w:val="24"/>
          <w:szCs w:val="24"/>
          <w:lang w:eastAsia="zh-CN"/>
        </w:rPr>
        <w:t>根据项目区周边地表水系分布情况，距离本</w:t>
      </w:r>
      <w:r>
        <w:rPr>
          <w:rFonts w:hint="default" w:ascii="Times New Roman" w:hAnsi="Times New Roman" w:cs="Times New Roman"/>
          <w:color w:val="auto"/>
          <w:spacing w:val="0"/>
          <w:w w:val="100"/>
          <w:sz w:val="24"/>
          <w:szCs w:val="24"/>
          <w:lang w:val="en-US" w:eastAsia="zh-CN"/>
        </w:rPr>
        <w:t>项目</w:t>
      </w:r>
      <w:r>
        <w:rPr>
          <w:rFonts w:hint="default" w:ascii="Times New Roman" w:hAnsi="Times New Roman" w:cs="Times New Roman"/>
          <w:color w:val="auto"/>
          <w:spacing w:val="0"/>
          <w:w w:val="100"/>
          <w:sz w:val="24"/>
          <w:szCs w:val="24"/>
          <w:lang w:eastAsia="zh-CN"/>
        </w:rPr>
        <w:t>最近的地表水为西北面约90m处的东干渠，汇入南盘江。南盘江沾益</w:t>
      </w:r>
      <w:r>
        <w:rPr>
          <w:rFonts w:hint="eastAsia" w:cs="Times New Roman"/>
          <w:color w:val="auto"/>
          <w:spacing w:val="0"/>
          <w:w w:val="100"/>
          <w:sz w:val="24"/>
          <w:szCs w:val="24"/>
          <w:lang w:eastAsia="zh-CN"/>
        </w:rPr>
        <w:t>－</w:t>
      </w:r>
      <w:r>
        <w:rPr>
          <w:rFonts w:hint="default" w:ascii="Times New Roman" w:hAnsi="Times New Roman" w:cs="Times New Roman"/>
          <w:color w:val="auto"/>
          <w:spacing w:val="0"/>
          <w:w w:val="100"/>
          <w:sz w:val="24"/>
          <w:szCs w:val="24"/>
          <w:lang w:eastAsia="zh-CN"/>
        </w:rPr>
        <w:t>宜良开发利用区中</w:t>
      </w:r>
      <w:r>
        <w:rPr>
          <w:rFonts w:hint="eastAsia" w:ascii="Times New Roman" w:hAnsi="Times New Roman" w:cs="Times New Roman"/>
          <w:color w:val="auto"/>
          <w:spacing w:val="0"/>
          <w:w w:val="100"/>
          <w:sz w:val="24"/>
          <w:szCs w:val="24"/>
          <w:lang w:eastAsia="zh-CN"/>
        </w:rPr>
        <w:t>南盘江沾益农业、工业、渔业用水区（南盘江陈方桥至沾益天生坝电站）</w:t>
      </w:r>
      <w:r>
        <w:rPr>
          <w:rFonts w:hint="default" w:ascii="Times New Roman" w:hAnsi="Times New Roman" w:cs="Times New Roman"/>
          <w:color w:val="auto"/>
          <w:spacing w:val="0"/>
          <w:w w:val="100"/>
          <w:sz w:val="24"/>
          <w:szCs w:val="24"/>
          <w:lang w:eastAsia="zh-CN"/>
        </w:rPr>
        <w:t>，规划水平年水质目标为Ⅲ类，执行《地表水环境质量标准》（GB3838-2002）Ⅲ类标准。</w:t>
      </w:r>
    </w:p>
    <w:p w14:paraId="6D6136C6">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rFonts w:hint="default" w:ascii="Times New Roman" w:hAnsi="Times New Roman" w:cs="Times New Roman"/>
          <w:color w:val="auto"/>
          <w:spacing w:val="0"/>
          <w:w w:val="100"/>
          <w:sz w:val="24"/>
          <w:szCs w:val="24"/>
          <w:lang w:eastAsia="zh-CN"/>
        </w:rPr>
      </w:pPr>
      <w:r>
        <w:rPr>
          <w:rFonts w:hint="default" w:ascii="Times New Roman" w:hAnsi="Times New Roman" w:cs="Times New Roman"/>
          <w:color w:val="auto"/>
          <w:spacing w:val="0"/>
          <w:w w:val="100"/>
          <w:sz w:val="24"/>
          <w:szCs w:val="24"/>
          <w:lang w:eastAsia="zh-CN"/>
        </w:rPr>
        <w:t>项目所在区域上游花山水库出口国控断面2024年水质均能达到水功能区划类的标准要求，下游南盘江天生坝省控断面2024年水质均能达到水功能区划Ⅲ类的标准要求，项目所在区域地表水环境为达标区。</w:t>
      </w:r>
    </w:p>
    <w:p w14:paraId="233BC49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rFonts w:hint="default" w:ascii="Times New Roman" w:hAnsi="Times New Roman" w:cs="Times New Roman"/>
          <w:color w:val="auto"/>
          <w:spacing w:val="0"/>
          <w:w w:val="100"/>
          <w:sz w:val="24"/>
          <w:szCs w:val="24"/>
          <w:lang w:eastAsia="zh-CN"/>
        </w:rPr>
      </w:pPr>
      <w:r>
        <w:rPr>
          <w:rFonts w:hint="eastAsia" w:ascii="Times New Roman" w:hAnsi="Times New Roman" w:cs="Times New Roman"/>
          <w:color w:val="auto"/>
          <w:spacing w:val="0"/>
          <w:w w:val="100"/>
          <w:sz w:val="24"/>
          <w:szCs w:val="24"/>
          <w:lang w:val="en-US" w:eastAsia="zh-CN"/>
        </w:rPr>
        <w:t>引用的</w:t>
      </w:r>
      <w:r>
        <w:rPr>
          <w:rFonts w:hint="default" w:ascii="Times New Roman" w:hAnsi="Times New Roman" w:cs="Times New Roman"/>
          <w:color w:val="auto"/>
          <w:spacing w:val="0"/>
          <w:w w:val="100"/>
          <w:sz w:val="24"/>
          <w:szCs w:val="24"/>
          <w:lang w:val="en-US" w:eastAsia="zh-CN"/>
        </w:rPr>
        <w:t>W1南盘江东干渠汇入口上游100m，W2南盘江东干渠汇入口下游500m，W3南盘江东干渠汇入口下游1500m除TN外所有监测因子均能满足《地表水环境质量标准》（GB3838-2002）中Ⅲ类标准。</w:t>
      </w:r>
    </w:p>
    <w:p w14:paraId="73B3CEB4">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highlight w:val="none"/>
          <w:lang w:val="en-US" w:eastAsia="zh-CN"/>
        </w:rPr>
        <w:t>8</w:t>
      </w:r>
      <w:r>
        <w:rPr>
          <w:rFonts w:ascii="Times New Roman" w:hAnsi="Times New Roman" w:eastAsia="Times New Roman" w:cs="Times New Roman"/>
          <w:b/>
          <w:bCs/>
          <w:color w:val="auto"/>
          <w:spacing w:val="0"/>
          <w:w w:val="100"/>
          <w:sz w:val="28"/>
          <w:szCs w:val="28"/>
          <w:highlight w:val="none"/>
        </w:rPr>
        <w:t xml:space="preserve">.2.3 </w:t>
      </w:r>
      <w:r>
        <w:rPr>
          <w:b/>
          <w:bCs/>
          <w:color w:val="auto"/>
          <w:spacing w:val="0"/>
          <w:w w:val="100"/>
          <w:sz w:val="28"/>
          <w:szCs w:val="28"/>
        </w:rPr>
        <w:t>噪声</w:t>
      </w:r>
    </w:p>
    <w:p w14:paraId="4AF97C8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rFonts w:hint="default" w:ascii="Times New Roman" w:hAnsi="Times New Roman" w:eastAsia="宋体" w:cs="Times New Roman"/>
          <w:caps w:val="0"/>
          <w:color w:val="auto"/>
          <w:spacing w:val="0"/>
          <w:sz w:val="24"/>
          <w:szCs w:val="24"/>
          <w:highlight w:val="none"/>
        </w:rPr>
      </w:pPr>
      <w:r>
        <w:rPr>
          <w:rFonts w:hint="default" w:ascii="Times New Roman" w:hAnsi="Times New Roman" w:eastAsia="宋体" w:cs="Times New Roman"/>
          <w:caps w:val="0"/>
          <w:color w:val="auto"/>
          <w:spacing w:val="0"/>
          <w:sz w:val="24"/>
          <w:szCs w:val="24"/>
          <w:highlight w:val="none"/>
        </w:rPr>
        <w:t>项目区各监测点昼</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夜均能达到《声环境质量标准》</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GB3096-2008</w:t>
      </w:r>
      <w:r>
        <w:rPr>
          <w:rFonts w:hint="default" w:ascii="Times New Roman" w:hAnsi="Times New Roman" w:eastAsia="宋体" w:cs="Times New Roman"/>
          <w:caps w:val="0"/>
          <w:color w:val="auto"/>
          <w:spacing w:val="0"/>
          <w:sz w:val="24"/>
          <w:szCs w:val="24"/>
          <w:highlight w:val="none"/>
          <w:lang w:eastAsia="zh-CN"/>
        </w:rPr>
        <w:t>）</w:t>
      </w:r>
      <w:r>
        <w:rPr>
          <w:rFonts w:hint="default" w:ascii="Times New Roman" w:hAnsi="Times New Roman" w:eastAsia="宋体" w:cs="Times New Roman"/>
          <w:caps w:val="0"/>
          <w:color w:val="auto"/>
          <w:spacing w:val="0"/>
          <w:sz w:val="24"/>
          <w:szCs w:val="24"/>
          <w:highlight w:val="none"/>
        </w:rPr>
        <w:t>3类标准。</w:t>
      </w:r>
    </w:p>
    <w:p w14:paraId="38005B68">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color w:val="auto"/>
          <w:spacing w:val="0"/>
          <w:w w:val="100"/>
        </w:rPr>
      </w:pPr>
      <w:r>
        <w:rPr>
          <w:rFonts w:hint="default" w:ascii="Times New Roman" w:hAnsi="Times New Roman" w:eastAsia="宋体" w:cs="Times New Roman"/>
          <w:caps w:val="0"/>
          <w:color w:val="auto"/>
          <w:spacing w:val="0"/>
          <w:sz w:val="24"/>
          <w:szCs w:val="24"/>
          <w:highlight w:val="none"/>
        </w:rPr>
        <w:t>从</w:t>
      </w:r>
      <w:r>
        <w:rPr>
          <w:rFonts w:hint="default" w:ascii="Times New Roman" w:hAnsi="Times New Roman" w:eastAsia="宋体" w:cs="Times New Roman"/>
          <w:caps w:val="0"/>
          <w:color w:val="auto"/>
          <w:spacing w:val="0"/>
          <w:sz w:val="24"/>
          <w:szCs w:val="24"/>
          <w:highlight w:val="none"/>
          <w:lang w:val="en-US" w:eastAsia="zh-CN"/>
        </w:rPr>
        <w:t>上表</w:t>
      </w:r>
      <w:r>
        <w:rPr>
          <w:rFonts w:hint="default" w:ascii="Times New Roman" w:hAnsi="Times New Roman" w:eastAsia="宋体" w:cs="Times New Roman"/>
          <w:caps w:val="0"/>
          <w:color w:val="auto"/>
          <w:spacing w:val="0"/>
          <w:sz w:val="24"/>
          <w:szCs w:val="24"/>
          <w:highlight w:val="none"/>
        </w:rPr>
        <w:t>监测结果可以看出，</w:t>
      </w:r>
      <w:r>
        <w:rPr>
          <w:rFonts w:hint="eastAsia" w:ascii="Times New Roman" w:hAnsi="Times New Roman" w:eastAsia="宋体" w:cs="Times New Roman"/>
          <w:caps w:val="0"/>
          <w:color w:val="auto"/>
          <w:spacing w:val="0"/>
          <w:sz w:val="24"/>
          <w:szCs w:val="24"/>
          <w:highlight w:val="none"/>
          <w:lang w:val="en-US" w:eastAsia="zh-CN"/>
        </w:rPr>
        <w:t>既有铁路（现有到发4条货运线）外轨中心线30m</w:t>
      </w:r>
      <w:r>
        <w:rPr>
          <w:rFonts w:hint="default" w:ascii="Times New Roman" w:hAnsi="Times New Roman" w:eastAsia="宋体" w:cs="Times New Roman"/>
          <w:caps w:val="0"/>
          <w:color w:val="auto"/>
          <w:spacing w:val="0"/>
          <w:sz w:val="24"/>
          <w:szCs w:val="24"/>
          <w:highlight w:val="none"/>
        </w:rPr>
        <w:t>各监测点</w:t>
      </w:r>
      <w:r>
        <w:rPr>
          <w:rFonts w:hint="eastAsia" w:ascii="Times New Roman" w:hAnsi="Times New Roman" w:eastAsia="宋体" w:cs="Times New Roman"/>
          <w:caps w:val="0"/>
          <w:color w:val="auto"/>
          <w:spacing w:val="0"/>
          <w:sz w:val="24"/>
          <w:szCs w:val="24"/>
          <w:highlight w:val="none"/>
          <w:lang w:val="en-US" w:eastAsia="zh-CN"/>
        </w:rPr>
        <w:t>昼间</w:t>
      </w:r>
      <w:r>
        <w:rPr>
          <w:rFonts w:hint="default" w:ascii="Times New Roman" w:hAnsi="Times New Roman" w:eastAsia="宋体" w:cs="Times New Roman"/>
          <w:caps w:val="0"/>
          <w:color w:val="auto"/>
          <w:spacing w:val="0"/>
          <w:sz w:val="24"/>
          <w:szCs w:val="24"/>
          <w:highlight w:val="none"/>
        </w:rPr>
        <w:t>均能达到</w:t>
      </w:r>
      <w:r>
        <w:rPr>
          <w:rFonts w:hint="default" w:ascii="Times New Roman" w:hAnsi="Times New Roman" w:eastAsia="宋体" w:cs="Times New Roman"/>
          <w:color w:val="auto"/>
          <w:sz w:val="24"/>
          <w:szCs w:val="24"/>
          <w:lang w:val="en-US" w:eastAsia="zh-CN"/>
        </w:rPr>
        <w:t>《铁路边界噪声限值及其测量方法》（GB12525－90）及其修改方案</w:t>
      </w:r>
      <w:r>
        <w:rPr>
          <w:rFonts w:hint="eastAsia" w:ascii="Times New Roman" w:hAnsi="Times New Roman" w:eastAsia="宋体" w:cs="Times New Roman"/>
          <w:color w:val="auto"/>
          <w:sz w:val="24"/>
          <w:szCs w:val="24"/>
          <w:lang w:val="en-US" w:eastAsia="zh-CN"/>
        </w:rPr>
        <w:t>昼间70</w:t>
      </w:r>
      <w:r>
        <w:rPr>
          <w:rFonts w:hint="default" w:ascii="Times New Roman" w:hAnsi="Times New Roman" w:eastAsia="宋体" w:cs="Times New Roman"/>
          <w:b w:val="0"/>
          <w:bCs w:val="0"/>
          <w:caps w:val="0"/>
          <w:color w:val="auto"/>
          <w:spacing w:val="0"/>
          <w:sz w:val="24"/>
          <w:szCs w:val="24"/>
          <w:highlight w:val="none"/>
          <w:lang w:val="en-US" w:eastAsia="zh-CN"/>
        </w:rPr>
        <w:t>dB（A）</w:t>
      </w:r>
      <w:r>
        <w:rPr>
          <w:rFonts w:hint="eastAsia" w:ascii="Times New Roman" w:hAnsi="Times New Roman" w:eastAsia="宋体" w:cs="Times New Roman"/>
          <w:b w:val="0"/>
          <w:bCs w:val="0"/>
          <w:caps w:val="0"/>
          <w:color w:val="auto"/>
          <w:spacing w:val="0"/>
          <w:sz w:val="24"/>
          <w:szCs w:val="24"/>
          <w:highlight w:val="none"/>
          <w:lang w:val="en-US" w:eastAsia="zh-CN"/>
        </w:rPr>
        <w:t>要求（铁路夜间不运行）。</w:t>
      </w:r>
    </w:p>
    <w:p w14:paraId="5B4C2EB5">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highlight w:val="none"/>
        </w:rPr>
      </w:pPr>
      <w:r>
        <w:rPr>
          <w:rFonts w:hint="eastAsia" w:ascii="Times New Roman" w:hAnsi="Times New Roman" w:eastAsia="宋体" w:cs="Times New Roman"/>
          <w:b/>
          <w:bCs/>
          <w:color w:val="auto"/>
          <w:spacing w:val="0"/>
          <w:w w:val="100"/>
          <w:sz w:val="28"/>
          <w:szCs w:val="28"/>
          <w:highlight w:val="none"/>
          <w:lang w:val="en-US" w:eastAsia="zh-CN"/>
        </w:rPr>
        <w:t>8</w:t>
      </w:r>
      <w:r>
        <w:rPr>
          <w:rFonts w:ascii="Times New Roman" w:hAnsi="Times New Roman" w:eastAsia="Times New Roman" w:cs="Times New Roman"/>
          <w:b/>
          <w:bCs/>
          <w:color w:val="auto"/>
          <w:spacing w:val="0"/>
          <w:w w:val="100"/>
          <w:sz w:val="28"/>
          <w:szCs w:val="28"/>
          <w:highlight w:val="none"/>
        </w:rPr>
        <w:t>.2.</w:t>
      </w:r>
      <w:r>
        <w:rPr>
          <w:rFonts w:hint="eastAsia" w:ascii="Times New Roman" w:hAnsi="Times New Roman" w:eastAsia="宋体" w:cs="Times New Roman"/>
          <w:b/>
          <w:bCs/>
          <w:color w:val="auto"/>
          <w:spacing w:val="0"/>
          <w:w w:val="100"/>
          <w:sz w:val="28"/>
          <w:szCs w:val="28"/>
          <w:highlight w:val="none"/>
          <w:lang w:val="en-US" w:eastAsia="zh-CN"/>
        </w:rPr>
        <w:t>4</w:t>
      </w:r>
      <w:r>
        <w:rPr>
          <w:rFonts w:ascii="Times New Roman" w:hAnsi="Times New Roman" w:eastAsia="Times New Roman" w:cs="Times New Roman"/>
          <w:b/>
          <w:bCs/>
          <w:color w:val="auto"/>
          <w:spacing w:val="0"/>
          <w:w w:val="100"/>
          <w:sz w:val="28"/>
          <w:szCs w:val="28"/>
          <w:highlight w:val="none"/>
        </w:rPr>
        <w:t xml:space="preserve"> </w:t>
      </w:r>
      <w:r>
        <w:rPr>
          <w:b/>
          <w:bCs/>
          <w:color w:val="auto"/>
          <w:spacing w:val="0"/>
          <w:w w:val="100"/>
          <w:sz w:val="28"/>
          <w:szCs w:val="28"/>
          <w:highlight w:val="none"/>
        </w:rPr>
        <w:t>地下水</w:t>
      </w:r>
    </w:p>
    <w:p w14:paraId="03B9ACD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5"/>
        <w:textAlignment w:val="baseline"/>
        <w:rPr>
          <w:color w:val="auto"/>
          <w:spacing w:val="0"/>
          <w:w w:val="100"/>
          <w:highlight w:val="none"/>
        </w:rPr>
      </w:pPr>
      <w:r>
        <w:rPr>
          <w:rFonts w:hint="default" w:ascii="Times New Roman" w:hAnsi="Times New Roman" w:eastAsia="宋体" w:cs="Times New Roman"/>
          <w:color w:val="auto"/>
          <w:sz w:val="24"/>
          <w:szCs w:val="24"/>
          <w:highlight w:val="none"/>
          <w:lang w:val="en-US" w:eastAsia="zh-CN"/>
        </w:rPr>
        <w:t>项目区新建背景监测点（上游）J1、</w:t>
      </w:r>
      <w:r>
        <w:rPr>
          <w:rFonts w:hint="eastAsia" w:ascii="Times New Roman" w:hAnsi="Times New Roman" w:eastAsia="宋体" w:cs="Times New Roman"/>
          <w:color w:val="auto"/>
          <w:sz w:val="24"/>
          <w:szCs w:val="24"/>
          <w:highlight w:val="none"/>
          <w:lang w:val="en-US" w:eastAsia="zh-CN"/>
        </w:rPr>
        <w:t>项目区</w:t>
      </w:r>
      <w:r>
        <w:rPr>
          <w:rFonts w:hint="default" w:ascii="Times New Roman" w:hAnsi="Times New Roman" w:eastAsia="宋体" w:cs="Times New Roman"/>
          <w:color w:val="auto"/>
          <w:sz w:val="24"/>
          <w:szCs w:val="24"/>
          <w:highlight w:val="none"/>
          <w:lang w:val="en-US" w:eastAsia="zh-CN"/>
        </w:rPr>
        <w:t>污染监测井J2、下游污染扩散监测井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曲靖大为焦化制气地下水监测井DX01（下游）J3</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，3个点位的各项监测因子均能满足《地下水质量标准》（GB/T14848-2017）Ш类标准要求。</w:t>
      </w:r>
    </w:p>
    <w:p w14:paraId="21373ACB">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highlight w:val="none"/>
        </w:rPr>
      </w:pPr>
      <w:r>
        <w:rPr>
          <w:rFonts w:hint="eastAsia" w:ascii="Times New Roman" w:hAnsi="Times New Roman" w:eastAsia="宋体" w:cs="Times New Roman"/>
          <w:b/>
          <w:bCs/>
          <w:color w:val="auto"/>
          <w:spacing w:val="0"/>
          <w:w w:val="100"/>
          <w:sz w:val="28"/>
          <w:szCs w:val="28"/>
          <w:highlight w:val="none"/>
          <w:lang w:val="en-US" w:eastAsia="zh-CN"/>
        </w:rPr>
        <w:t>8</w:t>
      </w:r>
      <w:r>
        <w:rPr>
          <w:rFonts w:ascii="Times New Roman" w:hAnsi="Times New Roman" w:eastAsia="Times New Roman" w:cs="Times New Roman"/>
          <w:b/>
          <w:bCs/>
          <w:color w:val="auto"/>
          <w:spacing w:val="0"/>
          <w:w w:val="100"/>
          <w:sz w:val="28"/>
          <w:szCs w:val="28"/>
          <w:highlight w:val="none"/>
        </w:rPr>
        <w:t>.2.</w:t>
      </w:r>
      <w:r>
        <w:rPr>
          <w:rFonts w:hint="eastAsia" w:ascii="Times New Roman" w:hAnsi="Times New Roman" w:eastAsia="宋体" w:cs="Times New Roman"/>
          <w:b/>
          <w:bCs/>
          <w:color w:val="auto"/>
          <w:spacing w:val="0"/>
          <w:w w:val="100"/>
          <w:sz w:val="28"/>
          <w:szCs w:val="28"/>
          <w:highlight w:val="none"/>
          <w:lang w:val="en-US" w:eastAsia="zh-CN"/>
        </w:rPr>
        <w:t>5</w:t>
      </w:r>
      <w:r>
        <w:rPr>
          <w:b/>
          <w:bCs/>
          <w:color w:val="auto"/>
          <w:spacing w:val="0"/>
          <w:w w:val="100"/>
          <w:sz w:val="28"/>
          <w:szCs w:val="28"/>
          <w:highlight w:val="none"/>
        </w:rPr>
        <w:t>生态</w:t>
      </w:r>
    </w:p>
    <w:p w14:paraId="3AEF531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color w:val="auto"/>
          <w:spacing w:val="0"/>
          <w:w w:val="100"/>
        </w:rPr>
      </w:pPr>
      <w:r>
        <w:rPr>
          <w:rFonts w:hint="default" w:ascii="Times New Roman" w:hAnsi="Times New Roman" w:cs="Times New Roman"/>
          <w:color w:val="auto"/>
          <w:spacing w:val="0"/>
          <w:w w:val="100"/>
          <w:sz w:val="24"/>
          <w:szCs w:val="24"/>
          <w:lang w:val="en-US" w:eastAsia="zh-CN"/>
        </w:rPr>
        <w:t>经调查访问和沿途观察，评价区域野生动物种类及数量均较少，仅有鼠类、蛇类、麻雀等动物分布，无大型野生动物出没，未发现国家和省级重点保护的珍稀濒危动物，也无国家和省级重点保护的野生动物，评价区域内无生态保护物种分布。</w:t>
      </w:r>
    </w:p>
    <w:p w14:paraId="2855EB16">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pacing w:val="0"/>
          <w:w w:val="100"/>
          <w:sz w:val="30"/>
          <w:szCs w:val="30"/>
        </w:rPr>
      </w:pPr>
      <w:bookmarkStart w:id="249" w:name="bookmark68"/>
      <w:bookmarkEnd w:id="249"/>
      <w:bookmarkStart w:id="250" w:name="_Toc9289"/>
      <w:r>
        <w:rPr>
          <w:rFonts w:hint="eastAsia" w:ascii="Times New Roman" w:hAnsi="Times New Roman" w:eastAsia="宋体" w:cs="Times New Roman"/>
          <w:b/>
          <w:bCs/>
          <w:color w:val="auto"/>
          <w:spacing w:val="0"/>
          <w:w w:val="100"/>
          <w:sz w:val="30"/>
          <w:szCs w:val="30"/>
          <w:lang w:val="en-US" w:eastAsia="zh-CN"/>
        </w:rPr>
        <w:t>8</w:t>
      </w:r>
      <w:r>
        <w:rPr>
          <w:rFonts w:ascii="Times New Roman" w:hAnsi="Times New Roman" w:eastAsia="Times New Roman" w:cs="Times New Roman"/>
          <w:b/>
          <w:bCs/>
          <w:color w:val="auto"/>
          <w:spacing w:val="0"/>
          <w:w w:val="100"/>
          <w:sz w:val="30"/>
          <w:szCs w:val="30"/>
        </w:rPr>
        <w:t xml:space="preserve">.3 </w:t>
      </w:r>
      <w:r>
        <w:rPr>
          <w:b/>
          <w:bCs/>
          <w:color w:val="auto"/>
          <w:spacing w:val="0"/>
          <w:w w:val="100"/>
          <w:sz w:val="30"/>
          <w:szCs w:val="30"/>
        </w:rPr>
        <w:t>环境影响分析与评价结论</w:t>
      </w:r>
      <w:bookmarkEnd w:id="250"/>
    </w:p>
    <w:p w14:paraId="340C7447">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.3.1 </w:t>
      </w:r>
      <w:r>
        <w:rPr>
          <w:b/>
          <w:bCs/>
          <w:color w:val="auto"/>
          <w:spacing w:val="0"/>
          <w:w w:val="100"/>
          <w:sz w:val="28"/>
          <w:szCs w:val="28"/>
        </w:rPr>
        <w:t>大气</w:t>
      </w:r>
    </w:p>
    <w:p w14:paraId="3E0727F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color w:val="auto"/>
          <w:spacing w:val="0"/>
          <w:w w:val="100"/>
        </w:rPr>
      </w:pPr>
      <w:r>
        <w:rPr>
          <w:color w:val="auto"/>
          <w:spacing w:val="0"/>
          <w:w w:val="100"/>
          <w:sz w:val="24"/>
          <w:szCs w:val="24"/>
        </w:rPr>
        <w:t>本项目运营期产生的内燃机废气、汽车尾气、装卸扬尘和道路扬尘等废气经过洒水降尘、自然扩散、绿化吸收、车辆减速慢行等措施后排放量较少，对外环境影响较小，项目环境影响可以接受。</w:t>
      </w:r>
    </w:p>
    <w:p w14:paraId="75668F57">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.3.2 </w:t>
      </w:r>
      <w:r>
        <w:rPr>
          <w:b/>
          <w:bCs/>
          <w:color w:val="auto"/>
          <w:spacing w:val="0"/>
          <w:w w:val="100"/>
          <w:sz w:val="28"/>
          <w:szCs w:val="28"/>
        </w:rPr>
        <w:t>地表水</w:t>
      </w:r>
    </w:p>
    <w:p w14:paraId="3C91B30F">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64"/>
        <w:textAlignment w:val="baseline"/>
        <w:rPr>
          <w:color w:val="auto"/>
          <w:spacing w:val="0"/>
          <w:w w:val="100"/>
        </w:rPr>
      </w:pPr>
      <w:r>
        <w:rPr>
          <w:color w:val="auto"/>
          <w:spacing w:val="0"/>
          <w:w w:val="100"/>
          <w:sz w:val="24"/>
          <w:szCs w:val="24"/>
        </w:rPr>
        <w:t>项目运营期污水不排入周边地表水体，项目运营对所在区域地表水环境产生的影响较小。</w:t>
      </w:r>
    </w:p>
    <w:p w14:paraId="7DBFB637">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.3.3 </w:t>
      </w:r>
      <w:r>
        <w:rPr>
          <w:b/>
          <w:bCs/>
          <w:color w:val="auto"/>
          <w:spacing w:val="0"/>
          <w:w w:val="100"/>
          <w:sz w:val="28"/>
          <w:szCs w:val="28"/>
        </w:rPr>
        <w:t>噪声</w:t>
      </w:r>
    </w:p>
    <w:p w14:paraId="7C749939">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从</w:t>
      </w:r>
      <w:r>
        <w:rPr>
          <w:rFonts w:hint="eastAsia" w:cs="Times New Roman"/>
          <w:color w:val="auto"/>
          <w:sz w:val="24"/>
          <w:szCs w:val="24"/>
          <w:lang w:val="en-US" w:eastAsia="zh-CN"/>
        </w:rPr>
        <w:t>噪声预测结果达标分析表</w:t>
      </w:r>
      <w:r>
        <w:rPr>
          <w:rFonts w:hint="eastAsia" w:ascii="Times New Roman" w:hAnsi="Times New Roman" w:eastAsia="宋体" w:cs="Times New Roman"/>
          <w:color w:val="auto"/>
          <w:sz w:val="24"/>
          <w:szCs w:val="24"/>
          <w:lang w:val="en-US" w:eastAsia="zh-CN"/>
        </w:rPr>
        <w:t>看出：</w:t>
      </w:r>
      <w:r>
        <w:rPr>
          <w:rFonts w:hint="default" w:ascii="Times New Roman" w:hAnsi="Times New Roman" w:eastAsia="宋体" w:cs="Times New Roman"/>
          <w:color w:val="auto"/>
          <w:sz w:val="24"/>
          <w:szCs w:val="24"/>
        </w:rPr>
        <w:t>项目</w:t>
      </w:r>
      <w:r>
        <w:rPr>
          <w:rFonts w:hint="eastAsia" w:ascii="Times New Roman" w:hAnsi="Times New Roman" w:eastAsia="宋体" w:cs="Times New Roman"/>
          <w:color w:val="auto"/>
          <w:sz w:val="24"/>
          <w:szCs w:val="24"/>
          <w:lang w:val="en-US" w:eastAsia="zh-CN"/>
        </w:rPr>
        <w:t>厂区边界</w:t>
      </w:r>
      <w:r>
        <w:rPr>
          <w:rFonts w:hint="default" w:ascii="Times New Roman" w:hAnsi="Times New Roman" w:eastAsia="宋体" w:cs="Times New Roman"/>
          <w:color w:val="auto"/>
          <w:sz w:val="24"/>
          <w:szCs w:val="24"/>
        </w:rPr>
        <w:t>噪声值均能达到《工业企业厂界环境噪声排放标准》（GB12348-2008）中的</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类</w:t>
      </w:r>
      <w:r>
        <w:rPr>
          <w:rFonts w:hint="default" w:ascii="Times New Roman" w:hAnsi="Times New Roman" w:eastAsia="宋体" w:cs="Times New Roman"/>
          <w:color w:val="auto"/>
          <w:kern w:val="1"/>
          <w:sz w:val="24"/>
        </w:rPr>
        <w:t>（昼间6</w:t>
      </w:r>
      <w:r>
        <w:rPr>
          <w:rFonts w:hint="default" w:ascii="Times New Roman" w:hAnsi="Times New Roman" w:eastAsia="宋体" w:cs="Times New Roman"/>
          <w:color w:val="auto"/>
          <w:kern w:val="1"/>
          <w:sz w:val="24"/>
          <w:lang w:val="en-US" w:eastAsia="zh-CN"/>
        </w:rPr>
        <w:t>5</w:t>
      </w:r>
      <w:r>
        <w:rPr>
          <w:rFonts w:hint="default" w:ascii="Times New Roman" w:hAnsi="Times New Roman" w:eastAsia="宋体" w:cs="Times New Roman"/>
          <w:color w:val="auto"/>
          <w:kern w:val="1"/>
          <w:sz w:val="24"/>
        </w:rPr>
        <w:t>dB</w:t>
      </w:r>
      <w:r>
        <w:rPr>
          <w:rFonts w:hint="eastAsia" w:cs="Times New Roman"/>
          <w:color w:val="auto"/>
          <w:kern w:val="1"/>
          <w:sz w:val="24"/>
          <w:lang w:eastAsia="zh-CN"/>
        </w:rPr>
        <w:t>（</w:t>
      </w:r>
      <w:r>
        <w:rPr>
          <w:rFonts w:hint="default" w:ascii="Times New Roman" w:hAnsi="Times New Roman" w:eastAsia="宋体" w:cs="Times New Roman"/>
          <w:color w:val="auto"/>
          <w:kern w:val="1"/>
          <w:sz w:val="24"/>
        </w:rPr>
        <w:t>A</w:t>
      </w:r>
      <w:r>
        <w:rPr>
          <w:rFonts w:hint="eastAsia" w:cs="Times New Roman"/>
          <w:color w:val="auto"/>
          <w:kern w:val="1"/>
          <w:sz w:val="24"/>
          <w:lang w:eastAsia="zh-CN"/>
        </w:rPr>
        <w:t>）</w:t>
      </w:r>
      <w:r>
        <w:rPr>
          <w:rFonts w:hint="default" w:ascii="Times New Roman" w:hAnsi="Times New Roman" w:eastAsia="宋体" w:cs="Times New Roman"/>
          <w:color w:val="auto"/>
          <w:kern w:val="1"/>
          <w:sz w:val="24"/>
        </w:rPr>
        <w:t>）</w:t>
      </w:r>
      <w:r>
        <w:rPr>
          <w:rFonts w:hint="default" w:ascii="Times New Roman" w:hAnsi="Times New Roman" w:eastAsia="宋体" w:cs="Times New Roman"/>
          <w:color w:val="auto"/>
          <w:sz w:val="24"/>
          <w:szCs w:val="24"/>
        </w:rPr>
        <w:t>标准</w:t>
      </w:r>
      <w:r>
        <w:rPr>
          <w:rFonts w:hint="default" w:ascii="Times New Roman" w:hAnsi="Times New Roman" w:eastAsia="宋体" w:cs="Times New Roman"/>
          <w:color w:val="auto"/>
          <w:sz w:val="24"/>
          <w:szCs w:val="24"/>
          <w:lang w:eastAsia="zh-CN"/>
        </w:rPr>
        <w:t>要求，</w:t>
      </w:r>
      <w:r>
        <w:rPr>
          <w:rFonts w:hint="default" w:ascii="Times New Roman" w:hAnsi="Times New Roman" w:eastAsia="宋体" w:cs="Times New Roman"/>
          <w:color w:val="auto"/>
          <w:sz w:val="24"/>
          <w:szCs w:val="24"/>
          <w:lang w:val="en-US" w:eastAsia="zh-CN"/>
        </w:rPr>
        <w:t>夜间不运行</w:t>
      </w:r>
      <w:r>
        <w:rPr>
          <w:rFonts w:hint="eastAsia" w:ascii="Times New Roman" w:hAnsi="Times New Roman" w:eastAsia="宋体" w:cs="Times New Roman"/>
          <w:color w:val="auto"/>
          <w:sz w:val="24"/>
          <w:szCs w:val="24"/>
          <w:lang w:val="en-US" w:eastAsia="zh-CN"/>
        </w:rPr>
        <w:t>。</w:t>
      </w:r>
    </w:p>
    <w:p w14:paraId="0BB5201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firstLineChars="200"/>
        <w:jc w:val="both"/>
        <w:textAlignment w:val="baseline"/>
        <w:rPr>
          <w:rFonts w:hint="eastAsia" w:ascii="Times New Roman" w:hAnsi="Times New Roman" w:eastAsia="宋体" w:cs="Times New Roman"/>
          <w:color w:val="auto"/>
          <w:sz w:val="24"/>
          <w:szCs w:val="24"/>
          <w:lang w:eastAsia="zh-CN"/>
        </w:rPr>
      </w:pPr>
      <w:r>
        <w:rPr>
          <w:rFonts w:hint="default" w:ascii="Times New Roman" w:hAnsi="Times New Roman" w:cs="Times New Roman"/>
          <w:color w:val="auto"/>
          <w:spacing w:val="1"/>
          <w:sz w:val="24"/>
          <w:szCs w:val="24"/>
        </w:rPr>
        <w:t>从</w:t>
      </w:r>
      <w:r>
        <w:rPr>
          <w:rFonts w:hint="eastAsia" w:ascii="Times New Roman" w:hAnsi="Times New Roman" w:cs="Times New Roman"/>
          <w:color w:val="auto"/>
          <w:spacing w:val="1"/>
          <w:sz w:val="24"/>
          <w:szCs w:val="24"/>
          <w:lang w:val="en-US" w:eastAsia="zh-CN"/>
        </w:rPr>
        <w:t>噪声预测结果达标分析表看出：</w:t>
      </w:r>
      <w:r>
        <w:rPr>
          <w:rFonts w:hint="default" w:ascii="Times New Roman" w:hAnsi="Times New Roman" w:cs="Times New Roman"/>
          <w:color w:val="auto"/>
          <w:spacing w:val="1"/>
          <w:sz w:val="24"/>
          <w:szCs w:val="24"/>
        </w:rPr>
        <w:t>位于</w:t>
      </w:r>
      <w:r>
        <w:rPr>
          <w:rFonts w:hint="eastAsia" w:ascii="Times New Roman" w:hAnsi="Times New Roman" w:eastAsia="宋体" w:cs="Times New Roman"/>
          <w:color w:val="auto"/>
          <w:spacing w:val="1"/>
          <w:sz w:val="24"/>
          <w:szCs w:val="24"/>
          <w:lang w:eastAsia="zh-CN"/>
        </w:rPr>
        <w:t>既有铁路（现有到发4条货运线）外轨中心线西30m</w:t>
      </w:r>
      <w:r>
        <w:rPr>
          <w:rFonts w:hint="eastAsia" w:ascii="Times New Roman" w:hAnsi="Times New Roman" w:cs="Times New Roman"/>
          <w:color w:val="auto"/>
          <w:spacing w:val="1"/>
          <w:sz w:val="24"/>
          <w:szCs w:val="24"/>
          <w:lang w:eastAsia="zh-CN"/>
        </w:rPr>
        <w:t>、</w:t>
      </w:r>
      <w:r>
        <w:rPr>
          <w:rFonts w:hint="eastAsia" w:ascii="Times New Roman" w:hAnsi="Times New Roman" w:eastAsia="宋体" w:cs="Times New Roman"/>
          <w:color w:val="auto"/>
          <w:spacing w:val="1"/>
          <w:sz w:val="24"/>
          <w:szCs w:val="24"/>
          <w:lang w:eastAsia="zh-CN"/>
        </w:rPr>
        <w:t>既有铁路（现有到发4条货运线）外轨中心线东30m</w:t>
      </w:r>
      <w:r>
        <w:rPr>
          <w:rFonts w:hint="default" w:ascii="Times New Roman" w:hAnsi="Times New Roman" w:cs="Times New Roman"/>
          <w:color w:val="auto"/>
          <w:spacing w:val="1"/>
          <w:sz w:val="24"/>
          <w:szCs w:val="24"/>
        </w:rPr>
        <w:t>与</w:t>
      </w:r>
      <w:r>
        <w:rPr>
          <w:rFonts w:hint="eastAsia" w:ascii="Times New Roman" w:hAnsi="Times New Roman" w:eastAsia="宋体" w:cs="Times New Roman"/>
          <w:color w:val="auto"/>
          <w:spacing w:val="1"/>
          <w:sz w:val="24"/>
          <w:szCs w:val="24"/>
          <w:lang w:eastAsia="zh-CN"/>
        </w:rPr>
        <w:t>新建铁路（H1、H2新建货运线）外轨中心线西30m</w:t>
      </w:r>
      <w:r>
        <w:rPr>
          <w:rFonts w:hint="default" w:ascii="Times New Roman" w:hAnsi="Times New Roman" w:cs="Times New Roman"/>
          <w:color w:val="auto"/>
          <w:spacing w:val="1"/>
          <w:sz w:val="24"/>
          <w:szCs w:val="24"/>
        </w:rPr>
        <w:t>交叉点</w:t>
      </w:r>
      <w:r>
        <w:rPr>
          <w:rFonts w:hint="eastAsia" w:ascii="Times New Roman" w:hAnsi="Times New Roman" w:cs="Times New Roman"/>
          <w:color w:val="auto"/>
          <w:spacing w:val="1"/>
          <w:sz w:val="24"/>
          <w:szCs w:val="24"/>
          <w:lang w:eastAsia="zh-CN"/>
        </w:rPr>
        <w:t>、</w:t>
      </w:r>
      <w:r>
        <w:rPr>
          <w:rFonts w:hint="eastAsia" w:ascii="Times New Roman" w:hAnsi="Times New Roman" w:eastAsia="宋体" w:cs="Times New Roman"/>
          <w:color w:val="auto"/>
          <w:spacing w:val="1"/>
          <w:sz w:val="24"/>
          <w:szCs w:val="24"/>
          <w:lang w:eastAsia="zh-CN"/>
        </w:rPr>
        <w:t>新建铁路（H1、H2新建货运线）外轨中心线东30m</w:t>
      </w:r>
      <w:r>
        <w:rPr>
          <w:rFonts w:hint="default" w:ascii="Times New Roman" w:hAnsi="Times New Roman" w:cs="Times New Roman"/>
          <w:color w:val="auto"/>
          <w:spacing w:val="1"/>
          <w:sz w:val="24"/>
          <w:szCs w:val="24"/>
        </w:rPr>
        <w:t>的3个预测点，均可达《铁路边界噪声限值及其测量方法》（GB12525-90）修改方案中表1、表2中限值</w:t>
      </w:r>
      <w:r>
        <w:rPr>
          <w:rFonts w:hint="eastAsia" w:ascii="Times New Roman" w:hAnsi="Times New Roman" w:cs="Times New Roman"/>
          <w:color w:val="auto"/>
          <w:spacing w:val="1"/>
          <w:sz w:val="24"/>
          <w:szCs w:val="24"/>
          <w:lang w:eastAsia="zh-CN"/>
        </w:rPr>
        <w:t>（</w:t>
      </w:r>
      <w:r>
        <w:rPr>
          <w:rFonts w:hint="eastAsia" w:ascii="Times New Roman" w:hAnsi="Times New Roman" w:cs="Times New Roman"/>
          <w:color w:val="auto"/>
          <w:spacing w:val="1"/>
          <w:sz w:val="24"/>
          <w:szCs w:val="24"/>
          <w:lang w:val="en-US" w:eastAsia="zh-CN"/>
        </w:rPr>
        <w:t>昼间70</w:t>
      </w:r>
      <w:r>
        <w:rPr>
          <w:rFonts w:hint="default" w:ascii="Times New Roman" w:hAnsi="Times New Roman" w:cs="Times New Roman"/>
          <w:color w:val="auto"/>
          <w:spacing w:val="1"/>
          <w:sz w:val="24"/>
          <w:szCs w:val="24"/>
        </w:rPr>
        <w:t>dB（A）</w:t>
      </w:r>
      <w:r>
        <w:rPr>
          <w:rFonts w:hint="eastAsia" w:ascii="Times New Roman" w:hAnsi="Times New Roman" w:cs="Times New Roman"/>
          <w:color w:val="auto"/>
          <w:spacing w:val="1"/>
          <w:sz w:val="24"/>
          <w:szCs w:val="24"/>
          <w:lang w:eastAsia="zh-CN"/>
        </w:rPr>
        <w:t>）。</w:t>
      </w:r>
    </w:p>
    <w:p w14:paraId="3D13E49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jc w:val="both"/>
        <w:textAlignment w:val="baseline"/>
        <w:rPr>
          <w:color w:val="auto"/>
          <w:spacing w:val="0"/>
          <w:w w:val="100"/>
          <w:sz w:val="24"/>
          <w:szCs w:val="24"/>
        </w:rPr>
      </w:pPr>
      <w:r>
        <w:rPr>
          <w:rFonts w:hint="default" w:ascii="Times New Roman" w:hAnsi="Times New Roman" w:eastAsia="宋体" w:cs="Times New Roman"/>
          <w:color w:val="auto"/>
          <w:kern w:val="0"/>
          <w:sz w:val="24"/>
          <w:lang w:bidi="ar"/>
        </w:rPr>
        <w:t>厂界外</w:t>
      </w:r>
      <w:r>
        <w:rPr>
          <w:rFonts w:hint="eastAsia" w:ascii="Times New Roman" w:hAnsi="Times New Roman" w:eastAsia="宋体" w:cs="Times New Roman"/>
          <w:color w:val="auto"/>
          <w:kern w:val="0"/>
          <w:sz w:val="24"/>
          <w:lang w:val="en-US" w:eastAsia="zh-CN" w:bidi="ar"/>
        </w:rPr>
        <w:t>200</w:t>
      </w:r>
      <w:r>
        <w:rPr>
          <w:rFonts w:hint="default" w:ascii="Times New Roman" w:hAnsi="Times New Roman" w:eastAsia="宋体" w:cs="Times New Roman"/>
          <w:color w:val="auto"/>
          <w:kern w:val="0"/>
          <w:sz w:val="24"/>
          <w:lang w:bidi="ar"/>
        </w:rPr>
        <w:t>米范围内</w:t>
      </w:r>
      <w:r>
        <w:rPr>
          <w:rFonts w:hint="default" w:ascii="Times New Roman" w:hAnsi="Times New Roman" w:eastAsia="宋体" w:cs="Times New Roman"/>
          <w:color w:val="auto"/>
          <w:kern w:val="0"/>
          <w:sz w:val="24"/>
          <w:lang w:eastAsia="zh-CN" w:bidi="ar"/>
        </w:rPr>
        <w:t>无</w:t>
      </w:r>
      <w:r>
        <w:rPr>
          <w:rFonts w:hint="default" w:ascii="Times New Roman" w:hAnsi="Times New Roman" w:eastAsia="宋体" w:cs="Times New Roman"/>
          <w:color w:val="auto"/>
          <w:kern w:val="0"/>
          <w:sz w:val="24"/>
          <w:lang w:bidi="ar"/>
        </w:rPr>
        <w:t>声环境保护目标</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lang w:val="zh-CN"/>
        </w:rPr>
        <w:t>本</w:t>
      </w:r>
      <w:r>
        <w:rPr>
          <w:rFonts w:hint="default" w:ascii="Times New Roman" w:hAnsi="Times New Roman" w:eastAsia="宋体" w:cs="Times New Roman"/>
          <w:color w:val="auto"/>
          <w:sz w:val="24"/>
        </w:rPr>
        <w:t>项目</w:t>
      </w:r>
      <w:r>
        <w:rPr>
          <w:rFonts w:hint="default" w:ascii="Times New Roman" w:hAnsi="Times New Roman" w:eastAsia="宋体" w:cs="Times New Roman"/>
          <w:color w:val="auto"/>
          <w:kern w:val="1"/>
          <w:sz w:val="24"/>
          <w:lang w:eastAsia="zh-CN"/>
        </w:rPr>
        <w:t>噪声对</w:t>
      </w:r>
      <w:r>
        <w:rPr>
          <w:rFonts w:hint="default" w:ascii="Times New Roman" w:hAnsi="Times New Roman" w:eastAsia="宋体" w:cs="Times New Roman"/>
          <w:color w:val="auto"/>
          <w:kern w:val="0"/>
          <w:sz w:val="24"/>
          <w:szCs w:val="24"/>
          <w:lang w:val="en-US" w:eastAsia="zh-CN" w:bidi="ar"/>
        </w:rPr>
        <w:t>周围环境</w:t>
      </w:r>
      <w:r>
        <w:rPr>
          <w:rFonts w:hint="default" w:ascii="Times New Roman" w:hAnsi="Times New Roman" w:eastAsia="宋体" w:cs="Times New Roman"/>
          <w:color w:val="auto"/>
          <w:sz w:val="24"/>
          <w:szCs w:val="24"/>
        </w:rPr>
        <w:t>影响较小。</w:t>
      </w:r>
    </w:p>
    <w:p w14:paraId="29ADCC4A">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.3.4 </w:t>
      </w:r>
      <w:r>
        <w:rPr>
          <w:b/>
          <w:bCs/>
          <w:color w:val="auto"/>
          <w:spacing w:val="0"/>
          <w:w w:val="100"/>
          <w:sz w:val="28"/>
          <w:szCs w:val="28"/>
        </w:rPr>
        <w:t>振动</w:t>
      </w:r>
    </w:p>
    <w:p w14:paraId="729F533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1"/>
        <w:jc w:val="both"/>
        <w:textAlignment w:val="baseline"/>
        <w:rPr>
          <w:rFonts w:hint="default" w:ascii="Times New Roman" w:hAnsi="Times New Roman" w:cs="Times New Roman" w:eastAsiaTheme="minorEastAsia"/>
          <w:color w:val="auto"/>
          <w:spacing w:val="0"/>
          <w:w w:val="100"/>
          <w:sz w:val="24"/>
          <w:szCs w:val="24"/>
        </w:rPr>
      </w:pPr>
      <w:r>
        <w:rPr>
          <w:rFonts w:hint="default" w:ascii="Times New Roman" w:hAnsi="Times New Roman" w:cs="Times New Roman" w:eastAsiaTheme="minorEastAsia"/>
          <w:color w:val="auto"/>
          <w:spacing w:val="0"/>
          <w:w w:val="100"/>
          <w:sz w:val="24"/>
          <w:szCs w:val="24"/>
        </w:rPr>
        <w:t>项目铁路外轨中心线60m范围内无敏感点，项目列车运行时振动对周边环境的影响不大。</w:t>
      </w:r>
    </w:p>
    <w:p w14:paraId="34177BE1">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510"/>
        <w:textAlignment w:val="baseline"/>
        <w:rPr>
          <w:color w:val="auto"/>
          <w:spacing w:val="0"/>
          <w:w w:val="100"/>
        </w:rPr>
      </w:pPr>
      <w:r>
        <w:rPr>
          <w:rFonts w:hint="default" w:ascii="Times New Roman" w:hAnsi="Times New Roman" w:cs="Times New Roman" w:eastAsiaTheme="minorEastAsia"/>
          <w:color w:val="auto"/>
          <w:spacing w:val="0"/>
          <w:sz w:val="24"/>
          <w:szCs w:val="24"/>
        </w:rPr>
        <w:t>项目铁路外轨中心线60m范围内无敏感点，根据上文预测结果可知，铁路路堤距外轨中心线</w:t>
      </w:r>
      <w:r>
        <w:rPr>
          <w:rFonts w:hint="eastAsia" w:ascii="Times New Roman" w:hAnsi="Times New Roman" w:cs="Times New Roman" w:eastAsiaTheme="minorEastAsia"/>
          <w:color w:val="auto"/>
          <w:spacing w:val="0"/>
          <w:sz w:val="24"/>
          <w:szCs w:val="24"/>
          <w:lang w:val="en-US" w:eastAsia="zh-CN"/>
        </w:rPr>
        <w:t>13.92m外可满足</w:t>
      </w:r>
      <w:r>
        <w:rPr>
          <w:rFonts w:hint="default" w:ascii="Times New Roman" w:hAnsi="Times New Roman" w:cs="Times New Roman" w:eastAsiaTheme="minorEastAsia"/>
          <w:color w:val="auto"/>
          <w:spacing w:val="0"/>
          <w:sz w:val="24"/>
          <w:szCs w:val="24"/>
        </w:rPr>
        <w:t>《城市区域环境振动标准》（GB10070-88）中</w:t>
      </w:r>
      <w:r>
        <w:rPr>
          <w:rFonts w:hint="eastAsia" w:ascii="Times New Roman" w:hAnsi="Times New Roman" w:cs="Times New Roman" w:eastAsiaTheme="minorEastAsia"/>
          <w:color w:val="auto"/>
          <w:spacing w:val="0"/>
          <w:sz w:val="24"/>
          <w:szCs w:val="24"/>
          <w:lang w:eastAsia="zh-CN"/>
        </w:rPr>
        <w:t>“</w:t>
      </w:r>
      <w:r>
        <w:rPr>
          <w:rFonts w:hint="eastAsia" w:ascii="Times New Roman" w:hAnsi="Times New Roman" w:cs="Times New Roman" w:eastAsiaTheme="minorEastAsia"/>
          <w:color w:val="auto"/>
          <w:spacing w:val="0"/>
          <w:sz w:val="24"/>
          <w:szCs w:val="24"/>
          <w:lang w:val="en-US" w:eastAsia="zh-CN"/>
        </w:rPr>
        <w:t>工业集中区</w:t>
      </w:r>
      <w:r>
        <w:rPr>
          <w:rFonts w:hint="eastAsia" w:ascii="Times New Roman" w:hAnsi="Times New Roman" w:cs="Times New Roman" w:eastAsiaTheme="minorEastAsia"/>
          <w:color w:val="auto"/>
          <w:spacing w:val="0"/>
          <w:sz w:val="24"/>
          <w:szCs w:val="24"/>
          <w:lang w:eastAsia="zh-CN"/>
        </w:rPr>
        <w:t>”</w:t>
      </w:r>
      <w:r>
        <w:rPr>
          <w:rFonts w:hint="default" w:ascii="Times New Roman" w:hAnsi="Times New Roman" w:cs="Times New Roman" w:eastAsiaTheme="minorEastAsia"/>
          <w:color w:val="auto"/>
          <w:spacing w:val="0"/>
          <w:sz w:val="24"/>
          <w:szCs w:val="24"/>
        </w:rPr>
        <w:t>标准，即昼间75dB。</w:t>
      </w:r>
    </w:p>
    <w:p w14:paraId="5A19BE50">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.3.5 </w:t>
      </w:r>
      <w:r>
        <w:rPr>
          <w:b/>
          <w:bCs/>
          <w:color w:val="auto"/>
          <w:spacing w:val="0"/>
          <w:w w:val="100"/>
          <w:sz w:val="28"/>
          <w:szCs w:val="28"/>
        </w:rPr>
        <w:t>固废</w:t>
      </w:r>
    </w:p>
    <w:p w14:paraId="4B33FDD3">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4"/>
        <w:jc w:val="both"/>
        <w:textAlignment w:val="baseline"/>
        <w:rPr>
          <w:color w:val="auto"/>
          <w:spacing w:val="0"/>
          <w:w w:val="100"/>
          <w:sz w:val="24"/>
          <w:szCs w:val="24"/>
        </w:rPr>
      </w:pPr>
      <w:r>
        <w:rPr>
          <w:color w:val="auto"/>
          <w:spacing w:val="0"/>
          <w:w w:val="100"/>
          <w:sz w:val="24"/>
          <w:szCs w:val="24"/>
        </w:rPr>
        <w:t xml:space="preserve">项目运行期各类固体废物去向明确，且均得到有效的处理、处置，固废处置率达到 </w:t>
      </w:r>
      <w:r>
        <w:rPr>
          <w:rFonts w:ascii="Times New Roman" w:hAnsi="Times New Roman" w:eastAsia="Times New Roman" w:cs="Times New Roman"/>
          <w:color w:val="auto"/>
          <w:spacing w:val="0"/>
          <w:w w:val="100"/>
          <w:sz w:val="24"/>
          <w:szCs w:val="24"/>
        </w:rPr>
        <w:t xml:space="preserve">100% </w:t>
      </w:r>
      <w:r>
        <w:rPr>
          <w:color w:val="auto"/>
          <w:spacing w:val="0"/>
          <w:w w:val="100"/>
          <w:sz w:val="24"/>
          <w:szCs w:val="24"/>
        </w:rPr>
        <w:t>，总体来看，实现了固体废物的减量化、资源化，不会对当地环境造成不良影响。</w:t>
      </w:r>
    </w:p>
    <w:p w14:paraId="1E2F9A15">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 xml:space="preserve">.3.6 </w:t>
      </w:r>
      <w:r>
        <w:rPr>
          <w:b/>
          <w:bCs/>
          <w:color w:val="auto"/>
          <w:spacing w:val="0"/>
          <w:w w:val="100"/>
          <w:sz w:val="28"/>
          <w:szCs w:val="28"/>
        </w:rPr>
        <w:t>地下水</w:t>
      </w:r>
    </w:p>
    <w:p w14:paraId="23CF1E0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34"/>
        <w:textAlignment w:val="baseline"/>
        <w:rPr>
          <w:color w:val="auto"/>
          <w:spacing w:val="0"/>
          <w:w w:val="100"/>
        </w:rPr>
      </w:pPr>
      <w:r>
        <w:rPr>
          <w:rFonts w:hint="default" w:ascii="Times New Roman" w:hAnsi="Times New Roman" w:cs="Times New Roman"/>
          <w:color w:val="auto"/>
          <w:sz w:val="24"/>
          <w:szCs w:val="24"/>
          <w:highlight w:val="none"/>
        </w:rPr>
        <w:t>本项目充分落实分区防渗措施，严格按照防渗等级设计、建设和使用防渗工程，严格按照地下水监测计划对项目区周边地下水开展长期持续的跟踪监测，发现监测数据异常立即查明原因并迅速处置，本项目的建设和运营对地下水环境影响可以接受。</w:t>
      </w:r>
    </w:p>
    <w:p w14:paraId="67D2A294">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.3.</w:t>
      </w:r>
      <w:r>
        <w:rPr>
          <w:rFonts w:hint="eastAsia" w:ascii="Times New Roman" w:hAnsi="Times New Roman" w:eastAsia="宋体" w:cs="Times New Roman"/>
          <w:b/>
          <w:bCs/>
          <w:color w:val="auto"/>
          <w:spacing w:val="0"/>
          <w:w w:val="100"/>
          <w:sz w:val="28"/>
          <w:szCs w:val="28"/>
          <w:lang w:val="en-US" w:eastAsia="zh-CN"/>
        </w:rPr>
        <w:t>7</w:t>
      </w:r>
      <w:r>
        <w:rPr>
          <w:b/>
          <w:bCs/>
          <w:color w:val="auto"/>
          <w:spacing w:val="0"/>
          <w:w w:val="100"/>
          <w:sz w:val="28"/>
          <w:szCs w:val="28"/>
        </w:rPr>
        <w:t>环境风险</w:t>
      </w:r>
    </w:p>
    <w:p w14:paraId="7CF79FA5">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jc w:val="both"/>
        <w:textAlignment w:val="baseline"/>
        <w:rPr>
          <w:color w:val="auto"/>
          <w:spacing w:val="0"/>
          <w:w w:val="100"/>
        </w:rPr>
      </w:pPr>
      <w:r>
        <w:rPr>
          <w:color w:val="auto"/>
          <w:spacing w:val="0"/>
          <w:w w:val="100"/>
          <w:sz w:val="24"/>
          <w:szCs w:val="24"/>
        </w:rPr>
        <w:t>本项目环境风险潜势为</w:t>
      </w:r>
      <w:r>
        <w:rPr>
          <w:rFonts w:ascii="Times New Roman" w:hAnsi="Times New Roman" w:eastAsia="Times New Roman" w:cs="Times New Roman"/>
          <w:color w:val="auto"/>
          <w:spacing w:val="0"/>
          <w:w w:val="100"/>
          <w:sz w:val="24"/>
          <w:szCs w:val="24"/>
        </w:rPr>
        <w:t>Ⅰ</w:t>
      </w:r>
      <w:r>
        <w:rPr>
          <w:rFonts w:hint="eastAsia" w:eastAsia="宋体"/>
          <w:color w:val="auto"/>
          <w:spacing w:val="0"/>
          <w:w w:val="100"/>
          <w:sz w:val="24"/>
          <w:szCs w:val="24"/>
          <w:lang w:eastAsia="zh-CN"/>
        </w:rPr>
        <w:t>，</w:t>
      </w:r>
      <w:r>
        <w:rPr>
          <w:color w:val="auto"/>
          <w:spacing w:val="0"/>
          <w:w w:val="100"/>
          <w:sz w:val="24"/>
          <w:szCs w:val="24"/>
        </w:rPr>
        <w:t>本评价认为在科学管理和完善的预防应急措施处置机制保障下，本项目发生风险事故的可能性是比较低的。企业严格按照有关规范标准、规范及条例的要求，认真落实环境风险防范措施，编制完善的应急预案，并在相关部门备案的前提下，项目环境风险是可控的，事故的影响是短暂的，在事故妥善处理后，周围环境质量可以恢复原状水平。</w:t>
      </w:r>
    </w:p>
    <w:p w14:paraId="20D290C1">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3"/>
        <w:rPr>
          <w:color w:val="auto"/>
          <w:spacing w:val="0"/>
          <w:w w:val="100"/>
          <w:sz w:val="28"/>
          <w:szCs w:val="28"/>
        </w:rPr>
      </w:pPr>
      <w:r>
        <w:rPr>
          <w:rFonts w:hint="eastAsia" w:ascii="Times New Roman" w:hAnsi="Times New Roman" w:eastAsia="宋体" w:cs="Times New Roman"/>
          <w:b/>
          <w:bCs/>
          <w:color w:val="auto"/>
          <w:spacing w:val="0"/>
          <w:w w:val="100"/>
          <w:sz w:val="28"/>
          <w:szCs w:val="28"/>
          <w:lang w:val="en-US" w:eastAsia="zh-CN"/>
        </w:rPr>
        <w:t>8</w:t>
      </w:r>
      <w:r>
        <w:rPr>
          <w:rFonts w:ascii="Times New Roman" w:hAnsi="Times New Roman" w:eastAsia="Times New Roman" w:cs="Times New Roman"/>
          <w:b/>
          <w:bCs/>
          <w:color w:val="auto"/>
          <w:spacing w:val="0"/>
          <w:w w:val="100"/>
          <w:sz w:val="28"/>
          <w:szCs w:val="28"/>
        </w:rPr>
        <w:t>.3.</w:t>
      </w:r>
      <w:r>
        <w:rPr>
          <w:rFonts w:hint="eastAsia" w:ascii="Times New Roman" w:hAnsi="Times New Roman" w:eastAsia="宋体" w:cs="Times New Roman"/>
          <w:b/>
          <w:bCs/>
          <w:color w:val="auto"/>
          <w:spacing w:val="0"/>
          <w:w w:val="100"/>
          <w:sz w:val="28"/>
          <w:szCs w:val="28"/>
          <w:lang w:val="en-US" w:eastAsia="zh-CN"/>
        </w:rPr>
        <w:t>8</w:t>
      </w:r>
      <w:r>
        <w:rPr>
          <w:b/>
          <w:bCs/>
          <w:color w:val="auto"/>
          <w:spacing w:val="0"/>
          <w:w w:val="100"/>
          <w:sz w:val="28"/>
          <w:szCs w:val="28"/>
        </w:rPr>
        <w:t>环境经济效益</w:t>
      </w:r>
    </w:p>
    <w:p w14:paraId="3D855A4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2"/>
        <w:textAlignment w:val="baseline"/>
        <w:rPr>
          <w:color w:val="auto"/>
          <w:spacing w:val="0"/>
          <w:w w:val="100"/>
          <w:sz w:val="24"/>
          <w:szCs w:val="24"/>
        </w:rPr>
      </w:pPr>
      <w:r>
        <w:rPr>
          <w:color w:val="auto"/>
          <w:spacing w:val="0"/>
          <w:w w:val="100"/>
          <w:sz w:val="24"/>
          <w:szCs w:val="24"/>
        </w:rPr>
        <w:t>项目的建设有显著的经济效益和社会效益，环境效益损失不大。项目在建设和实际运行过程中，应时刻将环境保护和周围环境安全作为重要工作内容，杜绝污染物非正常排放，将污染防治工作当作企业生存和发展的根本，只有这样才能实现经济、社会、环境的协调发展。</w:t>
      </w:r>
    </w:p>
    <w:p w14:paraId="523C1D10">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5"/>
        <w:jc w:val="both"/>
        <w:textAlignment w:val="baseline"/>
        <w:rPr>
          <w:color w:val="auto"/>
          <w:spacing w:val="0"/>
          <w:w w:val="100"/>
          <w:sz w:val="24"/>
          <w:szCs w:val="24"/>
        </w:rPr>
      </w:pPr>
      <w:r>
        <w:rPr>
          <w:color w:val="auto"/>
          <w:spacing w:val="0"/>
          <w:w w:val="100"/>
          <w:sz w:val="24"/>
          <w:szCs w:val="24"/>
        </w:rPr>
        <w:t>总体看来，正常情况下，项目建设对环境的正面影响大于负面影响。项目在建设和运行的过程中，应严格按照国家环境保护相关管理的规定，时刻将周围环境安全放在头等重要位置，做好风险防范工作，确保实现经济、社会、环境的协调发展。</w:t>
      </w:r>
    </w:p>
    <w:p w14:paraId="75770D56">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pacing w:val="0"/>
          <w:w w:val="100"/>
          <w:sz w:val="30"/>
          <w:szCs w:val="30"/>
        </w:rPr>
      </w:pPr>
      <w:bookmarkStart w:id="251" w:name="bookmark69"/>
      <w:bookmarkEnd w:id="251"/>
      <w:bookmarkStart w:id="252" w:name="_Toc4655"/>
      <w:r>
        <w:rPr>
          <w:rFonts w:hint="eastAsia" w:ascii="Times New Roman" w:hAnsi="Times New Roman" w:eastAsia="宋体" w:cs="Times New Roman"/>
          <w:b/>
          <w:bCs/>
          <w:color w:val="auto"/>
          <w:spacing w:val="0"/>
          <w:w w:val="100"/>
          <w:sz w:val="30"/>
          <w:szCs w:val="30"/>
          <w:lang w:val="en-US" w:eastAsia="zh-CN"/>
        </w:rPr>
        <w:t>8</w:t>
      </w:r>
      <w:r>
        <w:rPr>
          <w:rFonts w:ascii="Times New Roman" w:hAnsi="Times New Roman" w:eastAsia="Times New Roman" w:cs="Times New Roman"/>
          <w:b/>
          <w:bCs/>
          <w:color w:val="auto"/>
          <w:spacing w:val="0"/>
          <w:w w:val="100"/>
          <w:sz w:val="30"/>
          <w:szCs w:val="30"/>
        </w:rPr>
        <w:t>.</w:t>
      </w:r>
      <w:r>
        <w:rPr>
          <w:rFonts w:hint="eastAsia" w:ascii="Times New Roman" w:hAnsi="Times New Roman" w:eastAsia="宋体" w:cs="Times New Roman"/>
          <w:b/>
          <w:bCs/>
          <w:color w:val="auto"/>
          <w:spacing w:val="0"/>
          <w:w w:val="100"/>
          <w:sz w:val="30"/>
          <w:szCs w:val="30"/>
          <w:lang w:val="en-US" w:eastAsia="zh-CN"/>
        </w:rPr>
        <w:t>9</w:t>
      </w:r>
      <w:r>
        <w:rPr>
          <w:b/>
          <w:bCs/>
          <w:color w:val="auto"/>
          <w:spacing w:val="0"/>
          <w:w w:val="100"/>
          <w:sz w:val="30"/>
          <w:szCs w:val="30"/>
        </w:rPr>
        <w:t>公众参与意见调查结论</w:t>
      </w:r>
      <w:bookmarkEnd w:id="252"/>
    </w:p>
    <w:p w14:paraId="2221D2A8">
      <w:pPr>
        <w:pStyle w:val="9"/>
        <w:keepNext w:val="0"/>
        <w:keepLines w:val="0"/>
        <w:pageBreakBefore w:val="0"/>
        <w:widowControl/>
        <w:kinsoku/>
        <w:wordWrap/>
        <w:overflowPunct/>
        <w:topLinePunct w:val="0"/>
        <w:autoSpaceDE w:val="0"/>
        <w:autoSpaceDN w:val="0"/>
        <w:bidi w:val="0"/>
        <w:adjustRightInd/>
        <w:snapToGrid/>
        <w:spacing w:line="360" w:lineRule="auto"/>
        <w:ind w:right="0" w:firstLine="480" w:firstLineChars="200"/>
        <w:textAlignment w:val="baseline"/>
        <w:rPr>
          <w:color w:val="auto"/>
          <w:spacing w:val="0"/>
          <w:w w:val="100"/>
          <w:sz w:val="24"/>
          <w:szCs w:val="24"/>
        </w:rPr>
      </w:pPr>
      <w:r>
        <w:rPr>
          <w:color w:val="auto"/>
          <w:spacing w:val="0"/>
          <w:w w:val="100"/>
          <w:sz w:val="24"/>
          <w:szCs w:val="24"/>
        </w:rPr>
        <w:t>本项目进行两次公众参与公示，公示期间无群众提出反对意见。</w:t>
      </w:r>
    </w:p>
    <w:p w14:paraId="0DBED71C">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3"/>
        <w:textAlignment w:val="baseline"/>
        <w:rPr>
          <w:color w:val="auto"/>
          <w:spacing w:val="0"/>
          <w:w w:val="100"/>
          <w:sz w:val="24"/>
          <w:szCs w:val="24"/>
        </w:rPr>
      </w:pPr>
      <w:r>
        <w:rPr>
          <w:color w:val="auto"/>
          <w:spacing w:val="0"/>
          <w:w w:val="100"/>
          <w:sz w:val="24"/>
          <w:szCs w:val="24"/>
        </w:rPr>
        <w:t>本项目具体公众参与调查公示及调查结果详见《</w:t>
      </w:r>
      <w:r>
        <w:rPr>
          <w:rFonts w:hint="eastAsia"/>
          <w:color w:val="auto"/>
          <w:spacing w:val="0"/>
          <w:w w:val="100"/>
          <w:sz w:val="24"/>
          <w:szCs w:val="24"/>
        </w:rPr>
        <w:t>云南曲煤焦化实业发展有限公司集装箱堆场提质改造项目</w:t>
      </w:r>
      <w:r>
        <w:rPr>
          <w:rFonts w:ascii="Times New Roman" w:hAnsi="Times New Roman" w:eastAsia="Times New Roman" w:cs="Times New Roman"/>
          <w:color w:val="auto"/>
          <w:spacing w:val="0"/>
          <w:w w:val="100"/>
          <w:sz w:val="24"/>
          <w:szCs w:val="24"/>
        </w:rPr>
        <w:t>——</w:t>
      </w:r>
      <w:r>
        <w:rPr>
          <w:color w:val="auto"/>
          <w:spacing w:val="0"/>
          <w:w w:val="100"/>
          <w:sz w:val="24"/>
          <w:szCs w:val="24"/>
        </w:rPr>
        <w:t>公众参与附册》。</w:t>
      </w:r>
    </w:p>
    <w:p w14:paraId="6FD78FE3">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pacing w:val="0"/>
          <w:w w:val="100"/>
          <w:sz w:val="30"/>
          <w:szCs w:val="30"/>
        </w:rPr>
      </w:pPr>
      <w:bookmarkStart w:id="253" w:name="bookmark70"/>
      <w:bookmarkEnd w:id="253"/>
      <w:bookmarkStart w:id="254" w:name="_Toc26254"/>
      <w:r>
        <w:rPr>
          <w:rFonts w:hint="eastAsia" w:ascii="Times New Roman" w:hAnsi="Times New Roman" w:eastAsia="宋体" w:cs="Times New Roman"/>
          <w:b/>
          <w:bCs/>
          <w:color w:val="auto"/>
          <w:spacing w:val="0"/>
          <w:w w:val="100"/>
          <w:sz w:val="30"/>
          <w:szCs w:val="30"/>
          <w:lang w:val="en-US" w:eastAsia="zh-CN"/>
        </w:rPr>
        <w:t>8</w:t>
      </w:r>
      <w:r>
        <w:rPr>
          <w:rFonts w:ascii="Times New Roman" w:hAnsi="Times New Roman" w:eastAsia="Times New Roman" w:cs="Times New Roman"/>
          <w:b/>
          <w:bCs/>
          <w:color w:val="auto"/>
          <w:spacing w:val="0"/>
          <w:w w:val="100"/>
          <w:sz w:val="30"/>
          <w:szCs w:val="30"/>
        </w:rPr>
        <w:t xml:space="preserve">.5 </w:t>
      </w:r>
      <w:r>
        <w:rPr>
          <w:b/>
          <w:bCs/>
          <w:color w:val="auto"/>
          <w:spacing w:val="0"/>
          <w:w w:val="100"/>
          <w:sz w:val="30"/>
          <w:szCs w:val="30"/>
        </w:rPr>
        <w:t>产业政策及规划符合性</w:t>
      </w:r>
      <w:bookmarkEnd w:id="254"/>
    </w:p>
    <w:p w14:paraId="169377D3">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rPr>
          <w:color w:val="auto"/>
          <w:spacing w:val="0"/>
          <w:w w:val="100"/>
          <w:sz w:val="24"/>
          <w:szCs w:val="24"/>
        </w:rPr>
      </w:pPr>
      <w:r>
        <w:rPr>
          <w:color w:val="auto"/>
          <w:spacing w:val="0"/>
          <w:w w:val="100"/>
          <w:sz w:val="24"/>
          <w:szCs w:val="24"/>
        </w:rPr>
        <w:t>（一）产业政策</w:t>
      </w:r>
    </w:p>
    <w:p w14:paraId="61060A27">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5"/>
        <w:textAlignment w:val="baseline"/>
        <w:rPr>
          <w:color w:val="auto"/>
          <w:spacing w:val="0"/>
          <w:w w:val="100"/>
          <w:sz w:val="24"/>
          <w:szCs w:val="24"/>
        </w:rPr>
      </w:pPr>
      <w:r>
        <w:rPr>
          <w:color w:val="auto"/>
          <w:spacing w:val="0"/>
          <w:w w:val="100"/>
          <w:sz w:val="24"/>
          <w:szCs w:val="24"/>
        </w:rPr>
        <w:t>本项目为新建铁路专用线项目，根据《国民经济行业分类》（</w:t>
      </w:r>
      <w:r>
        <w:rPr>
          <w:rFonts w:ascii="Times New Roman" w:hAnsi="Times New Roman" w:eastAsia="Times New Roman" w:cs="Times New Roman"/>
          <w:color w:val="auto"/>
          <w:spacing w:val="0"/>
          <w:w w:val="100"/>
          <w:sz w:val="24"/>
          <w:szCs w:val="24"/>
        </w:rPr>
        <w:t>GB/T 4754</w:t>
      </w:r>
      <w:r>
        <w:rPr>
          <w:color w:val="auto"/>
          <w:spacing w:val="0"/>
          <w:w w:val="100"/>
          <w:sz w:val="24"/>
          <w:szCs w:val="24"/>
        </w:rPr>
        <w:t xml:space="preserve">- </w:t>
      </w:r>
      <w:r>
        <w:rPr>
          <w:rFonts w:ascii="Times New Roman" w:hAnsi="Times New Roman" w:eastAsia="Times New Roman" w:cs="Times New Roman"/>
          <w:color w:val="auto"/>
          <w:spacing w:val="0"/>
          <w:w w:val="100"/>
          <w:sz w:val="24"/>
          <w:szCs w:val="24"/>
        </w:rPr>
        <w:t>2017</w:t>
      </w:r>
      <w:r>
        <w:rPr>
          <w:color w:val="auto"/>
          <w:spacing w:val="0"/>
          <w:w w:val="100"/>
          <w:sz w:val="24"/>
          <w:szCs w:val="24"/>
        </w:rPr>
        <w:t>）（</w:t>
      </w:r>
      <w:r>
        <w:rPr>
          <w:rFonts w:ascii="Times New Roman" w:hAnsi="Times New Roman" w:eastAsia="Times New Roman" w:cs="Times New Roman"/>
          <w:color w:val="auto"/>
          <w:spacing w:val="0"/>
          <w:w w:val="100"/>
          <w:sz w:val="24"/>
          <w:szCs w:val="24"/>
        </w:rPr>
        <w:t xml:space="preserve">2019 </w:t>
      </w:r>
      <w:r>
        <w:rPr>
          <w:color w:val="auto"/>
          <w:spacing w:val="0"/>
          <w:w w:val="100"/>
          <w:sz w:val="24"/>
          <w:szCs w:val="24"/>
        </w:rPr>
        <w:t>年修改），本项目铁路专用线属于</w:t>
      </w:r>
      <w:r>
        <w:rPr>
          <w:rFonts w:hint="eastAsia" w:eastAsia="宋体"/>
          <w:color w:val="auto"/>
          <w:spacing w:val="0"/>
          <w:w w:val="100"/>
          <w:sz w:val="24"/>
          <w:szCs w:val="24"/>
          <w:lang w:eastAsia="zh-CN"/>
        </w:rPr>
        <w:t>“</w:t>
      </w:r>
      <w:r>
        <w:rPr>
          <w:rFonts w:ascii="Times New Roman" w:hAnsi="Times New Roman" w:eastAsia="Times New Roman" w:cs="Times New Roman"/>
          <w:color w:val="auto"/>
          <w:spacing w:val="0"/>
          <w:w w:val="100"/>
          <w:sz w:val="24"/>
          <w:szCs w:val="24"/>
        </w:rPr>
        <w:t xml:space="preserve">G5320 </w:t>
      </w:r>
      <w:r>
        <w:rPr>
          <w:color w:val="auto"/>
          <w:spacing w:val="0"/>
          <w:w w:val="100"/>
          <w:sz w:val="24"/>
          <w:szCs w:val="24"/>
        </w:rPr>
        <w:t>铁路货物运输</w:t>
      </w:r>
      <w:r>
        <w:rPr>
          <w:rFonts w:hint="eastAsia" w:eastAsia="宋体"/>
          <w:color w:val="auto"/>
          <w:spacing w:val="0"/>
          <w:w w:val="100"/>
          <w:sz w:val="24"/>
          <w:szCs w:val="24"/>
          <w:lang w:eastAsia="zh-CN"/>
        </w:rPr>
        <w:t>”</w:t>
      </w:r>
      <w:r>
        <w:rPr>
          <w:color w:val="auto"/>
          <w:spacing w:val="0"/>
          <w:w w:val="100"/>
          <w:sz w:val="24"/>
          <w:szCs w:val="24"/>
        </w:rPr>
        <w:t>。</w:t>
      </w:r>
    </w:p>
    <w:p w14:paraId="284DDE64">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57"/>
        <w:textAlignment w:val="baseline"/>
        <w:rPr>
          <w:color w:val="auto"/>
          <w:spacing w:val="0"/>
          <w:w w:val="100"/>
          <w:sz w:val="24"/>
          <w:szCs w:val="24"/>
        </w:rPr>
      </w:pPr>
      <w:r>
        <w:rPr>
          <w:color w:val="auto"/>
          <w:spacing w:val="0"/>
          <w:w w:val="100"/>
          <w:sz w:val="24"/>
          <w:szCs w:val="24"/>
        </w:rPr>
        <w:t>根据国家发展和改革委员会发布的《产业结构调整指导目录（</w:t>
      </w:r>
      <w:r>
        <w:rPr>
          <w:rFonts w:ascii="Times New Roman" w:hAnsi="Times New Roman" w:eastAsia="Times New Roman" w:cs="Times New Roman"/>
          <w:color w:val="auto"/>
          <w:spacing w:val="0"/>
          <w:w w:val="100"/>
          <w:sz w:val="24"/>
          <w:szCs w:val="24"/>
        </w:rPr>
        <w:t xml:space="preserve">2024 </w:t>
      </w:r>
      <w:r>
        <w:rPr>
          <w:color w:val="auto"/>
          <w:spacing w:val="0"/>
          <w:w w:val="100"/>
          <w:sz w:val="24"/>
          <w:szCs w:val="24"/>
        </w:rPr>
        <w:t>年本）》中的鼓励类：</w:t>
      </w:r>
      <w:r>
        <w:rPr>
          <w:rFonts w:hint="eastAsia" w:eastAsia="宋体"/>
          <w:color w:val="auto"/>
          <w:spacing w:val="0"/>
          <w:w w:val="100"/>
          <w:sz w:val="24"/>
          <w:szCs w:val="24"/>
          <w:lang w:eastAsia="zh-CN"/>
        </w:rPr>
        <w:t>“</w:t>
      </w:r>
      <w:r>
        <w:rPr>
          <w:color w:val="auto"/>
          <w:spacing w:val="0"/>
          <w:w w:val="100"/>
          <w:sz w:val="24"/>
          <w:szCs w:val="24"/>
        </w:rPr>
        <w:t xml:space="preserve">二十三、铁路 </w:t>
      </w:r>
      <w:r>
        <w:rPr>
          <w:rFonts w:ascii="Times New Roman" w:hAnsi="Times New Roman" w:eastAsia="Times New Roman" w:cs="Times New Roman"/>
          <w:color w:val="auto"/>
          <w:spacing w:val="0"/>
          <w:w w:val="100"/>
          <w:sz w:val="24"/>
          <w:szCs w:val="24"/>
        </w:rPr>
        <w:t>1.</w:t>
      </w:r>
      <w:r>
        <w:rPr>
          <w:color w:val="auto"/>
          <w:spacing w:val="0"/>
          <w:w w:val="100"/>
          <w:sz w:val="24"/>
          <w:szCs w:val="24"/>
        </w:rPr>
        <w:t>铁路建设和改造</w:t>
      </w:r>
      <w:r>
        <w:rPr>
          <w:rFonts w:hint="eastAsia" w:eastAsia="宋体"/>
          <w:color w:val="auto"/>
          <w:spacing w:val="0"/>
          <w:w w:val="100"/>
          <w:sz w:val="24"/>
          <w:szCs w:val="24"/>
          <w:lang w:eastAsia="zh-CN"/>
        </w:rPr>
        <w:t>”</w:t>
      </w:r>
      <w:r>
        <w:rPr>
          <w:color w:val="auto"/>
          <w:spacing w:val="0"/>
          <w:w w:val="100"/>
          <w:sz w:val="24"/>
          <w:szCs w:val="24"/>
        </w:rPr>
        <w:t>中的铁路专用线。</w:t>
      </w:r>
    </w:p>
    <w:p w14:paraId="34683C3D">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textAlignment w:val="baseline"/>
        <w:rPr>
          <w:color w:val="auto"/>
          <w:spacing w:val="0"/>
          <w:w w:val="100"/>
          <w:sz w:val="24"/>
          <w:szCs w:val="24"/>
        </w:rPr>
      </w:pPr>
      <w:r>
        <w:rPr>
          <w:color w:val="auto"/>
          <w:spacing w:val="0"/>
          <w:w w:val="100"/>
          <w:sz w:val="24"/>
          <w:szCs w:val="24"/>
        </w:rPr>
        <w:t>因此，本项目符合国家产业政策。</w:t>
      </w:r>
    </w:p>
    <w:p w14:paraId="4D099913">
      <w:pPr>
        <w:pStyle w:val="9"/>
        <w:keepNext w:val="0"/>
        <w:keepLines w:val="0"/>
        <w:pageBreakBefore w:val="0"/>
        <w:widowControl/>
        <w:kinsoku/>
        <w:wordWrap/>
        <w:overflowPunct/>
        <w:topLinePunct w:val="0"/>
        <w:autoSpaceDE w:val="0"/>
        <w:autoSpaceDN w:val="0"/>
        <w:bidi w:val="0"/>
        <w:adjustRightInd/>
        <w:snapToGrid/>
        <w:spacing w:line="360" w:lineRule="auto"/>
        <w:ind w:left="0" w:right="0"/>
        <w:textAlignment w:val="baseline"/>
        <w:outlineLvl w:val="1"/>
        <w:rPr>
          <w:color w:val="auto"/>
          <w:spacing w:val="0"/>
          <w:w w:val="100"/>
          <w:sz w:val="30"/>
          <w:szCs w:val="30"/>
        </w:rPr>
      </w:pPr>
      <w:bookmarkStart w:id="255" w:name="bookmark71"/>
      <w:bookmarkEnd w:id="255"/>
      <w:bookmarkStart w:id="256" w:name="_Toc19630"/>
      <w:r>
        <w:rPr>
          <w:rFonts w:hint="eastAsia" w:ascii="Times New Roman" w:hAnsi="Times New Roman" w:eastAsia="宋体" w:cs="Times New Roman"/>
          <w:b/>
          <w:bCs/>
          <w:color w:val="auto"/>
          <w:spacing w:val="0"/>
          <w:w w:val="100"/>
          <w:sz w:val="30"/>
          <w:szCs w:val="30"/>
          <w:lang w:val="en-US" w:eastAsia="zh-CN"/>
        </w:rPr>
        <w:t>8</w:t>
      </w:r>
      <w:r>
        <w:rPr>
          <w:rFonts w:ascii="Times New Roman" w:hAnsi="Times New Roman" w:eastAsia="Times New Roman" w:cs="Times New Roman"/>
          <w:b/>
          <w:bCs/>
          <w:color w:val="auto"/>
          <w:spacing w:val="0"/>
          <w:w w:val="100"/>
          <w:sz w:val="30"/>
          <w:szCs w:val="30"/>
        </w:rPr>
        <w:t xml:space="preserve">.6 </w:t>
      </w:r>
      <w:r>
        <w:rPr>
          <w:b/>
          <w:bCs/>
          <w:color w:val="auto"/>
          <w:spacing w:val="0"/>
          <w:w w:val="100"/>
          <w:sz w:val="30"/>
          <w:szCs w:val="30"/>
        </w:rPr>
        <w:t>总结论</w:t>
      </w:r>
      <w:bookmarkEnd w:id="256"/>
    </w:p>
    <w:p w14:paraId="664C4D4B">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color w:val="auto"/>
          <w:spacing w:val="0"/>
          <w:w w:val="100"/>
          <w:sz w:val="24"/>
          <w:szCs w:val="24"/>
        </w:rPr>
      </w:pPr>
      <w:r>
        <w:rPr>
          <w:rFonts w:hint="default" w:ascii="Times New Roman" w:hAnsi="Times New Roman" w:eastAsia="宋体" w:cs="Times New Roman"/>
          <w:color w:val="auto"/>
          <w:spacing w:val="0"/>
          <w:w w:val="100"/>
          <w:sz w:val="24"/>
          <w:szCs w:val="24"/>
        </w:rPr>
        <w:t>项目为</w:t>
      </w:r>
      <w:r>
        <w:rPr>
          <w:rFonts w:hint="default" w:ascii="Times New Roman" w:hAnsi="Times New Roman" w:eastAsia="宋体" w:cs="Times New Roman"/>
          <w:color w:val="auto"/>
          <w:spacing w:val="0"/>
          <w:w w:val="100"/>
          <w:sz w:val="24"/>
          <w:szCs w:val="24"/>
          <w:lang w:eastAsia="zh-CN"/>
        </w:rPr>
        <w:t>集装箱堆场</w:t>
      </w:r>
      <w:r>
        <w:rPr>
          <w:rFonts w:hint="eastAsia" w:ascii="Times New Roman" w:hAnsi="Times New Roman" w:eastAsia="宋体" w:cs="Times New Roman"/>
          <w:color w:val="auto"/>
          <w:spacing w:val="0"/>
          <w:w w:val="100"/>
          <w:sz w:val="24"/>
          <w:szCs w:val="24"/>
          <w:lang w:val="en-US" w:eastAsia="zh-CN"/>
        </w:rPr>
        <w:t>建设</w:t>
      </w:r>
      <w:r>
        <w:rPr>
          <w:rFonts w:hint="eastAsia" w:ascii="Times New Roman" w:hAnsi="Times New Roman" w:eastAsia="宋体" w:cs="Times New Roman"/>
          <w:color w:val="auto"/>
          <w:spacing w:val="0"/>
          <w:w w:val="100"/>
          <w:sz w:val="24"/>
          <w:szCs w:val="24"/>
          <w:lang w:eastAsia="zh-CN"/>
        </w:rPr>
        <w:t>，</w:t>
      </w:r>
      <w:r>
        <w:rPr>
          <w:rFonts w:hint="eastAsia" w:ascii="Times New Roman" w:hAnsi="Times New Roman" w:eastAsia="宋体" w:cs="Times New Roman"/>
          <w:color w:val="auto"/>
          <w:spacing w:val="0"/>
          <w:w w:val="100"/>
          <w:sz w:val="24"/>
          <w:szCs w:val="24"/>
          <w:lang w:val="en-US" w:eastAsia="zh-CN"/>
        </w:rPr>
        <w:t>涉及铁路专用线的建设</w:t>
      </w:r>
      <w:r>
        <w:rPr>
          <w:rFonts w:hint="default" w:ascii="Times New Roman" w:hAnsi="Times New Roman" w:eastAsia="宋体" w:cs="Times New Roman"/>
          <w:color w:val="auto"/>
          <w:spacing w:val="0"/>
          <w:w w:val="100"/>
          <w:sz w:val="24"/>
          <w:szCs w:val="24"/>
        </w:rPr>
        <w:t>，符合国家的产业政策。项目位于曲靖市高新技术产业开发区花山片区，符合</w:t>
      </w:r>
      <w:r>
        <w:rPr>
          <w:rFonts w:hint="eastAsia" w:ascii="Times New Roman" w:hAnsi="Times New Roman" w:eastAsia="宋体" w:cs="Times New Roman"/>
          <w:color w:val="auto"/>
          <w:spacing w:val="0"/>
          <w:w w:val="100"/>
          <w:sz w:val="24"/>
          <w:szCs w:val="24"/>
          <w:lang w:val="en-US" w:eastAsia="zh-CN"/>
        </w:rPr>
        <w:t>相关规划要求，已取得入园证明</w:t>
      </w:r>
      <w:r>
        <w:rPr>
          <w:rFonts w:hint="default" w:ascii="Times New Roman" w:hAnsi="Times New Roman" w:eastAsia="宋体" w:cs="Times New Roman"/>
          <w:color w:val="auto"/>
          <w:spacing w:val="0"/>
          <w:w w:val="100"/>
          <w:sz w:val="24"/>
          <w:szCs w:val="24"/>
        </w:rPr>
        <w:t>。</w:t>
      </w:r>
    </w:p>
    <w:p w14:paraId="04EE0513">
      <w:pPr>
        <w:keepNext w:val="0"/>
        <w:keepLines w:val="0"/>
        <w:pageBreakBefore w:val="0"/>
        <w:widowControl/>
        <w:kinsoku/>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color w:val="auto"/>
          <w:spacing w:val="0"/>
          <w:w w:val="100"/>
          <w:sz w:val="24"/>
          <w:szCs w:val="24"/>
        </w:rPr>
      </w:pPr>
      <w:r>
        <w:rPr>
          <w:rFonts w:hint="default" w:ascii="Times New Roman" w:hAnsi="Times New Roman" w:eastAsia="宋体" w:cs="Times New Roman"/>
          <w:color w:val="auto"/>
          <w:spacing w:val="0"/>
          <w:w w:val="100"/>
          <w:sz w:val="24"/>
          <w:szCs w:val="24"/>
        </w:rPr>
        <w:t>项目施工和运营期主要带来噪声、振动、地表水、生态、环境空气等环境影响，建设单位在设计、施工及运营阶段必须严格落实本次环评提出的各项生态环境保护与污染防治措施。在全面落实本次环评提出的环保措施情况下，废水、噪声、振动、废气可达标排放，固废处置率100%。项目对周边环境的影响被控制在可接受的水平。</w:t>
      </w:r>
    </w:p>
    <w:p w14:paraId="7B2367CB">
      <w:pPr>
        <w:pStyle w:val="9"/>
        <w:keepNext w:val="0"/>
        <w:keepLines w:val="0"/>
        <w:pageBreakBefore w:val="0"/>
        <w:widowControl/>
        <w:kinsoku/>
        <w:wordWrap/>
        <w:overflowPunct/>
        <w:topLinePunct w:val="0"/>
        <w:autoSpaceDE w:val="0"/>
        <w:autoSpaceDN w:val="0"/>
        <w:bidi w:val="0"/>
        <w:adjustRightInd/>
        <w:snapToGrid/>
        <w:spacing w:line="360" w:lineRule="auto"/>
        <w:ind w:left="0" w:right="0" w:firstLine="477"/>
        <w:jc w:val="both"/>
        <w:textAlignment w:val="baseline"/>
        <w:rPr>
          <w:rFonts w:hint="default" w:ascii="Times New Roman" w:hAnsi="Times New Roman" w:eastAsia="宋体" w:cs="Times New Roman"/>
          <w:color w:val="auto"/>
          <w:spacing w:val="0"/>
          <w:w w:val="100"/>
          <w:sz w:val="24"/>
          <w:szCs w:val="24"/>
        </w:rPr>
      </w:pPr>
      <w:r>
        <w:rPr>
          <w:rFonts w:hint="default" w:ascii="Times New Roman" w:hAnsi="Times New Roman" w:eastAsia="宋体" w:cs="Times New Roman"/>
          <w:color w:val="auto"/>
          <w:spacing w:val="0"/>
          <w:w w:val="100"/>
          <w:sz w:val="24"/>
          <w:szCs w:val="24"/>
        </w:rPr>
        <w:t>综上所述，本评价认为在严格落实本环评报告中各项污控措施和对策，严格执行环保</w:t>
      </w:r>
      <w:r>
        <w:rPr>
          <w:rFonts w:hint="eastAsia" w:ascii="Times New Roman" w:hAnsi="Times New Roman" w:eastAsia="宋体" w:cs="Times New Roman"/>
          <w:color w:val="auto"/>
          <w:spacing w:val="0"/>
          <w:w w:val="100"/>
          <w:sz w:val="24"/>
          <w:szCs w:val="24"/>
          <w:lang w:eastAsia="zh-CN"/>
        </w:rPr>
        <w:t>“</w:t>
      </w:r>
      <w:r>
        <w:rPr>
          <w:rFonts w:hint="default" w:ascii="Times New Roman" w:hAnsi="Times New Roman" w:eastAsia="宋体" w:cs="Times New Roman"/>
          <w:color w:val="auto"/>
          <w:spacing w:val="0"/>
          <w:w w:val="100"/>
          <w:sz w:val="24"/>
          <w:szCs w:val="24"/>
        </w:rPr>
        <w:t>三同时</w:t>
      </w:r>
      <w:r>
        <w:rPr>
          <w:rFonts w:hint="eastAsia" w:ascii="Times New Roman" w:hAnsi="Times New Roman" w:eastAsia="宋体" w:cs="Times New Roman"/>
          <w:color w:val="auto"/>
          <w:spacing w:val="0"/>
          <w:w w:val="100"/>
          <w:sz w:val="24"/>
          <w:szCs w:val="24"/>
          <w:lang w:eastAsia="zh-CN"/>
        </w:rPr>
        <w:t>”</w:t>
      </w:r>
      <w:r>
        <w:rPr>
          <w:rFonts w:hint="default" w:ascii="Times New Roman" w:hAnsi="Times New Roman" w:eastAsia="宋体" w:cs="Times New Roman"/>
          <w:color w:val="auto"/>
          <w:spacing w:val="0"/>
          <w:w w:val="100"/>
          <w:sz w:val="24"/>
          <w:szCs w:val="24"/>
        </w:rPr>
        <w:t>制度规定，严格进行环境管理，保证项目内的污染治理设施建设到位并正常运行，污染物达标排放的前提条件下，项目建设符合我国社会、经济、环境保护协调发展方针，符合环境影响评价原则，从环境保护角度看，项目建设是可行的。</w:t>
      </w:r>
      <w:bookmarkStart w:id="257" w:name="bookmark72"/>
      <w:bookmarkEnd w:id="257"/>
    </w:p>
    <w:sectPr>
      <w:headerReference r:id="rId20" w:type="default"/>
      <w:pgSz w:w="11905" w:h="16840"/>
      <w:pgMar w:top="1161" w:right="1472" w:bottom="1209" w:left="1473" w:header="829" w:footer="104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華康中楷體">
    <w:altName w:val="Microsoft JhengHei"/>
    <w:panose1 w:val="00000000000000000000"/>
    <w:charset w:val="88"/>
    <w:family w:val="roman"/>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auto"/>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E9138">
    <w:pPr>
      <w:pStyle w:val="13"/>
      <w:tabs>
        <w:tab w:val="center" w:pos="4167"/>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805CB">
    <w:pPr>
      <w:spacing w:line="171" w:lineRule="auto"/>
      <w:ind w:left="4632"/>
      <w:rPr>
        <w:rFonts w:hint="default"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A5C33">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6AA5C33">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60B31"/>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3160B31"/>
                </w:txbxContent>
              </v:textbox>
            </v:shape>
          </w:pict>
        </mc:Fallback>
      </mc:AlternateContent>
    </w:r>
    <w:r>
      <w:rPr>
        <w:rFonts w:hint="default" w:ascii="Times New Roman" w:hAnsi="Times New Roman" w:cs="Times New Roman"/>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5099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D750998"/>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AB4E9">
    <w:pPr>
      <w:pStyle w:val="13"/>
      <w:jc w:val="center"/>
      <w:rPr>
        <w:rFonts w:hint="default" w:ascii="Times New Roman" w:hAnsi="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C4D3B">
                          <w:pPr>
                            <w:pStyle w:val="13"/>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4</w:t>
                          </w:r>
                          <w:r>
                            <w:rPr>
                              <w:rFonts w:hint="default" w:ascii="Times New Roman" w:hAnsi="Times New Roman"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80C4D3B">
                    <w:pPr>
                      <w:pStyle w:val="13"/>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4</w:t>
                    </w:r>
                    <w:r>
                      <w:rPr>
                        <w:rFonts w:hint="default" w:ascii="Times New Roman" w:hAnsi="Times New Roman" w:cs="Times New Roman"/>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13089">
    <w:pPr>
      <w:pStyle w:val="13"/>
      <w:jc w:val="both"/>
      <w:rPr>
        <w:rFonts w:hint="default" w:ascii="Times New Roman" w:hAnsi="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9A9C9">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79A9C9">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8D91">
    <w:pPr>
      <w:keepNext w:val="0"/>
      <w:keepLines w:val="0"/>
      <w:pageBreakBefore w:val="0"/>
      <w:widowControl w:val="0"/>
      <w:kinsoku/>
      <w:wordWrap/>
      <w:overflowPunct/>
      <w:topLinePunct w:val="0"/>
      <w:bidi w:val="0"/>
      <w:adjustRightInd/>
      <w:snapToGrid w:val="0"/>
      <w:ind w:left="5220" w:hanging="5220" w:hangingChars="2900"/>
      <w:jc w:val="left"/>
      <w:textAlignment w:val="auto"/>
      <w:rPr>
        <w:rFonts w:hint="default" w:ascii="Times New Roman" w:hAnsi="Times New Roman" w:eastAsia="Arial" w:cs="Times New Roman"/>
        <w:snapToGrid w:val="0"/>
        <w:color w:val="000000"/>
        <w:kern w:val="0"/>
        <w:sz w:val="18"/>
        <w:szCs w:val="21"/>
        <w:lang w:val="en-US" w:eastAsia="en-US" w:bidi="ar-SA"/>
      </w:rPr>
    </w:pPr>
    <w:r>
      <w:rPr>
        <w:sz w:val="18"/>
      </w:rPr>
      <mc:AlternateContent>
        <mc:Choice Requires="wps">
          <w:drawing>
            <wp:anchor distT="0" distB="0" distL="114300" distR="114300" simplePos="0" relativeHeight="251665408" behindDoc="0" locked="0" layoutInCell="1" allowOverlap="1">
              <wp:simplePos x="0" y="0"/>
              <wp:positionH relativeFrom="margin">
                <wp:posOffset>2850515</wp:posOffset>
              </wp:positionH>
              <wp:positionV relativeFrom="paragraph">
                <wp:posOffset>13970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B81A8">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4.45pt;margin-top:1.1pt;height:144pt;width:144pt;mso-position-horizontal-relative:margin;mso-wrap-style:none;z-index:251665408;mso-width-relative:page;mso-height-relative:page;" filled="f" stroked="f" coordsize="21600,21600" o:gfxdata="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MpenXWAAAACQEAAA8AAAAAAAAAAQAgAAAAIgAAAGRycy9kb3ducmV2LnhtbFBL&#10;AQIUABQAAAAIAIdO4kC989aEMQIAAGMEAAAOAAAAAAAAAAEAIAAAACUBAABkcnMvZTJvRG9jLnht&#10;bFBLBQYAAAAABgAGAFkBAADIBQAAAAA=&#10;">
              <v:fill on="f" focussize="0,0"/>
              <v:stroke on="f" weight="0.5pt"/>
              <v:imagedata o:title=""/>
              <o:lock v:ext="edit" aspectratio="f"/>
              <v:textbox inset="0mm,0mm,0mm,0mm" style="mso-fit-shape-to-text:t;">
                <w:txbxContent>
                  <w:p w14:paraId="50BB81A8">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ACFCD">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6C8A4">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0C59">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FBDD9">
    <w:pPr>
      <w:pStyle w:val="1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79021">
    <w:pPr>
      <w:spacing w:before="47" w:line="219" w:lineRule="auto"/>
      <w:ind w:left="2548"/>
      <w:rPr>
        <w:rFonts w:ascii="宋体" w:hAnsi="宋体" w:eastAsia="宋体" w:cs="宋体"/>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B9053">
    <w:pPr>
      <w:pStyle w:val="1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7FC70">
    <w:pPr>
      <w:pStyle w:val="1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600A9">
    <w:pPr>
      <w:pStyle w:val="1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FD99E">
    <w:pPr>
      <w:pStyle w:val="1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1D7FE">
    <w:pPr>
      <w:pStyle w:val="1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BD3C2">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BDC2E0"/>
    <w:multiLevelType w:val="singleLevel"/>
    <w:tmpl w:val="92BDC2E0"/>
    <w:lvl w:ilvl="0" w:tentative="0">
      <w:start w:val="1"/>
      <w:numFmt w:val="decimal"/>
      <w:lvlText w:val="(%1)"/>
      <w:lvlJc w:val="left"/>
      <w:pPr>
        <w:ind w:left="425" w:hanging="425"/>
      </w:pPr>
      <w:rPr>
        <w:rFonts w:hint="default"/>
      </w:rPr>
    </w:lvl>
  </w:abstractNum>
  <w:abstractNum w:abstractNumId="1">
    <w:nsid w:val="9F7006AA"/>
    <w:multiLevelType w:val="singleLevel"/>
    <w:tmpl w:val="9F7006AA"/>
    <w:lvl w:ilvl="0" w:tentative="0">
      <w:start w:val="1"/>
      <w:numFmt w:val="decimal"/>
      <w:suff w:val="nothing"/>
      <w:lvlText w:val="（%1）"/>
      <w:lvlJc w:val="left"/>
    </w:lvl>
  </w:abstractNum>
  <w:abstractNum w:abstractNumId="2">
    <w:nsid w:val="A724555E"/>
    <w:multiLevelType w:val="singleLevel"/>
    <w:tmpl w:val="A724555E"/>
    <w:lvl w:ilvl="0" w:tentative="0">
      <w:start w:val="1"/>
      <w:numFmt w:val="decimal"/>
      <w:suff w:val="space"/>
      <w:lvlText w:val="%1."/>
      <w:lvlJc w:val="left"/>
    </w:lvl>
  </w:abstractNum>
  <w:abstractNum w:abstractNumId="3">
    <w:nsid w:val="AA1B3681"/>
    <w:multiLevelType w:val="singleLevel"/>
    <w:tmpl w:val="AA1B3681"/>
    <w:lvl w:ilvl="0" w:tentative="0">
      <w:start w:val="1"/>
      <w:numFmt w:val="decimal"/>
      <w:lvlText w:val="(%1)"/>
      <w:lvlJc w:val="left"/>
      <w:pPr>
        <w:ind w:left="425" w:hanging="425"/>
      </w:pPr>
      <w:rPr>
        <w:rFonts w:hint="default"/>
      </w:rPr>
    </w:lvl>
  </w:abstractNum>
  <w:abstractNum w:abstractNumId="4">
    <w:nsid w:val="B2AC43E1"/>
    <w:multiLevelType w:val="multilevel"/>
    <w:tmpl w:val="B2AC43E1"/>
    <w:lvl w:ilvl="0" w:tentative="0">
      <w:start w:val="1"/>
      <w:numFmt w:val="decimal"/>
      <w:lvlText w:val="表1.5-%1"/>
      <w:lvlJc w:val="left"/>
      <w:pPr>
        <w:ind w:left="900" w:hanging="420"/>
      </w:pPr>
      <w:rPr>
        <w:rFonts w:hint="eastAsia"/>
        <w:vertAlign w:val="baseline"/>
      </w:rPr>
    </w:lvl>
    <w:lvl w:ilvl="1" w:tentative="0">
      <w:start w:val="1"/>
      <w:numFmt w:val="decimal"/>
      <w:lvlText w:val="表2.1-%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C12748E0"/>
    <w:multiLevelType w:val="singleLevel"/>
    <w:tmpl w:val="C12748E0"/>
    <w:lvl w:ilvl="0" w:tentative="0">
      <w:start w:val="1"/>
      <w:numFmt w:val="decimal"/>
      <w:lvlText w:val="(%1)"/>
      <w:lvlJc w:val="left"/>
      <w:pPr>
        <w:ind w:left="425" w:hanging="425"/>
      </w:pPr>
      <w:rPr>
        <w:rFonts w:hint="default"/>
      </w:rPr>
    </w:lvl>
  </w:abstractNum>
  <w:abstractNum w:abstractNumId="6">
    <w:nsid w:val="C59302F5"/>
    <w:multiLevelType w:val="multilevel"/>
    <w:tmpl w:val="C59302F5"/>
    <w:lvl w:ilvl="0" w:tentative="0">
      <w:start w:val="1"/>
      <w:numFmt w:val="decimal"/>
      <w:lvlText w:val="表1.5-%1"/>
      <w:lvlJc w:val="left"/>
      <w:pPr>
        <w:ind w:left="900" w:hanging="420"/>
      </w:pPr>
      <w:rPr>
        <w:rFonts w:hint="eastAsia"/>
        <w:vertAlign w:val="baseline"/>
      </w:rPr>
    </w:lvl>
    <w:lvl w:ilvl="1" w:tentative="0">
      <w:start w:val="1"/>
      <w:numFmt w:val="decimal"/>
      <w:lvlText w:val="表2.2-%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CEB0DC28"/>
    <w:multiLevelType w:val="singleLevel"/>
    <w:tmpl w:val="CEB0DC28"/>
    <w:lvl w:ilvl="0" w:tentative="0">
      <w:start w:val="1"/>
      <w:numFmt w:val="decimal"/>
      <w:suff w:val="nothing"/>
      <w:lvlText w:val="（%1）"/>
      <w:lvlJc w:val="left"/>
    </w:lvl>
  </w:abstractNum>
  <w:abstractNum w:abstractNumId="8">
    <w:nsid w:val="CF142455"/>
    <w:multiLevelType w:val="multilevel"/>
    <w:tmpl w:val="CF142455"/>
    <w:lvl w:ilvl="0" w:tentative="0">
      <w:start w:val="1"/>
      <w:numFmt w:val="decimal"/>
      <w:lvlText w:val="表1.5-%1"/>
      <w:lvlJc w:val="left"/>
      <w:pPr>
        <w:ind w:left="900" w:hanging="420"/>
      </w:pPr>
      <w:rPr>
        <w:rFonts w:hint="eastAsia"/>
        <w:vertAlign w:val="baseline"/>
      </w:rPr>
    </w:lvl>
    <w:lvl w:ilvl="1" w:tentative="0">
      <w:start w:val="1"/>
      <w:numFmt w:val="decimal"/>
      <w:lvlText w:val="表2.4-%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DAF5859B"/>
    <w:multiLevelType w:val="multilevel"/>
    <w:tmpl w:val="DAF5859B"/>
    <w:lvl w:ilvl="0" w:tentative="0">
      <w:start w:val="1"/>
      <w:numFmt w:val="decimal"/>
      <w:lvlText w:val="表1.5-%1"/>
      <w:lvlJc w:val="left"/>
      <w:pPr>
        <w:ind w:left="900" w:hanging="420"/>
      </w:pPr>
      <w:rPr>
        <w:rFonts w:hint="eastAsia"/>
        <w:vertAlign w:val="baseline"/>
      </w:rPr>
    </w:lvl>
    <w:lvl w:ilvl="1" w:tentative="0">
      <w:start w:val="1"/>
      <w:numFmt w:val="decimal"/>
      <w:lvlText w:val="表1.7-%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AC8D716"/>
    <w:multiLevelType w:val="multilevel"/>
    <w:tmpl w:val="0AC8D716"/>
    <w:lvl w:ilvl="0" w:tentative="0">
      <w:start w:val="1"/>
      <w:numFmt w:val="decimal"/>
      <w:lvlText w:val="表1.5-%1"/>
      <w:lvlJc w:val="left"/>
      <w:pPr>
        <w:ind w:left="900" w:hanging="420"/>
      </w:pPr>
      <w:rPr>
        <w:rFonts w:hint="eastAsia"/>
        <w:vertAlign w:val="baseline"/>
      </w:rPr>
    </w:lvl>
    <w:lvl w:ilvl="1" w:tentative="0">
      <w:start w:val="1"/>
      <w:numFmt w:val="decimal"/>
      <w:lvlText w:val="表1.5-%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21E9A8"/>
    <w:multiLevelType w:val="singleLevel"/>
    <w:tmpl w:val="1621E9A8"/>
    <w:lvl w:ilvl="0" w:tentative="0">
      <w:start w:val="1"/>
      <w:numFmt w:val="decimal"/>
      <w:lvlText w:val="(%1)"/>
      <w:lvlJc w:val="left"/>
      <w:pPr>
        <w:ind w:left="425" w:hanging="425"/>
      </w:pPr>
      <w:rPr>
        <w:rFonts w:hint="default"/>
      </w:rPr>
    </w:lvl>
  </w:abstractNum>
  <w:abstractNum w:abstractNumId="12">
    <w:nsid w:val="1DDC5CEF"/>
    <w:multiLevelType w:val="singleLevel"/>
    <w:tmpl w:val="1DDC5CEF"/>
    <w:lvl w:ilvl="0" w:tentative="0">
      <w:start w:val="2"/>
      <w:numFmt w:val="decimal"/>
      <w:suff w:val="nothing"/>
      <w:lvlText w:val="%1、"/>
      <w:lvlJc w:val="left"/>
    </w:lvl>
  </w:abstractNum>
  <w:abstractNum w:abstractNumId="13">
    <w:nsid w:val="2B855D04"/>
    <w:multiLevelType w:val="singleLevel"/>
    <w:tmpl w:val="2B855D04"/>
    <w:lvl w:ilvl="0" w:tentative="0">
      <w:start w:val="1"/>
      <w:numFmt w:val="decimal"/>
      <w:lvlText w:val="(%1)"/>
      <w:lvlJc w:val="left"/>
      <w:pPr>
        <w:ind w:left="425" w:hanging="425"/>
      </w:pPr>
      <w:rPr>
        <w:rFonts w:hint="default"/>
      </w:rPr>
    </w:lvl>
  </w:abstractNum>
  <w:abstractNum w:abstractNumId="14">
    <w:nsid w:val="30C4B220"/>
    <w:multiLevelType w:val="singleLevel"/>
    <w:tmpl w:val="30C4B220"/>
    <w:lvl w:ilvl="0" w:tentative="0">
      <w:start w:val="1"/>
      <w:numFmt w:val="decimal"/>
      <w:suff w:val="nothing"/>
      <w:lvlText w:val="（%1）"/>
      <w:lvlJc w:val="left"/>
    </w:lvl>
  </w:abstractNum>
  <w:abstractNum w:abstractNumId="15">
    <w:nsid w:val="521166FB"/>
    <w:multiLevelType w:val="singleLevel"/>
    <w:tmpl w:val="521166FB"/>
    <w:lvl w:ilvl="0" w:tentative="0">
      <w:start w:val="1"/>
      <w:numFmt w:val="chineseCounting"/>
      <w:suff w:val="nothing"/>
      <w:lvlText w:val="%1、"/>
      <w:lvlJc w:val="left"/>
      <w:rPr>
        <w:rFonts w:hint="eastAsia"/>
      </w:rPr>
    </w:lvl>
  </w:abstractNum>
  <w:abstractNum w:abstractNumId="16">
    <w:nsid w:val="530DDFB3"/>
    <w:multiLevelType w:val="multilevel"/>
    <w:tmpl w:val="530DDFB3"/>
    <w:lvl w:ilvl="0" w:tentative="0">
      <w:start w:val="1"/>
      <w:numFmt w:val="decimal"/>
      <w:lvlText w:val="表1.5-%1"/>
      <w:lvlJc w:val="left"/>
      <w:pPr>
        <w:ind w:left="900" w:hanging="420"/>
      </w:pPr>
      <w:rPr>
        <w:rFonts w:hint="eastAsia"/>
        <w:vertAlign w:val="baseline"/>
      </w:rPr>
    </w:lvl>
    <w:lvl w:ilvl="1" w:tentative="0">
      <w:start w:val="1"/>
      <w:numFmt w:val="decimal"/>
      <w:lvlText w:val="表4.4-%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3813EE7"/>
    <w:multiLevelType w:val="singleLevel"/>
    <w:tmpl w:val="73813EE7"/>
    <w:lvl w:ilvl="0" w:tentative="0">
      <w:start w:val="1"/>
      <w:numFmt w:val="decimal"/>
      <w:lvlText w:val="(%1)"/>
      <w:lvlJc w:val="left"/>
      <w:pPr>
        <w:ind w:left="425" w:hanging="425"/>
      </w:pPr>
      <w:rPr>
        <w:rFonts w:hint="default"/>
      </w:rPr>
    </w:lvl>
  </w:abstractNum>
  <w:abstractNum w:abstractNumId="18">
    <w:nsid w:val="7ADB61C2"/>
    <w:multiLevelType w:val="multilevel"/>
    <w:tmpl w:val="7ADB61C2"/>
    <w:lvl w:ilvl="0" w:tentative="0">
      <w:start w:val="1"/>
      <w:numFmt w:val="decimal"/>
      <w:lvlText w:val="表1.5-%1"/>
      <w:lvlJc w:val="left"/>
      <w:pPr>
        <w:ind w:left="900" w:hanging="420"/>
      </w:pPr>
      <w:rPr>
        <w:rFonts w:hint="eastAsia"/>
        <w:vertAlign w:val="baseline"/>
      </w:rPr>
    </w:lvl>
    <w:lvl w:ilvl="1" w:tentative="0">
      <w:start w:val="1"/>
      <w:numFmt w:val="decimal"/>
      <w:lvlText w:val="表3.2-%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F22411B"/>
    <w:multiLevelType w:val="multilevel"/>
    <w:tmpl w:val="7F22411B"/>
    <w:lvl w:ilvl="0" w:tentative="0">
      <w:start w:val="1"/>
      <w:numFmt w:val="decimal"/>
      <w:lvlText w:val="表1.5-%1"/>
      <w:lvlJc w:val="left"/>
      <w:pPr>
        <w:ind w:left="900" w:hanging="420"/>
      </w:pPr>
      <w:rPr>
        <w:rFonts w:hint="eastAsia"/>
        <w:vertAlign w:val="baseline"/>
      </w:rPr>
    </w:lvl>
    <w:lvl w:ilvl="1" w:tentative="0">
      <w:start w:val="1"/>
      <w:numFmt w:val="decimal"/>
      <w:lvlText w:val="表1.4-%2"/>
      <w:lvlJc w:val="left"/>
      <w:pPr>
        <w:ind w:left="840" w:hanging="420"/>
      </w:pPr>
      <w:rPr>
        <w:rFonts w:hint="default"/>
        <w:color w:val="auto"/>
        <w:vertAlign w:val="baseline"/>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4"/>
  </w:num>
  <w:num w:numId="2">
    <w:abstractNumId w:val="15"/>
  </w:num>
  <w:num w:numId="3">
    <w:abstractNumId w:val="13"/>
  </w:num>
  <w:num w:numId="4">
    <w:abstractNumId w:val="11"/>
  </w:num>
  <w:num w:numId="5">
    <w:abstractNumId w:val="17"/>
  </w:num>
  <w:num w:numId="6">
    <w:abstractNumId w:val="5"/>
  </w:num>
  <w:num w:numId="7">
    <w:abstractNumId w:val="0"/>
  </w:num>
  <w:num w:numId="8">
    <w:abstractNumId w:val="3"/>
  </w:num>
  <w:num w:numId="9">
    <w:abstractNumId w:val="19"/>
  </w:num>
  <w:num w:numId="10">
    <w:abstractNumId w:val="10"/>
  </w:num>
  <w:num w:numId="11">
    <w:abstractNumId w:val="9"/>
  </w:num>
  <w:num w:numId="12">
    <w:abstractNumId w:val="4"/>
  </w:num>
  <w:num w:numId="13">
    <w:abstractNumId w:val="6"/>
  </w:num>
  <w:num w:numId="14">
    <w:abstractNumId w:val="8"/>
  </w:num>
  <w:num w:numId="15">
    <w:abstractNumId w:val="18"/>
  </w:num>
  <w:num w:numId="16">
    <w:abstractNumId w:val="16"/>
  </w:num>
  <w:num w:numId="17">
    <w:abstractNumId w:val="12"/>
  </w:num>
  <w:num w:numId="18">
    <w:abstractNumId w:val="1"/>
  </w:num>
  <w:num w:numId="19">
    <w:abstractNumId w:val="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3324A72"/>
    <w:rsid w:val="048E509B"/>
    <w:rsid w:val="04FF037E"/>
    <w:rsid w:val="053C2CCC"/>
    <w:rsid w:val="05697192"/>
    <w:rsid w:val="06620BC5"/>
    <w:rsid w:val="087A4A9E"/>
    <w:rsid w:val="08DB07BA"/>
    <w:rsid w:val="09D771D4"/>
    <w:rsid w:val="0A374154"/>
    <w:rsid w:val="0BA5217F"/>
    <w:rsid w:val="0C8B0FEF"/>
    <w:rsid w:val="0DBA526D"/>
    <w:rsid w:val="0F4E7F38"/>
    <w:rsid w:val="11E35613"/>
    <w:rsid w:val="123D7AF8"/>
    <w:rsid w:val="136C221A"/>
    <w:rsid w:val="13BD001B"/>
    <w:rsid w:val="14617334"/>
    <w:rsid w:val="14F565E8"/>
    <w:rsid w:val="16114A3C"/>
    <w:rsid w:val="174A2743"/>
    <w:rsid w:val="1BC715FF"/>
    <w:rsid w:val="1EE61C9C"/>
    <w:rsid w:val="1F746526"/>
    <w:rsid w:val="20147A03"/>
    <w:rsid w:val="20353DB7"/>
    <w:rsid w:val="219D6314"/>
    <w:rsid w:val="21C644B8"/>
    <w:rsid w:val="2284712E"/>
    <w:rsid w:val="27591D62"/>
    <w:rsid w:val="280276BA"/>
    <w:rsid w:val="29B461D1"/>
    <w:rsid w:val="2C1125C1"/>
    <w:rsid w:val="2C2C73FB"/>
    <w:rsid w:val="2D7F52B3"/>
    <w:rsid w:val="2F983AFC"/>
    <w:rsid w:val="31191C5C"/>
    <w:rsid w:val="32FA1D8D"/>
    <w:rsid w:val="34307257"/>
    <w:rsid w:val="34D628EF"/>
    <w:rsid w:val="36193D25"/>
    <w:rsid w:val="3C957325"/>
    <w:rsid w:val="3D9E7AE5"/>
    <w:rsid w:val="3E0A3EC6"/>
    <w:rsid w:val="3E2544BF"/>
    <w:rsid w:val="40AD420F"/>
    <w:rsid w:val="411218B4"/>
    <w:rsid w:val="41C444D5"/>
    <w:rsid w:val="42477082"/>
    <w:rsid w:val="46B06807"/>
    <w:rsid w:val="46CE4EDF"/>
    <w:rsid w:val="46E96DB7"/>
    <w:rsid w:val="477D7358"/>
    <w:rsid w:val="4839282C"/>
    <w:rsid w:val="48C232D1"/>
    <w:rsid w:val="49E934D2"/>
    <w:rsid w:val="4C6C1422"/>
    <w:rsid w:val="4D93478D"/>
    <w:rsid w:val="4DEB45C9"/>
    <w:rsid w:val="4F570A11"/>
    <w:rsid w:val="4F931318"/>
    <w:rsid w:val="5202620F"/>
    <w:rsid w:val="524E3378"/>
    <w:rsid w:val="52974D1F"/>
    <w:rsid w:val="52B34D11"/>
    <w:rsid w:val="52D25D57"/>
    <w:rsid w:val="54F361C4"/>
    <w:rsid w:val="564F39A0"/>
    <w:rsid w:val="56864D1B"/>
    <w:rsid w:val="594E2DC4"/>
    <w:rsid w:val="5F091935"/>
    <w:rsid w:val="600357A2"/>
    <w:rsid w:val="607B17DC"/>
    <w:rsid w:val="607C0B7C"/>
    <w:rsid w:val="60A8687A"/>
    <w:rsid w:val="61674D97"/>
    <w:rsid w:val="61734397"/>
    <w:rsid w:val="61E01A4B"/>
    <w:rsid w:val="628D697B"/>
    <w:rsid w:val="64045EA5"/>
    <w:rsid w:val="64A70A2F"/>
    <w:rsid w:val="64EF2654"/>
    <w:rsid w:val="659155FE"/>
    <w:rsid w:val="65A65DC2"/>
    <w:rsid w:val="65DD3267"/>
    <w:rsid w:val="68B7541D"/>
    <w:rsid w:val="6A830692"/>
    <w:rsid w:val="6C4E0629"/>
    <w:rsid w:val="6D8E5EC9"/>
    <w:rsid w:val="6FAC310C"/>
    <w:rsid w:val="6FC957F4"/>
    <w:rsid w:val="6FD256EB"/>
    <w:rsid w:val="70186240"/>
    <w:rsid w:val="70320254"/>
    <w:rsid w:val="709B5A6E"/>
    <w:rsid w:val="71626318"/>
    <w:rsid w:val="71A302B2"/>
    <w:rsid w:val="723B77F7"/>
    <w:rsid w:val="72CF322B"/>
    <w:rsid w:val="745A3047"/>
    <w:rsid w:val="760C373B"/>
    <w:rsid w:val="763806FA"/>
    <w:rsid w:val="77E54E88"/>
    <w:rsid w:val="78950BD3"/>
    <w:rsid w:val="7A720E7C"/>
    <w:rsid w:val="7A83637E"/>
    <w:rsid w:val="7AB47168"/>
    <w:rsid w:val="7DC04F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ind w:firstLine="883"/>
      <w:outlineLvl w:val="2"/>
    </w:pPr>
    <w:rPr>
      <w:b/>
      <w:bCs/>
    </w:rPr>
  </w:style>
  <w:style w:type="paragraph" w:styleId="5">
    <w:name w:val="heading 4"/>
    <w:basedOn w:val="1"/>
    <w:next w:val="1"/>
    <w:qFormat/>
    <w:uiPriority w:val="0"/>
    <w:pPr>
      <w:keepNext/>
      <w:keepLines/>
      <w:widowControl w:val="0"/>
      <w:spacing w:before="50" w:beforeLines="50" w:line="360" w:lineRule="auto"/>
      <w:jc w:val="both"/>
      <w:outlineLvl w:val="3"/>
    </w:pPr>
    <w:rPr>
      <w:rFonts w:ascii="Cambria" w:hAnsi="Cambria" w:eastAsia="宋体" w:cs="Times New Roman"/>
      <w:b/>
      <w:bCs/>
      <w:sz w:val="24"/>
      <w:szCs w:val="28"/>
      <w:lang w:val="en-US" w:eastAsia="zh-CN" w:bidi="ar-SA"/>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caption"/>
    <w:basedOn w:val="1"/>
    <w:next w:val="1"/>
    <w:unhideWhenUsed/>
    <w:qFormat/>
    <w:uiPriority w:val="0"/>
    <w:pPr>
      <w:spacing w:line="240" w:lineRule="exact"/>
      <w:ind w:firstLine="0" w:firstLineChars="0"/>
      <w:jc w:val="center"/>
    </w:pPr>
    <w:rPr>
      <w:rFonts w:ascii="Times New Roman" w:hAnsi="Times New Roman" w:eastAsia="宋体"/>
      <w:b/>
      <w:sz w:val="21"/>
    </w:rPr>
  </w:style>
  <w:style w:type="paragraph" w:styleId="7">
    <w:name w:val="annotation text"/>
    <w:basedOn w:val="1"/>
    <w:qFormat/>
    <w:uiPriority w:val="0"/>
    <w:pPr>
      <w:jc w:val="left"/>
    </w:pPr>
  </w:style>
  <w:style w:type="paragraph" w:styleId="8">
    <w:name w:val="Salutation"/>
    <w:basedOn w:val="1"/>
    <w:next w:val="1"/>
    <w:qFormat/>
    <w:uiPriority w:val="0"/>
  </w:style>
  <w:style w:type="paragraph" w:styleId="9">
    <w:name w:val="Body Text"/>
    <w:basedOn w:val="1"/>
    <w:next w:val="1"/>
    <w:semiHidden/>
    <w:qFormat/>
    <w:uiPriority w:val="0"/>
    <w:rPr>
      <w:rFonts w:ascii="Arial" w:hAnsi="Arial" w:eastAsia="Arial" w:cs="Arial"/>
      <w:sz w:val="21"/>
      <w:szCs w:val="21"/>
      <w:lang w:val="en-US" w:eastAsia="en-US" w:bidi="ar-SA"/>
    </w:rPr>
  </w:style>
  <w:style w:type="paragraph" w:styleId="10">
    <w:name w:val="Body Text Indent"/>
    <w:basedOn w:val="1"/>
    <w:qFormat/>
    <w:uiPriority w:val="0"/>
    <w:pPr>
      <w:widowControl w:val="0"/>
      <w:spacing w:line="480" w:lineRule="exact"/>
      <w:ind w:left="40" w:firstLine="439" w:firstLineChars="183"/>
      <w:jc w:val="both"/>
    </w:pPr>
    <w:rPr>
      <w:rFonts w:ascii="宋体" w:hAnsi="宋体" w:eastAsia="宋体" w:cs="Times New Roman"/>
      <w:kern w:val="2"/>
      <w:sz w:val="24"/>
      <w:szCs w:val="24"/>
      <w:lang w:val="en-US" w:eastAsia="zh-CN" w:bidi="ar-SA"/>
    </w:rPr>
  </w:style>
  <w:style w:type="paragraph" w:styleId="11">
    <w:name w:val="toc 3"/>
    <w:basedOn w:val="1"/>
    <w:next w:val="1"/>
    <w:qFormat/>
    <w:uiPriority w:val="0"/>
    <w:pPr>
      <w:ind w:left="840" w:leftChars="400"/>
    </w:pPr>
  </w:style>
  <w:style w:type="paragraph" w:styleId="12">
    <w:name w:val="Plain Text"/>
    <w:basedOn w:val="1"/>
    <w:qFormat/>
    <w:uiPriority w:val="0"/>
    <w:pPr>
      <w:adjustRightInd w:val="0"/>
      <w:snapToGrid w:val="0"/>
    </w:pPr>
    <w:rPr>
      <w:rFonts w:ascii="宋体" w:hAnsi="Courier New"/>
      <w:kern w:val="0"/>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List"/>
    <w:basedOn w:val="1"/>
    <w:qFormat/>
    <w:uiPriority w:val="0"/>
    <w:pPr>
      <w:autoSpaceDE w:val="0"/>
      <w:autoSpaceDN w:val="0"/>
      <w:spacing w:line="240" w:lineRule="auto"/>
      <w:jc w:val="center"/>
      <w:textAlignment w:val="center"/>
    </w:pPr>
    <w:rPr>
      <w:rFonts w:ascii="Times New Roman" w:hAnsi="Times New Roman" w:eastAsia="宋体"/>
      <w:sz w:val="21"/>
      <w:szCs w:val="21"/>
    </w:rPr>
  </w:style>
  <w:style w:type="paragraph" w:styleId="17">
    <w:name w:val="toc 2"/>
    <w:basedOn w:val="1"/>
    <w:next w:val="1"/>
    <w:qFormat/>
    <w:uiPriority w:val="0"/>
    <w:pPr>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cs="宋体"/>
      <w:kern w:val="0"/>
    </w:rPr>
  </w:style>
  <w:style w:type="paragraph" w:styleId="19">
    <w:name w:val="Body Text First Indent"/>
    <w:basedOn w:val="9"/>
    <w:next w:val="1"/>
    <w:qFormat/>
    <w:uiPriority w:val="0"/>
    <w:pPr>
      <w:spacing w:line="480" w:lineRule="atLeast"/>
      <w:ind w:firstLine="567"/>
    </w:pPr>
    <w:rPr>
      <w:rFonts w:ascii="宋体"/>
      <w:kern w:val="0"/>
      <w:sz w:val="28"/>
      <w:szCs w:val="20"/>
    </w:rPr>
  </w:style>
  <w:style w:type="paragraph" w:styleId="20">
    <w:name w:val="Body Text First Indent 2"/>
    <w:basedOn w:val="10"/>
    <w:qFormat/>
    <w:uiPriority w:val="0"/>
    <w:pPr>
      <w:widowControl w:val="0"/>
      <w:spacing w:after="120" w:line="240" w:lineRule="auto"/>
      <w:ind w:left="420" w:leftChars="200" w:firstLine="420" w:firstLineChars="200"/>
      <w:jc w:val="both"/>
    </w:pPr>
    <w:rPr>
      <w:rFonts w:ascii="宋体" w:hAnsi="宋体" w:eastAsia="宋体" w:cs="Times New Roman"/>
      <w:kern w:val="2"/>
      <w:sz w:val="21"/>
      <w:szCs w:val="24"/>
      <w:lang w:val="en-US" w:eastAsia="zh-CN" w:bidi="ar-SA"/>
    </w:rPr>
  </w:style>
  <w:style w:type="table" w:styleId="22">
    <w:name w:val="Table Grid"/>
    <w:basedOn w:val="21"/>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paragraph" w:customStyle="1" w:styleId="25">
    <w:name w:val="Plain Text1"/>
    <w:basedOn w:val="1"/>
    <w:autoRedefine/>
    <w:qFormat/>
    <w:uiPriority w:val="0"/>
    <w:rPr>
      <w:rFonts w:ascii="宋体" w:hAnsi="Courier New"/>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宋体" w:hAnsi="宋体" w:eastAsia="宋体" w:cs="宋体"/>
      <w:sz w:val="21"/>
      <w:szCs w:val="21"/>
      <w:lang w:val="en-US" w:eastAsia="en-US" w:bidi="ar-SA"/>
    </w:rPr>
  </w:style>
  <w:style w:type="paragraph" w:customStyle="1" w:styleId="28">
    <w:name w:val="样式 标题 1 + 四号 段前: 0 磅 段后: 0 磅 行距: 1.5 倍行距"/>
    <w:basedOn w:val="29"/>
    <w:next w:val="1"/>
    <w:qFormat/>
    <w:uiPriority w:val="0"/>
    <w:pPr>
      <w:spacing w:line="360" w:lineRule="auto"/>
      <w:jc w:val="center"/>
    </w:pPr>
    <w:rPr>
      <w:rFonts w:hAnsi="黑体" w:eastAsia="宋体"/>
      <w:sz w:val="21"/>
    </w:rPr>
  </w:style>
  <w:style w:type="paragraph" w:customStyle="1" w:styleId="29">
    <w:name w:val="1正文"/>
    <w:qFormat/>
    <w:uiPriority w:val="0"/>
    <w:pPr>
      <w:snapToGrid w:val="0"/>
      <w:spacing w:line="360" w:lineRule="auto"/>
      <w:ind w:firstLine="200" w:firstLineChars="200"/>
      <w:jc w:val="both"/>
    </w:pPr>
    <w:rPr>
      <w:rFonts w:ascii="Tms Rmn" w:hAnsi="Tms Rmn" w:eastAsia="華康中楷體" w:cs="??"/>
      <w:kern w:val="2"/>
      <w:sz w:val="24"/>
      <w:szCs w:val="24"/>
      <w:lang w:val="en-US" w:eastAsia="zh-CN" w:bidi="ar-SA"/>
    </w:rPr>
  </w:style>
  <w:style w:type="paragraph" w:styleId="30">
    <w:name w:val="List Paragraph"/>
    <w:basedOn w:val="1"/>
    <w:qFormat/>
    <w:uiPriority w:val="34"/>
    <w:pPr>
      <w:ind w:firstLine="420" w:firstLineChars="200"/>
    </w:pPr>
  </w:style>
  <w:style w:type="paragraph" w:customStyle="1" w:styleId="31">
    <w:name w:val="B表头"/>
    <w:qFormat/>
    <w:uiPriority w:val="0"/>
    <w:pPr>
      <w:jc w:val="center"/>
    </w:pPr>
    <w:rPr>
      <w:rFonts w:ascii="Calibri" w:hAnsi="Calibri" w:eastAsia="黑体" w:cs="Times New Roman"/>
      <w:kern w:val="2"/>
      <w:sz w:val="24"/>
      <w:szCs w:val="24"/>
      <w:lang w:val="en-US" w:eastAsia="zh-CN" w:bidi="ar-SA"/>
    </w:rPr>
  </w:style>
  <w:style w:type="paragraph" w:customStyle="1" w:styleId="32">
    <w:name w:val="表头图名"/>
    <w:basedOn w:val="1"/>
    <w:qFormat/>
    <w:uiPriority w:val="0"/>
    <w:pPr>
      <w:adjustRightInd w:val="0"/>
      <w:snapToGrid w:val="0"/>
      <w:spacing w:line="240" w:lineRule="auto"/>
      <w:ind w:firstLine="0" w:firstLineChars="0"/>
      <w:jc w:val="center"/>
    </w:pPr>
    <w:rPr>
      <w:rFonts w:cs="Times New Roman"/>
      <w:b/>
      <w:color w:val="000000"/>
      <w:szCs w:val="21"/>
    </w:rPr>
  </w:style>
  <w:style w:type="paragraph" w:customStyle="1" w:styleId="33">
    <w:name w:val="Table Paragraph"/>
    <w:basedOn w:val="1"/>
    <w:qFormat/>
    <w:uiPriority w:val="1"/>
    <w:pPr>
      <w:autoSpaceDE w:val="0"/>
      <w:autoSpaceDN w:val="0"/>
      <w:spacing w:line="240" w:lineRule="auto"/>
      <w:jc w:val="left"/>
    </w:pPr>
    <w:rPr>
      <w:rFonts w:cs="Times New Roman"/>
      <w:kern w:val="0"/>
    </w:rPr>
  </w:style>
  <w:style w:type="paragraph" w:customStyle="1" w:styleId="34">
    <w:name w:val="表头"/>
    <w:basedOn w:val="35"/>
    <w:next w:val="1"/>
    <w:autoRedefine/>
    <w:qFormat/>
    <w:uiPriority w:val="0"/>
    <w:pPr>
      <w:spacing w:line="240" w:lineRule="auto"/>
      <w:ind w:firstLine="0" w:firstLineChars="0"/>
      <w:jc w:val="center"/>
    </w:pPr>
    <w:rPr>
      <w:rFonts w:ascii="Times New Roman" w:hAnsi="Times New Roman" w:eastAsiaTheme="minorEastAsia" w:cstheme="minorBidi"/>
      <w:b/>
      <w:sz w:val="21"/>
      <w:szCs w:val="22"/>
    </w:rPr>
  </w:style>
  <w:style w:type="paragraph" w:customStyle="1" w:styleId="35">
    <w:name w:val="正文1"/>
    <w:basedOn w:val="1"/>
    <w:autoRedefine/>
    <w:qFormat/>
    <w:uiPriority w:val="0"/>
    <w:pPr>
      <w:spacing w:before="78" w:beforeLines="25" w:after="78" w:afterLines="25"/>
      <w:ind w:firstLine="480" w:firstLineChars="200"/>
    </w:pPr>
  </w:style>
  <w:style w:type="paragraph" w:customStyle="1" w:styleId="36">
    <w:name w:val="D表格标题"/>
    <w:basedOn w:val="1"/>
    <w:next w:val="1"/>
    <w:qFormat/>
    <w:uiPriority w:val="0"/>
    <w:pPr>
      <w:spacing w:line="240" w:lineRule="auto"/>
      <w:ind w:firstLine="0" w:firstLineChars="0"/>
      <w:jc w:val="center"/>
    </w:pPr>
    <w:rPr>
      <w:b/>
      <w:sz w:val="21"/>
    </w:rPr>
  </w:style>
  <w:style w:type="paragraph" w:customStyle="1" w:styleId="37">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8">
    <w:name w:val="font51"/>
    <w:basedOn w:val="23"/>
    <w:qFormat/>
    <w:uiPriority w:val="0"/>
    <w:rPr>
      <w:rFonts w:hint="default" w:ascii="Times New Roman" w:hAnsi="Times New Roman" w:cs="Times New Roman"/>
      <w:color w:val="000000"/>
      <w:sz w:val="21"/>
      <w:szCs w:val="21"/>
      <w:u w:val="none"/>
      <w:vertAlign w:val="superscript"/>
    </w:rPr>
  </w:style>
  <w:style w:type="character" w:customStyle="1" w:styleId="39">
    <w:name w:val="font31"/>
    <w:basedOn w:val="23"/>
    <w:qFormat/>
    <w:uiPriority w:val="0"/>
    <w:rPr>
      <w:rFonts w:hint="default" w:ascii="Times New Roman" w:hAnsi="Times New Roman" w:cs="Times New Roman"/>
      <w:color w:val="000000"/>
      <w:sz w:val="21"/>
      <w:szCs w:val="21"/>
      <w:u w:val="none"/>
    </w:rPr>
  </w:style>
  <w:style w:type="character" w:customStyle="1" w:styleId="40">
    <w:name w:val="font21"/>
    <w:basedOn w:val="23"/>
    <w:qFormat/>
    <w:uiPriority w:val="0"/>
    <w:rPr>
      <w:rFonts w:hint="default" w:ascii="Times New Roman" w:hAnsi="Times New Roman" w:cs="Times New Roman"/>
      <w:color w:val="000000"/>
      <w:sz w:val="24"/>
      <w:szCs w:val="24"/>
      <w:u w:val="none"/>
    </w:rPr>
  </w:style>
  <w:style w:type="character" w:customStyle="1" w:styleId="41">
    <w:name w:val="font11"/>
    <w:basedOn w:val="23"/>
    <w:qFormat/>
    <w:uiPriority w:val="0"/>
    <w:rPr>
      <w:rFonts w:hint="default" w:ascii="Times New Roman" w:hAnsi="Times New Roman" w:cs="Times New Roman"/>
      <w:color w:val="000000"/>
      <w:sz w:val="24"/>
      <w:szCs w:val="24"/>
      <w:u w:val="none"/>
    </w:rPr>
  </w:style>
  <w:style w:type="character" w:customStyle="1" w:styleId="42">
    <w:name w:val="font61"/>
    <w:basedOn w:val="23"/>
    <w:qFormat/>
    <w:uiPriority w:val="0"/>
    <w:rPr>
      <w:rFonts w:hint="default" w:ascii="Times New Roman" w:hAnsi="Times New Roman" w:cs="Times New Roman"/>
      <w:color w:val="000000"/>
      <w:sz w:val="21"/>
      <w:szCs w:val="21"/>
      <w:u w:val="none"/>
      <w:vertAlign w:val="superscript"/>
    </w:rPr>
  </w:style>
  <w:style w:type="character" w:customStyle="1" w:styleId="43">
    <w:name w:val="font71"/>
    <w:basedOn w:val="23"/>
    <w:qFormat/>
    <w:uiPriority w:val="0"/>
    <w:rPr>
      <w:rFonts w:hint="eastAsia" w:ascii="宋体" w:hAnsi="宋体" w:eastAsia="宋体" w:cs="宋体"/>
      <w:color w:val="000000"/>
      <w:sz w:val="20"/>
      <w:szCs w:val="20"/>
      <w:u w:val="none"/>
    </w:rPr>
  </w:style>
  <w:style w:type="character" w:customStyle="1" w:styleId="44">
    <w:name w:val="font41"/>
    <w:basedOn w:val="23"/>
    <w:qFormat/>
    <w:uiPriority w:val="0"/>
    <w:rPr>
      <w:rFonts w:hint="eastAsia" w:ascii="宋体" w:hAnsi="宋体" w:eastAsia="宋体" w:cs="宋体"/>
      <w:color w:val="000000"/>
      <w:sz w:val="24"/>
      <w:szCs w:val="24"/>
      <w:u w:val="none"/>
    </w:rPr>
  </w:style>
  <w:style w:type="paragraph" w:customStyle="1" w:styleId="45">
    <w:name w:val="表格文字"/>
    <w:basedOn w:val="1"/>
    <w:qFormat/>
    <w:uiPriority w:val="0"/>
    <w:pPr>
      <w:spacing w:line="240" w:lineRule="exact"/>
      <w:ind w:firstLine="0" w:firstLineChars="0"/>
      <w:jc w:val="center"/>
    </w:pPr>
    <w:rPr>
      <w:rFonts w:ascii="Times New Roman" w:hAnsi="Times New Roman"/>
      <w:color w:val="auto"/>
      <w:sz w:val="21"/>
    </w:rPr>
  </w:style>
  <w:style w:type="paragraph" w:customStyle="1" w:styleId="46">
    <w:name w:val="D表格内容"/>
    <w:basedOn w:val="1"/>
    <w:qFormat/>
    <w:uiPriority w:val="0"/>
    <w:pPr>
      <w:spacing w:line="240" w:lineRule="auto"/>
      <w:ind w:firstLine="0" w:firstLineChars="0"/>
      <w:jc w:val="center"/>
    </w:pPr>
    <w:rPr>
      <w:sz w:val="21"/>
    </w:rPr>
  </w:style>
  <w:style w:type="paragraph" w:customStyle="1" w:styleId="47">
    <w:name w:val="111正文"/>
    <w:basedOn w:val="1"/>
    <w:qFormat/>
    <w:uiPriority w:val="99"/>
    <w:pPr>
      <w:tabs>
        <w:tab w:val="left" w:pos="600"/>
      </w:tabs>
    </w:pPr>
    <w:rPr>
      <w:rFonts w:ascii="Calibri" w:hAnsi="Calibri"/>
      <w:szCs w:val="22"/>
      <w:lang w:val="zh-CN"/>
    </w:rPr>
  </w:style>
  <w:style w:type="paragraph" w:customStyle="1" w:styleId="48">
    <w:name w:val="1、正文文本"/>
    <w:next w:val="1"/>
    <w:autoRedefine/>
    <w:qFormat/>
    <w:uiPriority w:val="0"/>
    <w:pPr>
      <w:adjustRightInd w:val="0"/>
      <w:snapToGrid w:val="0"/>
      <w:spacing w:line="360" w:lineRule="auto"/>
      <w:ind w:firstLine="200" w:firstLineChars="200"/>
      <w:jc w:val="both"/>
    </w:pPr>
    <w:rPr>
      <w:rFonts w:ascii="Times New Roman" w:hAnsi="Times New Roman" w:eastAsia="宋体" w:cs="宋体"/>
      <w:kern w:val="2"/>
      <w:sz w:val="24"/>
      <w:lang w:val="en-US" w:eastAsia="zh-CN" w:bidi="ar-SA"/>
    </w:rPr>
  </w:style>
  <w:style w:type="paragraph" w:customStyle="1" w:styleId="49">
    <w:name w:val="正文啊"/>
    <w:next w:val="1"/>
    <w:autoRedefine/>
    <w:qFormat/>
    <w:uiPriority w:val="0"/>
    <w:pPr>
      <w:widowControl w:val="0"/>
      <w:adjustRightInd w:val="0"/>
      <w:spacing w:line="360" w:lineRule="auto"/>
      <w:ind w:firstLine="482" w:firstLineChars="200"/>
    </w:pPr>
    <w:rPr>
      <w:rFonts w:ascii="Times New Roman" w:hAnsi="Times New Roman" w:eastAsia="宋体" w:cs="Times New Roman"/>
      <w:sz w:val="24"/>
      <w:lang w:val="en-US" w:eastAsia="zh-CN" w:bidi="ar-SA"/>
    </w:rPr>
  </w:style>
  <w:style w:type="paragraph" w:customStyle="1" w:styleId="50">
    <w:name w:val="正文K"/>
    <w:basedOn w:val="1"/>
    <w:autoRedefine/>
    <w:qFormat/>
    <w:uiPriority w:val="0"/>
    <w:pPr>
      <w:widowControl/>
      <w:ind w:firstLine="480"/>
    </w:pPr>
    <w:rPr>
      <w:rFonts w:ascii="宋体" w:hAnsi="宋体" w:cstheme="minorEastAsia"/>
      <w:szCs w:val="24"/>
      <w:shd w:val="clear" w:color="auto" w:fill="FFFFFF"/>
    </w:rPr>
  </w:style>
</w:styles>
</file>

<file path=word/_rels/document.xml.rels><?xml version="1.0" encoding="UTF-8" standalone="yes"?>
<Relationships xmlns="http://schemas.openxmlformats.org/package/2006/relationships"><Relationship Id="rId99" Type="http://schemas.openxmlformats.org/officeDocument/2006/relationships/image" Target="media/image59.png"/><Relationship Id="rId98" Type="http://schemas.openxmlformats.org/officeDocument/2006/relationships/image" Target="media/image58.png"/><Relationship Id="rId97" Type="http://schemas.openxmlformats.org/officeDocument/2006/relationships/image" Target="media/image57.png"/><Relationship Id="rId96" Type="http://schemas.openxmlformats.org/officeDocument/2006/relationships/image" Target="media/image56.png"/><Relationship Id="rId95" Type="http://schemas.openxmlformats.org/officeDocument/2006/relationships/image" Target="media/image55.jpeg"/><Relationship Id="rId94" Type="http://schemas.openxmlformats.org/officeDocument/2006/relationships/image" Target="media/image54.jpeg"/><Relationship Id="rId93" Type="http://schemas.openxmlformats.org/officeDocument/2006/relationships/image" Target="media/image53.png"/><Relationship Id="rId92" Type="http://schemas.openxmlformats.org/officeDocument/2006/relationships/image" Target="media/image52.png"/><Relationship Id="rId91" Type="http://schemas.openxmlformats.org/officeDocument/2006/relationships/image" Target="media/image51.png"/><Relationship Id="rId90" Type="http://schemas.openxmlformats.org/officeDocument/2006/relationships/image" Target="media/image50.png"/><Relationship Id="rId9" Type="http://schemas.openxmlformats.org/officeDocument/2006/relationships/footer" Target="footer4.xml"/><Relationship Id="rId89" Type="http://schemas.openxmlformats.org/officeDocument/2006/relationships/image" Target="media/image49.png"/><Relationship Id="rId88" Type="http://schemas.openxmlformats.org/officeDocument/2006/relationships/image" Target="media/image48.png"/><Relationship Id="rId87" Type="http://schemas.openxmlformats.org/officeDocument/2006/relationships/image" Target="media/image47.png"/><Relationship Id="rId86" Type="http://schemas.openxmlformats.org/officeDocument/2006/relationships/image" Target="media/image46.png"/><Relationship Id="rId85" Type="http://schemas.openxmlformats.org/officeDocument/2006/relationships/image" Target="media/image45.png"/><Relationship Id="rId84" Type="http://schemas.openxmlformats.org/officeDocument/2006/relationships/image" Target="media/image44.jpeg"/><Relationship Id="rId83" Type="http://schemas.openxmlformats.org/officeDocument/2006/relationships/image" Target="media/image43.jpeg"/><Relationship Id="rId82" Type="http://schemas.openxmlformats.org/officeDocument/2006/relationships/image" Target="media/image42.png"/><Relationship Id="rId81" Type="http://schemas.openxmlformats.org/officeDocument/2006/relationships/image" Target="media/image41.png"/><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19.bin"/><Relationship Id="rId78" Type="http://schemas.openxmlformats.org/officeDocument/2006/relationships/image" Target="media/image39.wmf"/><Relationship Id="rId77" Type="http://schemas.openxmlformats.org/officeDocument/2006/relationships/oleObject" Target="embeddings/oleObject18.bin"/><Relationship Id="rId76" Type="http://schemas.openxmlformats.org/officeDocument/2006/relationships/image" Target="media/image38.wmf"/><Relationship Id="rId75" Type="http://schemas.openxmlformats.org/officeDocument/2006/relationships/oleObject" Target="embeddings/oleObject17.bin"/><Relationship Id="rId74" Type="http://schemas.openxmlformats.org/officeDocument/2006/relationships/image" Target="media/image37.png"/><Relationship Id="rId73" Type="http://schemas.openxmlformats.org/officeDocument/2006/relationships/image" Target="media/image36.png"/><Relationship Id="rId72" Type="http://schemas.openxmlformats.org/officeDocument/2006/relationships/image" Target="media/image35.wmf"/><Relationship Id="rId71" Type="http://schemas.openxmlformats.org/officeDocument/2006/relationships/oleObject" Target="embeddings/oleObject16.bin"/><Relationship Id="rId70" Type="http://schemas.openxmlformats.org/officeDocument/2006/relationships/image" Target="media/image34.wmf"/><Relationship Id="rId7" Type="http://schemas.openxmlformats.org/officeDocument/2006/relationships/header" Target="header1.xml"/><Relationship Id="rId69" Type="http://schemas.openxmlformats.org/officeDocument/2006/relationships/oleObject" Target="embeddings/oleObject15.bin"/><Relationship Id="rId68" Type="http://schemas.openxmlformats.org/officeDocument/2006/relationships/image" Target="media/image33.wmf"/><Relationship Id="rId67" Type="http://schemas.openxmlformats.org/officeDocument/2006/relationships/oleObject" Target="embeddings/oleObject14.bin"/><Relationship Id="rId66" Type="http://schemas.openxmlformats.org/officeDocument/2006/relationships/image" Target="media/image32.wmf"/><Relationship Id="rId65" Type="http://schemas.openxmlformats.org/officeDocument/2006/relationships/oleObject" Target="embeddings/oleObject13.bin"/><Relationship Id="rId64" Type="http://schemas.openxmlformats.org/officeDocument/2006/relationships/image" Target="media/image31.wmf"/><Relationship Id="rId63" Type="http://schemas.openxmlformats.org/officeDocument/2006/relationships/oleObject" Target="embeddings/oleObject12.bin"/><Relationship Id="rId62" Type="http://schemas.openxmlformats.org/officeDocument/2006/relationships/image" Target="media/image30.wmf"/><Relationship Id="rId61" Type="http://schemas.openxmlformats.org/officeDocument/2006/relationships/oleObject" Target="embeddings/oleObject11.bin"/><Relationship Id="rId60" Type="http://schemas.openxmlformats.org/officeDocument/2006/relationships/image" Target="media/image29.wmf"/><Relationship Id="rId6" Type="http://schemas.openxmlformats.org/officeDocument/2006/relationships/footer" Target="footer2.xml"/><Relationship Id="rId59" Type="http://schemas.openxmlformats.org/officeDocument/2006/relationships/oleObject" Target="embeddings/oleObject10.bin"/><Relationship Id="rId58" Type="http://schemas.openxmlformats.org/officeDocument/2006/relationships/image" Target="media/image28.png"/><Relationship Id="rId57" Type="http://schemas.openxmlformats.org/officeDocument/2006/relationships/image" Target="media/image27.png"/><Relationship Id="rId56" Type="http://schemas.openxmlformats.org/officeDocument/2006/relationships/image" Target="media/image26.png"/><Relationship Id="rId55" Type="http://schemas.openxmlformats.org/officeDocument/2006/relationships/image" Target="media/image25.png"/><Relationship Id="rId54" Type="http://schemas.openxmlformats.org/officeDocument/2006/relationships/image" Target="media/image24.png"/><Relationship Id="rId53" Type="http://schemas.openxmlformats.org/officeDocument/2006/relationships/image" Target="media/image23.png"/><Relationship Id="rId52" Type="http://schemas.openxmlformats.org/officeDocument/2006/relationships/image" Target="media/image22.wmf"/><Relationship Id="rId51" Type="http://schemas.openxmlformats.org/officeDocument/2006/relationships/oleObject" Target="embeddings/oleObject9.bin"/><Relationship Id="rId50" Type="http://schemas.openxmlformats.org/officeDocument/2006/relationships/image" Target="media/image21.wmf"/><Relationship Id="rId5" Type="http://schemas.openxmlformats.org/officeDocument/2006/relationships/footer" Target="footer1.xml"/><Relationship Id="rId49" Type="http://schemas.openxmlformats.org/officeDocument/2006/relationships/oleObject" Target="embeddings/oleObject8.bin"/><Relationship Id="rId48" Type="http://schemas.openxmlformats.org/officeDocument/2006/relationships/image" Target="media/image20.wmf"/><Relationship Id="rId47" Type="http://schemas.openxmlformats.org/officeDocument/2006/relationships/oleObject" Target="embeddings/oleObject7.bin"/><Relationship Id="rId46" Type="http://schemas.openxmlformats.org/officeDocument/2006/relationships/image" Target="media/image19.wmf"/><Relationship Id="rId45" Type="http://schemas.openxmlformats.org/officeDocument/2006/relationships/oleObject" Target="embeddings/oleObject6.bin"/><Relationship Id="rId44" Type="http://schemas.openxmlformats.org/officeDocument/2006/relationships/image" Target="media/image18.wmf"/><Relationship Id="rId43" Type="http://schemas.openxmlformats.org/officeDocument/2006/relationships/oleObject" Target="embeddings/oleObject5.bin"/><Relationship Id="rId42" Type="http://schemas.openxmlformats.org/officeDocument/2006/relationships/image" Target="media/image17.wmf"/><Relationship Id="rId41" Type="http://schemas.openxmlformats.org/officeDocument/2006/relationships/oleObject" Target="embeddings/oleObject4.bin"/><Relationship Id="rId40" Type="http://schemas.openxmlformats.org/officeDocument/2006/relationships/image" Target="media/image16.wmf"/><Relationship Id="rId4" Type="http://schemas.openxmlformats.org/officeDocument/2006/relationships/endnotes" Target="endnotes.xml"/><Relationship Id="rId39" Type="http://schemas.openxmlformats.org/officeDocument/2006/relationships/oleObject" Target="embeddings/oleObject3.bin"/><Relationship Id="rId38" Type="http://schemas.openxmlformats.org/officeDocument/2006/relationships/image" Target="media/image15.wmf"/><Relationship Id="rId37" Type="http://schemas.openxmlformats.org/officeDocument/2006/relationships/oleObject" Target="embeddings/oleObject2.bin"/><Relationship Id="rId36" Type="http://schemas.openxmlformats.org/officeDocument/2006/relationships/image" Target="media/image14.jpeg"/><Relationship Id="rId35" Type="http://schemas.openxmlformats.org/officeDocument/2006/relationships/image" Target="media/image13.jpeg"/><Relationship Id="rId34" Type="http://schemas.openxmlformats.org/officeDocument/2006/relationships/image" Target="media/image12.jpeg"/><Relationship Id="rId33" Type="http://schemas.openxmlformats.org/officeDocument/2006/relationships/image" Target="media/image11.png"/><Relationship Id="rId32" Type="http://schemas.openxmlformats.org/officeDocument/2006/relationships/image" Target="media/image10.png"/><Relationship Id="rId31" Type="http://schemas.openxmlformats.org/officeDocument/2006/relationships/image" Target="media/image9.png"/><Relationship Id="rId30" Type="http://schemas.openxmlformats.org/officeDocument/2006/relationships/image" Target="media/image8.png"/><Relationship Id="rId3" Type="http://schemas.openxmlformats.org/officeDocument/2006/relationships/footnotes" Target="footnotes.xml"/><Relationship Id="rId29" Type="http://schemas.openxmlformats.org/officeDocument/2006/relationships/image" Target="media/image7.png"/><Relationship Id="rId28" Type="http://schemas.openxmlformats.org/officeDocument/2006/relationships/image" Target="media/image6.emf"/><Relationship Id="rId27" Type="http://schemas.openxmlformats.org/officeDocument/2006/relationships/oleObject" Target="embeddings/oleObject1.bin"/><Relationship Id="rId26" Type="http://schemas.openxmlformats.org/officeDocument/2006/relationships/image" Target="media/image5.jpeg"/><Relationship Id="rId25" Type="http://schemas.openxmlformats.org/officeDocument/2006/relationships/image" Target="media/image4.png"/><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1" Type="http://schemas.openxmlformats.org/officeDocument/2006/relationships/fontTable" Target="fontTable.xml"/><Relationship Id="rId110" Type="http://schemas.openxmlformats.org/officeDocument/2006/relationships/numbering" Target="numbering.xml"/><Relationship Id="rId11" Type="http://schemas.openxmlformats.org/officeDocument/2006/relationships/header" Target="header3.xml"/><Relationship Id="rId109" Type="http://schemas.openxmlformats.org/officeDocument/2006/relationships/customXml" Target="../customXml/item1.xml"/><Relationship Id="rId108" Type="http://schemas.openxmlformats.org/officeDocument/2006/relationships/image" Target="media/image67.png"/><Relationship Id="rId107" Type="http://schemas.openxmlformats.org/officeDocument/2006/relationships/image" Target="media/image66.png"/><Relationship Id="rId106" Type="http://schemas.openxmlformats.org/officeDocument/2006/relationships/image" Target="media/image65.png"/><Relationship Id="rId105" Type="http://schemas.openxmlformats.org/officeDocument/2006/relationships/image" Target="media/image64.png"/><Relationship Id="rId104" Type="http://schemas.openxmlformats.org/officeDocument/2006/relationships/image" Target="media/image63.wmf"/><Relationship Id="rId103" Type="http://schemas.openxmlformats.org/officeDocument/2006/relationships/oleObject" Target="embeddings/oleObject20.bin"/><Relationship Id="rId102" Type="http://schemas.openxmlformats.org/officeDocument/2006/relationships/image" Target="media/image62.jpeg"/><Relationship Id="rId101" Type="http://schemas.openxmlformats.org/officeDocument/2006/relationships/image" Target="media/image61.jpeg"/><Relationship Id="rId100" Type="http://schemas.openxmlformats.org/officeDocument/2006/relationships/image" Target="media/image60.jpeg"/><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217</Pages>
  <Words>6664</Words>
  <Characters>7513</Characters>
  <TotalTime>32</TotalTime>
  <ScaleCrop>false</ScaleCrop>
  <LinksUpToDate>false</LinksUpToDate>
  <CharactersWithSpaces>7969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2022-12-07T15:47:00Z</dcterms:created>
  <dc:creator>Administrator</dc:creator>
  <cp:lastModifiedBy>郭丽娜</cp:lastModifiedBy>
  <dcterms:modified xsi:type="dcterms:W3CDTF">2026-09-20T08:44:22Z</dcterms:modified>
  <dc:title>&lt;B9ABCABEB8E52DBBAAC4DCB5E1B6ABC3BAB5E7BBF9B5D8CCFAC2B7D7A8D3C3CFDFBBB7BEB3D3B0CFECB1A8B8E6CAE92E646F6378&gt;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2026-03-11T23:17:13Z</vt:filetime>
  </property>
  <property fmtid="{D5CDD505-2E9C-101B-9397-08002B2CF9AE}" pid="4" name="KSOTemplateDocerSaveRecord">
    <vt:lpwstr>eyJoZGlkIjoiYTA0OTFiNTllN2E3YTc2MDc5ZTIwYTg0ZjFlZjFlMWQiLCJ1c2VySWQiOiIzNzMyMDUyODEifQ==</vt:lpwstr>
  </property>
  <property fmtid="{D5CDD505-2E9C-101B-9397-08002B2CF9AE}" pid="5" name="KSOProductBuildVer">
    <vt:lpwstr>2052-12.1.0.28043</vt:lpwstr>
  </property>
  <property fmtid="{D5CDD505-2E9C-101B-9397-08002B2CF9AE}" pid="6" name="ICV">
    <vt:lpwstr>B9659CF9BFA643C2B4E0D0C098C68F80_13</vt:lpwstr>
  </property>
</Properties>
</file>