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7E22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0"/>
        <w:rPr>
          <w:rFonts w:hint="eastAsia" w:ascii="方正小标宋_GBK" w:eastAsia="方正小标宋_GBK"/>
          <w:bCs/>
          <w:sz w:val="52"/>
          <w:szCs w:val="52"/>
        </w:rPr>
      </w:pPr>
      <w:bookmarkStart w:id="0" w:name="_Toc9516"/>
      <w:r>
        <w:rPr>
          <w:rFonts w:hint="eastAsia" w:ascii="方正小标宋_GBK" w:eastAsia="方正小标宋_GBK"/>
          <w:bCs/>
          <w:sz w:val="52"/>
          <w:szCs w:val="52"/>
        </w:rPr>
        <w:t>建设项目</w:t>
      </w:r>
      <w:r>
        <w:rPr>
          <w:rFonts w:hint="eastAsia" w:ascii="方正小标宋_GBK" w:eastAsia="方正小标宋_GBK"/>
          <w:bCs/>
          <w:sz w:val="52"/>
          <w:szCs w:val="52"/>
          <w:lang w:eastAsia="zh-CN"/>
        </w:rPr>
        <w:t>生态</w:t>
      </w:r>
      <w:r>
        <w:rPr>
          <w:rFonts w:hint="eastAsia" w:ascii="方正小标宋_GBK" w:eastAsia="方正小标宋_GBK"/>
          <w:bCs/>
          <w:sz w:val="52"/>
          <w:szCs w:val="52"/>
        </w:rPr>
        <w:t>环境影响报告表</w:t>
      </w:r>
      <w:bookmarkEnd w:id="0"/>
    </w:p>
    <w:p w14:paraId="10F3DE9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楷体_GB2312" w:eastAsia="楷体_GB2312"/>
          <w:bCs/>
          <w:sz w:val="44"/>
          <w:szCs w:val="44"/>
        </w:rPr>
      </w:pPr>
      <w:r>
        <w:rPr>
          <w:rFonts w:hint="eastAsia" w:ascii="楷体_GB2312" w:eastAsia="楷体_GB2312"/>
          <w:bCs/>
          <w:sz w:val="44"/>
          <w:szCs w:val="44"/>
        </w:rPr>
        <w:t>（生态影响类）</w:t>
      </w:r>
    </w:p>
    <w:p w14:paraId="4434C49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楷体_GB2312" w:hAnsi="Times New Roman" w:eastAsia="楷体_GB2312" w:cs="Times New Roman"/>
          <w:bCs/>
          <w:sz w:val="36"/>
          <w:szCs w:val="36"/>
          <w:lang w:eastAsia="zh-CN"/>
        </w:rPr>
      </w:pPr>
      <w:r>
        <w:rPr>
          <w:rFonts w:hint="eastAsia" w:ascii="楷体_GB2312" w:hAnsi="Times New Roman" w:eastAsia="楷体_GB2312" w:cs="Times New Roman"/>
          <w:bCs/>
          <w:sz w:val="36"/>
          <w:szCs w:val="36"/>
          <w:lang w:eastAsia="zh-CN"/>
        </w:rPr>
        <w:t>报批稿</w:t>
      </w:r>
    </w:p>
    <w:p w14:paraId="1497D3B0">
      <w:pPr>
        <w:adjustRightInd w:val="0"/>
        <w:snapToGrid w:val="0"/>
        <w:spacing w:line="288" w:lineRule="auto"/>
        <w:ind w:firstLine="1040"/>
        <w:rPr>
          <w:rFonts w:hint="eastAsia" w:ascii="仿宋_GB2312" w:eastAsia="仿宋_GB2312"/>
          <w:sz w:val="36"/>
          <w:szCs w:val="36"/>
        </w:rPr>
      </w:pPr>
    </w:p>
    <w:p w14:paraId="4079788A">
      <w:pPr>
        <w:adjustRightInd w:val="0"/>
        <w:snapToGrid w:val="0"/>
        <w:spacing w:line="288" w:lineRule="auto"/>
        <w:ind w:firstLine="1040"/>
        <w:rPr>
          <w:rFonts w:hint="eastAsia" w:ascii="仿宋_GB2312" w:eastAsia="仿宋_GB2312"/>
          <w:sz w:val="36"/>
          <w:szCs w:val="36"/>
        </w:rPr>
      </w:pPr>
    </w:p>
    <w:p w14:paraId="5BEEB7B9">
      <w:pPr>
        <w:adjustRightInd w:val="0"/>
        <w:snapToGrid w:val="0"/>
        <w:spacing w:line="288" w:lineRule="auto"/>
        <w:ind w:firstLine="1040"/>
        <w:rPr>
          <w:rFonts w:hint="eastAsia" w:ascii="仿宋_GB2312" w:eastAsia="仿宋_GB2312"/>
          <w:sz w:val="36"/>
          <w:szCs w:val="36"/>
        </w:rPr>
      </w:pPr>
    </w:p>
    <w:p w14:paraId="6B9895EF">
      <w:pPr>
        <w:adjustRightInd w:val="0"/>
        <w:snapToGrid w:val="0"/>
        <w:spacing w:line="288" w:lineRule="auto"/>
        <w:ind w:firstLine="1040"/>
        <w:rPr>
          <w:rFonts w:hint="eastAsia" w:ascii="仿宋_GB2312" w:eastAsia="仿宋_GB2312"/>
          <w:sz w:val="36"/>
          <w:szCs w:val="36"/>
        </w:rPr>
      </w:pPr>
    </w:p>
    <w:p w14:paraId="42D88F91">
      <w:pPr>
        <w:adjustRightInd w:val="0"/>
        <w:snapToGrid w:val="0"/>
        <w:spacing w:line="288" w:lineRule="auto"/>
        <w:ind w:firstLine="1040"/>
        <w:rPr>
          <w:rFonts w:hint="eastAsia" w:ascii="仿宋_GB2312" w:eastAsia="仿宋_GB2312"/>
          <w:sz w:val="36"/>
          <w:szCs w:val="36"/>
        </w:rPr>
      </w:pPr>
    </w:p>
    <w:p w14:paraId="552F65BA">
      <w:pPr>
        <w:adjustRightInd w:val="0"/>
        <w:snapToGrid w:val="0"/>
        <w:spacing w:line="288" w:lineRule="auto"/>
        <w:ind w:firstLine="1040"/>
        <w:rPr>
          <w:rFonts w:hint="eastAsia" w:ascii="仿宋_GB2312" w:eastAsia="仿宋_GB2312"/>
          <w:sz w:val="36"/>
          <w:szCs w:val="36"/>
        </w:rPr>
      </w:pPr>
    </w:p>
    <w:p w14:paraId="4AB581A2">
      <w:pPr>
        <w:adjustRightInd w:val="0"/>
        <w:snapToGrid w:val="0"/>
        <w:spacing w:line="288" w:lineRule="auto"/>
        <w:ind w:firstLine="1040"/>
        <w:rPr>
          <w:rFonts w:hint="eastAsia" w:ascii="仿宋_GB2312" w:eastAsia="仿宋_GB2312"/>
          <w:sz w:val="36"/>
          <w:szCs w:val="36"/>
        </w:rPr>
      </w:pPr>
    </w:p>
    <w:p w14:paraId="199950B0">
      <w:pPr>
        <w:adjustRightInd w:val="0"/>
        <w:snapToGrid w:val="0"/>
        <w:spacing w:line="288" w:lineRule="auto"/>
        <w:ind w:firstLine="1040"/>
        <w:rPr>
          <w:rFonts w:hint="eastAsia" w:ascii="仿宋_GB2312" w:eastAsia="仿宋_GB2312"/>
          <w:sz w:val="36"/>
          <w:szCs w:val="36"/>
        </w:rPr>
      </w:pPr>
    </w:p>
    <w:p w14:paraId="7FE4F580">
      <w:pPr>
        <w:adjustRightInd w:val="0"/>
        <w:snapToGrid w:val="0"/>
        <w:spacing w:line="288" w:lineRule="auto"/>
        <w:ind w:firstLine="1040"/>
        <w:rPr>
          <w:rFonts w:hint="eastAsia" w:ascii="仿宋_GB2312" w:eastAsia="仿宋_GB2312"/>
          <w:sz w:val="36"/>
          <w:szCs w:val="36"/>
        </w:rPr>
      </w:pPr>
    </w:p>
    <w:p w14:paraId="7CC88383">
      <w:pPr>
        <w:adjustRightInd w:val="0"/>
        <w:snapToGrid w:val="0"/>
        <w:spacing w:line="288" w:lineRule="auto"/>
        <w:ind w:firstLine="1040"/>
        <w:rPr>
          <w:rFonts w:hint="eastAsia" w:ascii="仿宋_GB2312" w:eastAsia="仿宋_GB2312"/>
          <w:sz w:val="36"/>
          <w:szCs w:val="36"/>
        </w:rPr>
      </w:pPr>
    </w:p>
    <w:p w14:paraId="4CC00E8C">
      <w:pPr>
        <w:adjustRightInd w:val="0"/>
        <w:snapToGrid w:val="0"/>
        <w:spacing w:line="288" w:lineRule="auto"/>
        <w:ind w:firstLine="1040"/>
        <w:rPr>
          <w:rFonts w:hint="eastAsia" w:ascii="仿宋_GB2312" w:eastAsia="仿宋_GB2312"/>
          <w:sz w:val="36"/>
          <w:szCs w:val="36"/>
        </w:rPr>
      </w:pPr>
    </w:p>
    <w:p w14:paraId="6F5BD903">
      <w:pPr>
        <w:adjustRightInd w:val="0"/>
        <w:snapToGrid w:val="0"/>
        <w:spacing w:line="288" w:lineRule="auto"/>
        <w:ind w:firstLine="1040"/>
        <w:rPr>
          <w:rFonts w:hint="eastAsia" w:ascii="仿宋_GB2312" w:eastAsia="仿宋_GB2312"/>
          <w:color w:val="auto"/>
          <w:sz w:val="36"/>
          <w:szCs w:val="36"/>
          <w:u w:val="single"/>
          <w:lang w:eastAsia="zh-CN"/>
        </w:rPr>
      </w:pPr>
      <w:r>
        <w:rPr>
          <w:rFonts w:hint="eastAsia" w:ascii="仿宋_GB2312" w:eastAsia="仿宋_GB2312"/>
          <w:color w:val="auto"/>
          <w:sz w:val="36"/>
          <w:szCs w:val="36"/>
        </w:rPr>
        <w:t>项目名称：</w:t>
      </w:r>
      <w:r>
        <w:rPr>
          <w:rFonts w:hint="eastAsia" w:ascii="仿宋_GB2312" w:eastAsia="仿宋_GB2312"/>
          <w:color w:val="auto"/>
          <w:sz w:val="36"/>
          <w:szCs w:val="36"/>
          <w:lang w:eastAsia="zh-CN"/>
        </w:rPr>
        <w:t>海德村项目</w:t>
      </w:r>
    </w:p>
    <w:p w14:paraId="26CA68EA">
      <w:pPr>
        <w:adjustRightInd w:val="0"/>
        <w:snapToGrid w:val="0"/>
        <w:spacing w:line="288" w:lineRule="auto"/>
        <w:ind w:firstLine="1040"/>
        <w:rPr>
          <w:rFonts w:hint="eastAsia" w:ascii="仿宋_GB2312" w:eastAsia="仿宋_GB2312"/>
          <w:color w:val="auto"/>
          <w:sz w:val="32"/>
          <w:szCs w:val="32"/>
          <w:u w:val="single"/>
          <w:lang w:eastAsia="zh-CN"/>
        </w:rPr>
      </w:pPr>
      <w:r>
        <w:rPr>
          <w:rFonts w:hint="eastAsia" w:ascii="仿宋_GB2312" w:eastAsia="仿宋_GB2312"/>
          <w:color w:val="auto"/>
          <w:sz w:val="36"/>
          <w:szCs w:val="36"/>
        </w:rPr>
        <w:t>建设单位（盖章）：</w:t>
      </w:r>
      <w:r>
        <w:rPr>
          <w:rFonts w:hint="eastAsia" w:ascii="仿宋_GB2312" w:eastAsia="仿宋_GB2312"/>
          <w:color w:val="auto"/>
          <w:sz w:val="32"/>
          <w:szCs w:val="32"/>
        </w:rPr>
        <w:t>曲靖国电电力新能源开发有限公司</w:t>
      </w:r>
    </w:p>
    <w:p w14:paraId="070DA6AC">
      <w:pPr>
        <w:adjustRightInd w:val="0"/>
        <w:snapToGrid w:val="0"/>
        <w:spacing w:line="288" w:lineRule="auto"/>
        <w:ind w:firstLine="1040"/>
        <w:rPr>
          <w:rFonts w:hint="default" w:ascii="仿宋_GB2312" w:eastAsia="仿宋_GB2312"/>
          <w:color w:val="auto"/>
          <w:sz w:val="36"/>
          <w:szCs w:val="36"/>
          <w:u w:val="single"/>
          <w:lang w:val="en-US" w:eastAsia="zh-CN"/>
        </w:rPr>
      </w:pPr>
      <w:r>
        <w:rPr>
          <w:rFonts w:hint="eastAsia" w:ascii="仿宋_GB2312" w:eastAsia="仿宋_GB2312"/>
          <w:color w:val="auto"/>
          <w:sz w:val="36"/>
          <w:szCs w:val="36"/>
        </w:rPr>
        <w:t>编制日期：</w:t>
      </w:r>
      <w:r>
        <w:rPr>
          <w:rFonts w:hint="eastAsia" w:ascii="仿宋_GB2312" w:eastAsia="仿宋_GB2312"/>
          <w:color w:val="auto"/>
          <w:sz w:val="36"/>
          <w:szCs w:val="36"/>
          <w:lang w:val="en-US" w:eastAsia="zh-CN"/>
        </w:rPr>
        <w:t>2026年9月</w:t>
      </w:r>
    </w:p>
    <w:p w14:paraId="62204429">
      <w:pPr>
        <w:adjustRightInd w:val="0"/>
        <w:snapToGrid w:val="0"/>
        <w:spacing w:line="288" w:lineRule="auto"/>
        <w:ind w:firstLine="1040"/>
        <w:rPr>
          <w:rFonts w:ascii="仿宋_GB2312" w:eastAsia="仿宋_GB2312"/>
          <w:sz w:val="36"/>
          <w:szCs w:val="36"/>
          <w:u w:val="single"/>
        </w:rPr>
      </w:pPr>
    </w:p>
    <w:p w14:paraId="5F40FBF2">
      <w:pPr>
        <w:adjustRightInd w:val="0"/>
        <w:snapToGrid w:val="0"/>
        <w:spacing w:line="288" w:lineRule="auto"/>
        <w:ind w:firstLine="1040"/>
        <w:rPr>
          <w:rFonts w:ascii="仿宋_GB2312" w:eastAsia="仿宋_GB2312"/>
          <w:sz w:val="36"/>
          <w:szCs w:val="36"/>
        </w:rPr>
      </w:pPr>
    </w:p>
    <w:p w14:paraId="524D2384">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79B7E205">
      <w:pPr>
        <w:adjustRightInd w:val="0"/>
        <w:snapToGrid w:val="0"/>
        <w:spacing w:line="288" w:lineRule="auto"/>
        <w:ind w:firstLine="1040"/>
        <w:rPr>
          <w:rFonts w:ascii="仿宋_GB2312" w:eastAsia="仿宋_GB2312"/>
          <w:sz w:val="36"/>
          <w:szCs w:val="36"/>
        </w:rPr>
        <w:sectPr>
          <w:footerReference r:id="rId5" w:type="default"/>
          <w:footerReference r:id="rId6" w:type="even"/>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7DC2D008">
      <w:pPr>
        <w:tabs>
          <w:tab w:val="left" w:pos="6000"/>
        </w:tabs>
        <w:adjustRightInd w:val="0"/>
        <w:snapToGrid w:val="0"/>
        <w:spacing w:line="288" w:lineRule="auto"/>
        <w:ind w:firstLine="1040"/>
        <w:jc w:val="center"/>
        <w:rPr>
          <w:rFonts w:hint="eastAsia" w:ascii="仿宋_GB2312" w:eastAsia="仿宋_GB2312"/>
          <w:b/>
          <w:bCs/>
          <w:sz w:val="36"/>
          <w:szCs w:val="36"/>
          <w:lang w:eastAsia="zh-CN"/>
        </w:rPr>
      </w:pPr>
      <w:r>
        <w:rPr>
          <w:rFonts w:hint="eastAsia" w:ascii="仿宋_GB2312" w:eastAsia="仿宋_GB2312"/>
          <w:b/>
          <w:bCs/>
          <w:sz w:val="36"/>
          <w:szCs w:val="36"/>
          <w:lang w:eastAsia="zh-CN"/>
        </w:rPr>
        <w:t>照片页</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4"/>
        <w:gridCol w:w="4486"/>
      </w:tblGrid>
      <w:tr w14:paraId="43C7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24" w:type="dxa"/>
            <w:vAlign w:val="center"/>
          </w:tcPr>
          <w:p w14:paraId="6C1C75CE">
            <w:pPr>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jc w:val="center"/>
              <w:textAlignment w:val="auto"/>
              <w:rPr>
                <w:rFonts w:hint="eastAsia" w:ascii="Times New Roman" w:hAnsi="Times New Roman" w:eastAsia="宋体" w:cs="Times New Roman"/>
                <w:sz w:val="36"/>
                <w:szCs w:val="36"/>
                <w:vertAlign w:val="baseline"/>
                <w:lang w:eastAsia="zh-CN"/>
              </w:rPr>
            </w:pPr>
            <w:r>
              <w:rPr>
                <w:rFonts w:hint="default" w:ascii="Times New Roman" w:hAnsi="Times New Roman" w:eastAsia="仿宋_GB2312" w:cs="Times New Roman"/>
                <w:sz w:val="36"/>
                <w:szCs w:val="36"/>
                <w:vertAlign w:val="baseline"/>
                <w:lang w:eastAsia="zh-CN"/>
              </w:rPr>
              <w:drawing>
                <wp:inline distT="0" distB="0" distL="114300" distR="114300">
                  <wp:extent cx="2720340" cy="2202180"/>
                  <wp:effectExtent l="0" t="0" r="3810" b="7620"/>
                  <wp:docPr id="28" name="图片 28" descr="50fefe6eee4ecc66f6a6ee0de4803e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50fefe6eee4ecc66f6a6ee0de4803efa"/>
                          <pic:cNvPicPr>
                            <a:picLocks noChangeAspect="1"/>
                          </pic:cNvPicPr>
                        </pic:nvPicPr>
                        <pic:blipFill>
                          <a:blip r:embed="rId10"/>
                          <a:stretch>
                            <a:fillRect/>
                          </a:stretch>
                        </pic:blipFill>
                        <pic:spPr>
                          <a:xfrm>
                            <a:off x="0" y="0"/>
                            <a:ext cx="2720340" cy="2202180"/>
                          </a:xfrm>
                          <a:prstGeom prst="rect">
                            <a:avLst/>
                          </a:prstGeom>
                        </pic:spPr>
                      </pic:pic>
                    </a:graphicData>
                  </a:graphic>
                </wp:inline>
              </w:drawing>
            </w:r>
            <w:r>
              <w:rPr>
                <w:rFonts w:hint="default" w:ascii="Times New Roman" w:hAnsi="Times New Roman" w:cs="Times New Roman"/>
                <w:sz w:val="36"/>
              </w:rPr>
              <mc:AlternateContent>
                <mc:Choice Requires="wps">
                  <w:drawing>
                    <wp:anchor distT="0" distB="0" distL="114300" distR="114300" simplePos="0" relativeHeight="251661312" behindDoc="0" locked="0" layoutInCell="1" allowOverlap="1">
                      <wp:simplePos x="0" y="0"/>
                      <wp:positionH relativeFrom="column">
                        <wp:posOffset>1866265</wp:posOffset>
                      </wp:positionH>
                      <wp:positionV relativeFrom="paragraph">
                        <wp:posOffset>1898650</wp:posOffset>
                      </wp:positionV>
                      <wp:extent cx="916305" cy="243840"/>
                      <wp:effectExtent l="0" t="0" r="0" b="0"/>
                      <wp:wrapNone/>
                      <wp:docPr id="26" name="文本框 26"/>
                      <wp:cNvGraphicFramePr/>
                      <a:graphic xmlns:a="http://schemas.openxmlformats.org/drawingml/2006/main">
                        <a:graphicData uri="http://schemas.microsoft.com/office/word/2010/wordprocessingShape">
                          <wps:wsp>
                            <wps:cNvSpPr txBox="1"/>
                            <wps:spPr>
                              <a:xfrm>
                                <a:off x="2968625" y="3305175"/>
                                <a:ext cx="91630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575B3">
                                  <w:pPr>
                                    <w:ind w:left="0" w:leftChars="0" w:firstLine="0" w:firstLineChars="0"/>
                                    <w:rPr>
                                      <w:rFonts w:hint="default" w:eastAsia="宋体"/>
                                      <w:color w:val="FF0000"/>
                                      <w:lang w:val="en-US" w:eastAsia="zh-CN"/>
                                    </w:rPr>
                                  </w:pPr>
                                  <w:r>
                                    <w:rPr>
                                      <w:rFonts w:hint="eastAsia"/>
                                      <w:color w:val="FF0000"/>
                                      <w:lang w:val="en-US" w:eastAsia="zh-CN"/>
                                    </w:rPr>
                                    <w:t>2026.7.05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6.95pt;margin-top:149.5pt;height:19.2pt;width:72.15pt;z-index:251661312;mso-width-relative:page;mso-height-relative:page;" filled="f" stroked="f" coordsize="21600,21600" o:gfxdata="UEsDBAoAAAAAAIdO4kAAAAAAAAAAAAAAAAAEAAAAZHJzL1BLAwQUAAAACACHTuJAJ7Kkm9wAAAAL&#10;AQAADwAAAGRycy9kb3ducmV2LnhtbE2PTU/DMAyG70j8h8hI3Fi6dkBbmk6o0oSE2GFjF25u47UV&#10;TVKa7AN+Pd4Jbrb86PXzFsuzGcSRJt87q2A+i0CQbZzubatg9766S0H4gFbj4Cwp+CYPy/L6qsBc&#10;u5Pd0HEbWsEh1ueooAthzKX0TUcG/cyNZPm2d5PBwOvUSj3hicPNIOMoepAGe8sfOhyp6qj53B6M&#10;gtdqtcZNHZv0Z6he3vbP49fu416p25t59AQi0Dn8wXDRZ3Uo2al2B6u9GBTEWZIxehkyLsXEIklj&#10;ELWCJHlcgCwL+b9D+QtQSwMEFAAAAAgAh07iQKA0NatLAgAAcwQAAA4AAABkcnMvZTJvRG9jLnht&#10;bK1US27bMBDdF+gdCO4b2fInthE5cGO4KBA0Adyia5qiIgH8laQjpQdob9BVN933XDlHHyk7CdIu&#10;suiGGs4MZ+a9mdHZeackuRXON0YXdHgyoERobspG3xT008fNmxklPjBdMmm0KOid8PR8+frVWWsX&#10;Ije1kaVwBEG0X7S2oHUIdpFlntdCMX9irNAwVsYpFnB1N1npWIvoSmb5YDDNWuNK6wwX3kO77o30&#10;ENG9JKCpqoaLteF7JXToozohWQAkXzfW02WqtqoED1dV5UUgsqBAGtKJJJB38cyWZ2xx45itG34o&#10;gb2khGeYFGs0kj6EWrPAyN41f4VSDXfGmyqccKOyHkhiBCiGg2fcbGtmRcICqr19IN3/v7D8w+21&#10;I01Z0HxKiWYKHb//8f3+5+/7X98IdCCotX4Bv62FZ+jemg5jc9R7KCPurnIqfoGIwJ7Pp7NpPqHk&#10;rqCj0WAyPJ30VIsuEA6H+XAKNSUcDvl4NBunVmSPgazz4Z0wikShoA6dTASz20sfUBRcjy4xrzab&#10;RsrUTalJW9DpaDJIDx4seCE1HkY4fdlRCt2uO2DcmfIOEJ3pp8RbvmmQ/JL5cM0cxgJDg8UJVzgq&#10;aZDEHCRKauO+/ksf/dEtWClpMWYF9V/2zAlK5HuNPs6HY0AnIV3Gk9McF/fUsntq0Xt1YTDJQ6yo&#10;5UmM/kEexcoZ9Rn7tYpZYWKaI3dBw1G8CP3wYz+5WK2SEybRsnCpt5bH0D2dq30wVZOYjjT13BzY&#10;wyymBhz2Jg7703vyevxXLP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J7Kkm9wAAAALAQAADwAA&#10;AAAAAAABACAAAAAiAAAAZHJzL2Rvd25yZXYueG1sUEsBAhQAFAAAAAgAh07iQKA0NatLAgAAcwQA&#10;AA4AAAAAAAAAAQAgAAAAKwEAAGRycy9lMm9Eb2MueG1sUEsFBgAAAAAGAAYAWQEAAOgFAAAAAA==&#10;">
                      <v:fill on="f" focussize="0,0"/>
                      <v:stroke on="f" weight="0.5pt"/>
                      <v:imagedata o:title=""/>
                      <o:lock v:ext="edit" aspectratio="f"/>
                      <v:textbox>
                        <w:txbxContent>
                          <w:p w14:paraId="79B575B3">
                            <w:pPr>
                              <w:ind w:left="0" w:leftChars="0" w:firstLine="0" w:firstLineChars="0"/>
                              <w:rPr>
                                <w:rFonts w:hint="default" w:eastAsia="宋体"/>
                                <w:color w:val="FF0000"/>
                                <w:lang w:val="en-US" w:eastAsia="zh-CN"/>
                              </w:rPr>
                            </w:pPr>
                            <w:r>
                              <w:rPr>
                                <w:rFonts w:hint="eastAsia"/>
                                <w:color w:val="FF0000"/>
                                <w:lang w:val="en-US" w:eastAsia="zh-CN"/>
                              </w:rPr>
                              <w:t>2026.7.05</w:t>
                            </w:r>
                          </w:p>
                        </w:txbxContent>
                      </v:textbox>
                    </v:shape>
                  </w:pict>
                </mc:Fallback>
              </mc:AlternateContent>
            </w:r>
          </w:p>
        </w:tc>
        <w:tc>
          <w:tcPr>
            <w:tcW w:w="4536" w:type="dxa"/>
            <w:vAlign w:val="center"/>
          </w:tcPr>
          <w:p w14:paraId="05E0A2B3">
            <w:pPr>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jc w:val="center"/>
              <w:textAlignment w:val="auto"/>
              <w:rPr>
                <w:rFonts w:hint="default" w:ascii="Times New Roman" w:hAnsi="Times New Roman" w:eastAsia="仿宋_GB2312" w:cs="Times New Roman"/>
                <w:sz w:val="36"/>
                <w:szCs w:val="36"/>
                <w:vertAlign w:val="baseline"/>
                <w:lang w:eastAsia="zh-CN"/>
              </w:rPr>
            </w:pPr>
            <w:r>
              <w:rPr>
                <w:rFonts w:hint="default" w:ascii="Times New Roman" w:hAnsi="Times New Roman" w:cs="Times New Roman"/>
                <w:sz w:val="36"/>
              </w:rPr>
              <w:drawing>
                <wp:inline distT="0" distB="0" distL="114300" distR="114300">
                  <wp:extent cx="2697480" cy="2185670"/>
                  <wp:effectExtent l="0" t="0" r="7620" b="5080"/>
                  <wp:docPr id="8" name="图片 8" descr="b899dc176aefe91d8e037cbcbf6743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899dc176aefe91d8e037cbcbf6743d5"/>
                          <pic:cNvPicPr>
                            <a:picLocks noChangeAspect="1"/>
                          </pic:cNvPicPr>
                        </pic:nvPicPr>
                        <pic:blipFill>
                          <a:blip r:embed="rId11"/>
                          <a:stretch>
                            <a:fillRect/>
                          </a:stretch>
                        </pic:blipFill>
                        <pic:spPr>
                          <a:xfrm>
                            <a:off x="0" y="0"/>
                            <a:ext cx="2697480" cy="2185670"/>
                          </a:xfrm>
                          <a:prstGeom prst="rect">
                            <a:avLst/>
                          </a:prstGeom>
                        </pic:spPr>
                      </pic:pic>
                    </a:graphicData>
                  </a:graphic>
                </wp:inline>
              </w:drawing>
            </w:r>
            <w:r>
              <w:rPr>
                <w:rFonts w:hint="default" w:ascii="Times New Roman" w:hAnsi="Times New Roman" w:cs="Times New Roman"/>
                <w:sz w:val="36"/>
              </w:rPr>
              <mc:AlternateContent>
                <mc:Choice Requires="wps">
                  <w:drawing>
                    <wp:anchor distT="0" distB="0" distL="114300" distR="114300" simplePos="0" relativeHeight="251662336" behindDoc="0" locked="0" layoutInCell="1" allowOverlap="1">
                      <wp:simplePos x="0" y="0"/>
                      <wp:positionH relativeFrom="column">
                        <wp:posOffset>1781175</wp:posOffset>
                      </wp:positionH>
                      <wp:positionV relativeFrom="paragraph">
                        <wp:posOffset>1932940</wp:posOffset>
                      </wp:positionV>
                      <wp:extent cx="916305" cy="24384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91630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AB5EB">
                                  <w:pPr>
                                    <w:ind w:left="0" w:leftChars="0" w:firstLine="0" w:firstLineChars="0"/>
                                    <w:rPr>
                                      <w:rFonts w:hint="default" w:eastAsia="宋体"/>
                                      <w:color w:val="FF0000"/>
                                      <w:lang w:val="en-US" w:eastAsia="zh-CN"/>
                                    </w:rPr>
                                  </w:pPr>
                                  <w:r>
                                    <w:rPr>
                                      <w:rFonts w:hint="eastAsia"/>
                                      <w:color w:val="FF0000"/>
                                      <w:lang w:val="en-US" w:eastAsia="zh-CN"/>
                                    </w:rPr>
                                    <w:t>2026.8.17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25pt;margin-top:152.2pt;height:19.2pt;width:72.15pt;z-index:251662336;mso-width-relative:page;mso-height-relative:page;" filled="f" stroked="f" coordsize="21600,21600" o:gfxdata="UEsDBAoAAAAAAIdO4kAAAAAAAAAAAAAAAAAEAAAAZHJzL1BLAwQUAAAACACHTuJAL4nJ79sAAAAL&#10;AQAADwAAAGRycy9kb3ducmV2LnhtbE2Py07DMBBF90j8gzWV2FG7wUVRiFOhSBUSgkVLN+yceJpE&#10;9SPE7gO+nmFFlzNzdOfccnVxlp1wikPwChZzAQx9G8zgOwW7j/V9Diwm7Y22waOCb4ywqm5vSl2Y&#10;cPYbPG1TxyjEx0Ir6FMaC85j26PTcR5G9HTbh8npROPUcTPpM4U7yzMhHrnTg6cPvR6x7rE9bI9O&#10;wWu9ftebJnP5j61f3vbP49fuc6nU3WwhnoAlvKR/GP70SR0qcmrC0ZvIrIIsF0tCFTwIKYERITNJ&#10;ZRrayCwHXpX8ukP1C1BLAwQUAAAACACHTuJAaMixEj0CAABnBAAADgAAAGRycy9lMm9Eb2MueG1s&#10;rVTBThsxEL1X6j9YvpdNQqAQsUEpiKoSKki06tnxetmVbI9rO+zSD2j/gFMvvfe78h199iYB0R44&#10;9OIdz4xn5r2Z2ZPT3mh2p3xoyZZ8vDfiTFlJVWtvS/7508WbI85CFLYSmqwq+b0K/HT++tVJ52Zq&#10;Qg3pSnmGIDbMOlfyJkY3K4ogG2VE2COnLIw1eSMirv62qLzoEN3oYjIaHRYd+cp5kioEaM8HI99E&#10;9C8JSHXdSnVOcmWUjUNUr7SIgBSa1gU+z9XWtZLxqq6DikyXHEhjPpEE8jKdxfxEzG69cE0rNyWI&#10;l5TwDJMRrUXSXahzEQVb+favUKaVngLVcU+SKQYgmRGgGI+ecXPTCKcyFlAd3I708P/Cyo931561&#10;FSZhwpkVBh1fP/xY//y9/vWdQQeCOhdm8Ltx8Iz9O+rhvNUHKBPuvvYmfYGIwQ5673f0qj4yCeXx&#10;+HB/dMCZhGky3T+aZvqLx8fOh/hekWFJKLlH9zKp4u4yRBQC161LymXpotU6d1Bb1pX8cP9glB/s&#10;LHihLR4mCEOpSYr9st/gWlJ1D1iehskITl60SH4pQrwWHqMAJFiWeIWj1oQktJE4a8h/+5c++aND&#10;sHLWYbRKHr6uhFec6Q8WvTseTwGdxXyZHryd4OKfWpZPLXZlzgjTO8ZaOpnF5B/1Vqw9mS/YqUXK&#10;CpOwErlLHrfiWRwGHjsp1WKRnTB9TsRLe+NkCj3QuVhFqtvMdKJp4GbDHuYvN2CzK2nAn96z1+P/&#10;Yf4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4nJ79sAAAALAQAADwAAAAAAAAABACAAAAAiAAAA&#10;ZHJzL2Rvd25yZXYueG1sUEsBAhQAFAAAAAgAh07iQGjIsRI9AgAAZwQAAA4AAAAAAAAAAQAgAAAA&#10;KgEAAGRycy9lMm9Eb2MueG1sUEsFBgAAAAAGAAYAWQEAANkFAAAAAA==&#10;">
                      <v:fill on="f" focussize="0,0"/>
                      <v:stroke on="f" weight="0.5pt"/>
                      <v:imagedata o:title=""/>
                      <o:lock v:ext="edit" aspectratio="f"/>
                      <v:textbox>
                        <w:txbxContent>
                          <w:p w14:paraId="4B6AB5EB">
                            <w:pPr>
                              <w:ind w:left="0" w:leftChars="0" w:firstLine="0" w:firstLineChars="0"/>
                              <w:rPr>
                                <w:rFonts w:hint="default" w:eastAsia="宋体"/>
                                <w:color w:val="FF0000"/>
                                <w:lang w:val="en-US" w:eastAsia="zh-CN"/>
                              </w:rPr>
                            </w:pPr>
                            <w:r>
                              <w:rPr>
                                <w:rFonts w:hint="eastAsia"/>
                                <w:color w:val="FF0000"/>
                                <w:lang w:val="en-US" w:eastAsia="zh-CN"/>
                              </w:rPr>
                              <w:t>2026.8.17</w:t>
                            </w:r>
                          </w:p>
                        </w:txbxContent>
                      </v:textbox>
                    </v:shape>
                  </w:pict>
                </mc:Fallback>
              </mc:AlternateContent>
            </w:r>
          </w:p>
        </w:tc>
      </w:tr>
      <w:tr w14:paraId="1007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vAlign w:val="center"/>
          </w:tcPr>
          <w:p w14:paraId="222BBA4E">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仿宋_GB2312" w:cs="Times New Roman"/>
                <w:sz w:val="36"/>
                <w:szCs w:val="36"/>
                <w:vertAlign w:val="baseline"/>
                <w:lang w:val="en-US" w:eastAsia="zh-CN"/>
              </w:rPr>
            </w:pPr>
            <w:r>
              <w:rPr>
                <w:rFonts w:hint="default" w:ascii="Times New Roman" w:hAnsi="Times New Roman" w:eastAsia="宋体" w:cs="Times New Roman"/>
                <w:sz w:val="24"/>
                <w:szCs w:val="24"/>
                <w:vertAlign w:val="baseline"/>
                <w:lang w:val="en-US" w:eastAsia="zh-CN"/>
              </w:rPr>
              <w:t>工程师现场踏勘</w:t>
            </w:r>
          </w:p>
        </w:tc>
        <w:tc>
          <w:tcPr>
            <w:tcW w:w="4536" w:type="dxa"/>
            <w:vAlign w:val="center"/>
          </w:tcPr>
          <w:p w14:paraId="698438B4">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仿宋_GB2312" w:cs="Times New Roman"/>
                <w:sz w:val="36"/>
                <w:szCs w:val="36"/>
                <w:vertAlign w:val="baseline"/>
                <w:lang w:val="en-US" w:eastAsia="zh-CN"/>
              </w:rPr>
            </w:pPr>
            <w:r>
              <w:rPr>
                <w:rFonts w:hint="eastAsia" w:cs="Times New Roman"/>
                <w:sz w:val="24"/>
                <w:szCs w:val="24"/>
                <w:vertAlign w:val="baseline"/>
                <w:lang w:val="en-US" w:eastAsia="zh-CN"/>
              </w:rPr>
              <w:t>依托原有道路</w:t>
            </w:r>
          </w:p>
        </w:tc>
      </w:tr>
      <w:tr w14:paraId="2687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vAlign w:val="center"/>
          </w:tcPr>
          <w:p w14:paraId="3A9FEBB8">
            <w:pPr>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jc w:val="center"/>
              <w:textAlignment w:val="auto"/>
              <w:rPr>
                <w:rFonts w:hint="eastAsia" w:ascii="Times New Roman" w:hAnsi="Times New Roman" w:eastAsia="宋体" w:cs="Times New Roman"/>
                <w:sz w:val="36"/>
                <w:szCs w:val="36"/>
                <w:vertAlign w:val="baseline"/>
                <w:lang w:eastAsia="zh-CN"/>
              </w:rPr>
            </w:pPr>
            <w:r>
              <w:rPr>
                <w:rFonts w:hint="default" w:ascii="Times New Roman" w:hAnsi="Times New Roman" w:cs="Times New Roman"/>
                <w:sz w:val="36"/>
              </w:rPr>
              <mc:AlternateContent>
                <mc:Choice Requires="wps">
                  <w:drawing>
                    <wp:anchor distT="0" distB="0" distL="114300" distR="114300" simplePos="0" relativeHeight="251664384" behindDoc="0" locked="0" layoutInCell="1" allowOverlap="1">
                      <wp:simplePos x="0" y="0"/>
                      <wp:positionH relativeFrom="column">
                        <wp:posOffset>1815465</wp:posOffset>
                      </wp:positionH>
                      <wp:positionV relativeFrom="paragraph">
                        <wp:posOffset>1871980</wp:posOffset>
                      </wp:positionV>
                      <wp:extent cx="916305" cy="24384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91630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D214D">
                                  <w:pPr>
                                    <w:ind w:left="0" w:leftChars="0" w:firstLine="0" w:firstLineChars="0"/>
                                    <w:rPr>
                                      <w:rFonts w:hint="default" w:eastAsia="宋体"/>
                                      <w:color w:val="FF0000"/>
                                      <w:lang w:val="en-US" w:eastAsia="zh-CN"/>
                                    </w:rPr>
                                  </w:pPr>
                                  <w:r>
                                    <w:rPr>
                                      <w:rFonts w:hint="eastAsia"/>
                                      <w:color w:val="FF0000"/>
                                      <w:lang w:val="en-US" w:eastAsia="zh-CN"/>
                                    </w:rPr>
                                    <w:t>2026.8.17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95pt;margin-top:147.4pt;height:19.2pt;width:72.15pt;z-index:251664384;mso-width-relative:page;mso-height-relative:page;" filled="f" stroked="f" coordsize="21600,21600" o:gfxdata="UEsDBAoAAAAAAIdO4kAAAAAAAAAAAAAAAAAEAAAAZHJzL1BLAwQUAAAACACHTuJATRFgytwAAAAL&#10;AQAADwAAAGRycy9kb3ducmV2LnhtbE2Py07DMBBF90j8gzVI7Khdp0VpiFOhSBUSgkVLN+wmsZtE&#10;+BFi9wFfz7CC3Yzm6M655friLDuZKQ7BK5jPBDDj26AH3ynYv23ucmAxoddogzcKvkyEdXV9VWKh&#10;w9lvzWmXOkYhPhaooE9pLDiPbW8cxlkYjafbIUwOE61Tx/WEZwp3lksh7rnDwdOHHkdT96b92B2d&#10;gud684rbRrr829ZPL4fH8XP/vlTq9mYuHoAlc0l/MPzqkzpU5NSEo9eRWQUyX64IpWG1oA5ELDIh&#10;gTUKsiyTwKuS/+9Q/QBQSwMEFAAAAAgAh07iQIlLIks+AgAAZwQAAA4AAABkcnMvZTJvRG9jLnht&#10;bK1UwU4bMRC9V+o/WL6XTUKgELFBKYiqEipItOrZ8XrZlWyPazvs0g9o/4BTL733u/IdffYmAdEe&#10;OPTiHc+MZ+a9mdmT095odqd8aMmWfLw34kxZSVVrb0v++dPFmyPOQhS2EpqsKvm9Cvx0/vrVSedm&#10;akIN6Up5hiA2zDpX8iZGNyuKIBtlRNgjpyyMNXkjIq7+tqi86BDd6GIyGh0WHfnKeZIqBGjPByPf&#10;RPQvCUh13Up1TnJllI1DVK+0iIAUmtYFPs/V1rWS8aqug4pMlxxIYz6RBPIyncX8RMxuvXBNKzcl&#10;iJeU8AyTEa1F0l2ocxEFW/n2r1CmlZ4C1XFPkikGIJkRoBiPnnFz0winMhZQHdyO9PD/wsqPd9ee&#10;tVXJJ1POrDDo+Prhx/rn7/Wv7ww6ENS5MIPfjYNn7N9Rj7HZ6gOUCXdfe5O+QMRgB733O3pVH5mE&#10;8nh8uD864EzCNJnuH00z/cXjY+dDfK/IsCSU3KN7mVRxdxkiCoHr1iXlsnTRap07qC3rSn64fzDK&#10;D3YWvNAWDxOEodQkxX7Zb3AtqboHLE/DZAQnL1okvxQhXguPUQASLEu8wlFrQhLaSJw15L/9S5/8&#10;0SFYOeswWiUPX1fCK870B4veHY+ngM5ivkwP3k5w8U8ty6cWuzJnhOkdYy2dzGLyj3or1p7MF+zU&#10;ImWFSViJ3CWPW/EsDgOPnZRqschOmD4n4qW9cTKFHuhcrCLVbWY60TRws2EP85cbsNmVNOBP79nr&#10;8f8w/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NEWDK3AAAAAsBAAAPAAAAAAAAAAEAIAAAACIA&#10;AABkcnMvZG93bnJldi54bWxQSwECFAAUAAAACACHTuJAiUsiSz4CAABnBAAADgAAAAAAAAABACAA&#10;AAArAQAAZHJzL2Uyb0RvYy54bWxQSwUGAAAAAAYABgBZAQAA2wUAAAAA&#10;">
                      <v:fill on="f" focussize="0,0"/>
                      <v:stroke on="f" weight="0.5pt"/>
                      <v:imagedata o:title=""/>
                      <o:lock v:ext="edit" aspectratio="f"/>
                      <v:textbox>
                        <w:txbxContent>
                          <w:p w14:paraId="2FCD214D">
                            <w:pPr>
                              <w:ind w:left="0" w:leftChars="0" w:firstLine="0" w:firstLineChars="0"/>
                              <w:rPr>
                                <w:rFonts w:hint="default" w:eastAsia="宋体"/>
                                <w:color w:val="FF0000"/>
                                <w:lang w:val="en-US" w:eastAsia="zh-CN"/>
                              </w:rPr>
                            </w:pPr>
                            <w:r>
                              <w:rPr>
                                <w:rFonts w:hint="eastAsia"/>
                                <w:color w:val="FF0000"/>
                                <w:lang w:val="en-US" w:eastAsia="zh-CN"/>
                              </w:rPr>
                              <w:t>2026.8.17</w:t>
                            </w:r>
                          </w:p>
                        </w:txbxContent>
                      </v:textbox>
                    </v:shape>
                  </w:pict>
                </mc:Fallback>
              </mc:AlternateContent>
            </w:r>
            <w:r>
              <w:rPr>
                <w:rFonts w:hint="eastAsia" w:ascii="Times New Roman" w:hAnsi="Times New Roman" w:eastAsia="宋体" w:cs="Times New Roman"/>
                <w:sz w:val="36"/>
                <w:szCs w:val="36"/>
                <w:vertAlign w:val="baseline"/>
                <w:lang w:eastAsia="zh-CN"/>
              </w:rPr>
              <w:drawing>
                <wp:inline distT="0" distB="0" distL="114300" distR="114300">
                  <wp:extent cx="2811780" cy="2108200"/>
                  <wp:effectExtent l="0" t="0" r="7620" b="6350"/>
                  <wp:docPr id="3" name="图片 3" descr="a5b4758030652823ee0f7424fb777d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5b4758030652823ee0f7424fb777d9c"/>
                          <pic:cNvPicPr>
                            <a:picLocks noChangeAspect="1"/>
                          </pic:cNvPicPr>
                        </pic:nvPicPr>
                        <pic:blipFill>
                          <a:blip r:embed="rId12"/>
                          <a:stretch>
                            <a:fillRect/>
                          </a:stretch>
                        </pic:blipFill>
                        <pic:spPr>
                          <a:xfrm>
                            <a:off x="0" y="0"/>
                            <a:ext cx="2811780" cy="2108200"/>
                          </a:xfrm>
                          <a:prstGeom prst="rect">
                            <a:avLst/>
                          </a:prstGeom>
                        </pic:spPr>
                      </pic:pic>
                    </a:graphicData>
                  </a:graphic>
                </wp:inline>
              </w:drawing>
            </w:r>
          </w:p>
        </w:tc>
        <w:tc>
          <w:tcPr>
            <w:tcW w:w="4536" w:type="dxa"/>
            <w:vAlign w:val="center"/>
          </w:tcPr>
          <w:p w14:paraId="4A3DFC9D">
            <w:pPr>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jc w:val="center"/>
              <w:textAlignment w:val="auto"/>
              <w:rPr>
                <w:rFonts w:hint="eastAsia" w:ascii="Times New Roman" w:hAnsi="Times New Roman" w:eastAsia="宋体" w:cs="Times New Roman"/>
                <w:sz w:val="36"/>
                <w:szCs w:val="36"/>
                <w:vertAlign w:val="baseline"/>
                <w:lang w:eastAsia="zh-CN"/>
              </w:rPr>
            </w:pPr>
            <w:r>
              <w:rPr>
                <w:rFonts w:hint="default" w:ascii="Times New Roman" w:hAnsi="Times New Roman" w:cs="Times New Roman"/>
                <w:sz w:val="36"/>
              </w:rPr>
              <mc:AlternateContent>
                <mc:Choice Requires="wps">
                  <w:drawing>
                    <wp:anchor distT="0" distB="0" distL="114300" distR="114300" simplePos="0" relativeHeight="251663360" behindDoc="0" locked="0" layoutInCell="1" allowOverlap="1">
                      <wp:simplePos x="0" y="0"/>
                      <wp:positionH relativeFrom="column">
                        <wp:posOffset>1844675</wp:posOffset>
                      </wp:positionH>
                      <wp:positionV relativeFrom="paragraph">
                        <wp:posOffset>1831340</wp:posOffset>
                      </wp:positionV>
                      <wp:extent cx="916305" cy="24384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91630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C1DF7">
                                  <w:pPr>
                                    <w:ind w:left="0" w:leftChars="0" w:firstLine="0" w:firstLineChars="0"/>
                                    <w:rPr>
                                      <w:rFonts w:hint="default" w:eastAsia="宋体"/>
                                      <w:color w:val="FF0000"/>
                                      <w:lang w:val="en-US" w:eastAsia="zh-CN"/>
                                    </w:rPr>
                                  </w:pPr>
                                  <w:r>
                                    <w:rPr>
                                      <w:rFonts w:hint="eastAsia"/>
                                      <w:color w:val="FF0000"/>
                                      <w:lang w:val="en-US" w:eastAsia="zh-CN"/>
                                    </w:rPr>
                                    <w:t>2026.8.17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5.25pt;margin-top:144.2pt;height:19.2pt;width:72.15pt;z-index:251663360;mso-width-relative:page;mso-height-relative:page;" filled="f" stroked="f" coordsize="21600,21600" o:gfxdata="UEsDBAoAAAAAAIdO4kAAAAAAAAAAAAAAAAAEAAAAZHJzL1BLAwQUAAAACACHTuJAdaqGDNwAAAAL&#10;AQAADwAAAGRycy9kb3ducmV2LnhtbE2Py07DMBBF90j8gzVI7KjdNK1MiFOhSBUSgkVLN+yceJpE&#10;+BFi9wFfz7CC3Yzm6M655friLDvhFIfgFcxnAhj6NpjBdwr2b5s7CSwm7Y22waOCL4ywrq6vSl2Y&#10;cPZbPO1SxyjEx0Ir6FMaC85j26PTcRZG9HQ7hMnpROvUcTPpM4U7yzMhVtzpwdOHXo9Y99h+7I5O&#10;wXO9edXbJnPy29ZPL4fH8XP/vlTq9mYuHoAlvKQ/GH71SR0qcmrC0ZvIrILsXiwJpUHKHBgR+SKn&#10;Mo2CRbaSwKuS/+9Q/QBQSwMEFAAAAAgAh07iQGO6zV49AgAAZwQAAA4AAABkcnMvZTJvRG9jLnht&#10;bK1UwU4bMRC9V+o/WL6XTUKgELFBKYiqEipItOrZ8XrZlWyPazvs0g9o/4BTL733u/IdffYmAdEe&#10;OPTiHc+M3/i9Ge/JaW80u1M+tGRLPt4bcaaspKq1tyX//OnizRFnIQpbCU1WlfxeBX46f/3qpHMz&#10;NaGGdKU8A4gNs86VvInRzYoiyEYZEfbIKYtgTd6IiK2/LSovOqAbXUxGo8OiI185T1KFAO/5EOQb&#10;RP8SQKrrVqpzkiujbBxQvdIiglJoWhf4PN+2rpWMV3UdVGS65GAa84oisJdpLeYnYnbrhWtaubmC&#10;eMkVnnEyorUouoM6F1GwlW//gjKt9BSojnuSTDEQyYqAxXj0TJubRjiVuUDq4Haih/8HKz/eXXvW&#10;ViWfQBIrDDq+fvix/vl7/es7gw8CdS7MkHfjkBn7d9RjbLb+AGfi3dfepC8YMcSBdb+TV/WRSTiP&#10;x4f7owPOJEKT6f7RNKMXj4edD/G9IsOSUXKP7mVRxd1liLgIUrcpqZali1br3EFtWVfyw/2DUT6w&#10;i+CEtjiYKAxXTVbsl/2G15Kqe9DyNExGcPKiRfFLEeK18BgFMMFjiVdYak0oQhuLs4b8t3/5Uz46&#10;hChnHUar5OHrSnjFmf5g0bvj8RTUWcyb6cHbpLx/Glk+jdiVOSNM7xjP0slspvyot2btyXzBm1qk&#10;qggJK1G75HFrnsVh4PEmpVoschKmz4l4aW+cTNCDnItVpLrNSieZBm026mH+cgM2byUN+NN9znr8&#10;P8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WqhgzcAAAACwEAAA8AAAAAAAAAAQAgAAAAIgAA&#10;AGRycy9kb3ducmV2LnhtbFBLAQIUABQAAAAIAIdO4kBjus1ePQIAAGcEAAAOAAAAAAAAAAEAIAAA&#10;ACsBAABkcnMvZTJvRG9jLnhtbFBLBQYAAAAABgAGAFkBAADaBQAAAAA=&#10;">
                      <v:fill on="f" focussize="0,0"/>
                      <v:stroke on="f" weight="0.5pt"/>
                      <v:imagedata o:title=""/>
                      <o:lock v:ext="edit" aspectratio="f"/>
                      <v:textbox>
                        <w:txbxContent>
                          <w:p w14:paraId="07AC1DF7">
                            <w:pPr>
                              <w:ind w:left="0" w:leftChars="0" w:firstLine="0" w:firstLineChars="0"/>
                              <w:rPr>
                                <w:rFonts w:hint="default" w:eastAsia="宋体"/>
                                <w:color w:val="FF0000"/>
                                <w:lang w:val="en-US" w:eastAsia="zh-CN"/>
                              </w:rPr>
                            </w:pPr>
                            <w:r>
                              <w:rPr>
                                <w:rFonts w:hint="eastAsia"/>
                                <w:color w:val="FF0000"/>
                                <w:lang w:val="en-US" w:eastAsia="zh-CN"/>
                              </w:rPr>
                              <w:t>2026.8.17</w:t>
                            </w:r>
                          </w:p>
                        </w:txbxContent>
                      </v:textbox>
                    </v:shape>
                  </w:pict>
                </mc:Fallback>
              </mc:AlternateContent>
            </w:r>
            <w:r>
              <w:rPr>
                <w:rFonts w:hint="eastAsia" w:ascii="Times New Roman" w:hAnsi="Times New Roman" w:eastAsia="宋体" w:cs="Times New Roman"/>
                <w:sz w:val="36"/>
                <w:szCs w:val="36"/>
                <w:vertAlign w:val="baseline"/>
                <w:lang w:eastAsia="zh-CN"/>
              </w:rPr>
              <w:drawing>
                <wp:inline distT="0" distB="0" distL="114300" distR="114300">
                  <wp:extent cx="2708910" cy="2094230"/>
                  <wp:effectExtent l="0" t="0" r="15240" b="1270"/>
                  <wp:docPr id="6" name="图片 6" descr="6a9fd7ffaca617eda705775b3be8b5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a9fd7ffaca617eda705775b3be8b51a"/>
                          <pic:cNvPicPr>
                            <a:picLocks noChangeAspect="1"/>
                          </pic:cNvPicPr>
                        </pic:nvPicPr>
                        <pic:blipFill>
                          <a:blip r:embed="rId13"/>
                          <a:stretch>
                            <a:fillRect/>
                          </a:stretch>
                        </pic:blipFill>
                        <pic:spPr>
                          <a:xfrm>
                            <a:off x="0" y="0"/>
                            <a:ext cx="2708910" cy="2094230"/>
                          </a:xfrm>
                          <a:prstGeom prst="rect">
                            <a:avLst/>
                          </a:prstGeom>
                        </pic:spPr>
                      </pic:pic>
                    </a:graphicData>
                  </a:graphic>
                </wp:inline>
              </w:drawing>
            </w:r>
          </w:p>
        </w:tc>
      </w:tr>
      <w:tr w14:paraId="62D4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vAlign w:val="center"/>
          </w:tcPr>
          <w:p w14:paraId="636012BD">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仿宋_GB2312" w:cs="Times New Roman"/>
                <w:sz w:val="36"/>
                <w:szCs w:val="36"/>
                <w:vertAlign w:val="baseline"/>
                <w:lang w:val="en-US" w:eastAsia="zh-CN"/>
              </w:rPr>
            </w:pPr>
            <w:r>
              <w:rPr>
                <w:rFonts w:hint="default" w:ascii="Times New Roman" w:hAnsi="Times New Roman" w:eastAsia="宋体" w:cs="Times New Roman"/>
                <w:sz w:val="24"/>
                <w:szCs w:val="24"/>
                <w:vertAlign w:val="baseline"/>
                <w:lang w:val="en-US" w:eastAsia="zh-CN"/>
              </w:rPr>
              <w:t>A1风机位置</w:t>
            </w:r>
          </w:p>
        </w:tc>
        <w:tc>
          <w:tcPr>
            <w:tcW w:w="4536" w:type="dxa"/>
            <w:vAlign w:val="center"/>
          </w:tcPr>
          <w:p w14:paraId="2EFCE871">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仿宋_GB2312" w:cs="Times New Roman"/>
                <w:sz w:val="36"/>
                <w:szCs w:val="36"/>
                <w:vertAlign w:val="baseline"/>
                <w:lang w:val="en-US" w:eastAsia="zh-CN"/>
              </w:rPr>
            </w:pPr>
            <w:r>
              <w:rPr>
                <w:rFonts w:hint="default" w:ascii="Times New Roman" w:hAnsi="Times New Roman" w:eastAsia="宋体" w:cs="Times New Roman"/>
                <w:sz w:val="24"/>
                <w:szCs w:val="24"/>
                <w:vertAlign w:val="baseline"/>
                <w:lang w:val="en-US" w:eastAsia="zh-CN"/>
              </w:rPr>
              <w:t>A2风机位置</w:t>
            </w:r>
          </w:p>
        </w:tc>
      </w:tr>
      <w:tr w14:paraId="168AF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vAlign w:val="center"/>
          </w:tcPr>
          <w:p w14:paraId="4DF054FE">
            <w:pPr>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jc w:val="center"/>
              <w:textAlignment w:val="auto"/>
              <w:rPr>
                <w:rFonts w:hint="eastAsia" w:ascii="Times New Roman" w:hAnsi="Times New Roman" w:eastAsia="宋体" w:cs="Times New Roman"/>
                <w:sz w:val="36"/>
                <w:szCs w:val="36"/>
                <w:vertAlign w:val="baseline"/>
                <w:lang w:eastAsia="zh-CN"/>
              </w:rPr>
            </w:pPr>
            <w:r>
              <w:rPr>
                <w:rFonts w:hint="default" w:ascii="Times New Roman" w:hAnsi="Times New Roman" w:cs="Times New Roman"/>
                <w:sz w:val="36"/>
              </w:rPr>
              <mc:AlternateContent>
                <mc:Choice Requires="wps">
                  <w:drawing>
                    <wp:anchor distT="0" distB="0" distL="114300" distR="114300" simplePos="0" relativeHeight="251666432" behindDoc="0" locked="0" layoutInCell="1" allowOverlap="1">
                      <wp:simplePos x="0" y="0"/>
                      <wp:positionH relativeFrom="column">
                        <wp:posOffset>1745615</wp:posOffset>
                      </wp:positionH>
                      <wp:positionV relativeFrom="paragraph">
                        <wp:posOffset>2056765</wp:posOffset>
                      </wp:positionV>
                      <wp:extent cx="916305" cy="24384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91630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D959B">
                                  <w:pPr>
                                    <w:ind w:left="0" w:leftChars="0" w:firstLine="0" w:firstLineChars="0"/>
                                    <w:rPr>
                                      <w:rFonts w:hint="default" w:eastAsia="宋体"/>
                                      <w:color w:val="FF0000"/>
                                      <w:lang w:val="en-US" w:eastAsia="zh-CN"/>
                                    </w:rPr>
                                  </w:pPr>
                                  <w:r>
                                    <w:rPr>
                                      <w:rFonts w:hint="eastAsia"/>
                                      <w:color w:val="FF0000"/>
                                      <w:lang w:val="en-US" w:eastAsia="zh-CN"/>
                                    </w:rPr>
                                    <w:t>2026.8.17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45pt;margin-top:161.95pt;height:19.2pt;width:72.15pt;z-index:251666432;mso-width-relative:page;mso-height-relative:page;" filled="f" stroked="f" coordsize="21600,21600" o:gfxdata="UEsDBAoAAAAAAIdO4kAAAAAAAAAAAAAAAAAEAAAAZHJzL1BLAwQUAAAACACHTuJANCniXNwAAAAL&#10;AQAADwAAAGRycy9kb3ducmV2LnhtbE2Py07DMBBF90j8gzVI7KgTp5Q2jVOhSBUSoouWbrqbxG4S&#10;4UeI3Qd8PcMKdvM4unOmWF2tYWc9ht47CekkAaZd41XvWgn79/XDHFiI6BQa77SELx1gVd7eFJgr&#10;f3Fbfd7FllGICzlK6GIccs5D02mLYeIH7Wh39KPFSO3YcjXihcKt4SJJZtxi7+hCh4OuOt187E5W&#10;wmu13uC2Fnb+baqXt+Pz8Lk/PEp5f5cmS2BRX+MfDL/6pA4lOdX+5FRgRoJ4mi4IlZCJjAoipulC&#10;AKtpMhMZ8LLg/38ofwBQSwMEFAAAAAgAh07iQCbMFqk+AgAAZwQAAA4AAABkcnMvZTJvRG9jLnht&#10;bK1UzW7bMAy+D9g7CLqvTtL0L6hTZC06DCjWAt2wsyLLtQFJ1CSldvcA2xvstMvue648xz7JSVp0&#10;O/Swi0yRFMnvI+nTs95odq98aMmWfLw34kxZSVVr70r+6ePlm2POQhS2EpqsKvmDCvxs/vrVaedm&#10;akIN6Up5hiA2zDpX8iZGNyuKIBtlRNgjpyyMNXkjIq7+rqi86BDd6GIyGh0WHfnKeZIqBGgvBiPf&#10;RPQvCUh13Up1QXJllI1DVK+0iIAUmtYFPs/V1rWS8bqug4pMlxxIYz6RBPIyncX8VMzuvHBNKzcl&#10;iJeU8AyTEa1F0l2oCxEFW/n2r1CmlZ4C1XFPkikGIJkRoBiPnnFz2winMhZQHdyO9PD/wsoP9zee&#10;tVXJJ0ecWWHQ8fWP7+ufv9e/vjHoQFDnwgx+tw6esX9LPcZmqw9QJtx97U36AhGDHfQ+7OhVfWQS&#10;ypPx4f7ogDMJ02S6fzzN9BePj50P8Z0iw5JQco/uZVLF/VWIKASuW5eUy9Jlq3XuoLasK/nh/sEo&#10;P9hZ8EJbPEwQhlKTFPtlv8G1pOoBsDwNkxGcvGyR/EqEeCM8RgFIsCzxGketCUloI3HWkP/6L33y&#10;R4dg5azDaJU8fFkJrzjT7y16dzKeAjqL+TI9OJrg4p9alk8tdmXOCdM7xlo6mcXkH/VWrD2Zz9ip&#10;RcoKk7ASuUset+J5HAYeOynVYpGdMH1OxCt762QKPdC5WEWq28x0omngZsMe5i83YLMracCf3rPX&#10;4/9h/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0KeJc3AAAAAsBAAAPAAAAAAAAAAEAIAAAACIA&#10;AABkcnMvZG93bnJldi54bWxQSwECFAAUAAAACACHTuJAJswWqT4CAABnBAAADgAAAAAAAAABACAA&#10;AAArAQAAZHJzL2Uyb0RvYy54bWxQSwUGAAAAAAYABgBZAQAA2wUAAAAA&#10;">
                      <v:fill on="f" focussize="0,0"/>
                      <v:stroke on="f" weight="0.5pt"/>
                      <v:imagedata o:title=""/>
                      <o:lock v:ext="edit" aspectratio="f"/>
                      <v:textbox>
                        <w:txbxContent>
                          <w:p w14:paraId="53DD959B">
                            <w:pPr>
                              <w:ind w:left="0" w:leftChars="0" w:firstLine="0" w:firstLineChars="0"/>
                              <w:rPr>
                                <w:rFonts w:hint="default" w:eastAsia="宋体"/>
                                <w:color w:val="FF0000"/>
                                <w:lang w:val="en-US" w:eastAsia="zh-CN"/>
                              </w:rPr>
                            </w:pPr>
                            <w:r>
                              <w:rPr>
                                <w:rFonts w:hint="eastAsia"/>
                                <w:color w:val="FF0000"/>
                                <w:lang w:val="en-US" w:eastAsia="zh-CN"/>
                              </w:rPr>
                              <w:t>2026.8.17</w:t>
                            </w:r>
                          </w:p>
                        </w:txbxContent>
                      </v:textbox>
                    </v:shape>
                  </w:pict>
                </mc:Fallback>
              </mc:AlternateContent>
            </w:r>
            <w:r>
              <w:rPr>
                <w:rFonts w:hint="eastAsia" w:ascii="Times New Roman" w:hAnsi="Times New Roman" w:eastAsia="宋体" w:cs="Times New Roman"/>
                <w:sz w:val="36"/>
                <w:szCs w:val="36"/>
                <w:vertAlign w:val="baseline"/>
                <w:lang w:eastAsia="zh-CN"/>
              </w:rPr>
              <w:drawing>
                <wp:inline distT="0" distB="0" distL="114300" distR="114300">
                  <wp:extent cx="2752090" cy="2287905"/>
                  <wp:effectExtent l="0" t="0" r="10160" b="17145"/>
                  <wp:docPr id="9" name="图片 9" descr="78cdaa7a11da620bb0fd7caf3c21d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8cdaa7a11da620bb0fd7caf3c21d131"/>
                          <pic:cNvPicPr>
                            <a:picLocks noChangeAspect="1"/>
                          </pic:cNvPicPr>
                        </pic:nvPicPr>
                        <pic:blipFill>
                          <a:blip r:embed="rId14"/>
                          <a:stretch>
                            <a:fillRect/>
                          </a:stretch>
                        </pic:blipFill>
                        <pic:spPr>
                          <a:xfrm>
                            <a:off x="0" y="0"/>
                            <a:ext cx="2752090" cy="2287905"/>
                          </a:xfrm>
                          <a:prstGeom prst="rect">
                            <a:avLst/>
                          </a:prstGeom>
                        </pic:spPr>
                      </pic:pic>
                    </a:graphicData>
                  </a:graphic>
                </wp:inline>
              </w:drawing>
            </w:r>
          </w:p>
        </w:tc>
        <w:tc>
          <w:tcPr>
            <w:tcW w:w="4536" w:type="dxa"/>
            <w:vAlign w:val="center"/>
          </w:tcPr>
          <w:p w14:paraId="59F3F5D5">
            <w:pPr>
              <w:keepNext w:val="0"/>
              <w:keepLines w:val="0"/>
              <w:pageBreakBefore w:val="0"/>
              <w:widowControl w:val="0"/>
              <w:kinsoku/>
              <w:wordWrap/>
              <w:overflowPunct/>
              <w:topLinePunct w:val="0"/>
              <w:autoSpaceDE/>
              <w:autoSpaceDN/>
              <w:bidi w:val="0"/>
              <w:adjustRightInd w:val="0"/>
              <w:snapToGrid w:val="0"/>
              <w:spacing w:line="288" w:lineRule="auto"/>
              <w:ind w:left="0" w:leftChars="0" w:firstLine="0" w:firstLineChars="0"/>
              <w:jc w:val="center"/>
              <w:textAlignment w:val="auto"/>
              <w:rPr>
                <w:rFonts w:hint="default" w:ascii="Times New Roman" w:hAnsi="Times New Roman" w:eastAsia="仿宋_GB2312" w:cs="Times New Roman"/>
                <w:sz w:val="36"/>
                <w:szCs w:val="36"/>
                <w:vertAlign w:val="baseline"/>
                <w:lang w:eastAsia="zh-CN"/>
              </w:rPr>
            </w:pPr>
            <w:r>
              <w:rPr>
                <w:rFonts w:hint="default" w:ascii="Times New Roman" w:hAnsi="Times New Roman" w:cs="Times New Roman"/>
                <w:sz w:val="36"/>
              </w:rPr>
              <mc:AlternateContent>
                <mc:Choice Requires="wps">
                  <w:drawing>
                    <wp:anchor distT="0" distB="0" distL="114300" distR="114300" simplePos="0" relativeHeight="251665408" behindDoc="0" locked="0" layoutInCell="1" allowOverlap="1">
                      <wp:simplePos x="0" y="0"/>
                      <wp:positionH relativeFrom="column">
                        <wp:posOffset>1736725</wp:posOffset>
                      </wp:positionH>
                      <wp:positionV relativeFrom="paragraph">
                        <wp:posOffset>1906905</wp:posOffset>
                      </wp:positionV>
                      <wp:extent cx="916305" cy="24384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916305" cy="2438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6746E">
                                  <w:pPr>
                                    <w:ind w:left="0" w:leftChars="0" w:firstLine="0" w:firstLineChars="0"/>
                                    <w:rPr>
                                      <w:rFonts w:hint="default" w:eastAsia="宋体"/>
                                      <w:color w:val="FF0000"/>
                                      <w:lang w:val="en-US" w:eastAsia="zh-CN"/>
                                    </w:rPr>
                                  </w:pPr>
                                  <w:r>
                                    <w:rPr>
                                      <w:rFonts w:hint="eastAsia"/>
                                      <w:color w:val="FF0000"/>
                                      <w:lang w:val="en-US" w:eastAsia="zh-CN"/>
                                    </w:rPr>
                                    <w:t>2026.7.05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75pt;margin-top:150.15pt;height:19.2pt;width:72.15pt;z-index:251665408;mso-width-relative:page;mso-height-relative:page;" filled="f" stroked="f" coordsize="21600,21600" o:gfxdata="UEsDBAoAAAAAAIdO4kAAAAAAAAAAAAAAAAAEAAAAZHJzL1BLAwQUAAAACACHTuJAfRjvIdwAAAAL&#10;AQAADwAAAGRycy9kb3ducmV2LnhtbE2Py07DMBBF90j8gzVI7KidhJIoxKlQpAoJwaKlG3ZO7CYR&#10;9jjE7gO+nmFVljNzdOfcanV2lh3NHEaPEpKFAGaw83rEXsLufX1XAAtRoVbWo5HwbQKs6uurSpXa&#10;n3BjjtvYMwrBUCoJQ4xTyXnoBuNUWPjJIN32fnYq0jj3XM/qROHO8lSIB+7UiPRhUJNpBtN9bg9O&#10;wkuzflObNnXFj22eX/dP09fuYynl7U0iHoFFc44XGP70SR1qcmr9AXVgVkKaZ0tCJWRCZMCIuE9y&#10;KtPSJity4HXF/3eofwFQSwMEFAAAAAgAh07iQNM04aM9AgAAZwQAAA4AAABkcnMvZTJvRG9jLnht&#10;bK1UwU4bMRC9V+o/WL6XTUKgELFBKYiqEipItOrZ8XrZlWyPazvs0g9o/4BTL733u/IdffYmAdEe&#10;OPTiHc+MZ+a9mdmT095odqd8aMmWfLw34kxZSVVrb0v++dPFmyPOQhS2EpqsKvm9Cvx0/vrVSedm&#10;akIN6Up5hiA2zDpX8iZGNyuKIBtlRNgjpyyMNXkjIq7+tqi86BDd6GIyGh0WHfnKeZIqBGjPByPf&#10;RPQvCUh13Up1TnJllI1DVK+0iIAUmtYFPs/V1rWS8aqug4pMlxxIYz6RBPIyncX8RMxuvXBNKzcl&#10;iJeU8AyTEa1F0l2ocxEFW/n2r1CmlZ4C1XFPkikGIJkRoBiPnnFz0winMhZQHdyO9PD/wsqPd9ee&#10;tVXJJwecWWHQ8fXDj/XP3+tf3xl0IKhzYQa/GwfP2L+jHmOz1QcoE+6+9iZ9gYjBDnrvd/SqPjIJ&#10;5fH4cH+ELBKmyXT/aJrpLx4fOx/ie0WGJaHkHt3LpIq7yxBRCFy3LimXpYtW69xBbVlX8sP9g1F+&#10;sLPghbZ4mCAMpSYp9st+g2tJ1T1geRomIzh50SL5pQjxWniMApBgWeIVjloTktBG4qwh/+1f+uSP&#10;DsHKWYfRKnn4uhJecaY/WPTueDwFdBbzZXrwdoKLf2pZPrXYlTkjTO8Ya+lkFpN/1Fux9mS+YKcW&#10;KStMwkrkLnncimdxGHjspFSLRXbC9DkRL+2Nkyn0QOdiFaluM9OJpoGbDXuYv9yAza6kAX96z16P&#10;/4f5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0Y7yHcAAAACwEAAA8AAAAAAAAAAQAgAAAAIgAA&#10;AGRycy9kb3ducmV2LnhtbFBLAQIUABQAAAAIAIdO4kDTNOGjPQIAAGcEAAAOAAAAAAAAAAEAIAAA&#10;ACsBAABkcnMvZTJvRG9jLnhtbFBLBQYAAAAABgAGAFkBAADaBQAAAAA=&#10;">
                      <v:fill on="f" focussize="0,0"/>
                      <v:stroke on="f" weight="0.5pt"/>
                      <v:imagedata o:title=""/>
                      <o:lock v:ext="edit" aspectratio="f"/>
                      <v:textbox>
                        <w:txbxContent>
                          <w:p w14:paraId="7F46746E">
                            <w:pPr>
                              <w:ind w:left="0" w:leftChars="0" w:firstLine="0" w:firstLineChars="0"/>
                              <w:rPr>
                                <w:rFonts w:hint="default" w:eastAsia="宋体"/>
                                <w:color w:val="FF0000"/>
                                <w:lang w:val="en-US" w:eastAsia="zh-CN"/>
                              </w:rPr>
                            </w:pPr>
                            <w:r>
                              <w:rPr>
                                <w:rFonts w:hint="eastAsia"/>
                                <w:color w:val="FF0000"/>
                                <w:lang w:val="en-US" w:eastAsia="zh-CN"/>
                              </w:rPr>
                              <w:t>2026.7.05</w:t>
                            </w:r>
                          </w:p>
                        </w:txbxContent>
                      </v:textbox>
                    </v:shape>
                  </w:pict>
                </mc:Fallback>
              </mc:AlternateContent>
            </w:r>
            <w:r>
              <w:rPr>
                <w:rFonts w:hint="default" w:ascii="Times New Roman" w:hAnsi="Times New Roman" w:eastAsia="仿宋_GB2312" w:cs="Times New Roman"/>
                <w:sz w:val="36"/>
                <w:szCs w:val="36"/>
                <w:vertAlign w:val="baseline"/>
                <w:lang w:eastAsia="zh-CN"/>
              </w:rPr>
              <w:drawing>
                <wp:inline distT="0" distB="0" distL="114300" distR="114300">
                  <wp:extent cx="2745105" cy="2256790"/>
                  <wp:effectExtent l="0" t="0" r="17145" b="10160"/>
                  <wp:docPr id="14" name="图片 14" descr="525603085c4dcc077361dc4dee26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25603085c4dcc077361dc4dee261957"/>
                          <pic:cNvPicPr>
                            <a:picLocks noChangeAspect="1"/>
                          </pic:cNvPicPr>
                        </pic:nvPicPr>
                        <pic:blipFill>
                          <a:blip r:embed="rId15"/>
                          <a:stretch>
                            <a:fillRect/>
                          </a:stretch>
                        </pic:blipFill>
                        <pic:spPr>
                          <a:xfrm>
                            <a:off x="0" y="0"/>
                            <a:ext cx="2745105" cy="2256790"/>
                          </a:xfrm>
                          <a:prstGeom prst="rect">
                            <a:avLst/>
                          </a:prstGeom>
                        </pic:spPr>
                      </pic:pic>
                    </a:graphicData>
                  </a:graphic>
                </wp:inline>
              </w:drawing>
            </w:r>
          </w:p>
        </w:tc>
      </w:tr>
      <w:tr w14:paraId="30C24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24" w:type="dxa"/>
            <w:vAlign w:val="center"/>
          </w:tcPr>
          <w:p w14:paraId="5B2F90CB">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仿宋_GB2312" w:cs="Times New Roman"/>
                <w:sz w:val="36"/>
                <w:szCs w:val="36"/>
                <w:vertAlign w:val="baseline"/>
                <w:lang w:val="en-US" w:eastAsia="zh-CN"/>
              </w:rPr>
            </w:pPr>
            <w:r>
              <w:rPr>
                <w:rFonts w:hint="default" w:ascii="Times New Roman" w:hAnsi="Times New Roman" w:eastAsia="宋体" w:cs="Times New Roman"/>
                <w:sz w:val="24"/>
                <w:szCs w:val="24"/>
                <w:vertAlign w:val="baseline"/>
                <w:lang w:val="en-US" w:eastAsia="zh-CN"/>
              </w:rPr>
              <w:t>A3风机位置</w:t>
            </w:r>
          </w:p>
        </w:tc>
        <w:tc>
          <w:tcPr>
            <w:tcW w:w="4536" w:type="dxa"/>
            <w:vAlign w:val="center"/>
          </w:tcPr>
          <w:p w14:paraId="0A37830F">
            <w:pPr>
              <w:keepNext w:val="0"/>
              <w:keepLines w:val="0"/>
              <w:pageBreakBefore w:val="0"/>
              <w:widowControl w:val="0"/>
              <w:kinsoku/>
              <w:wordWrap/>
              <w:overflowPunct/>
              <w:topLinePunct w:val="0"/>
              <w:autoSpaceDE/>
              <w:autoSpaceDN/>
              <w:bidi w:val="0"/>
              <w:adjustRightInd w:val="0"/>
              <w:snapToGrid w:val="0"/>
              <w:spacing w:line="288" w:lineRule="auto"/>
              <w:ind w:firstLine="0" w:firstLineChars="0"/>
              <w:jc w:val="center"/>
              <w:textAlignment w:val="auto"/>
              <w:rPr>
                <w:rFonts w:hint="default" w:ascii="Times New Roman" w:hAnsi="Times New Roman" w:eastAsia="仿宋_GB2312" w:cs="Times New Roman"/>
                <w:sz w:val="36"/>
                <w:szCs w:val="36"/>
                <w:vertAlign w:val="baseline"/>
                <w:lang w:val="en-US" w:eastAsia="zh-CN"/>
              </w:rPr>
            </w:pPr>
            <w:r>
              <w:rPr>
                <w:rFonts w:hint="default" w:ascii="Times New Roman" w:hAnsi="Times New Roman" w:eastAsia="宋体" w:cs="Times New Roman"/>
                <w:sz w:val="24"/>
                <w:szCs w:val="24"/>
                <w:vertAlign w:val="baseline"/>
                <w:lang w:val="en-US" w:eastAsia="zh-CN"/>
              </w:rPr>
              <w:t>开关站的位置</w:t>
            </w:r>
          </w:p>
        </w:tc>
      </w:tr>
    </w:tbl>
    <w:p w14:paraId="243F7A7A">
      <w:pPr>
        <w:adjustRightInd w:val="0"/>
        <w:snapToGrid w:val="0"/>
        <w:spacing w:line="288" w:lineRule="auto"/>
        <w:ind w:firstLine="1040"/>
        <w:jc w:val="center"/>
        <w:rPr>
          <w:rFonts w:hint="eastAsia" w:ascii="仿宋_GB2312" w:eastAsia="仿宋_GB2312"/>
          <w:sz w:val="36"/>
          <w:szCs w:val="36"/>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p w14:paraId="764E7D1C">
      <w:pPr>
        <w:keepNext w:val="0"/>
        <w:keepLines w:val="0"/>
        <w:pageBreakBefore w:val="0"/>
        <w:widowControl w:val="0"/>
        <w:kinsoku/>
        <w:wordWrap/>
        <w:overflowPunct/>
        <w:topLinePunct w:val="0"/>
        <w:autoSpaceDE/>
        <w:autoSpaceDN/>
        <w:bidi w:val="0"/>
        <w:adjustRightInd w:val="0"/>
        <w:snapToGrid w:val="0"/>
        <w:spacing w:before="91" w:line="221" w:lineRule="auto"/>
        <w:ind w:left="11" w:firstLine="0" w:firstLineChars="0"/>
        <w:jc w:val="center"/>
        <w:textAlignment w:val="auto"/>
        <w:rPr>
          <w:rFonts w:ascii="宋体" w:hAnsi="宋体" w:eastAsia="宋体" w:cs="宋体"/>
          <w:sz w:val="36"/>
          <w:szCs w:val="36"/>
        </w:rPr>
      </w:pPr>
      <w:r>
        <w:rPr>
          <w:rFonts w:ascii="宋体" w:hAnsi="宋体" w:eastAsia="宋体" w:cs="宋体"/>
          <w:b/>
          <w:bCs/>
          <w:spacing w:val="-10"/>
          <w:sz w:val="36"/>
          <w:szCs w:val="36"/>
        </w:rPr>
        <w:t>前言</w:t>
      </w:r>
    </w:p>
    <w:p w14:paraId="0C8D628B">
      <w:pPr>
        <w:keepNext w:val="0"/>
        <w:keepLines w:val="0"/>
        <w:pageBreakBefore w:val="0"/>
        <w:widowControl w:val="0"/>
        <w:kinsoku/>
        <w:wordWrap/>
        <w:overflowPunct/>
        <w:topLinePunct w:val="0"/>
        <w:autoSpaceDE/>
        <w:autoSpaceDN/>
        <w:bidi w:val="0"/>
        <w:adjustRightInd w:val="0"/>
        <w:snapToGrid w:val="0"/>
        <w:spacing w:line="360" w:lineRule="auto"/>
        <w:ind w:left="0" w:right="0" w:firstLine="482"/>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spacing w:val="-1"/>
          <w:sz w:val="24"/>
          <w:szCs w:val="24"/>
        </w:rPr>
        <w:t>云南省发展和改革委员会</w:t>
      </w:r>
      <w:r>
        <w:rPr>
          <w:rFonts w:hint="default"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云南省能源局</w:t>
      </w:r>
      <w:r>
        <w:rPr>
          <w:rFonts w:hint="default" w:ascii="Times New Roman" w:hAnsi="Times New Roman" w:eastAsia="宋体" w:cs="Times New Roman"/>
          <w:spacing w:val="-1"/>
          <w:sz w:val="24"/>
          <w:szCs w:val="24"/>
          <w:lang w:eastAsia="zh-CN"/>
        </w:rPr>
        <w:t>、云南省农业农村厅为贯彻落实《中共中央、国务院关于学习运用“千村示范、万村整治”工程经验有力有效推进乡村全面振兴的意见》精神，促进农村地区风电就地就近开发利用，推动风电成为农村能源革命的新载体、助力乡村振兴的新动能，</w:t>
      </w:r>
      <w:r>
        <w:rPr>
          <w:rFonts w:hint="default" w:ascii="Times New Roman" w:hAnsi="Times New Roman" w:eastAsia="宋体" w:cs="Times New Roman"/>
          <w:spacing w:val="-1"/>
          <w:sz w:val="24"/>
          <w:szCs w:val="24"/>
          <w:lang w:val="en-US" w:eastAsia="zh-CN"/>
        </w:rPr>
        <w:t>印发了</w:t>
      </w:r>
      <w:r>
        <w:rPr>
          <w:rFonts w:hint="default" w:ascii="Times New Roman" w:hAnsi="Times New Roman" w:eastAsia="宋体" w:cs="Times New Roman"/>
          <w:spacing w:val="-1"/>
          <w:sz w:val="24"/>
          <w:szCs w:val="24"/>
          <w:lang w:eastAsia="zh-CN"/>
        </w:rPr>
        <w:t>《关于印发〈云南省“千乡万村驭风行动”总体方案〉的通知》（云能源水电〔2024〕118号），并制定了《云南省“千乡万村驭风行动”第一批项目开发建设方案》（以下简称“建设方案”）。</w:t>
      </w:r>
      <w:r>
        <w:rPr>
          <w:rFonts w:hint="default" w:ascii="Times New Roman" w:hAnsi="Times New Roman" w:eastAsia="宋体" w:cs="Times New Roman"/>
          <w:spacing w:val="-1"/>
          <w:sz w:val="24"/>
          <w:szCs w:val="24"/>
        </w:rPr>
        <w:t>本项目属于</w:t>
      </w:r>
      <w:r>
        <w:rPr>
          <w:rFonts w:hint="default" w:ascii="Times New Roman" w:hAnsi="Times New Roman" w:eastAsia="宋体" w:cs="Times New Roman"/>
          <w:spacing w:val="-1"/>
          <w:sz w:val="24"/>
          <w:szCs w:val="24"/>
          <w:lang w:eastAsia="zh-CN"/>
        </w:rPr>
        <w:t>建设方案</w:t>
      </w:r>
      <w:r>
        <w:rPr>
          <w:rFonts w:hint="default" w:ascii="Times New Roman" w:hAnsi="Times New Roman" w:eastAsia="宋体" w:cs="Times New Roman"/>
          <w:spacing w:val="-1"/>
          <w:sz w:val="24"/>
          <w:szCs w:val="24"/>
        </w:rPr>
        <w:t>中的</w:t>
      </w:r>
      <w:r>
        <w:rPr>
          <w:rFonts w:hint="default" w:ascii="Times New Roman" w:hAnsi="Times New Roman" w:eastAsia="宋体" w:cs="Times New Roman"/>
          <w:spacing w:val="-1"/>
          <w:sz w:val="24"/>
          <w:szCs w:val="24"/>
          <w:lang w:eastAsia="zh-CN"/>
        </w:rPr>
        <w:t>曲靖市宣威市海德村</w:t>
      </w:r>
      <w:r>
        <w:rPr>
          <w:rFonts w:hint="default" w:ascii="Times New Roman" w:hAnsi="Times New Roman" w:eastAsia="宋体" w:cs="Times New Roman"/>
          <w:spacing w:val="-1"/>
          <w:sz w:val="24"/>
          <w:szCs w:val="24"/>
        </w:rPr>
        <w:t>项目</w:t>
      </w:r>
      <w:r>
        <w:rPr>
          <w:rFonts w:hint="default" w:ascii="Times New Roman" w:hAnsi="Times New Roman" w:eastAsia="宋体" w:cs="Times New Roman"/>
          <w:spacing w:val="-1"/>
          <w:sz w:val="24"/>
          <w:szCs w:val="24"/>
          <w:lang w:eastAsia="zh-CN"/>
        </w:rPr>
        <w:t>，拟建规模为</w:t>
      </w:r>
      <w:r>
        <w:rPr>
          <w:rFonts w:hint="default" w:ascii="Times New Roman" w:hAnsi="Times New Roman" w:eastAsia="宋体" w:cs="Times New Roman"/>
          <w:spacing w:val="-1"/>
          <w:sz w:val="24"/>
          <w:szCs w:val="24"/>
          <w:lang w:val="en-US" w:eastAsia="zh-CN"/>
        </w:rPr>
        <w:t>2万千瓦</w:t>
      </w:r>
      <w:r>
        <w:rPr>
          <w:rFonts w:hint="default" w:ascii="Times New Roman" w:hAnsi="Times New Roman" w:eastAsia="宋体" w:cs="Times New Roman"/>
          <w:spacing w:val="-1"/>
          <w:sz w:val="24"/>
          <w:szCs w:val="24"/>
        </w:rPr>
        <w:t>。</w:t>
      </w:r>
    </w:p>
    <w:p w14:paraId="2B1A92C1">
      <w:pPr>
        <w:keepNext w:val="0"/>
        <w:keepLines w:val="0"/>
        <w:pageBreakBefore w:val="0"/>
        <w:widowControl w:val="0"/>
        <w:kinsoku/>
        <w:wordWrap/>
        <w:overflowPunct/>
        <w:topLinePunct w:val="0"/>
        <w:autoSpaceDE/>
        <w:autoSpaceDN/>
        <w:bidi w:val="0"/>
        <w:adjustRightInd w:val="0"/>
        <w:snapToGrid w:val="0"/>
        <w:spacing w:line="360" w:lineRule="auto"/>
        <w:ind w:left="0" w:right="0" w:firstLine="485"/>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color w:val="auto"/>
          <w:kern w:val="0"/>
          <w:szCs w:val="24"/>
          <w:lang w:eastAsia="zh-CN" w:bidi="ar"/>
        </w:rPr>
        <w:t>海德村项目位于云南省宣威市西南部的热水镇，地理坐标介于</w:t>
      </w:r>
      <w:r>
        <w:rPr>
          <w:rFonts w:hint="default" w:ascii="Times New Roman" w:hAnsi="Times New Roman" w:eastAsia="宋体" w:cs="Times New Roman"/>
          <w:color w:val="auto"/>
          <w:lang w:eastAsia="zh-CN"/>
        </w:rPr>
        <w:t>北纬25°57′59.1″~25°58′35.5″、东经103°44′22.3″~103°44′56.1″之间</w:t>
      </w:r>
      <w:r>
        <w:rPr>
          <w:rFonts w:hint="default" w:ascii="Times New Roman" w:hAnsi="Times New Roman" w:eastAsia="宋体" w:cs="Times New Roman"/>
          <w:color w:val="auto"/>
          <w:kern w:val="0"/>
          <w:szCs w:val="24"/>
          <w:lang w:eastAsia="zh-CN" w:bidi="ar"/>
        </w:rPr>
        <w:t>，海拔在2370～2409m之间。本项目评价内容包含2台7.5MW风机、1台5MW风机，总装机容量为20MW，以及1座35KV开关站和场内</w:t>
      </w:r>
      <w:r>
        <w:rPr>
          <w:rFonts w:hint="default" w:ascii="Times New Roman" w:hAnsi="Times New Roman" w:eastAsia="宋体" w:cs="Times New Roman"/>
          <w:lang w:val="en-US" w:eastAsia="zh-CN"/>
        </w:rPr>
        <w:t>集电线路</w:t>
      </w:r>
      <w:r>
        <w:rPr>
          <w:rFonts w:hint="default" w:ascii="Times New Roman" w:hAnsi="Times New Roman" w:eastAsia="宋体" w:cs="Times New Roman"/>
          <w:color w:val="auto"/>
          <w:lang w:val="en-US" w:eastAsia="zh-CN"/>
        </w:rPr>
        <w:t>。项目区距离宣威市约60km，距离曲靖市约70km，距离昆明市约200km，附近有G56杭瑞高速、S16宣片高速、乡间水泥道路及周边已建风机项目的进场道路连通，交通较为便利。</w:t>
      </w:r>
    </w:p>
    <w:p w14:paraId="7161715C">
      <w:pPr>
        <w:keepNext w:val="0"/>
        <w:keepLines w:val="0"/>
        <w:pageBreakBefore w:val="0"/>
        <w:widowControl w:val="0"/>
        <w:kinsoku/>
        <w:wordWrap/>
        <w:overflowPunct/>
        <w:topLinePunct w:val="0"/>
        <w:autoSpaceDE/>
        <w:autoSpaceDN/>
        <w:bidi w:val="0"/>
        <w:adjustRightInd w:val="0"/>
        <w:snapToGrid w:val="0"/>
        <w:spacing w:line="360" w:lineRule="auto"/>
        <w:ind w:left="0" w:right="0" w:firstLine="480"/>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spacing w:val="-1"/>
          <w:sz w:val="24"/>
          <w:szCs w:val="24"/>
          <w:lang w:eastAsia="zh-CN"/>
        </w:rPr>
        <w:t>根据《中华人民共和国</w:t>
      </w:r>
      <w:r>
        <w:rPr>
          <w:rFonts w:hint="eastAsia" w:cs="Times New Roman"/>
          <w:spacing w:val="-1"/>
          <w:sz w:val="24"/>
          <w:szCs w:val="24"/>
          <w:lang w:eastAsia="zh-CN"/>
        </w:rPr>
        <w:t>生态环境法典</w:t>
      </w:r>
      <w:r>
        <w:rPr>
          <w:rFonts w:hint="default" w:ascii="Times New Roman" w:hAnsi="Times New Roman" w:eastAsia="宋体" w:cs="Times New Roman"/>
          <w:spacing w:val="-1"/>
          <w:sz w:val="24"/>
          <w:szCs w:val="24"/>
          <w:lang w:eastAsia="zh-CN"/>
        </w:rPr>
        <w:t>》《建</w:t>
      </w:r>
      <w:r>
        <w:rPr>
          <w:rFonts w:hint="default" w:ascii="Times New Roman" w:hAnsi="Times New Roman" w:eastAsia="宋体" w:cs="Times New Roman"/>
          <w:spacing w:val="-2"/>
          <w:sz w:val="24"/>
          <w:szCs w:val="24"/>
          <w:lang w:eastAsia="zh-CN"/>
        </w:rPr>
        <w:t>设项目环境保护管理条例》等</w:t>
      </w:r>
      <w:r>
        <w:rPr>
          <w:rFonts w:hint="default" w:ascii="Times New Roman" w:hAnsi="Times New Roman" w:eastAsia="宋体" w:cs="Times New Roman"/>
          <w:spacing w:val="-1"/>
          <w:sz w:val="24"/>
          <w:szCs w:val="24"/>
          <w:lang w:eastAsia="zh-CN"/>
        </w:rPr>
        <w:t>相关法律法规要求，本项目需开展环境影响评价工作。根据《建设项</w:t>
      </w:r>
      <w:r>
        <w:rPr>
          <w:rFonts w:hint="default" w:ascii="Times New Roman" w:hAnsi="Times New Roman" w:eastAsia="宋体" w:cs="Times New Roman"/>
          <w:spacing w:val="-2"/>
          <w:sz w:val="24"/>
          <w:szCs w:val="24"/>
          <w:lang w:eastAsia="zh-CN"/>
        </w:rPr>
        <w:t>目环境影响评价分类管理名录》（2021年版</w:t>
      </w:r>
      <w:r>
        <w:rPr>
          <w:rFonts w:hint="default" w:ascii="Times New Roman" w:hAnsi="Times New Roman" w:eastAsia="宋体" w:cs="Times New Roman"/>
          <w:spacing w:val="-12"/>
          <w:sz w:val="24"/>
          <w:szCs w:val="24"/>
          <w:lang w:eastAsia="zh-CN"/>
        </w:rPr>
        <w:t>），</w:t>
      </w:r>
      <w:r>
        <w:rPr>
          <w:rFonts w:hint="default" w:ascii="Times New Roman" w:hAnsi="Times New Roman" w:eastAsia="宋体" w:cs="Times New Roman"/>
          <w:spacing w:val="-2"/>
          <w:sz w:val="24"/>
          <w:szCs w:val="24"/>
          <w:lang w:eastAsia="zh-CN"/>
        </w:rPr>
        <w:t xml:space="preserve">“90 陆上风力发电 </w:t>
      </w:r>
      <w:r>
        <w:rPr>
          <w:rFonts w:hint="default" w:ascii="Times New Roman" w:hAnsi="Times New Roman" w:eastAsia="宋体" w:cs="Times New Roman"/>
          <w:spacing w:val="-3"/>
          <w:sz w:val="24"/>
          <w:szCs w:val="24"/>
          <w:lang w:eastAsia="zh-CN"/>
        </w:rPr>
        <w:t>4415；涉及环境敏感区的总装</w:t>
      </w:r>
      <w:r>
        <w:rPr>
          <w:rFonts w:hint="default" w:ascii="Times New Roman" w:hAnsi="Times New Roman" w:eastAsia="宋体" w:cs="Times New Roman"/>
          <w:spacing w:val="1"/>
          <w:sz w:val="24"/>
          <w:szCs w:val="24"/>
          <w:lang w:eastAsia="zh-CN"/>
        </w:rPr>
        <w:t>机容量5万千瓦及以上的陆上风力发电项目编制环境</w:t>
      </w:r>
      <w:r>
        <w:rPr>
          <w:rFonts w:hint="default" w:ascii="Times New Roman" w:hAnsi="Times New Roman" w:eastAsia="宋体" w:cs="Times New Roman"/>
          <w:sz w:val="24"/>
          <w:szCs w:val="24"/>
          <w:lang w:eastAsia="zh-CN"/>
        </w:rPr>
        <w:t>影响报告书”，本项目</w:t>
      </w:r>
      <w:r>
        <w:rPr>
          <w:rFonts w:hint="default" w:ascii="Times New Roman" w:hAnsi="Times New Roman" w:eastAsia="宋体" w:cs="Times New Roman"/>
          <w:sz w:val="24"/>
          <w:szCs w:val="24"/>
          <w:lang w:val="en-US" w:eastAsia="zh-CN"/>
        </w:rPr>
        <w:t>装机容量为2万千瓦，且</w:t>
      </w:r>
      <w:r>
        <w:rPr>
          <w:rFonts w:hint="default" w:ascii="Times New Roman" w:hAnsi="Times New Roman" w:eastAsia="宋体" w:cs="Times New Roman"/>
          <w:sz w:val="24"/>
          <w:szCs w:val="24"/>
          <w:lang w:eastAsia="zh-CN"/>
        </w:rPr>
        <w:t>不涉及环</w:t>
      </w:r>
      <w:r>
        <w:rPr>
          <w:rFonts w:hint="default" w:ascii="Times New Roman" w:hAnsi="Times New Roman" w:eastAsia="宋体" w:cs="Times New Roman"/>
          <w:spacing w:val="-1"/>
          <w:sz w:val="24"/>
          <w:szCs w:val="24"/>
          <w:lang w:eastAsia="zh-CN"/>
        </w:rPr>
        <w:t>境敏感区，属于</w:t>
      </w:r>
      <w:r>
        <w:rPr>
          <w:rFonts w:hint="default" w:ascii="Times New Roman" w:hAnsi="Times New Roman" w:eastAsia="宋体" w:cs="Times New Roman"/>
          <w:spacing w:val="-2"/>
          <w:sz w:val="24"/>
          <w:szCs w:val="24"/>
          <w:lang w:eastAsia="zh-CN"/>
        </w:rPr>
        <w:t xml:space="preserve">“90 陆上风力发电 </w:t>
      </w:r>
      <w:r>
        <w:rPr>
          <w:rFonts w:hint="default" w:ascii="Times New Roman" w:hAnsi="Times New Roman" w:eastAsia="宋体" w:cs="Times New Roman"/>
          <w:spacing w:val="-3"/>
          <w:sz w:val="24"/>
          <w:szCs w:val="24"/>
          <w:lang w:eastAsia="zh-CN"/>
        </w:rPr>
        <w:t>4415”类别下的其他风力发电项目，</w:t>
      </w:r>
      <w:r>
        <w:rPr>
          <w:rFonts w:hint="default" w:ascii="Times New Roman" w:hAnsi="Times New Roman" w:eastAsia="宋体" w:cs="Times New Roman"/>
          <w:spacing w:val="-1"/>
          <w:sz w:val="24"/>
          <w:szCs w:val="24"/>
          <w:lang w:eastAsia="zh-CN"/>
        </w:rPr>
        <w:t>应当编制环境影响报告表。</w:t>
      </w:r>
    </w:p>
    <w:p w14:paraId="1F075607">
      <w:pPr>
        <w:keepNext w:val="0"/>
        <w:keepLines w:val="0"/>
        <w:pageBreakBefore w:val="0"/>
        <w:widowControl w:val="0"/>
        <w:kinsoku/>
        <w:wordWrap/>
        <w:overflowPunct/>
        <w:topLinePunct w:val="0"/>
        <w:autoSpaceDE/>
        <w:autoSpaceDN/>
        <w:bidi w:val="0"/>
        <w:adjustRightInd w:val="0"/>
        <w:snapToGrid w:val="0"/>
        <w:spacing w:line="360" w:lineRule="auto"/>
        <w:ind w:left="0" w:right="0" w:firstLine="475"/>
        <w:textAlignment w:val="auto"/>
        <w:rPr>
          <w:rFonts w:hint="default" w:ascii="Times New Roman" w:hAnsi="Times New Roman" w:eastAsia="宋体" w:cs="Times New Roman"/>
          <w:color w:val="auto"/>
          <w:sz w:val="36"/>
          <w:szCs w:val="36"/>
        </w:rPr>
      </w:pPr>
      <w:r>
        <w:rPr>
          <w:rFonts w:hint="default" w:ascii="Times New Roman" w:hAnsi="Times New Roman" w:eastAsia="宋体" w:cs="Times New Roman"/>
          <w:spacing w:val="3"/>
          <w:sz w:val="24"/>
          <w:szCs w:val="24"/>
        </w:rPr>
        <w:t>202</w:t>
      </w:r>
      <w:r>
        <w:rPr>
          <w:rFonts w:hint="default" w:ascii="Times New Roman" w:hAnsi="Times New Roman" w:eastAsia="宋体" w:cs="Times New Roman"/>
          <w:spacing w:val="3"/>
          <w:sz w:val="24"/>
          <w:szCs w:val="24"/>
          <w:lang w:val="en-US" w:eastAsia="zh-CN"/>
        </w:rPr>
        <w:t>5</w:t>
      </w:r>
      <w:r>
        <w:rPr>
          <w:rFonts w:hint="default" w:ascii="Times New Roman" w:hAnsi="Times New Roman" w:eastAsia="宋体" w:cs="Times New Roman"/>
          <w:spacing w:val="3"/>
          <w:sz w:val="24"/>
          <w:szCs w:val="24"/>
        </w:rPr>
        <w:t>年</w:t>
      </w:r>
      <w:r>
        <w:rPr>
          <w:rFonts w:hint="eastAsia" w:cs="Times New Roman"/>
          <w:spacing w:val="3"/>
          <w:sz w:val="24"/>
          <w:szCs w:val="24"/>
          <w:lang w:val="en-US" w:eastAsia="zh-CN"/>
        </w:rPr>
        <w:t>10</w:t>
      </w:r>
      <w:r>
        <w:rPr>
          <w:rFonts w:hint="default" w:ascii="Times New Roman" w:hAnsi="Times New Roman" w:eastAsia="宋体" w:cs="Times New Roman"/>
          <w:spacing w:val="3"/>
          <w:sz w:val="24"/>
          <w:szCs w:val="24"/>
        </w:rPr>
        <w:t>月</w:t>
      </w:r>
      <w:r>
        <w:rPr>
          <w:rFonts w:hint="default" w:ascii="Times New Roman" w:hAnsi="Times New Roman" w:eastAsia="宋体" w:cs="Times New Roman"/>
          <w:spacing w:val="3"/>
          <w:sz w:val="24"/>
          <w:szCs w:val="24"/>
          <w:lang w:eastAsia="zh-CN"/>
        </w:rPr>
        <w:t>，</w:t>
      </w:r>
      <w:r>
        <w:rPr>
          <w:rFonts w:hint="default" w:ascii="Times New Roman" w:hAnsi="Times New Roman" w:eastAsia="宋体" w:cs="Times New Roman"/>
          <w:spacing w:val="3"/>
          <w:sz w:val="24"/>
          <w:szCs w:val="24"/>
        </w:rPr>
        <w:t>建设单位委托</w:t>
      </w:r>
      <w:r>
        <w:rPr>
          <w:rFonts w:hint="default" w:ascii="Times New Roman" w:hAnsi="Times New Roman" w:eastAsia="宋体" w:cs="Times New Roman"/>
        </w:rPr>
        <w:t>云南天启环境工程有限公司</w:t>
      </w:r>
      <w:r>
        <w:rPr>
          <w:rFonts w:hint="default" w:ascii="Times New Roman" w:hAnsi="Times New Roman" w:eastAsia="宋体" w:cs="Times New Roman"/>
          <w:spacing w:val="3"/>
          <w:sz w:val="24"/>
          <w:szCs w:val="24"/>
        </w:rPr>
        <w:t>承担本项目的环境</w:t>
      </w:r>
      <w:r>
        <w:rPr>
          <w:rFonts w:hint="default" w:ascii="Times New Roman" w:hAnsi="Times New Roman" w:eastAsia="宋体" w:cs="Times New Roman"/>
          <w:spacing w:val="-1"/>
          <w:sz w:val="24"/>
          <w:szCs w:val="24"/>
        </w:rPr>
        <w:t>影响评价工作。接受委托后</w:t>
      </w:r>
      <w:r>
        <w:rPr>
          <w:rFonts w:hint="default" w:ascii="Times New Roman" w:hAnsi="Times New Roman" w:eastAsia="宋体" w:cs="Times New Roman"/>
          <w:spacing w:val="-1"/>
          <w:sz w:val="24"/>
          <w:szCs w:val="24"/>
          <w:lang w:eastAsia="zh-CN"/>
        </w:rPr>
        <w:t>，</w:t>
      </w:r>
      <w:r>
        <w:rPr>
          <w:rFonts w:hint="default" w:ascii="Times New Roman" w:hAnsi="Times New Roman" w:eastAsia="宋体" w:cs="Times New Roman"/>
          <w:spacing w:val="-1"/>
          <w:sz w:val="24"/>
          <w:szCs w:val="24"/>
        </w:rPr>
        <w:t>我单位</w:t>
      </w:r>
      <w:r>
        <w:rPr>
          <w:rFonts w:hint="default" w:ascii="Times New Roman" w:hAnsi="Times New Roman" w:eastAsia="宋体" w:cs="Times New Roman"/>
          <w:spacing w:val="-1"/>
          <w:sz w:val="24"/>
          <w:szCs w:val="24"/>
          <w:lang w:eastAsia="zh-CN"/>
        </w:rPr>
        <w:t>于</w:t>
      </w:r>
      <w:r>
        <w:rPr>
          <w:rFonts w:hint="default" w:ascii="Times New Roman" w:hAnsi="Times New Roman" w:eastAsia="宋体" w:cs="Times New Roman"/>
          <w:spacing w:val="-1"/>
          <w:sz w:val="24"/>
          <w:szCs w:val="24"/>
          <w:lang w:val="en-US" w:eastAsia="zh-CN"/>
        </w:rPr>
        <w:t>2025年</w:t>
      </w:r>
      <w:r>
        <w:rPr>
          <w:rFonts w:hint="eastAsia" w:cs="Times New Roman"/>
          <w:spacing w:val="-1"/>
          <w:sz w:val="24"/>
          <w:szCs w:val="24"/>
          <w:lang w:val="en-US" w:eastAsia="zh-CN"/>
        </w:rPr>
        <w:t>10</w:t>
      </w:r>
      <w:r>
        <w:rPr>
          <w:rFonts w:hint="default" w:ascii="Times New Roman" w:hAnsi="Times New Roman" w:eastAsia="宋体" w:cs="Times New Roman"/>
          <w:spacing w:val="-1"/>
          <w:sz w:val="24"/>
          <w:szCs w:val="24"/>
          <w:lang w:val="en-US" w:eastAsia="zh-CN"/>
        </w:rPr>
        <w:t>月、2026年</w:t>
      </w:r>
      <w:r>
        <w:rPr>
          <w:rFonts w:hint="eastAsia" w:cs="Times New Roman"/>
          <w:spacing w:val="-1"/>
          <w:sz w:val="24"/>
          <w:szCs w:val="24"/>
          <w:lang w:val="en-US" w:eastAsia="zh-CN"/>
        </w:rPr>
        <w:t>3月、2026年</w:t>
      </w:r>
      <w:r>
        <w:rPr>
          <w:rFonts w:hint="default" w:ascii="Times New Roman" w:hAnsi="Times New Roman" w:eastAsia="宋体" w:cs="Times New Roman"/>
          <w:spacing w:val="-1"/>
          <w:sz w:val="24"/>
          <w:szCs w:val="24"/>
          <w:lang w:val="en-US" w:eastAsia="zh-CN"/>
        </w:rPr>
        <w:t>7月</w:t>
      </w:r>
      <w:r>
        <w:rPr>
          <w:rFonts w:hint="default" w:ascii="Times New Roman" w:hAnsi="Times New Roman" w:eastAsia="宋体" w:cs="Times New Roman"/>
          <w:spacing w:val="-1"/>
          <w:sz w:val="24"/>
          <w:szCs w:val="24"/>
        </w:rPr>
        <w:t>对建设项目现场</w:t>
      </w:r>
      <w:r>
        <w:rPr>
          <w:rFonts w:hint="default" w:ascii="Times New Roman" w:hAnsi="Times New Roman" w:eastAsia="宋体" w:cs="Times New Roman"/>
          <w:spacing w:val="-2"/>
          <w:sz w:val="24"/>
          <w:szCs w:val="24"/>
          <w:lang w:eastAsia="zh-CN"/>
        </w:rPr>
        <w:t>开展调查</w:t>
      </w:r>
      <w:r>
        <w:rPr>
          <w:rFonts w:hint="default" w:ascii="Times New Roman" w:hAnsi="Times New Roman" w:eastAsia="宋体" w:cs="Times New Roman"/>
          <w:spacing w:val="-2"/>
          <w:sz w:val="24"/>
          <w:szCs w:val="24"/>
        </w:rPr>
        <w:t>踏勘，收集了相关资料，按照</w:t>
      </w:r>
      <w:r>
        <w:rPr>
          <w:rFonts w:hint="default" w:ascii="Times New Roman" w:hAnsi="Times New Roman" w:eastAsia="宋体" w:cs="Times New Roman"/>
          <w:spacing w:val="-2"/>
          <w:sz w:val="24"/>
          <w:szCs w:val="24"/>
          <w:lang w:eastAsia="zh-CN"/>
        </w:rPr>
        <w:t>《建设项目</w:t>
      </w:r>
      <w:r>
        <w:rPr>
          <w:rFonts w:hint="default" w:ascii="Times New Roman" w:hAnsi="Times New Roman" w:eastAsia="宋体" w:cs="Times New Roman"/>
          <w:spacing w:val="-2"/>
          <w:sz w:val="24"/>
          <w:szCs w:val="24"/>
        </w:rPr>
        <w:t>环境影响报告表编制</w:t>
      </w:r>
      <w:r>
        <w:rPr>
          <w:rFonts w:hint="default" w:ascii="Times New Roman" w:hAnsi="Times New Roman" w:eastAsia="宋体" w:cs="Times New Roman"/>
          <w:spacing w:val="-2"/>
          <w:sz w:val="24"/>
          <w:szCs w:val="24"/>
          <w:lang w:eastAsia="zh-CN"/>
        </w:rPr>
        <w:t>技术</w:t>
      </w:r>
      <w:r>
        <w:rPr>
          <w:rFonts w:hint="default" w:ascii="Times New Roman" w:hAnsi="Times New Roman" w:eastAsia="宋体" w:cs="Times New Roman"/>
          <w:spacing w:val="-2"/>
          <w:sz w:val="24"/>
          <w:szCs w:val="24"/>
        </w:rPr>
        <w:t>指南</w:t>
      </w:r>
      <w:r>
        <w:rPr>
          <w:rFonts w:hint="default" w:ascii="Times New Roman" w:hAnsi="Times New Roman" w:eastAsia="宋体" w:cs="Times New Roman"/>
          <w:spacing w:val="-2"/>
          <w:sz w:val="24"/>
          <w:szCs w:val="24"/>
          <w:lang w:eastAsia="zh-CN"/>
        </w:rPr>
        <w:t>》（生态</w:t>
      </w:r>
      <w:r>
        <w:rPr>
          <w:rFonts w:hint="eastAsia" w:cs="Times New Roman"/>
          <w:spacing w:val="-2"/>
          <w:sz w:val="24"/>
          <w:szCs w:val="24"/>
          <w:lang w:val="en-US" w:eastAsia="zh-CN"/>
        </w:rPr>
        <w:t>影响类</w:t>
      </w:r>
      <w:r>
        <w:rPr>
          <w:rFonts w:hint="default" w:ascii="Times New Roman" w:hAnsi="Times New Roman" w:eastAsia="宋体" w:cs="Times New Roman"/>
          <w:spacing w:val="-2"/>
          <w:sz w:val="24"/>
          <w:szCs w:val="24"/>
          <w:lang w:eastAsia="zh-CN"/>
        </w:rPr>
        <w:t>）</w:t>
      </w:r>
      <w:r>
        <w:rPr>
          <w:rFonts w:hint="default" w:ascii="Times New Roman" w:hAnsi="Times New Roman" w:eastAsia="宋体" w:cs="Times New Roman"/>
          <w:spacing w:val="-2"/>
          <w:sz w:val="24"/>
          <w:szCs w:val="24"/>
        </w:rPr>
        <w:t>的要求</w:t>
      </w:r>
      <w:r>
        <w:rPr>
          <w:rFonts w:hint="default" w:ascii="Times New Roman" w:hAnsi="Times New Roman" w:eastAsia="宋体" w:cs="Times New Roman"/>
          <w:color w:val="auto"/>
          <w:spacing w:val="-2"/>
          <w:sz w:val="24"/>
          <w:szCs w:val="24"/>
        </w:rPr>
        <w:t>，编制完成《</w:t>
      </w:r>
      <w:r>
        <w:rPr>
          <w:rFonts w:hint="default" w:ascii="Times New Roman" w:hAnsi="Times New Roman" w:eastAsia="宋体" w:cs="Times New Roman"/>
          <w:color w:val="auto"/>
          <w:kern w:val="0"/>
          <w:szCs w:val="24"/>
          <w:lang w:bidi="ar"/>
        </w:rPr>
        <w:t>海德村项目</w:t>
      </w:r>
      <w:r>
        <w:rPr>
          <w:rFonts w:hint="eastAsia" w:cs="Times New Roman"/>
          <w:color w:val="auto"/>
          <w:kern w:val="0"/>
          <w:szCs w:val="24"/>
          <w:lang w:val="en-US" w:eastAsia="zh-CN" w:bidi="ar"/>
        </w:rPr>
        <w:t>生态</w:t>
      </w:r>
      <w:r>
        <w:rPr>
          <w:rFonts w:hint="default" w:ascii="Times New Roman" w:hAnsi="Times New Roman" w:eastAsia="宋体" w:cs="Times New Roman"/>
          <w:color w:val="auto"/>
          <w:spacing w:val="-2"/>
          <w:sz w:val="24"/>
          <w:szCs w:val="24"/>
        </w:rPr>
        <w:t>环境影响</w:t>
      </w:r>
      <w:r>
        <w:rPr>
          <w:rFonts w:hint="default" w:ascii="Times New Roman" w:hAnsi="Times New Roman" w:eastAsia="宋体" w:cs="Times New Roman"/>
          <w:color w:val="auto"/>
          <w:spacing w:val="-1"/>
          <w:sz w:val="24"/>
          <w:szCs w:val="24"/>
        </w:rPr>
        <w:t>报告表》，供建设单位上报审批。</w:t>
      </w:r>
    </w:p>
    <w:p w14:paraId="378479F0">
      <w:pPr>
        <w:adjustRightInd w:val="0"/>
        <w:snapToGrid w:val="0"/>
        <w:spacing w:line="288" w:lineRule="auto"/>
        <w:ind w:firstLine="1040"/>
        <w:rPr>
          <w:rFonts w:ascii="仿宋_GB2312" w:eastAsia="仿宋_GB2312"/>
          <w:sz w:val="36"/>
          <w:szCs w:val="36"/>
        </w:rPr>
        <w:sectPr>
          <w:pgSz w:w="11906" w:h="16838"/>
          <w:pgMar w:top="1701" w:right="1531" w:bottom="1701" w:left="1531" w:header="851" w:footer="1077" w:gutter="0"/>
          <w:pgBorders>
            <w:top w:val="none" w:sz="0" w:space="0"/>
            <w:left w:val="none" w:sz="0" w:space="0"/>
            <w:bottom w:val="none" w:sz="0" w:space="0"/>
            <w:right w:val="none" w:sz="0" w:space="0"/>
          </w:pgBorders>
          <w:pgNumType w:start="21"/>
          <w:cols w:space="720" w:num="1"/>
          <w:docGrid w:linePitch="312" w:charSpace="0"/>
        </w:sectPr>
      </w:pPr>
    </w:p>
    <w:sdt>
      <w:sdtPr>
        <w:rPr>
          <w:rFonts w:hint="default" w:ascii="Times New Roman" w:hAnsi="Times New Roman" w:eastAsia="宋体" w:cs="Times New Roman"/>
          <w:b/>
          <w:bCs/>
          <w:kern w:val="2"/>
          <w:sz w:val="32"/>
          <w:szCs w:val="32"/>
          <w:lang w:val="en-US" w:eastAsia="zh-CN" w:bidi="ar-SA"/>
        </w:rPr>
        <w:id w:val="147458833"/>
        <w15:color w:val="DBDBDB"/>
        <w:docPartObj>
          <w:docPartGallery w:val="Table of Contents"/>
          <w:docPartUnique/>
        </w:docPartObj>
      </w:sdtPr>
      <w:sdtEndPr>
        <w:rPr>
          <w:rFonts w:hint="default" w:ascii="宋体" w:hAnsi="Courier New" w:eastAsia="宋体" w:cs="Times New Roman"/>
          <w:b/>
          <w:bCs/>
          <w:kern w:val="2"/>
          <w:sz w:val="21"/>
          <w:szCs w:val="21"/>
          <w:lang w:val="en-US" w:eastAsia="zh-CN" w:bidi="ar-SA"/>
        </w:rPr>
      </w:sdtEndPr>
      <w:sdtContent>
        <w:p w14:paraId="4C9AEE1E">
          <w:pPr>
            <w:spacing w:before="0" w:beforeLines="0" w:after="0" w:afterLines="0" w:line="240" w:lineRule="auto"/>
            <w:ind w:left="0" w:leftChars="0" w:right="0" w:rightChars="0" w:firstLine="0" w:firstLineChars="0"/>
            <w:jc w:val="center"/>
            <w:rPr>
              <w:rFonts w:hint="default" w:ascii="Times New Roman" w:hAnsi="Times New Roman" w:eastAsia="宋体" w:cs="Times New Roman"/>
              <w:b/>
              <w:bCs/>
              <w:sz w:val="32"/>
              <w:szCs w:val="32"/>
            </w:rPr>
          </w:pPr>
          <w:r>
            <w:rPr>
              <w:rFonts w:hint="default" w:ascii="Times New Roman" w:hAnsi="Times New Roman" w:eastAsia="宋体" w:cs="Times New Roman"/>
              <w:b/>
              <w:bCs/>
              <w:sz w:val="32"/>
              <w:szCs w:val="32"/>
            </w:rPr>
            <w:t>目录</w:t>
          </w:r>
        </w:p>
        <w:p w14:paraId="4ED67C6F">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TOC \o "1-1" \h \u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_Toc24498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rPr>
            <w:t>一、建设项目基本情况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_Toc24498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07479BB">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_Toc24774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rPr>
            <w:t>二、建设内容</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_Toc24774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4F5F1D03">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_Toc8554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rPr>
            <w:t>三、生态环境现状、保护目标及评价标准</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_Toc8554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1DB3B4DF">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_Toc14343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lang w:eastAsia="zh-CN"/>
            </w:rPr>
            <w:t>四、</w:t>
          </w:r>
          <w:r>
            <w:rPr>
              <w:rFonts w:hint="default" w:ascii="Times New Roman" w:hAnsi="Times New Roman" w:eastAsia="宋体" w:cs="Times New Roman"/>
              <w:bCs/>
              <w:snapToGrid w:val="0"/>
              <w:sz w:val="24"/>
              <w:szCs w:val="24"/>
              <w:highlight w:val="none"/>
            </w:rPr>
            <w:t>生态环境影响分析</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_Toc14343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68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259FADCE">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_Toc20047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lang w:eastAsia="zh-CN"/>
            </w:rPr>
            <w:t>五、主要生态环境保护措施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_Toc20047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93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260A49E9">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_Toc25403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lang w:eastAsia="zh-CN"/>
            </w:rPr>
            <w:t>六、生态环境保护措施监督检查清单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_Toc25403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107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00A28ED1">
          <w:pPr>
            <w:pStyle w:val="15"/>
            <w:tabs>
              <w:tab w:val="right" w:leader="dot" w:pos="8844"/>
            </w:tabs>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\l _Toc30529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bCs/>
              <w:snapToGrid w:val="0"/>
              <w:sz w:val="24"/>
              <w:szCs w:val="24"/>
              <w:highlight w:val="none"/>
              <w:lang w:eastAsia="zh-CN"/>
            </w:rPr>
            <w:t>七、结论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_Toc30529 \h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119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fldChar w:fldCharType="end"/>
          </w:r>
        </w:p>
        <w:p w14:paraId="5827618A">
          <w:pPr>
            <w:pStyle w:val="11"/>
            <w:ind w:firstLine="720" w:firstLineChars="300"/>
            <w:rPr>
              <w:rFonts w:ascii="宋体" w:hAnsi="Courier New" w:eastAsia="宋体" w:cs="Times New Roman"/>
              <w:kern w:val="2"/>
              <w:sz w:val="21"/>
              <w:szCs w:val="21"/>
              <w:lang w:val="en-US" w:eastAsia="zh-CN" w:bidi="ar-SA"/>
            </w:rPr>
          </w:pPr>
          <w:r>
            <w:rPr>
              <w:rFonts w:hint="default" w:ascii="Times New Roman" w:hAnsi="Times New Roman" w:eastAsia="宋体" w:cs="Times New Roman"/>
              <w:sz w:val="24"/>
              <w:szCs w:val="24"/>
            </w:rPr>
            <w:fldChar w:fldCharType="end"/>
          </w:r>
        </w:p>
      </w:sdtContent>
    </w:sdt>
    <w:p w14:paraId="4DC4DCC9">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bookmarkStart w:id="1" w:name="_Toc24498"/>
    </w:p>
    <w:p w14:paraId="6A6235C4">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0134493D">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753FADE5">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610179BF">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0C378683">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466B3596">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5A96D7AF">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09985B92">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4186DB06">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06220431">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1F876512">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3E90549B">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4A185DAD">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1C0BE71E">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362F7E3A">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71A2AC20">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01530241">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p>
    <w:p w14:paraId="5BB664D8">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default" w:ascii="Times New Roman" w:hAnsi="Times New Roman" w:eastAsia="宋体" w:cs="Times New Roman"/>
          <w:b/>
          <w:bCs/>
          <w:snapToGrid w:val="0"/>
          <w:color w:val="auto"/>
          <w:sz w:val="30"/>
          <w:szCs w:val="30"/>
          <w:highlight w:val="none"/>
        </w:rPr>
      </w:pPr>
      <w:r>
        <w:rPr>
          <w:rFonts w:hint="default" w:ascii="Times New Roman" w:hAnsi="Times New Roman" w:eastAsia="宋体" w:cs="Times New Roman"/>
          <w:b/>
          <w:bCs/>
          <w:snapToGrid w:val="0"/>
          <w:color w:val="auto"/>
          <w:sz w:val="30"/>
          <w:szCs w:val="30"/>
          <w:highlight w:val="none"/>
        </w:rPr>
        <w:t>一、建设项目基本情况</w:t>
      </w:r>
      <w:bookmarkEnd w:id="1"/>
    </w:p>
    <w:tbl>
      <w:tblPr>
        <w:tblStyle w:val="20"/>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35"/>
        <w:gridCol w:w="3047"/>
        <w:gridCol w:w="2405"/>
        <w:gridCol w:w="10"/>
        <w:gridCol w:w="2542"/>
      </w:tblGrid>
      <w:tr w14:paraId="7FC758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35" w:type="dxa"/>
            <w:noWrap w:val="0"/>
            <w:tcMar>
              <w:top w:w="16" w:type="dxa"/>
              <w:left w:w="16" w:type="dxa"/>
              <w:right w:w="16" w:type="dxa"/>
            </w:tcMar>
            <w:vAlign w:val="center"/>
          </w:tcPr>
          <w:p w14:paraId="18D598E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建设项目名称</w:t>
            </w:r>
          </w:p>
        </w:tc>
        <w:tc>
          <w:tcPr>
            <w:tcW w:w="8004" w:type="dxa"/>
            <w:gridSpan w:val="4"/>
            <w:noWrap w:val="0"/>
            <w:vAlign w:val="center"/>
          </w:tcPr>
          <w:p w14:paraId="26ACCE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eastAsia="zh-CN"/>
              </w:rPr>
              <w:t>海德村项目</w:t>
            </w:r>
          </w:p>
        </w:tc>
      </w:tr>
      <w:tr w14:paraId="075CAD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35" w:type="dxa"/>
            <w:noWrap w:val="0"/>
            <w:tcMar>
              <w:top w:w="16" w:type="dxa"/>
              <w:left w:w="16" w:type="dxa"/>
              <w:right w:w="16" w:type="dxa"/>
            </w:tcMar>
            <w:vAlign w:val="center"/>
          </w:tcPr>
          <w:p w14:paraId="4DA190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zCs w:val="21"/>
                <w:highlight w:val="none"/>
              </w:rPr>
            </w:pPr>
            <w:r>
              <w:rPr>
                <w:rFonts w:hint="eastAsia" w:ascii="宋体" w:hAnsi="宋体" w:cs="宋体"/>
                <w:color w:val="auto"/>
                <w:szCs w:val="21"/>
                <w:highlight w:val="none"/>
              </w:rPr>
              <w:t>项目代码</w:t>
            </w:r>
          </w:p>
        </w:tc>
        <w:tc>
          <w:tcPr>
            <w:tcW w:w="8004" w:type="dxa"/>
            <w:gridSpan w:val="4"/>
            <w:noWrap w:val="0"/>
            <w:vAlign w:val="center"/>
          </w:tcPr>
          <w:p w14:paraId="62B278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2507-530000-04-01-547941</w:t>
            </w:r>
          </w:p>
        </w:tc>
      </w:tr>
      <w:tr w14:paraId="3E304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35" w:type="dxa"/>
            <w:noWrap w:val="0"/>
            <w:tcMar>
              <w:top w:w="16" w:type="dxa"/>
              <w:left w:w="16" w:type="dxa"/>
              <w:right w:w="16" w:type="dxa"/>
            </w:tcMar>
            <w:vAlign w:val="center"/>
          </w:tcPr>
          <w:p w14:paraId="5F6D8D7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建设单位联系人</w:t>
            </w:r>
          </w:p>
        </w:tc>
        <w:tc>
          <w:tcPr>
            <w:tcW w:w="3047" w:type="dxa"/>
            <w:noWrap w:val="0"/>
            <w:vAlign w:val="center"/>
          </w:tcPr>
          <w:p w14:paraId="26A85C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李关良</w:t>
            </w:r>
          </w:p>
        </w:tc>
        <w:tc>
          <w:tcPr>
            <w:tcW w:w="2415" w:type="dxa"/>
            <w:gridSpan w:val="2"/>
            <w:noWrap w:val="0"/>
            <w:vAlign w:val="center"/>
          </w:tcPr>
          <w:p w14:paraId="7C42EC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联系方式</w:t>
            </w:r>
          </w:p>
        </w:tc>
        <w:tc>
          <w:tcPr>
            <w:tcW w:w="2542" w:type="dxa"/>
            <w:noWrap w:val="0"/>
            <w:vAlign w:val="center"/>
          </w:tcPr>
          <w:p w14:paraId="1722B6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139</w:t>
            </w:r>
            <w:r>
              <w:rPr>
                <w:rFonts w:hint="eastAsia" w:cs="Times New Roman"/>
                <w:color w:val="auto"/>
                <w:szCs w:val="21"/>
                <w:highlight w:val="none"/>
                <w:lang w:val="en-US" w:eastAsia="zh-CN"/>
              </w:rPr>
              <w:t>*****</w:t>
            </w:r>
            <w:r>
              <w:rPr>
                <w:rFonts w:hint="default" w:ascii="Times New Roman" w:hAnsi="Times New Roman" w:eastAsia="宋体" w:cs="Times New Roman"/>
                <w:color w:val="auto"/>
                <w:szCs w:val="21"/>
                <w:highlight w:val="none"/>
              </w:rPr>
              <w:t>00</w:t>
            </w:r>
          </w:p>
        </w:tc>
      </w:tr>
      <w:tr w14:paraId="35EA5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035" w:type="dxa"/>
            <w:noWrap w:val="0"/>
            <w:tcMar>
              <w:top w:w="16" w:type="dxa"/>
              <w:left w:w="16" w:type="dxa"/>
              <w:right w:w="16" w:type="dxa"/>
            </w:tcMar>
            <w:vAlign w:val="center"/>
          </w:tcPr>
          <w:p w14:paraId="3F77907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建设地点</w:t>
            </w:r>
          </w:p>
        </w:tc>
        <w:tc>
          <w:tcPr>
            <w:tcW w:w="8004" w:type="dxa"/>
            <w:gridSpan w:val="4"/>
            <w:noWrap w:val="0"/>
            <w:vAlign w:val="center"/>
          </w:tcPr>
          <w:p w14:paraId="582045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云南省曲靖市宣威市热水镇</w:t>
            </w:r>
          </w:p>
        </w:tc>
      </w:tr>
      <w:tr w14:paraId="70D839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35" w:type="dxa"/>
            <w:noWrap w:val="0"/>
            <w:tcMar>
              <w:top w:w="16" w:type="dxa"/>
              <w:left w:w="16" w:type="dxa"/>
              <w:right w:w="16" w:type="dxa"/>
            </w:tcMar>
            <w:vAlign w:val="center"/>
          </w:tcPr>
          <w:p w14:paraId="769B367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地理坐标</w:t>
            </w:r>
          </w:p>
        </w:tc>
        <w:tc>
          <w:tcPr>
            <w:tcW w:w="8004" w:type="dxa"/>
            <w:gridSpan w:val="4"/>
            <w:noWrap w:val="0"/>
            <w:vAlign w:val="center"/>
          </w:tcPr>
          <w:p w14:paraId="742AC4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highlight w:val="none"/>
              </w:rPr>
              <w:t>北纬25°57′59.1</w:t>
            </w:r>
            <w:r>
              <w:rPr>
                <w:rFonts w:hint="eastAsia" w:cs="Times New Roman"/>
                <w:color w:val="auto"/>
                <w:highlight w:val="none"/>
                <w:lang w:val="en-US" w:eastAsia="zh-CN"/>
              </w:rPr>
              <w:t>25</w:t>
            </w:r>
            <w:r>
              <w:rPr>
                <w:rFonts w:hint="default" w:ascii="Times New Roman" w:hAnsi="Times New Roman" w:eastAsia="宋体" w:cs="Times New Roman"/>
                <w:color w:val="auto"/>
                <w:highlight w:val="none"/>
              </w:rPr>
              <w:t>″~25°58′35.5</w:t>
            </w:r>
            <w:r>
              <w:rPr>
                <w:rFonts w:hint="eastAsia" w:cs="Times New Roman"/>
                <w:color w:val="auto"/>
                <w:highlight w:val="none"/>
                <w:lang w:val="en-US" w:eastAsia="zh-CN"/>
              </w:rPr>
              <w:t>01</w:t>
            </w:r>
            <w:r>
              <w:rPr>
                <w:rFonts w:hint="default" w:ascii="Times New Roman" w:hAnsi="Times New Roman" w:eastAsia="宋体" w:cs="Times New Roman"/>
                <w:color w:val="auto"/>
                <w:highlight w:val="none"/>
              </w:rPr>
              <w:t>″、东经103°44′22.3</w:t>
            </w:r>
            <w:r>
              <w:rPr>
                <w:rFonts w:hint="eastAsia" w:cs="Times New Roman"/>
                <w:color w:val="auto"/>
                <w:highlight w:val="none"/>
                <w:lang w:val="en-US" w:eastAsia="zh-CN"/>
              </w:rPr>
              <w:t>02</w:t>
            </w:r>
            <w:r>
              <w:rPr>
                <w:rFonts w:hint="default" w:ascii="Times New Roman" w:hAnsi="Times New Roman" w:eastAsia="宋体" w:cs="Times New Roman"/>
                <w:color w:val="auto"/>
                <w:highlight w:val="none"/>
              </w:rPr>
              <w:t>″~103°44′56.1</w:t>
            </w:r>
            <w:r>
              <w:rPr>
                <w:rFonts w:hint="eastAsia" w:cs="Times New Roman"/>
                <w:color w:val="auto"/>
                <w:highlight w:val="none"/>
                <w:lang w:val="en-US" w:eastAsia="zh-CN"/>
              </w:rPr>
              <w:t>25</w:t>
            </w:r>
            <w:r>
              <w:rPr>
                <w:rFonts w:hint="default" w:ascii="Times New Roman" w:hAnsi="Times New Roman" w:eastAsia="宋体" w:cs="Times New Roman"/>
                <w:color w:val="auto"/>
                <w:highlight w:val="none"/>
              </w:rPr>
              <w:t>″之间</w:t>
            </w:r>
          </w:p>
        </w:tc>
      </w:tr>
      <w:tr w14:paraId="314874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1035" w:type="dxa"/>
            <w:noWrap w:val="0"/>
            <w:tcMar>
              <w:top w:w="16" w:type="dxa"/>
              <w:left w:w="16" w:type="dxa"/>
              <w:right w:w="16" w:type="dxa"/>
            </w:tcMar>
            <w:vAlign w:val="center"/>
          </w:tcPr>
          <w:p w14:paraId="5A999ED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建设项目行业类别</w:t>
            </w:r>
          </w:p>
        </w:tc>
        <w:tc>
          <w:tcPr>
            <w:tcW w:w="3047" w:type="dxa"/>
            <w:shd w:val="clear" w:color="auto" w:fill="auto"/>
            <w:noWrap w:val="0"/>
            <w:vAlign w:val="center"/>
          </w:tcPr>
          <w:p w14:paraId="46C03AD0">
            <w:pPr>
              <w:pStyle w:val="45"/>
              <w:spacing w:before="26" w:line="219" w:lineRule="auto"/>
              <w:ind w:left="0" w:right="0" w:firstLine="0" w:firstLineChars="0"/>
              <w:jc w:val="left"/>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spacing w:val="0"/>
                <w:sz w:val="24"/>
                <w:szCs w:val="24"/>
                <w:highlight w:val="none"/>
                <w:lang w:eastAsia="zh-CN"/>
              </w:rPr>
              <w:t>四十一、电力、热力生产和供应业-90陆上风力发</w:t>
            </w:r>
            <w:r>
              <w:rPr>
                <w:rFonts w:hint="default" w:ascii="Times New Roman" w:hAnsi="Times New Roman" w:eastAsia="宋体" w:cs="Times New Roman"/>
                <w:color w:val="auto"/>
                <w:sz w:val="24"/>
                <w:szCs w:val="24"/>
                <w:highlight w:val="none"/>
              </w:rPr>
              <w:t>电</w:t>
            </w:r>
          </w:p>
        </w:tc>
        <w:tc>
          <w:tcPr>
            <w:tcW w:w="2405" w:type="dxa"/>
            <w:shd w:val="clear" w:color="auto" w:fill="auto"/>
            <w:noWrap w:val="0"/>
            <w:vAlign w:val="center"/>
          </w:tcPr>
          <w:p w14:paraId="6A49D1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szCs w:val="21"/>
                <w:highlight w:val="none"/>
              </w:rPr>
              <w:t>用地（用海）面积（m</w:t>
            </w:r>
            <w:r>
              <w:rPr>
                <w:rFonts w:hint="default" w:ascii="Times New Roman" w:hAnsi="Times New Roman" w:eastAsia="宋体" w:cs="Times New Roman"/>
                <w:color w:val="auto"/>
                <w:szCs w:val="21"/>
                <w:highlight w:val="none"/>
                <w:vertAlign w:val="superscript"/>
              </w:rPr>
              <w:t>2</w:t>
            </w:r>
            <w:r>
              <w:rPr>
                <w:rFonts w:hint="default" w:ascii="Times New Roman" w:hAnsi="Times New Roman" w:eastAsia="宋体" w:cs="Times New Roman"/>
                <w:color w:val="auto"/>
                <w:szCs w:val="21"/>
                <w:highlight w:val="none"/>
              </w:rPr>
              <w:t>）/长度（km）</w:t>
            </w:r>
          </w:p>
        </w:tc>
        <w:tc>
          <w:tcPr>
            <w:tcW w:w="2552" w:type="dxa"/>
            <w:gridSpan w:val="2"/>
            <w:shd w:val="clear" w:color="auto" w:fill="auto"/>
            <w:noWrap w:val="0"/>
            <w:vAlign w:val="center"/>
          </w:tcPr>
          <w:p w14:paraId="286746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highlight w:val="none"/>
                <w:lang w:val="en-US" w:eastAsia="zh-CN"/>
              </w:rPr>
            </w:pPr>
            <w:r>
              <w:rPr>
                <w:rFonts w:hint="eastAsia" w:cs="Times New Roman"/>
                <w:color w:val="auto"/>
                <w:highlight w:val="none"/>
                <w:lang w:val="en-US" w:eastAsia="zh-CN"/>
              </w:rPr>
              <w:t>15343</w:t>
            </w:r>
          </w:p>
          <w:p w14:paraId="3FD639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4"/>
                <w:szCs w:val="21"/>
                <w:highlight w:val="none"/>
                <w:lang w:val="en-US" w:eastAsia="zh-CN" w:bidi="ar-SA"/>
              </w:rPr>
            </w:pPr>
            <w:r>
              <w:rPr>
                <w:rFonts w:hint="default" w:ascii="Times New Roman" w:hAnsi="Times New Roman" w:eastAsia="宋体" w:cs="Times New Roman"/>
                <w:color w:val="auto"/>
                <w:highlight w:val="none"/>
                <w:lang w:val="en-US" w:eastAsia="zh-CN"/>
              </w:rPr>
              <w:t>（永久占地2408</w:t>
            </w:r>
            <w:r>
              <w:rPr>
                <w:rFonts w:hint="eastAsia" w:cs="Times New Roman"/>
                <w:color w:val="auto"/>
                <w:highlight w:val="none"/>
                <w:lang w:val="en-US" w:eastAsia="zh-CN"/>
              </w:rPr>
              <w:t>m</w:t>
            </w:r>
            <w:r>
              <w:rPr>
                <w:rFonts w:hint="eastAsia" w:cs="Times New Roman"/>
                <w:color w:val="auto"/>
                <w:highlight w:val="none"/>
                <w:vertAlign w:val="superscript"/>
                <w:lang w:val="en-US" w:eastAsia="zh-CN"/>
              </w:rPr>
              <w:t>2</w:t>
            </w:r>
            <w:r>
              <w:rPr>
                <w:rFonts w:hint="default" w:ascii="Times New Roman" w:hAnsi="Times New Roman" w:eastAsia="宋体" w:cs="Times New Roman"/>
                <w:color w:val="auto"/>
                <w:highlight w:val="none"/>
                <w:lang w:val="en-US" w:eastAsia="zh-CN"/>
              </w:rPr>
              <w:t>）</w:t>
            </w:r>
          </w:p>
        </w:tc>
      </w:tr>
      <w:tr w14:paraId="26AB37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1035" w:type="dxa"/>
            <w:noWrap w:val="0"/>
            <w:tcMar>
              <w:top w:w="16" w:type="dxa"/>
              <w:left w:w="16" w:type="dxa"/>
              <w:right w:w="16" w:type="dxa"/>
            </w:tcMar>
            <w:vAlign w:val="center"/>
          </w:tcPr>
          <w:p w14:paraId="054CEAF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建设性质</w:t>
            </w:r>
          </w:p>
        </w:tc>
        <w:tc>
          <w:tcPr>
            <w:tcW w:w="3047" w:type="dxa"/>
            <w:noWrap w:val="0"/>
            <w:vAlign w:val="center"/>
          </w:tcPr>
          <w:p w14:paraId="2FC7BE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新建（迁建）</w:t>
            </w:r>
          </w:p>
          <w:p w14:paraId="626356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□改建</w:t>
            </w:r>
          </w:p>
          <w:p w14:paraId="52AB25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□扩建</w:t>
            </w:r>
          </w:p>
          <w:p w14:paraId="6EAEF6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□技术改造</w:t>
            </w:r>
          </w:p>
        </w:tc>
        <w:tc>
          <w:tcPr>
            <w:tcW w:w="2405" w:type="dxa"/>
            <w:noWrap w:val="0"/>
            <w:vAlign w:val="center"/>
          </w:tcPr>
          <w:p w14:paraId="2909F1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建设项目</w:t>
            </w:r>
          </w:p>
          <w:p w14:paraId="68D3E5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申报情形</w:t>
            </w:r>
          </w:p>
        </w:tc>
        <w:tc>
          <w:tcPr>
            <w:tcW w:w="2552" w:type="dxa"/>
            <w:gridSpan w:val="2"/>
            <w:noWrap w:val="0"/>
            <w:vAlign w:val="center"/>
          </w:tcPr>
          <w:p w14:paraId="1654C7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首次申报项目</w:t>
            </w:r>
          </w:p>
          <w:p w14:paraId="4BB88F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□不予批准后再次申报项目</w:t>
            </w:r>
          </w:p>
          <w:p w14:paraId="4C3C51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□超五年重新审核项目</w:t>
            </w:r>
          </w:p>
          <w:p w14:paraId="4110D9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□重大变动重新报批项目</w:t>
            </w:r>
          </w:p>
        </w:tc>
      </w:tr>
      <w:tr w14:paraId="5FBD9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1035" w:type="dxa"/>
            <w:noWrap w:val="0"/>
            <w:tcMar>
              <w:top w:w="16" w:type="dxa"/>
              <w:left w:w="16" w:type="dxa"/>
              <w:right w:w="16" w:type="dxa"/>
            </w:tcMar>
            <w:vAlign w:val="center"/>
          </w:tcPr>
          <w:p w14:paraId="4E4B6B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zCs w:val="21"/>
                <w:highlight w:val="none"/>
              </w:rPr>
            </w:pPr>
            <w:r>
              <w:rPr>
                <w:rFonts w:hint="eastAsia" w:ascii="宋体" w:hAnsi="宋体" w:cs="宋体"/>
                <w:color w:val="auto"/>
                <w:szCs w:val="21"/>
                <w:highlight w:val="none"/>
              </w:rPr>
              <w:t>项目审批（核准</w:t>
            </w:r>
            <w:r>
              <w:rPr>
                <w:rFonts w:ascii="宋体" w:hAnsi="宋体" w:cs="宋体"/>
                <w:color w:val="auto"/>
                <w:szCs w:val="21"/>
                <w:highlight w:val="none"/>
              </w:rPr>
              <w:t>/</w:t>
            </w:r>
          </w:p>
          <w:p w14:paraId="4B07D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zCs w:val="21"/>
                <w:highlight w:val="none"/>
              </w:rPr>
            </w:pPr>
            <w:r>
              <w:rPr>
                <w:rFonts w:hint="eastAsia" w:ascii="宋体" w:hAnsi="宋体" w:cs="宋体"/>
                <w:color w:val="auto"/>
                <w:szCs w:val="21"/>
                <w:highlight w:val="none"/>
              </w:rPr>
              <w:t>备案）部门（选填）</w:t>
            </w:r>
          </w:p>
        </w:tc>
        <w:tc>
          <w:tcPr>
            <w:tcW w:w="3047" w:type="dxa"/>
            <w:noWrap w:val="0"/>
            <w:vAlign w:val="center"/>
          </w:tcPr>
          <w:p w14:paraId="046473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eastAsia="zh-CN"/>
              </w:rPr>
            </w:pPr>
            <w:r>
              <w:rPr>
                <w:rFonts w:hint="default" w:ascii="Times New Roman" w:hAnsi="Times New Roman" w:eastAsia="宋体" w:cs="Times New Roman"/>
                <w:color w:val="auto"/>
                <w:szCs w:val="21"/>
                <w:highlight w:val="none"/>
                <w:lang w:eastAsia="zh-CN"/>
              </w:rPr>
              <w:t>云南省发展和改革委员会</w:t>
            </w:r>
          </w:p>
        </w:tc>
        <w:tc>
          <w:tcPr>
            <w:tcW w:w="2405" w:type="dxa"/>
            <w:noWrap w:val="0"/>
            <w:vAlign w:val="center"/>
          </w:tcPr>
          <w:p w14:paraId="115433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项目审批（核准/</w:t>
            </w:r>
          </w:p>
          <w:p w14:paraId="7EEC6D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备案）文号（选填）</w:t>
            </w:r>
          </w:p>
        </w:tc>
        <w:tc>
          <w:tcPr>
            <w:tcW w:w="2552" w:type="dxa"/>
            <w:gridSpan w:val="2"/>
            <w:noWrap w:val="0"/>
            <w:vAlign w:val="center"/>
          </w:tcPr>
          <w:p w14:paraId="45B2C2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eastAsia="zh-CN"/>
              </w:rPr>
              <w:t>云发改能源〔</w:t>
            </w:r>
            <w:r>
              <w:rPr>
                <w:rFonts w:hint="default" w:ascii="Times New Roman" w:hAnsi="Times New Roman" w:eastAsia="宋体" w:cs="Times New Roman"/>
                <w:color w:val="auto"/>
                <w:szCs w:val="21"/>
                <w:highlight w:val="none"/>
                <w:lang w:val="en-US" w:eastAsia="zh-CN"/>
              </w:rPr>
              <w:t>2026</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lang w:val="en-US" w:eastAsia="zh-CN"/>
              </w:rPr>
              <w:t>456号</w:t>
            </w:r>
          </w:p>
        </w:tc>
      </w:tr>
      <w:tr w14:paraId="5256F3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1035" w:type="dxa"/>
            <w:noWrap w:val="0"/>
            <w:tcMar>
              <w:top w:w="16" w:type="dxa"/>
              <w:left w:w="16" w:type="dxa"/>
              <w:right w:w="16" w:type="dxa"/>
            </w:tcMar>
            <w:vAlign w:val="center"/>
          </w:tcPr>
          <w:p w14:paraId="3F28DF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zCs w:val="21"/>
                <w:highlight w:val="none"/>
              </w:rPr>
            </w:pPr>
            <w:r>
              <w:rPr>
                <w:rFonts w:hint="eastAsia" w:ascii="宋体" w:hAnsi="宋体" w:cs="宋体"/>
                <w:color w:val="auto"/>
                <w:szCs w:val="21"/>
                <w:highlight w:val="none"/>
              </w:rPr>
              <w:t>总投资（万元）</w:t>
            </w:r>
          </w:p>
        </w:tc>
        <w:tc>
          <w:tcPr>
            <w:tcW w:w="3047" w:type="dxa"/>
            <w:noWrap w:val="0"/>
            <w:vAlign w:val="center"/>
          </w:tcPr>
          <w:p w14:paraId="0622E8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highlight w:val="none"/>
                <w:lang w:val="en-US" w:eastAsia="zh-CN" w:bidi="ar"/>
              </w:rPr>
            </w:pPr>
            <w:r>
              <w:rPr>
                <w:rFonts w:hint="eastAsia" w:cs="Times New Roman"/>
                <w:color w:val="auto"/>
                <w:kern w:val="0"/>
                <w:sz w:val="24"/>
                <w:highlight w:val="none"/>
                <w:lang w:val="en-US" w:eastAsia="zh-CN" w:bidi="ar"/>
              </w:rPr>
              <w:t>9574.20</w:t>
            </w:r>
          </w:p>
        </w:tc>
        <w:tc>
          <w:tcPr>
            <w:tcW w:w="2405" w:type="dxa"/>
            <w:noWrap w:val="0"/>
            <w:tcMar>
              <w:top w:w="16" w:type="dxa"/>
              <w:left w:w="16" w:type="dxa"/>
              <w:right w:w="16" w:type="dxa"/>
            </w:tcMar>
            <w:vAlign w:val="center"/>
          </w:tcPr>
          <w:p w14:paraId="1CEF4E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环保投资（万元）</w:t>
            </w:r>
          </w:p>
        </w:tc>
        <w:tc>
          <w:tcPr>
            <w:tcW w:w="2552" w:type="dxa"/>
            <w:gridSpan w:val="2"/>
            <w:noWrap w:val="0"/>
            <w:vAlign w:val="center"/>
          </w:tcPr>
          <w:p w14:paraId="64E0F7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60</w:t>
            </w:r>
          </w:p>
        </w:tc>
      </w:tr>
      <w:tr w14:paraId="4DADF2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35" w:type="dxa"/>
            <w:noWrap w:val="0"/>
            <w:tcMar>
              <w:top w:w="16" w:type="dxa"/>
              <w:left w:w="16" w:type="dxa"/>
              <w:right w:w="16" w:type="dxa"/>
            </w:tcMar>
            <w:vAlign w:val="center"/>
          </w:tcPr>
          <w:p w14:paraId="4256B9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宋体" w:hAnsi="宋体" w:cs="宋体"/>
                <w:color w:val="auto"/>
                <w:szCs w:val="21"/>
                <w:highlight w:val="none"/>
              </w:rPr>
            </w:pPr>
            <w:r>
              <w:rPr>
                <w:rFonts w:hint="eastAsia" w:ascii="宋体" w:hAnsi="宋体" w:cs="宋体"/>
                <w:color w:val="auto"/>
                <w:szCs w:val="21"/>
                <w:highlight w:val="none"/>
              </w:rPr>
              <w:t>环保投资占比（</w:t>
            </w:r>
            <w:r>
              <w:rPr>
                <w:rFonts w:ascii="宋体" w:hAnsi="宋体" w:cs="宋体"/>
                <w:color w:val="auto"/>
                <w:szCs w:val="21"/>
                <w:highlight w:val="none"/>
              </w:rPr>
              <w:t>%</w:t>
            </w:r>
            <w:r>
              <w:rPr>
                <w:rFonts w:hint="eastAsia" w:ascii="宋体" w:hAnsi="宋体" w:cs="宋体"/>
                <w:color w:val="auto"/>
                <w:szCs w:val="21"/>
                <w:highlight w:val="none"/>
              </w:rPr>
              <w:t>）</w:t>
            </w:r>
          </w:p>
        </w:tc>
        <w:tc>
          <w:tcPr>
            <w:tcW w:w="3047" w:type="dxa"/>
            <w:noWrap w:val="0"/>
            <w:vAlign w:val="center"/>
          </w:tcPr>
          <w:p w14:paraId="3E35F8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highlight w:val="none"/>
                <w:lang w:val="en-US" w:bidi="ar"/>
              </w:rPr>
            </w:pPr>
            <w:r>
              <w:rPr>
                <w:rFonts w:hint="default" w:ascii="Times New Roman" w:hAnsi="Times New Roman" w:eastAsia="宋体" w:cs="Times New Roman"/>
                <w:color w:val="auto"/>
                <w:kern w:val="0"/>
                <w:sz w:val="24"/>
                <w:highlight w:val="none"/>
                <w:lang w:val="en-US" w:eastAsia="zh-CN" w:bidi="ar"/>
              </w:rPr>
              <w:t>0.6</w:t>
            </w:r>
            <w:r>
              <w:rPr>
                <w:rFonts w:hint="eastAsia" w:cs="Times New Roman"/>
                <w:color w:val="auto"/>
                <w:kern w:val="0"/>
                <w:sz w:val="24"/>
                <w:highlight w:val="none"/>
                <w:lang w:val="en-US" w:eastAsia="zh-CN" w:bidi="ar"/>
              </w:rPr>
              <w:t>3</w:t>
            </w:r>
          </w:p>
        </w:tc>
        <w:tc>
          <w:tcPr>
            <w:tcW w:w="2405" w:type="dxa"/>
            <w:noWrap w:val="0"/>
            <w:tcMar>
              <w:top w:w="16" w:type="dxa"/>
              <w:left w:w="16" w:type="dxa"/>
              <w:right w:w="16" w:type="dxa"/>
            </w:tcMar>
            <w:vAlign w:val="center"/>
          </w:tcPr>
          <w:p w14:paraId="080213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施工工期</w:t>
            </w:r>
          </w:p>
        </w:tc>
        <w:tc>
          <w:tcPr>
            <w:tcW w:w="2552" w:type="dxa"/>
            <w:gridSpan w:val="2"/>
            <w:noWrap w:val="0"/>
            <w:vAlign w:val="center"/>
          </w:tcPr>
          <w:p w14:paraId="5C5CEB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4"/>
                <w:highlight w:val="none"/>
                <w:lang w:bidi="ar"/>
              </w:rPr>
            </w:pPr>
            <w:r>
              <w:rPr>
                <w:rFonts w:hint="default" w:ascii="Times New Roman" w:hAnsi="Times New Roman" w:eastAsia="宋体" w:cs="Times New Roman"/>
                <w:color w:val="auto"/>
                <w:kern w:val="0"/>
                <w:sz w:val="24"/>
                <w:highlight w:val="none"/>
                <w:lang w:val="en-US" w:eastAsia="zh-CN" w:bidi="ar"/>
              </w:rPr>
              <w:t>6个月</w:t>
            </w:r>
          </w:p>
        </w:tc>
      </w:tr>
      <w:tr w14:paraId="41AFA9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1035" w:type="dxa"/>
            <w:noWrap w:val="0"/>
            <w:tcMar>
              <w:top w:w="16" w:type="dxa"/>
              <w:left w:w="16" w:type="dxa"/>
              <w:right w:w="16" w:type="dxa"/>
            </w:tcMar>
            <w:vAlign w:val="center"/>
          </w:tcPr>
          <w:p w14:paraId="09FEB1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宋体" w:hAnsi="宋体" w:cs="宋体"/>
                <w:color w:val="auto"/>
                <w:szCs w:val="21"/>
                <w:highlight w:val="none"/>
              </w:rPr>
            </w:pPr>
            <w:r>
              <w:rPr>
                <w:rFonts w:hint="eastAsia" w:ascii="宋体" w:hAnsi="宋体" w:cs="宋体"/>
                <w:color w:val="auto"/>
                <w:szCs w:val="21"/>
                <w:highlight w:val="none"/>
              </w:rPr>
              <w:t>是否开工建设</w:t>
            </w:r>
          </w:p>
        </w:tc>
        <w:tc>
          <w:tcPr>
            <w:tcW w:w="8004" w:type="dxa"/>
            <w:gridSpan w:val="4"/>
            <w:noWrap w:val="0"/>
            <w:vAlign w:val="center"/>
          </w:tcPr>
          <w:p w14:paraId="2492B1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否</w:t>
            </w:r>
          </w:p>
          <w:p w14:paraId="579541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□是：</w:t>
            </w:r>
          </w:p>
        </w:tc>
      </w:tr>
      <w:tr w14:paraId="5FA67A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16" w:hRule="atLeast"/>
        </w:trPr>
        <w:tc>
          <w:tcPr>
            <w:tcW w:w="1035" w:type="dxa"/>
            <w:noWrap w:val="0"/>
            <w:tcMar>
              <w:top w:w="16" w:type="dxa"/>
              <w:left w:w="16" w:type="dxa"/>
              <w:right w:w="16" w:type="dxa"/>
            </w:tcMar>
            <w:vAlign w:val="center"/>
          </w:tcPr>
          <w:p w14:paraId="761B1326">
            <w:pPr>
              <w:autoSpaceDE w:val="0"/>
              <w:autoSpaceDN w:val="0"/>
              <w:adjustRightInd w:val="0"/>
              <w:snapToGrid w:val="0"/>
              <w:ind w:left="0" w:leftChars="0" w:firstLine="0" w:firstLineChars="0"/>
              <w:jc w:val="both"/>
              <w:rPr>
                <w:rFonts w:ascii="宋体" w:hAnsi="宋体" w:cs="宋体"/>
                <w:color w:val="auto"/>
                <w:kern w:val="0"/>
                <w:szCs w:val="21"/>
                <w:highlight w:val="none"/>
              </w:rPr>
            </w:pPr>
            <w:r>
              <w:rPr>
                <w:rFonts w:hint="eastAsia" w:ascii="宋体" w:hAnsi="宋体" w:cs="宋体"/>
                <w:color w:val="auto"/>
                <w:kern w:val="0"/>
                <w:szCs w:val="21"/>
                <w:highlight w:val="none"/>
              </w:rPr>
              <w:t>专项评价设置情况</w:t>
            </w:r>
          </w:p>
        </w:tc>
        <w:tc>
          <w:tcPr>
            <w:tcW w:w="8004" w:type="dxa"/>
            <w:gridSpan w:val="4"/>
            <w:noWrap w:val="0"/>
            <w:tcMar>
              <w:top w:w="16" w:type="dxa"/>
              <w:left w:w="16" w:type="dxa"/>
              <w:right w:w="16" w:type="dxa"/>
            </w:tcMar>
            <w:vAlign w:val="center"/>
          </w:tcPr>
          <w:p w14:paraId="0D13A300">
            <w:pPr>
              <w:keepNext w:val="0"/>
              <w:keepLines w:val="0"/>
              <w:pageBreakBefore w:val="0"/>
              <w:widowControl w:val="0"/>
              <w:kinsoku/>
              <w:wordWrap/>
              <w:overflowPunct/>
              <w:topLinePunct w:val="0"/>
              <w:autoSpaceDE w:val="0"/>
              <w:autoSpaceDN w:val="0"/>
              <w:bidi w:val="0"/>
              <w:adjustRightInd w:val="0"/>
              <w:snapToGrid w:val="0"/>
              <w:ind w:firstLine="488" w:firstLineChars="200"/>
              <w:textAlignment w:val="auto"/>
              <w:rPr>
                <w:rFonts w:ascii="Times New Roman" w:hAnsi="Times New Roman" w:eastAsia="宋体" w:cs="Times New Roman"/>
                <w:color w:val="auto"/>
                <w:spacing w:val="2"/>
                <w:sz w:val="24"/>
                <w:szCs w:val="24"/>
                <w:highlight w:val="none"/>
              </w:rPr>
            </w:pPr>
            <w:r>
              <w:rPr>
                <w:rFonts w:ascii="Times New Roman" w:hAnsi="Times New Roman" w:eastAsia="宋体" w:cs="Times New Roman"/>
                <w:color w:val="auto"/>
                <w:spacing w:val="2"/>
                <w:sz w:val="24"/>
                <w:szCs w:val="24"/>
                <w:highlight w:val="none"/>
              </w:rPr>
              <w:t>根据《建设项目环境影响报告表编制技术指南（生态影响类）（试行）》及《环境影响评价技术导则输变电》（HJ24-2020），专项评价设置原则参照下表。</w:t>
            </w:r>
          </w:p>
          <w:p w14:paraId="04D26168">
            <w:pPr>
              <w:pStyle w:val="18"/>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表1-1专项评价设置原则表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7"/>
              <w:gridCol w:w="3661"/>
              <w:gridCol w:w="2748"/>
              <w:gridCol w:w="650"/>
            </w:tblGrid>
            <w:tr w14:paraId="6B19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3663047B">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专项评价的类别</w:t>
                  </w:r>
                </w:p>
              </w:tc>
              <w:tc>
                <w:tcPr>
                  <w:tcW w:w="2301" w:type="pct"/>
                  <w:noWrap w:val="0"/>
                  <w:vAlign w:val="center"/>
                </w:tcPr>
                <w:p w14:paraId="091316DC">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涉及项目类别</w:t>
                  </w:r>
                </w:p>
              </w:tc>
              <w:tc>
                <w:tcPr>
                  <w:tcW w:w="1727" w:type="pct"/>
                  <w:noWrap w:val="0"/>
                  <w:vAlign w:val="center"/>
                </w:tcPr>
                <w:p w14:paraId="036A6953">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项目情况</w:t>
                  </w:r>
                </w:p>
              </w:tc>
              <w:tc>
                <w:tcPr>
                  <w:tcW w:w="405" w:type="pct"/>
                  <w:noWrap w:val="0"/>
                  <w:vAlign w:val="center"/>
                </w:tcPr>
                <w:p w14:paraId="49395598">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设置与否</w:t>
                  </w:r>
                </w:p>
              </w:tc>
            </w:tr>
            <w:tr w14:paraId="4014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1D81A7D3">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地表水</w:t>
                  </w:r>
                </w:p>
              </w:tc>
              <w:tc>
                <w:tcPr>
                  <w:tcW w:w="2301" w:type="pct"/>
                  <w:noWrap w:val="0"/>
                  <w:vAlign w:val="top"/>
                </w:tcPr>
                <w:p w14:paraId="09161D9F">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水力发电：引水式发电、涉及调峰发电的项目；</w:t>
                  </w:r>
                </w:p>
                <w:p w14:paraId="0B874C32">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人工湖、人工湿地：全部；</w:t>
                  </w:r>
                </w:p>
                <w:p w14:paraId="2A2F112F">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水库：全部；</w:t>
                  </w:r>
                </w:p>
                <w:p w14:paraId="768227E2">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引水工程：全部（配套的管线工程等除外）；</w:t>
                  </w:r>
                </w:p>
                <w:p w14:paraId="4B25AC36">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防洪除涝工程：包含水库的项目；</w:t>
                  </w:r>
                </w:p>
                <w:p w14:paraId="605A8888">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河湖整治：涉及清淤且底泥存在重金属污染的项目</w:t>
                  </w:r>
                </w:p>
              </w:tc>
              <w:tc>
                <w:tcPr>
                  <w:tcW w:w="1727" w:type="pct"/>
                  <w:noWrap w:val="0"/>
                  <w:vAlign w:val="top"/>
                </w:tcPr>
                <w:p w14:paraId="6F407F3C">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本项目为风力发电项目，不属于水力发电、人工湖、人工湿地、引水工程、防洪除涝工程、河湖整治项目。</w:t>
                  </w:r>
                </w:p>
              </w:tc>
              <w:tc>
                <w:tcPr>
                  <w:tcW w:w="405" w:type="pct"/>
                  <w:noWrap w:val="0"/>
                  <w:vAlign w:val="top"/>
                </w:tcPr>
                <w:p w14:paraId="76BEECB8">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5EE3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35914D0E">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地下水</w:t>
                  </w:r>
                </w:p>
              </w:tc>
              <w:tc>
                <w:tcPr>
                  <w:tcW w:w="2301" w:type="pct"/>
                  <w:noWrap w:val="0"/>
                  <w:vAlign w:val="top"/>
                </w:tcPr>
                <w:p w14:paraId="57005CC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陆地石油和天然气开采：全部；</w:t>
                  </w:r>
                </w:p>
                <w:p w14:paraId="6A4ABDC5">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地下水（含矿泉水）开采：全部；</w:t>
                  </w:r>
                </w:p>
                <w:p w14:paraId="2B6D687F">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水利、水电、交通等：含穿越可溶岩地层隧道的项目</w:t>
                  </w:r>
                </w:p>
              </w:tc>
              <w:tc>
                <w:tcPr>
                  <w:tcW w:w="1727" w:type="pct"/>
                  <w:noWrap w:val="0"/>
                  <w:vAlign w:val="top"/>
                </w:tcPr>
                <w:p w14:paraId="4BF8973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本项目为风力发电项目，不涉及陆地石油和天然气开采、地下水（含矿泉水）开采、水利、水电、交通。</w:t>
                  </w:r>
                </w:p>
              </w:tc>
              <w:tc>
                <w:tcPr>
                  <w:tcW w:w="405" w:type="pct"/>
                  <w:noWrap w:val="0"/>
                  <w:vAlign w:val="top"/>
                </w:tcPr>
                <w:p w14:paraId="3DFE4F73">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5312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0D80A0FD">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生态</w:t>
                  </w:r>
                </w:p>
              </w:tc>
              <w:tc>
                <w:tcPr>
                  <w:tcW w:w="2301" w:type="pct"/>
                  <w:noWrap w:val="0"/>
                  <w:vAlign w:val="top"/>
                </w:tcPr>
                <w:p w14:paraId="32AF6F80">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涉及环境敏感区（不包括饮用水水源保护区，以居住、医疗卫生、文化教育、科研、行政办公为主要功能的区域，以及文物保护单位）的项目</w:t>
                  </w:r>
                </w:p>
              </w:tc>
              <w:tc>
                <w:tcPr>
                  <w:tcW w:w="1727" w:type="pct"/>
                  <w:noWrap w:val="0"/>
                  <w:vAlign w:val="top"/>
                </w:tcPr>
                <w:p w14:paraId="10995D39">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根据《建设项目环境影响评价分类管理名录(2021年版)》，陆上风力发电的环境敏感区包括第三条(一)中的全部区域(国家公园、自然保护区、风景名胜区、世界文化和自然遗产地、海洋特别保护区、饮用水水源保护区);第三条(三)中的全部区域(以居住、医疗卫生、文化教育、科研、行政办公为主要功能的区域，以及文物保护单位)，本项目评价范围内无国家公园、自然保护区、风景名胜区、世界文化和自然遗产地、海洋特别保护区，不</w:t>
                  </w:r>
                  <w:r>
                    <w:rPr>
                      <w:rFonts w:hint="eastAsia" w:ascii="Times New Roman" w:hAnsi="Times New Roman" w:cs="Times New Roman"/>
                      <w:color w:val="auto"/>
                      <w:w w:val="90"/>
                      <w:sz w:val="21"/>
                      <w:szCs w:val="21"/>
                      <w:highlight w:val="none"/>
                      <w:lang w:val="en-US" w:eastAsia="zh-CN"/>
                    </w:rPr>
                    <w:t>涉及</w:t>
                  </w:r>
                  <w:r>
                    <w:rPr>
                      <w:rFonts w:hint="default" w:ascii="Times New Roman" w:hAnsi="Times New Roman" w:eastAsia="宋体" w:cs="Times New Roman"/>
                      <w:color w:val="auto"/>
                      <w:w w:val="90"/>
                      <w:sz w:val="21"/>
                      <w:szCs w:val="21"/>
                      <w:highlight w:val="none"/>
                      <w:lang w:val="en-US" w:eastAsia="zh-CN"/>
                    </w:rPr>
                    <w:t>生态专项的项目类别。</w:t>
                  </w:r>
                </w:p>
              </w:tc>
              <w:tc>
                <w:tcPr>
                  <w:tcW w:w="405" w:type="pct"/>
                  <w:noWrap w:val="0"/>
                  <w:vAlign w:val="top"/>
                </w:tcPr>
                <w:p w14:paraId="796DE34C">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05CA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11991C2E">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大气</w:t>
                  </w:r>
                </w:p>
              </w:tc>
              <w:tc>
                <w:tcPr>
                  <w:tcW w:w="2301" w:type="pct"/>
                  <w:noWrap w:val="0"/>
                  <w:vAlign w:val="top"/>
                </w:tcPr>
                <w:p w14:paraId="437DE725">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油气、液体化工码头：全部；</w:t>
                  </w:r>
                </w:p>
                <w:p w14:paraId="23B46B9E">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干散货（含煤炭、矿石）、件杂、多用途、通用码头：涉及粉尘、挥发性有机物排放的项目</w:t>
                  </w:r>
                </w:p>
              </w:tc>
              <w:tc>
                <w:tcPr>
                  <w:tcW w:w="1727" w:type="pct"/>
                  <w:noWrap w:val="0"/>
                  <w:vAlign w:val="top"/>
                </w:tcPr>
                <w:p w14:paraId="1DEAB5E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本项目为风力发电项目，运行期不涉及粉尘、挥发性有机物排放，不属于编制指南中规定的涉及大气污染的项目，因此本项目无需设置大气专项评</w:t>
                  </w:r>
                </w:p>
                <w:p w14:paraId="30606075">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价。</w:t>
                  </w:r>
                </w:p>
              </w:tc>
              <w:tc>
                <w:tcPr>
                  <w:tcW w:w="405" w:type="pct"/>
                  <w:noWrap w:val="0"/>
                  <w:vAlign w:val="top"/>
                </w:tcPr>
                <w:p w14:paraId="4785958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0F63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70C946B6">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噪声</w:t>
                  </w:r>
                </w:p>
              </w:tc>
              <w:tc>
                <w:tcPr>
                  <w:tcW w:w="2301" w:type="pct"/>
                  <w:noWrap w:val="0"/>
                  <w:vAlign w:val="top"/>
                </w:tcPr>
                <w:p w14:paraId="0FE6B13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公路、铁路、机场等交通运输业涉及环境敏感区（以居住、医疗卫生、文化教育、科研、行政办公为主要功能的区域）的项目；</w:t>
                  </w:r>
                </w:p>
                <w:p w14:paraId="640BCBE9">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城市道路（不含维护，不含支路、人行天桥、人行地道）：全部</w:t>
                  </w:r>
                </w:p>
              </w:tc>
              <w:tc>
                <w:tcPr>
                  <w:tcW w:w="1727" w:type="pct"/>
                  <w:noWrap w:val="0"/>
                  <w:vAlign w:val="top"/>
                </w:tcPr>
                <w:p w14:paraId="5DF6118D">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本项目属于风力发电项目，不属于需要开展噪声专项评价的项目类型，因此本项目不需要设置噪声专项评价。</w:t>
                  </w:r>
                </w:p>
              </w:tc>
              <w:tc>
                <w:tcPr>
                  <w:tcW w:w="405" w:type="pct"/>
                  <w:noWrap w:val="0"/>
                  <w:vAlign w:val="top"/>
                </w:tcPr>
                <w:p w14:paraId="37A9A245">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18F2B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64" w:type="pct"/>
                  <w:noWrap w:val="0"/>
                  <w:vAlign w:val="center"/>
                </w:tcPr>
                <w:p w14:paraId="20F6E16B">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环境风险</w:t>
                  </w:r>
                </w:p>
              </w:tc>
              <w:tc>
                <w:tcPr>
                  <w:tcW w:w="2301" w:type="pct"/>
                  <w:noWrap w:val="0"/>
                  <w:vAlign w:val="top"/>
                </w:tcPr>
                <w:p w14:paraId="3482CE3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石油和天然气开采：全部；</w:t>
                  </w:r>
                </w:p>
                <w:p w14:paraId="7D5E7B41">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油气、液体化工码头：全部；</w:t>
                  </w:r>
                </w:p>
                <w:p w14:paraId="04E50D06">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原油、成品油、天然气管线（不含城镇天然气管线、企业厂区内管线），危险化学品输送管线（不含企业厂区内管线）：全部</w:t>
                  </w:r>
                </w:p>
              </w:tc>
              <w:tc>
                <w:tcPr>
                  <w:tcW w:w="1727" w:type="pct"/>
                  <w:noWrap w:val="0"/>
                  <w:vAlign w:val="top"/>
                </w:tcPr>
                <w:p w14:paraId="197E2D78">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本项目为风力发电项目，不属于编制指南中规定的涉及石油和天然气开采等环境风险的项目类别，因此无需设置环境风</w:t>
                  </w:r>
                </w:p>
                <w:p w14:paraId="66060B0D">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险专项评价。</w:t>
                  </w:r>
                </w:p>
              </w:tc>
              <w:tc>
                <w:tcPr>
                  <w:tcW w:w="405" w:type="pct"/>
                  <w:noWrap w:val="0"/>
                  <w:vAlign w:val="top"/>
                </w:tcPr>
                <w:p w14:paraId="2E8C1536">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142D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noWrap w:val="0"/>
                  <w:vAlign w:val="center"/>
                </w:tcPr>
                <w:p w14:paraId="2AFFB440">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电磁</w:t>
                  </w:r>
                </w:p>
              </w:tc>
              <w:tc>
                <w:tcPr>
                  <w:tcW w:w="2301" w:type="pct"/>
                  <w:noWrap w:val="0"/>
                  <w:vAlign w:val="top"/>
                </w:tcPr>
                <w:p w14:paraId="6DC1F143">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《环境影响评价技术导则输变电》（HJ24-2020）中B.2.1专题评价：应设电磁环境影响专题评价，其评价等级、评价内容与格式按照本标准有关电磁环境影响评价要求进行。</w:t>
                  </w:r>
                </w:p>
                <w:p w14:paraId="457669E0">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HJ24-2020标准适用于110kV及以上电压等级的交流输变电建设项目、±100kV及以上电压等级的直流输电建设项目环境影响评价工作。</w:t>
                  </w:r>
                </w:p>
              </w:tc>
              <w:tc>
                <w:tcPr>
                  <w:tcW w:w="1727" w:type="pct"/>
                  <w:noWrap w:val="0"/>
                  <w:vAlign w:val="top"/>
                </w:tcPr>
                <w:p w14:paraId="71101842">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本项目为风力发电项目，</w:t>
                  </w:r>
                  <w:r>
                    <w:rPr>
                      <w:rFonts w:hint="eastAsia" w:ascii="Times New Roman" w:hAnsi="Times New Roman" w:eastAsia="宋体" w:cs="Times New Roman"/>
                      <w:color w:val="auto"/>
                      <w:w w:val="90"/>
                      <w:sz w:val="21"/>
                      <w:szCs w:val="21"/>
                      <w:highlight w:val="none"/>
                      <w:lang w:val="en-US" w:eastAsia="zh-CN"/>
                    </w:rPr>
                    <w:t>新建35kV开关站，不涉及升压站及110kV及以上电压等级输电线路，依据《环境影响评价技术导则输变电》（HJ24-2020）相关规定，无须设置电磁环境影响专项评价。</w:t>
                  </w:r>
                </w:p>
              </w:tc>
              <w:tc>
                <w:tcPr>
                  <w:tcW w:w="405" w:type="pct"/>
                  <w:noWrap w:val="0"/>
                  <w:vAlign w:val="top"/>
                </w:tcPr>
                <w:p w14:paraId="3F4FC60B">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否</w:t>
                  </w:r>
                </w:p>
              </w:tc>
            </w:tr>
            <w:tr w14:paraId="0E9E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top"/>
                </w:tcPr>
                <w:p w14:paraId="391B02BF">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注：“涉及环境敏感区”是指建设项目位于、穿（跨）越（无害化通过的除外）环境敏感区，或环境影响范围涵盖环境敏感区。环境敏感区是指《建设项目环境影响评价分类管理名录》中针对该类项目所列的敏感区。</w:t>
                  </w:r>
                </w:p>
              </w:tc>
            </w:tr>
          </w:tbl>
          <w:p w14:paraId="701C0FB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建设项目环境影响评价分类管理名录》（2021年版），“四十一、电力、热力生产和供应业”中的敏感区指：“第三条（一）中的全部区域；第三条（三）中的全部区域”，敏感区分别包括：“（一）国家公园、自然保护区、风景名胜区、世界文化和自然遗产地、海洋特别保护区、饮用水水源保护区；（三）以居住、医疗卫生、文化教育、科研、行政办公为主要功能的区域，以及文物保护单位。”</w:t>
            </w:r>
          </w:p>
          <w:p w14:paraId="0623A06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imes New Roman" w:hAnsi="Times New Roman" w:eastAsia="宋体" w:cs="Times New Roman"/>
                <w:color w:val="auto"/>
                <w:spacing w:val="1"/>
                <w:highlight w:val="none"/>
                <w:lang w:eastAsia="zh-CN"/>
              </w:rPr>
            </w:pPr>
            <w:r>
              <w:rPr>
                <w:rFonts w:hint="eastAsia" w:cs="Times New Roman"/>
                <w:color w:val="auto"/>
                <w:sz w:val="24"/>
                <w:highlight w:val="none"/>
                <w:lang w:val="en-US" w:eastAsia="zh-CN"/>
              </w:rPr>
              <w:t>综上</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根据“表1-1专项评价设置原则表”分析结果，本项目不涉及专项评价所涉及的项目类别，无需开展专项评价。</w:t>
            </w:r>
          </w:p>
        </w:tc>
      </w:tr>
    </w:tbl>
    <w:p w14:paraId="0E6050DA">
      <w:pPr>
        <w:autoSpaceDE w:val="0"/>
        <w:autoSpaceDN w:val="0"/>
        <w:adjustRightInd w:val="0"/>
        <w:snapToGrid w:val="0"/>
        <w:jc w:val="center"/>
        <w:rPr>
          <w:rFonts w:hint="eastAsia" w:ascii="宋体" w:hAnsi="宋体" w:cs="宋体"/>
          <w:color w:val="auto"/>
          <w:szCs w:val="21"/>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tbl>
      <w:tblPr>
        <w:tblStyle w:val="20"/>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92"/>
        <w:gridCol w:w="8147"/>
      </w:tblGrid>
      <w:tr w14:paraId="7B9B1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892" w:type="dxa"/>
            <w:noWrap w:val="0"/>
            <w:tcMar>
              <w:top w:w="16" w:type="dxa"/>
              <w:left w:w="16" w:type="dxa"/>
              <w:right w:w="16" w:type="dxa"/>
            </w:tcMar>
            <w:vAlign w:val="center"/>
          </w:tcPr>
          <w:p w14:paraId="346D84A0">
            <w:pPr>
              <w:autoSpaceDE w:val="0"/>
              <w:autoSpaceDN w:val="0"/>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规划情况</w:t>
            </w:r>
          </w:p>
        </w:tc>
        <w:tc>
          <w:tcPr>
            <w:tcW w:w="8147" w:type="dxa"/>
            <w:noWrap w:val="0"/>
            <w:tcMar>
              <w:top w:w="16" w:type="dxa"/>
              <w:left w:w="16" w:type="dxa"/>
              <w:right w:w="16" w:type="dxa"/>
            </w:tcMar>
            <w:vAlign w:val="center"/>
          </w:tcPr>
          <w:p w14:paraId="305053B9">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1.</w:t>
            </w:r>
            <w:r>
              <w:rPr>
                <w:rFonts w:hint="default" w:ascii="Times New Roman" w:hAnsi="Times New Roman" w:cs="Times New Roman"/>
                <w:color w:val="auto"/>
                <w:highlight w:val="none"/>
                <w:lang w:val="en-US" w:eastAsia="zh-CN"/>
              </w:rPr>
              <w:t>文件情况：《云南省发展和改革委员会云南省能源局云南省农业农村厅关于印发云南省“千乡万村驭风行动”第一批项目开发建设方案的通知》</w:t>
            </w:r>
          </w:p>
          <w:p w14:paraId="20CE3DFB">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召集审查机关：云南省发展和改革委员会、云南省能源局、云南省农业农村厅</w:t>
            </w:r>
          </w:p>
          <w:p w14:paraId="6E286E6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审查文号：云能源水电〔2024〕118号</w:t>
            </w:r>
          </w:p>
          <w:p w14:paraId="302A6A3E">
            <w:pPr>
              <w:bidi w:val="0"/>
              <w:rPr>
                <w:rFonts w:hint="default" w:ascii="Times New Roman" w:hAnsi="Times New Roman" w:cs="Times New Roman"/>
                <w:color w:val="auto"/>
                <w:highlight w:val="none"/>
                <w:lang w:val="en-US" w:eastAsia="zh-CN"/>
              </w:rPr>
            </w:pPr>
            <w:r>
              <w:rPr>
                <w:rFonts w:hint="eastAsia" w:cs="Times New Roman"/>
                <w:color w:val="auto"/>
                <w:highlight w:val="none"/>
                <w:lang w:val="en-US" w:eastAsia="zh-CN"/>
              </w:rPr>
              <w:t>2.</w:t>
            </w:r>
            <w:r>
              <w:rPr>
                <w:rFonts w:hint="default" w:ascii="Times New Roman" w:hAnsi="Times New Roman" w:cs="Times New Roman"/>
                <w:color w:val="auto"/>
                <w:highlight w:val="none"/>
                <w:lang w:val="en-US" w:eastAsia="zh-CN"/>
              </w:rPr>
              <w:t>规划名称：《宣威市国土空间总体规划（2021-2035）》</w:t>
            </w:r>
          </w:p>
          <w:p w14:paraId="42F0BB0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规划审批机关：曲靖市人民政府</w:t>
            </w:r>
          </w:p>
          <w:p w14:paraId="5858930B">
            <w:pPr>
              <w:bidi w:val="0"/>
              <w:rPr>
                <w:rFonts w:hint="default" w:ascii="Times New Roman" w:hAnsi="Times New Roman" w:eastAsia="宋体" w:cs="Times New Roman"/>
                <w:color w:val="auto"/>
                <w:spacing w:val="1"/>
                <w:kern w:val="2"/>
                <w:szCs w:val="24"/>
                <w:highlight w:val="none"/>
                <w:lang w:val="en-US" w:eastAsia="zh-CN" w:bidi="ar-SA"/>
              </w:rPr>
            </w:pPr>
            <w:r>
              <w:rPr>
                <w:rFonts w:hint="default" w:ascii="Times New Roman" w:hAnsi="Times New Roman" w:cs="Times New Roman"/>
                <w:color w:val="auto"/>
                <w:highlight w:val="none"/>
                <w:lang w:val="en-US" w:eastAsia="zh-CN"/>
              </w:rPr>
              <w:t>审查文号：曲政复〔2024〕28号。</w:t>
            </w:r>
          </w:p>
        </w:tc>
      </w:tr>
      <w:tr w14:paraId="1A7C51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892" w:type="dxa"/>
            <w:noWrap w:val="0"/>
            <w:tcMar>
              <w:top w:w="16" w:type="dxa"/>
              <w:left w:w="16" w:type="dxa"/>
              <w:right w:w="16" w:type="dxa"/>
            </w:tcMar>
            <w:vAlign w:val="center"/>
          </w:tcPr>
          <w:p w14:paraId="25E5F433">
            <w:pPr>
              <w:autoSpaceDE w:val="0"/>
              <w:autoSpaceDN w:val="0"/>
              <w:adjustRightInd w:val="0"/>
              <w:snapToGrid w:val="0"/>
              <w:ind w:left="0" w:leftChars="0" w:firstLine="0" w:firstLineChars="0"/>
              <w:jc w:val="both"/>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规划环境影响</w:t>
            </w:r>
          </w:p>
          <w:p w14:paraId="2F966D84">
            <w:pPr>
              <w:autoSpaceDE w:val="0"/>
              <w:autoSpaceDN w:val="0"/>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szCs w:val="21"/>
                <w:highlight w:val="none"/>
              </w:rPr>
              <w:t>评价情况</w:t>
            </w:r>
          </w:p>
        </w:tc>
        <w:tc>
          <w:tcPr>
            <w:tcW w:w="8147" w:type="dxa"/>
            <w:noWrap w:val="0"/>
            <w:tcMar>
              <w:top w:w="16" w:type="dxa"/>
              <w:left w:w="16" w:type="dxa"/>
              <w:right w:w="16" w:type="dxa"/>
            </w:tcMar>
            <w:vAlign w:val="center"/>
          </w:tcPr>
          <w:p w14:paraId="72C45ED3">
            <w:pPr>
              <w:adjustRightInd w:val="0"/>
              <w:snapToGrid w:val="0"/>
              <w:jc w:val="left"/>
              <w:rPr>
                <w:rFonts w:hint="default" w:ascii="Times New Roman" w:hAnsi="Times New Roman" w:eastAsia="宋体" w:cs="Times New Roman"/>
                <w:color w:val="auto"/>
                <w:kern w:val="0"/>
                <w:szCs w:val="21"/>
                <w:highlight w:val="none"/>
                <w:lang w:eastAsia="zh-CN"/>
              </w:rPr>
            </w:pPr>
            <w:r>
              <w:rPr>
                <w:rFonts w:hint="default" w:ascii="Times New Roman" w:hAnsi="Times New Roman" w:cs="Times New Roman"/>
                <w:color w:val="auto"/>
                <w:kern w:val="0"/>
                <w:szCs w:val="21"/>
                <w:highlight w:val="none"/>
                <w:lang w:eastAsia="zh-CN"/>
              </w:rPr>
              <w:t>无</w:t>
            </w:r>
          </w:p>
        </w:tc>
      </w:tr>
      <w:tr w14:paraId="2065BC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581" w:hRule="atLeast"/>
        </w:trPr>
        <w:tc>
          <w:tcPr>
            <w:tcW w:w="892" w:type="dxa"/>
            <w:noWrap w:val="0"/>
            <w:tcMar>
              <w:top w:w="16" w:type="dxa"/>
              <w:left w:w="16" w:type="dxa"/>
              <w:right w:w="16" w:type="dxa"/>
            </w:tcMar>
            <w:vAlign w:val="center"/>
          </w:tcPr>
          <w:p w14:paraId="5AC0FCE0">
            <w:pPr>
              <w:autoSpaceDE w:val="0"/>
              <w:autoSpaceDN w:val="0"/>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规划及</w:t>
            </w:r>
            <w:r>
              <w:rPr>
                <w:rFonts w:hint="default" w:ascii="Times New Roman" w:hAnsi="Times New Roman" w:cs="Times New Roman"/>
                <w:color w:val="auto"/>
                <w:szCs w:val="21"/>
                <w:highlight w:val="none"/>
              </w:rPr>
              <w:t>规划环境影响评价</w:t>
            </w:r>
            <w:r>
              <w:rPr>
                <w:rFonts w:hint="default" w:ascii="Times New Roman" w:hAnsi="Times New Roman" w:cs="Times New Roman"/>
                <w:color w:val="auto"/>
                <w:kern w:val="0"/>
                <w:szCs w:val="21"/>
                <w:highlight w:val="none"/>
              </w:rPr>
              <w:t>符合性分析</w:t>
            </w:r>
          </w:p>
        </w:tc>
        <w:tc>
          <w:tcPr>
            <w:tcW w:w="8147" w:type="dxa"/>
            <w:noWrap w:val="0"/>
            <w:tcMar>
              <w:top w:w="16" w:type="dxa"/>
              <w:left w:w="16" w:type="dxa"/>
              <w:right w:w="16" w:type="dxa"/>
            </w:tcMar>
            <w:vAlign w:val="center"/>
          </w:tcPr>
          <w:p w14:paraId="3C84A40B">
            <w:pPr>
              <w:bidi w:val="0"/>
              <w:ind w:left="0" w:leftChars="0" w:firstLine="482" w:firstLineChars="200"/>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1.</w:t>
            </w:r>
            <w:r>
              <w:rPr>
                <w:rFonts w:hint="default" w:ascii="Times New Roman" w:hAnsi="Times New Roman" w:cs="Times New Roman"/>
                <w:b/>
                <w:bCs/>
                <w:color w:val="auto"/>
                <w:highlight w:val="none"/>
                <w:lang w:val="en-US" w:eastAsia="zh-CN"/>
              </w:rPr>
              <w:t>与《云南省发展和改革委员会云南省能源局云南省农业农村厅关于印发云南省“千乡万村驭风行动”第一批项目开发建设方案的通知》符合性分析</w:t>
            </w:r>
          </w:p>
          <w:p w14:paraId="3D4E4E0D">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为贯彻落实</w:t>
            </w:r>
            <w:r>
              <w:rPr>
                <w:rFonts w:hint="eastAsia" w:cs="Times New Roman"/>
                <w:color w:val="auto"/>
                <w:highlight w:val="none"/>
                <w:lang w:val="en-US" w:eastAsia="zh-CN"/>
              </w:rPr>
              <w:t>《中共中央 国务院</w:t>
            </w:r>
            <w:r>
              <w:rPr>
                <w:rFonts w:hint="default" w:ascii="Times New Roman" w:hAnsi="Times New Roman" w:cs="Times New Roman"/>
                <w:color w:val="auto"/>
                <w:highlight w:val="none"/>
                <w:lang w:val="en-US" w:eastAsia="zh-CN"/>
              </w:rPr>
              <w:t>关于学习运用“千村示范、万村整治”工程经验有力有效推进乡村全面振兴的意见》精神，促进农村地区风电就地就近开发利用，推动风电成为农村能源革命的新载体、助力乡村振兴的新动能，按照《云南省发展和改革委员会云南省能源局云南省农业农村厅关于印发〈云南省“千乡万村驭风行动”总体方案〉的通知》</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云能源水电〔2024〕118号</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安排，现将《云南省“千乡万村驭风行动”第一批项目开发建设方案》予以印发。</w:t>
            </w:r>
          </w:p>
          <w:p w14:paraId="6316D93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纳入云南省“千乡万村驭风行动”第一批项目开发建设方案实施的项目共31个项目，装机容量53.53万千瓦。</w:t>
            </w:r>
          </w:p>
          <w:p w14:paraId="4D90CE70">
            <w:pPr>
              <w:pStyle w:val="11"/>
              <w:rPr>
                <w:rFonts w:hint="default" w:ascii="Times New Roman" w:hAnsi="Times New Roman" w:cs="Times New Roman"/>
                <w:color w:val="auto"/>
                <w:highlight w:val="none"/>
                <w:lang w:val="en-US" w:eastAsia="zh-CN"/>
              </w:rPr>
            </w:pPr>
          </w:p>
          <w:p w14:paraId="78FE4FE4">
            <w:pPr>
              <w:rPr>
                <w:rFonts w:hint="default" w:ascii="Times New Roman" w:hAnsi="Times New Roman" w:cs="Times New Roman"/>
                <w:color w:val="auto"/>
                <w:highlight w:val="none"/>
                <w:lang w:val="en-US" w:eastAsia="zh-CN"/>
              </w:rPr>
            </w:pPr>
          </w:p>
          <w:p w14:paraId="31C9A9AC">
            <w:pPr>
              <w:pStyle w:val="11"/>
              <w:rPr>
                <w:rFonts w:hint="default" w:ascii="Times New Roman" w:hAnsi="Times New Roman" w:cs="Times New Roman"/>
                <w:color w:val="auto"/>
                <w:highlight w:val="none"/>
                <w:lang w:val="en-US" w:eastAsia="zh-CN"/>
              </w:rPr>
            </w:pPr>
          </w:p>
          <w:p w14:paraId="7EECDC3D">
            <w:pPr>
              <w:rPr>
                <w:rFonts w:hint="default" w:ascii="Times New Roman" w:hAnsi="Times New Roman" w:cs="Times New Roman"/>
                <w:color w:val="auto"/>
                <w:highlight w:val="none"/>
                <w:lang w:val="en-US" w:eastAsia="zh-CN"/>
              </w:rPr>
            </w:pPr>
          </w:p>
          <w:p w14:paraId="4FA29750">
            <w:pPr>
              <w:pStyle w:val="11"/>
              <w:rPr>
                <w:rFonts w:hint="default" w:ascii="Times New Roman" w:hAnsi="Times New Roman" w:cs="Times New Roman"/>
                <w:color w:val="auto"/>
                <w:highlight w:val="none"/>
                <w:lang w:val="en-US" w:eastAsia="zh-CN"/>
              </w:rPr>
            </w:pPr>
          </w:p>
          <w:p w14:paraId="6C34F36E">
            <w:pPr>
              <w:rPr>
                <w:rFonts w:hint="default" w:ascii="Times New Roman" w:hAnsi="Times New Roman" w:cs="Times New Roman"/>
                <w:color w:val="auto"/>
                <w:highlight w:val="none"/>
                <w:lang w:val="en-US" w:eastAsia="zh-CN"/>
              </w:rPr>
            </w:pPr>
          </w:p>
          <w:p w14:paraId="71754016">
            <w:pPr>
              <w:pStyle w:val="11"/>
              <w:rPr>
                <w:rFonts w:hint="default"/>
                <w:color w:val="auto"/>
                <w:highlight w:val="none"/>
                <w:lang w:val="en-US" w:eastAsia="zh-CN"/>
              </w:rPr>
            </w:pPr>
          </w:p>
          <w:p w14:paraId="016F732E">
            <w:pPr>
              <w:bidi w:val="0"/>
              <w:ind w:left="0" w:leftChars="0"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drawing>
                <wp:anchor distT="0" distB="0" distL="114300" distR="114300" simplePos="0" relativeHeight="251660288" behindDoc="0" locked="0" layoutInCell="1" allowOverlap="1">
                  <wp:simplePos x="0" y="0"/>
                  <wp:positionH relativeFrom="column">
                    <wp:posOffset>516255</wp:posOffset>
                  </wp:positionH>
                  <wp:positionV relativeFrom="paragraph">
                    <wp:posOffset>1013460</wp:posOffset>
                  </wp:positionV>
                  <wp:extent cx="3575050" cy="3535045"/>
                  <wp:effectExtent l="0" t="0" r="6350" b="8255"/>
                  <wp:wrapTopAndBottom/>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pic:cNvPicPr>
                        </pic:nvPicPr>
                        <pic:blipFill>
                          <a:blip r:embed="rId16"/>
                          <a:stretch>
                            <a:fillRect/>
                          </a:stretch>
                        </pic:blipFill>
                        <pic:spPr>
                          <a:xfrm>
                            <a:off x="0" y="0"/>
                            <a:ext cx="3575050" cy="3535045"/>
                          </a:xfrm>
                          <a:prstGeom prst="rect">
                            <a:avLst/>
                          </a:prstGeom>
                          <a:noFill/>
                          <a:ln>
                            <a:noFill/>
                          </a:ln>
                        </pic:spPr>
                      </pic:pic>
                    </a:graphicData>
                  </a:graphic>
                </wp:anchor>
              </w:drawing>
            </w:r>
            <w:r>
              <w:rPr>
                <w:rFonts w:hint="default" w:ascii="Times New Roman" w:hAnsi="Times New Roman" w:eastAsia="宋体" w:cs="Times New Roman"/>
                <w:color w:val="auto"/>
                <w:highlight w:val="none"/>
                <w:lang w:val="en-US" w:eastAsia="zh-CN"/>
              </w:rPr>
              <w:t>本项目</w:t>
            </w:r>
            <w:r>
              <w:rPr>
                <w:rFonts w:hint="eastAsia" w:cs="Times New Roman"/>
                <w:color w:val="auto"/>
                <w:highlight w:val="none"/>
                <w:lang w:val="en-US" w:eastAsia="zh-CN"/>
              </w:rPr>
              <w:t>为</w:t>
            </w:r>
            <w:r>
              <w:rPr>
                <w:rFonts w:hint="default" w:ascii="Times New Roman" w:hAnsi="Times New Roman" w:eastAsia="宋体" w:cs="Times New Roman"/>
                <w:color w:val="auto"/>
                <w:highlight w:val="none"/>
                <w:lang w:val="en-US" w:eastAsia="zh-CN"/>
              </w:rPr>
              <w:t>《</w:t>
            </w:r>
            <w:r>
              <w:rPr>
                <w:rFonts w:hint="default" w:ascii="Times New Roman" w:hAnsi="Times New Roman" w:cs="Times New Roman"/>
                <w:color w:val="auto"/>
                <w:highlight w:val="none"/>
                <w:lang w:val="en-US" w:eastAsia="zh-CN"/>
              </w:rPr>
              <w:t>云南省“千乡万村驭风行动”第一批项目开发建设方案</w:t>
            </w:r>
            <w:r>
              <w:rPr>
                <w:rFonts w:hint="default" w:ascii="Times New Roman" w:hAnsi="Times New Roman" w:eastAsia="宋体" w:cs="Times New Roman"/>
                <w:color w:val="auto"/>
                <w:highlight w:val="none"/>
                <w:lang w:val="en-US" w:eastAsia="zh-CN"/>
              </w:rPr>
              <w:t>》中的</w:t>
            </w:r>
            <w:r>
              <w:rPr>
                <w:rFonts w:hint="eastAsia" w:cs="Times New Roman"/>
                <w:color w:val="auto"/>
                <w:highlight w:val="none"/>
                <w:lang w:val="en-US" w:eastAsia="zh-CN"/>
              </w:rPr>
              <w:t>“曲靖市宣威市海德村项目”</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拟建规模为2万千瓦（即20MW）</w:t>
            </w:r>
            <w:r>
              <w:rPr>
                <w:rFonts w:hint="default" w:ascii="Times New Roman" w:hAnsi="Times New Roman" w:eastAsia="宋体" w:cs="Times New Roman"/>
                <w:color w:val="auto"/>
                <w:highlight w:val="none"/>
                <w:lang w:val="en-US" w:eastAsia="zh-CN"/>
              </w:rPr>
              <w:t>：本项目在《</w:t>
            </w:r>
            <w:r>
              <w:rPr>
                <w:rFonts w:hint="default" w:ascii="Times New Roman" w:hAnsi="Times New Roman" w:cs="Times New Roman"/>
                <w:color w:val="auto"/>
                <w:highlight w:val="none"/>
                <w:lang w:val="en-US" w:eastAsia="zh-CN"/>
              </w:rPr>
              <w:t>云南省“千乡万村驭风行动”第一批项目开发建设方案</w:t>
            </w:r>
            <w:r>
              <w:rPr>
                <w:rFonts w:hint="default" w:ascii="Times New Roman" w:hAnsi="Times New Roman" w:eastAsia="宋体" w:cs="Times New Roman"/>
                <w:color w:val="auto"/>
                <w:highlight w:val="none"/>
                <w:lang w:val="en-US" w:eastAsia="zh-CN"/>
              </w:rPr>
              <w:t>》中的截图如下：</w:t>
            </w:r>
          </w:p>
          <w:p w14:paraId="367B06E2">
            <w:pPr>
              <w:pStyle w:val="48"/>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图1-1项目在《</w:t>
            </w:r>
            <w:r>
              <w:rPr>
                <w:rFonts w:hint="default" w:ascii="Times New Roman" w:hAnsi="Times New Roman" w:cs="Times New Roman"/>
                <w:color w:val="auto"/>
                <w:highlight w:val="none"/>
                <w:lang w:val="en-US" w:eastAsia="zh-CN"/>
              </w:rPr>
              <w:t>云南省“千乡万村驭风行动”第一批项目开发建设方案</w:t>
            </w:r>
            <w:r>
              <w:rPr>
                <w:rFonts w:hint="default" w:ascii="Times New Roman" w:hAnsi="Times New Roman" w:cs="Times New Roman"/>
                <w:color w:val="auto"/>
                <w:highlight w:val="none"/>
              </w:rPr>
              <w:t>》中的截图</w:t>
            </w:r>
          </w:p>
          <w:p w14:paraId="6B1C77D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本项目</w:t>
            </w:r>
            <w:r>
              <w:rPr>
                <w:rFonts w:hint="eastAsia" w:cs="Times New Roman"/>
                <w:color w:val="auto"/>
                <w:highlight w:val="none"/>
                <w:lang w:val="en-US" w:eastAsia="zh-CN"/>
              </w:rPr>
              <w:t>总</w:t>
            </w:r>
            <w:r>
              <w:rPr>
                <w:rFonts w:hint="default" w:ascii="Times New Roman" w:hAnsi="Times New Roman" w:cs="Times New Roman"/>
                <w:color w:val="auto"/>
                <w:highlight w:val="none"/>
              </w:rPr>
              <w:t>装机</w:t>
            </w:r>
            <w:r>
              <w:rPr>
                <w:rFonts w:hint="eastAsia" w:cs="Times New Roman"/>
                <w:color w:val="auto"/>
                <w:highlight w:val="none"/>
                <w:lang w:val="en-US" w:eastAsia="zh-CN"/>
              </w:rPr>
              <w:t>容量</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20</w:t>
            </w:r>
            <w:r>
              <w:rPr>
                <w:rFonts w:hint="default" w:ascii="Times New Roman" w:hAnsi="Times New Roman" w:cs="Times New Roman"/>
                <w:color w:val="auto"/>
                <w:highlight w:val="none"/>
              </w:rPr>
              <w:t>MW，符合《</w:t>
            </w:r>
            <w:r>
              <w:rPr>
                <w:rFonts w:hint="default" w:ascii="Times New Roman" w:hAnsi="Times New Roman" w:cs="Times New Roman"/>
                <w:color w:val="auto"/>
                <w:highlight w:val="none"/>
                <w:lang w:val="en-US" w:eastAsia="zh-CN"/>
              </w:rPr>
              <w:t>云南省“千乡万村驭风行动”第一批项目开发建设方案</w:t>
            </w:r>
            <w:r>
              <w:rPr>
                <w:rFonts w:hint="default" w:ascii="Times New Roman" w:hAnsi="Times New Roman" w:cs="Times New Roman"/>
                <w:color w:val="auto"/>
                <w:highlight w:val="none"/>
              </w:rPr>
              <w:t>》。</w:t>
            </w:r>
          </w:p>
          <w:p w14:paraId="1BF694D7">
            <w:pPr>
              <w:numPr>
                <w:ilvl w:val="0"/>
                <w:numId w:val="1"/>
              </w:numPr>
              <w:bidi w:val="0"/>
              <w:ind w:left="0" w:leftChars="0" w:firstLine="482" w:firstLineChars="20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与《宣威市国土空间总体规划（2021-2035）》的批复（曲政复〔2024〕28号）符合性分析</w:t>
            </w:r>
          </w:p>
          <w:p w14:paraId="3213445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本项目的建设符合《宣威市国土空间总体规划（2021-2035）》的批复（曲政复〔2024〕28号）的相关要求，具体分析见下表。</w:t>
            </w:r>
          </w:p>
          <w:p w14:paraId="3FB696F6">
            <w:pPr>
              <w:pStyle w:val="4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表1-</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与（曲政复〔2024〕28号）符合性分析一览表</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3685"/>
              <w:gridCol w:w="2915"/>
              <w:gridCol w:w="821"/>
            </w:tblGrid>
            <w:tr w14:paraId="766A0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6B6290AC">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序号</w:t>
                  </w:r>
                </w:p>
              </w:tc>
              <w:tc>
                <w:tcPr>
                  <w:tcW w:w="3685" w:type="dxa"/>
                  <w:vAlign w:val="center"/>
                </w:tcPr>
                <w:p w14:paraId="2B2814F5">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rPr>
                    <w:t>《规划》批复情况</w:t>
                  </w:r>
                </w:p>
              </w:tc>
              <w:tc>
                <w:tcPr>
                  <w:tcW w:w="2915" w:type="dxa"/>
                  <w:vAlign w:val="center"/>
                </w:tcPr>
                <w:p w14:paraId="3A142241">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本项目情况</w:t>
                  </w:r>
                </w:p>
              </w:tc>
              <w:tc>
                <w:tcPr>
                  <w:tcW w:w="821" w:type="dxa"/>
                  <w:vAlign w:val="center"/>
                </w:tcPr>
                <w:p w14:paraId="196B7CF1">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符合性</w:t>
                  </w:r>
                </w:p>
              </w:tc>
            </w:tr>
            <w:tr w14:paraId="3B28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6D63796F">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1</w:t>
                  </w:r>
                </w:p>
              </w:tc>
              <w:tc>
                <w:tcPr>
                  <w:tcW w:w="3685" w:type="dxa"/>
                  <w:vAlign w:val="center"/>
                </w:tcPr>
                <w:p w14:paraId="2D3F45AF">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原则同意《宣威市国土空间总体规划</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2021</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2035年</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以下简称《规划》</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规划》是宣威市空间发展的指南、可持续发展的空间蓝图，是各类开发保护建设活动的基本依据，请认真组织实施。宣威市是滇东北省际门户、中国火腿美食文化名城。《规划》实施要坚持以习近平新时代中国特色社会主义思想为指导，全面贯彻党的二十大精神，认真落实习近平总书记考察云南重要讲话精神，锚定“3815”战略发展目标，围绕曲靖市“四个定位”，按照“五个高于”“两个提升”“六个走在前列”的原则，完整、准确、全面贯彻新发展理念，坚持以人民为中心，统筹发展和安全，促进人与自然和谐共生，努力建成曲靖副中心城市、东部产业转移聚集区、优质火腿及肉制品加工基地。</w:t>
                  </w:r>
                </w:p>
              </w:tc>
              <w:tc>
                <w:tcPr>
                  <w:tcW w:w="2915" w:type="dxa"/>
                  <w:vAlign w:val="center"/>
                </w:tcPr>
                <w:p w14:paraId="7CB5C67D">
                  <w:pPr>
                    <w:pStyle w:val="28"/>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本项目为风力发电项目，属于新能源建设项目，选址以人为本，优先避让居民集中分布区、统筹发展和安全，促进人与自然和谐共生，为宣威市其他产业的发展提供有力的电力保障。</w:t>
                  </w:r>
                </w:p>
              </w:tc>
              <w:tc>
                <w:tcPr>
                  <w:tcW w:w="821" w:type="dxa"/>
                  <w:vAlign w:val="center"/>
                </w:tcPr>
                <w:p w14:paraId="3B86AB3C">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12543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0AD61398">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2</w:t>
                  </w:r>
                </w:p>
              </w:tc>
              <w:tc>
                <w:tcPr>
                  <w:tcW w:w="3685" w:type="dxa"/>
                  <w:vAlign w:val="center"/>
                </w:tcPr>
                <w:p w14:paraId="6FF8E0FE">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筑牢安全发展的空间基础。到2035年，宣威市耕地保有量不低于273.5401万亩，其中永久基本农田保护面积不低于193.0940万亩；生态保护红线面积不低于1399.46平方千米</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城镇开发边界扩展倍数控制在基于2020年城镇建设用地规模的1.215倍以内</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用水总量不超过上级下达指标，其中2025年不超过2.89亿立方米。明确自然灾害风险重点防控区域，划定洪涝风险控制线和城市蓝线、绿线、黄线，落实战略性矿产资源、历史文化保护等保障空间，严格河湖水域空间管控，全面锚固高质量发展的空间底线。</w:t>
                  </w:r>
                </w:p>
              </w:tc>
              <w:tc>
                <w:tcPr>
                  <w:tcW w:w="2915" w:type="dxa"/>
                  <w:vAlign w:val="center"/>
                </w:tcPr>
                <w:p w14:paraId="5DAA8123">
                  <w:pPr>
                    <w:pStyle w:val="45"/>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kern w:val="0"/>
                      <w:sz w:val="21"/>
                      <w:szCs w:val="21"/>
                      <w:highlight w:val="none"/>
                      <w:lang w:val="en-US" w:eastAsia="zh-CN" w:bidi="ar-SA"/>
                    </w:rPr>
                    <w:t>经核查，该项目拟选址用地范围不涉及生态保护红线</w:t>
                  </w:r>
                  <w:r>
                    <w:rPr>
                      <w:rFonts w:hint="eastAsia" w:ascii="Times New Roman" w:hAnsi="Times New Roman" w:cs="Times New Roman"/>
                      <w:color w:val="auto"/>
                      <w:w w:val="90"/>
                      <w:kern w:val="0"/>
                      <w:sz w:val="21"/>
                      <w:szCs w:val="21"/>
                      <w:highlight w:val="none"/>
                      <w:lang w:val="en-US" w:eastAsia="zh-CN" w:bidi="ar-SA"/>
                    </w:rPr>
                    <w:t>、永久基本农田</w:t>
                  </w:r>
                  <w:r>
                    <w:rPr>
                      <w:rFonts w:hint="default" w:ascii="Times New Roman" w:hAnsi="Times New Roman" w:eastAsia="宋体" w:cs="Times New Roman"/>
                      <w:color w:val="auto"/>
                      <w:w w:val="90"/>
                      <w:kern w:val="0"/>
                      <w:sz w:val="21"/>
                      <w:szCs w:val="21"/>
                      <w:highlight w:val="none"/>
                      <w:lang w:val="en-US" w:eastAsia="zh-CN" w:bidi="ar-SA"/>
                    </w:rPr>
                    <w:t>，位于城镇开发边界外</w:t>
                  </w:r>
                  <w:r>
                    <w:rPr>
                      <w:rFonts w:hint="eastAsia" w:ascii="Times New Roman" w:hAnsi="Times New Roman" w:cs="Times New Roman"/>
                      <w:color w:val="auto"/>
                      <w:w w:val="90"/>
                      <w:kern w:val="0"/>
                      <w:sz w:val="21"/>
                      <w:szCs w:val="21"/>
                      <w:highlight w:val="none"/>
                      <w:lang w:val="en-US" w:eastAsia="zh-CN" w:bidi="ar-SA"/>
                    </w:rPr>
                    <w:t>，</w:t>
                  </w:r>
                  <w:r>
                    <w:rPr>
                      <w:rFonts w:hint="default" w:ascii="Times New Roman" w:hAnsi="Times New Roman" w:eastAsia="宋体" w:cs="Times New Roman"/>
                      <w:color w:val="auto"/>
                      <w:w w:val="90"/>
                      <w:kern w:val="0"/>
                      <w:sz w:val="21"/>
                      <w:szCs w:val="21"/>
                      <w:highlight w:val="none"/>
                      <w:lang w:val="en-US" w:eastAsia="zh-CN" w:bidi="ar-SA"/>
                    </w:rPr>
                    <w:t>属于《宣威市国土空间总体规划</w:t>
                  </w:r>
                  <w:r>
                    <w:rPr>
                      <w:rFonts w:hint="eastAsia" w:ascii="Times New Roman" w:hAnsi="Times New Roman" w:cs="Times New Roman"/>
                      <w:color w:val="auto"/>
                      <w:w w:val="90"/>
                      <w:kern w:val="0"/>
                      <w:sz w:val="21"/>
                      <w:szCs w:val="21"/>
                      <w:highlight w:val="none"/>
                      <w:lang w:val="en-US" w:eastAsia="zh-CN" w:bidi="ar-SA"/>
                    </w:rPr>
                    <w:t>（</w:t>
                  </w:r>
                  <w:r>
                    <w:rPr>
                      <w:rFonts w:hint="default" w:ascii="Times New Roman" w:hAnsi="Times New Roman" w:eastAsia="宋体" w:cs="Times New Roman"/>
                      <w:color w:val="auto"/>
                      <w:w w:val="90"/>
                      <w:kern w:val="0"/>
                      <w:sz w:val="21"/>
                      <w:szCs w:val="21"/>
                      <w:highlight w:val="none"/>
                      <w:lang w:val="en-US" w:eastAsia="zh-CN" w:bidi="ar-SA"/>
                    </w:rPr>
                    <w:t>2021</w:t>
                  </w:r>
                  <w:r>
                    <w:rPr>
                      <w:rFonts w:hint="eastAsia" w:ascii="Times New Roman" w:hAnsi="Times New Roman" w:cs="Times New Roman"/>
                      <w:color w:val="auto"/>
                      <w:w w:val="90"/>
                      <w:kern w:val="0"/>
                      <w:sz w:val="21"/>
                      <w:szCs w:val="21"/>
                      <w:highlight w:val="none"/>
                      <w:lang w:val="en-US" w:eastAsia="zh-CN" w:bidi="ar-SA"/>
                    </w:rPr>
                    <w:t>—</w:t>
                  </w:r>
                  <w:r>
                    <w:rPr>
                      <w:rFonts w:hint="default" w:ascii="Times New Roman" w:hAnsi="Times New Roman" w:eastAsia="宋体" w:cs="Times New Roman"/>
                      <w:color w:val="auto"/>
                      <w:w w:val="90"/>
                      <w:kern w:val="0"/>
                      <w:sz w:val="21"/>
                      <w:szCs w:val="21"/>
                      <w:highlight w:val="none"/>
                      <w:lang w:val="en-US" w:eastAsia="zh-CN" w:bidi="ar-SA"/>
                    </w:rPr>
                    <w:t>2035年</w:t>
                  </w:r>
                  <w:r>
                    <w:rPr>
                      <w:rFonts w:hint="eastAsia" w:ascii="Times New Roman" w:hAnsi="Times New Roman" w:cs="Times New Roman"/>
                      <w:color w:val="auto"/>
                      <w:w w:val="90"/>
                      <w:kern w:val="0"/>
                      <w:sz w:val="21"/>
                      <w:szCs w:val="21"/>
                      <w:highlight w:val="none"/>
                      <w:lang w:val="en-US" w:eastAsia="zh-CN" w:bidi="ar-SA"/>
                    </w:rPr>
                    <w:t>）</w:t>
                  </w:r>
                  <w:r>
                    <w:rPr>
                      <w:rFonts w:hint="default" w:ascii="Times New Roman" w:hAnsi="Times New Roman" w:eastAsia="宋体" w:cs="Times New Roman"/>
                      <w:color w:val="auto"/>
                      <w:w w:val="90"/>
                      <w:kern w:val="0"/>
                      <w:sz w:val="21"/>
                      <w:szCs w:val="21"/>
                      <w:highlight w:val="none"/>
                      <w:lang w:val="en-US" w:eastAsia="zh-CN" w:bidi="ar-SA"/>
                    </w:rPr>
                    <w:t>》重点项目清单中的建设项目。符合城镇开发边界管控规则。</w:t>
                  </w:r>
                </w:p>
              </w:tc>
              <w:tc>
                <w:tcPr>
                  <w:tcW w:w="821" w:type="dxa"/>
                  <w:vAlign w:val="center"/>
                </w:tcPr>
                <w:p w14:paraId="0267D41C">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178C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55FB5511">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3</w:t>
                  </w:r>
                </w:p>
              </w:tc>
              <w:tc>
                <w:tcPr>
                  <w:tcW w:w="3685" w:type="dxa"/>
                  <w:vAlign w:val="center"/>
                </w:tcPr>
                <w:p w14:paraId="7060E4D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优化国土空间开发保护格局。落实主体功能区布局，构建“乌蒙山坝、一核两江、一圈一轴”的国土空间开发保护格局。以乌蒙山区农产品主产区为主体、坝区综合现代农业核心为引领，优化农业空间格局，确保粮食安全，促进特色农业发展，推进农村土地整治。筑牢生态安全屏障，以珠江源为核心，促进牛栏江、北盘江等廊道的生态系统维育，持续推进山水林田湖草一体化治理和历史遗留废弃矿山等生态修复。构建等级合理、协调有序的城镇体系，以包含中心城区、来宾</w:t>
                  </w:r>
                  <w:r>
                    <w:rPr>
                      <w:rFonts w:hint="eastAsia" w:ascii="Times New Roman" w:hAnsi="Times New Roman" w:cs="Times New Roman"/>
                      <w:color w:val="auto"/>
                      <w:w w:val="90"/>
                      <w:sz w:val="21"/>
                      <w:szCs w:val="21"/>
                      <w:highlight w:val="none"/>
                      <w:lang w:val="en-US" w:eastAsia="zh-CN"/>
                    </w:rPr>
                    <w:t>－</w:t>
                  </w:r>
                  <w:r>
                    <w:rPr>
                      <w:rFonts w:hint="default" w:ascii="Times New Roman" w:hAnsi="Times New Roman" w:eastAsia="宋体" w:cs="Times New Roman"/>
                      <w:color w:val="auto"/>
                      <w:w w:val="90"/>
                      <w:sz w:val="21"/>
                      <w:szCs w:val="21"/>
                      <w:highlight w:val="none"/>
                      <w:lang w:val="en-US" w:eastAsia="zh-CN"/>
                    </w:rPr>
                    <w:t>凤凰辅城、板桥空港辅城、落水镇的城镇圈作为城镇化发展的核心地区，引导城镇发展轴沿线城镇的规模及功能集聚，推进宜居宜业和美乡村建设。</w:t>
                  </w:r>
                </w:p>
              </w:tc>
              <w:tc>
                <w:tcPr>
                  <w:tcW w:w="2915" w:type="dxa"/>
                  <w:vAlign w:val="center"/>
                </w:tcPr>
                <w:p w14:paraId="33910B54">
                  <w:pPr>
                    <w:pStyle w:val="45"/>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kern w:val="0"/>
                      <w:sz w:val="21"/>
                      <w:szCs w:val="21"/>
                      <w:highlight w:val="none"/>
                      <w:lang w:val="en-US" w:eastAsia="zh-CN" w:bidi="ar-SA"/>
                    </w:rPr>
                    <w:t>本项目属于风电场项目，位于宣威市海德村，不涉及农产品主。项目的建设有利于强化与周边乡镇资源优势互补、产业分工协作与公共服务和基础设施建设共建共享，推进宜居宜业和美乡村建设。</w:t>
                  </w:r>
                </w:p>
              </w:tc>
              <w:tc>
                <w:tcPr>
                  <w:tcW w:w="821" w:type="dxa"/>
                  <w:vAlign w:val="center"/>
                </w:tcPr>
                <w:p w14:paraId="20E5E5F3">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5B479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3AECBDD4">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4</w:t>
                  </w:r>
                </w:p>
              </w:tc>
              <w:tc>
                <w:tcPr>
                  <w:tcW w:w="3685" w:type="dxa"/>
                  <w:vAlign w:val="center"/>
                </w:tcPr>
                <w:p w14:paraId="022C72AB">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提升城乡空间品质。优化中心城区空间结构和用地布局，打造贯通东西、连通南北的两条城市发展轴线，形成城中综合服务、城东休闲旅游、城西宜居置业、城北现代服务、城</w:t>
                  </w:r>
                  <w:r>
                    <w:rPr>
                      <w:rFonts w:hint="eastAsia" w:ascii="Times New Roman" w:hAnsi="Times New Roman" w:cs="Times New Roman"/>
                      <w:color w:val="auto"/>
                      <w:w w:val="90"/>
                      <w:sz w:val="21"/>
                      <w:szCs w:val="21"/>
                      <w:highlight w:val="none"/>
                      <w:lang w:val="en-US" w:eastAsia="zh-CN"/>
                    </w:rPr>
                    <w:t>乡</w:t>
                  </w:r>
                  <w:r>
                    <w:rPr>
                      <w:rFonts w:hint="default" w:ascii="Times New Roman" w:hAnsi="Times New Roman" w:eastAsia="宋体" w:cs="Times New Roman"/>
                      <w:color w:val="auto"/>
                      <w:w w:val="90"/>
                      <w:sz w:val="21"/>
                      <w:szCs w:val="21"/>
                      <w:highlight w:val="none"/>
                      <w:lang w:val="en-US" w:eastAsia="zh-CN"/>
                    </w:rPr>
                    <w:t>融合创新五个功能片区。统筹谋划教育、文化、体育、医疗、养老等公共服务设施，推进社区生活圈建设，提升城乡公共服务均衡性和可及性。系统建设山·水·城相嵌的公共开敞空间，打造月牙湖生态核、东山和西山郊野生态带，以东河、西河及其支流形成多条城市绿廊。严格城市控制线管控，加大存量用地挖潜，推动地上地下空间复合利用，提高土地节约集约利用水平，稳步推进城市更新。落实</w:t>
                  </w:r>
                  <w:r>
                    <w:rPr>
                      <w:rFonts w:hint="eastAsia" w:ascii="Times New Roman" w:hAnsi="Times New Roman" w:cs="Times New Roman"/>
                      <w:color w:val="auto"/>
                      <w:w w:val="90"/>
                      <w:sz w:val="21"/>
                      <w:szCs w:val="21"/>
                      <w:highlight w:val="none"/>
                      <w:lang w:val="en-US" w:eastAsia="zh-CN"/>
                    </w:rPr>
                    <w:t>历史文化保护线</w:t>
                  </w:r>
                  <w:r>
                    <w:rPr>
                      <w:rFonts w:hint="default" w:ascii="Times New Roman" w:hAnsi="Times New Roman" w:eastAsia="宋体" w:cs="Times New Roman"/>
                      <w:color w:val="auto"/>
                      <w:w w:val="90"/>
                      <w:sz w:val="21"/>
                      <w:szCs w:val="21"/>
                      <w:highlight w:val="none"/>
                      <w:lang w:val="en-US" w:eastAsia="zh-CN"/>
                    </w:rPr>
                    <w:t>要求，保护好各级文物保护单位及其周围环境，保护和传承非物质文化遗产，凸显可渡村、红军战斗遗址、尼珠河峡谷等文化和自然遗产的特色魅力。强化城市设计，管控城市高度和城市天际线，优化城乡空间形态，彰显“山水交融、林田渗透”的城乡特色风貌。</w:t>
                  </w:r>
                </w:p>
              </w:tc>
              <w:tc>
                <w:tcPr>
                  <w:tcW w:w="2915" w:type="dxa"/>
                  <w:vAlign w:val="center"/>
                </w:tcPr>
                <w:p w14:paraId="0C168424">
                  <w:pPr>
                    <w:pStyle w:val="45"/>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kern w:val="0"/>
                      <w:sz w:val="21"/>
                      <w:szCs w:val="21"/>
                      <w:highlight w:val="none"/>
                      <w:lang w:val="en-US" w:eastAsia="zh-CN" w:bidi="ar-SA"/>
                    </w:rPr>
                    <w:t>本项目涉及宣威市海德村，不位于宣威市中心城区，且项目的建设不位于城镇开发边界管控单元。项目建设完成后各临时用地均可采取植被恢复措施，恢复原貌，减小对空间形态的破坏。</w:t>
                  </w:r>
                </w:p>
              </w:tc>
              <w:tc>
                <w:tcPr>
                  <w:tcW w:w="821" w:type="dxa"/>
                  <w:vAlign w:val="center"/>
                </w:tcPr>
                <w:p w14:paraId="713D15DB">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60DD3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4" w:type="dxa"/>
                  <w:vAlign w:val="center"/>
                </w:tcPr>
                <w:p w14:paraId="7D737A3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5</w:t>
                  </w:r>
                </w:p>
              </w:tc>
              <w:tc>
                <w:tcPr>
                  <w:tcW w:w="3685" w:type="dxa"/>
                  <w:vAlign w:val="center"/>
                </w:tcPr>
                <w:p w14:paraId="677BA02A">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构建安全韧性基础设施体系。构建现代化基础设施体系，完善城乡各类基础设施建设，提升基础设施保障能力和服务水平。加快云南宣威民用运输机场和宣富、宣会、宣盘等交通通道建设，构建以航空、铁路、高速公路、干线公路为骨干的综合立体交通网络。健全公共安全和综合防灾体系，严格落实抗震、地质灾害防治、防洪排涝等灾害防控和危险化学品生产储存、油气管线廊道布局等安全防护要求，增强抵御灾害和事故的能力。统筹保障水、电、气、通信、环境卫生等各类市政基础设施，确保城市生命线稳定运行。加强矿产资源保障，推进煤炭、风电、光伏、水利水电等重点项目建设。</w:t>
                  </w:r>
                </w:p>
              </w:tc>
              <w:tc>
                <w:tcPr>
                  <w:tcW w:w="2915" w:type="dxa"/>
                  <w:vAlign w:val="center"/>
                </w:tcPr>
                <w:p w14:paraId="050E9A68">
                  <w:pPr>
                    <w:pStyle w:val="45"/>
                    <w:keepNext w:val="0"/>
                    <w:keepLines w:val="0"/>
                    <w:pageBreakBefore w:val="0"/>
                    <w:widowControl w:val="0"/>
                    <w:kinsoku/>
                    <w:wordWrap/>
                    <w:overflowPunct/>
                    <w:topLinePunct w:val="0"/>
                    <w:autoSpaceDE/>
                    <w:autoSpaceDN/>
                    <w:bidi w:val="0"/>
                    <w:adjustRightInd w:val="0"/>
                    <w:snapToGrid w:val="0"/>
                    <w:spacing w:line="240" w:lineRule="auto"/>
                    <w:ind w:left="0" w:firstLine="0" w:firstLineChars="0"/>
                    <w:jc w:val="both"/>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kern w:val="0"/>
                      <w:sz w:val="21"/>
                      <w:szCs w:val="21"/>
                      <w:highlight w:val="none"/>
                      <w:lang w:val="en-US" w:eastAsia="zh-CN" w:bidi="ar-SA"/>
                    </w:rPr>
                    <w:t>本项目在开工前建设单位委托有资质单位进行现场勘察，防止造成地质灾害的威胁，且施工过程中采取措施防止水土流失，项目的运营会产生部分危险废物，</w:t>
                  </w:r>
                  <w:r>
                    <w:rPr>
                      <w:rFonts w:hint="eastAsia" w:ascii="Times New Roman" w:hAnsi="Times New Roman" w:cs="Times New Roman"/>
                      <w:color w:val="auto"/>
                      <w:w w:val="90"/>
                      <w:kern w:val="0"/>
                      <w:sz w:val="21"/>
                      <w:szCs w:val="21"/>
                      <w:highlight w:val="none"/>
                      <w:lang w:val="en-US" w:eastAsia="zh-CN" w:bidi="ar-SA"/>
                    </w:rPr>
                    <w:t>危废贮存间</w:t>
                  </w:r>
                  <w:r>
                    <w:rPr>
                      <w:rFonts w:hint="default" w:ascii="Times New Roman" w:hAnsi="Times New Roman" w:eastAsia="宋体" w:cs="Times New Roman"/>
                      <w:color w:val="auto"/>
                      <w:w w:val="90"/>
                      <w:kern w:val="0"/>
                      <w:sz w:val="21"/>
                      <w:szCs w:val="21"/>
                      <w:highlight w:val="none"/>
                      <w:lang w:val="en-US" w:eastAsia="zh-CN" w:bidi="ar-SA"/>
                    </w:rPr>
                    <w:t>等储存、防止灾害发生的场所，各场所按照重点防渗进行处理，满足安全防护要求。</w:t>
                  </w:r>
                </w:p>
              </w:tc>
              <w:tc>
                <w:tcPr>
                  <w:tcW w:w="821" w:type="dxa"/>
                  <w:vAlign w:val="center"/>
                </w:tcPr>
                <w:p w14:paraId="6271FAAD">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bl>
          <w:p w14:paraId="3773EB49">
            <w:pPr>
              <w:rPr>
                <w:rFonts w:hint="default"/>
                <w:color w:val="auto"/>
                <w:highlight w:val="none"/>
                <w:lang w:val="en-US" w:eastAsia="zh-CN"/>
              </w:rPr>
            </w:pPr>
          </w:p>
        </w:tc>
      </w:tr>
      <w:tr w14:paraId="4FC44B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431" w:hRule="atLeast"/>
        </w:trPr>
        <w:tc>
          <w:tcPr>
            <w:tcW w:w="892" w:type="dxa"/>
            <w:noWrap w:val="0"/>
            <w:tcMar>
              <w:top w:w="16" w:type="dxa"/>
              <w:left w:w="16" w:type="dxa"/>
              <w:right w:w="16" w:type="dxa"/>
            </w:tcMar>
            <w:vAlign w:val="center"/>
          </w:tcPr>
          <w:p w14:paraId="7C62B947">
            <w:pPr>
              <w:autoSpaceDE w:val="0"/>
              <w:autoSpaceDN w:val="0"/>
              <w:adjustRightInd w:val="0"/>
              <w:snapToGrid w:val="0"/>
              <w:ind w:left="0" w:leftChars="0" w:firstLine="0" w:firstLineChars="0"/>
              <w:jc w:val="both"/>
              <w:rPr>
                <w:rFonts w:hint="default" w:ascii="Times New Roman" w:hAnsi="Times New Roman" w:cs="Times New Roman"/>
                <w:color w:val="auto"/>
                <w:kern w:val="0"/>
                <w:szCs w:val="21"/>
                <w:highlight w:val="none"/>
              </w:rPr>
            </w:pPr>
            <w:bookmarkStart w:id="2" w:name="_Hlk56690880"/>
            <w:r>
              <w:rPr>
                <w:rFonts w:hint="default" w:ascii="Times New Roman" w:hAnsi="Times New Roman" w:cs="Times New Roman"/>
                <w:color w:val="auto"/>
                <w:kern w:val="0"/>
                <w:szCs w:val="21"/>
                <w:highlight w:val="none"/>
              </w:rPr>
              <w:t>其他符合性分析</w:t>
            </w:r>
            <w:bookmarkEnd w:id="2"/>
          </w:p>
        </w:tc>
        <w:tc>
          <w:tcPr>
            <w:tcW w:w="8147" w:type="dxa"/>
            <w:noWrap w:val="0"/>
            <w:tcMar>
              <w:top w:w="16" w:type="dxa"/>
              <w:left w:w="16" w:type="dxa"/>
              <w:right w:w="16" w:type="dxa"/>
            </w:tcMar>
            <w:vAlign w:val="center"/>
          </w:tcPr>
          <w:p w14:paraId="50638FF2">
            <w:pPr>
              <w:pStyle w:val="45"/>
              <w:keepNext w:val="0"/>
              <w:keepLines w:val="0"/>
              <w:pageBreakBefore w:val="0"/>
              <w:widowControl w:val="0"/>
              <w:kinsoku/>
              <w:wordWrap/>
              <w:overflowPunct/>
              <w:topLinePunct w:val="0"/>
              <w:autoSpaceDE/>
              <w:autoSpaceDN/>
              <w:bidi w:val="0"/>
              <w:adjustRightInd w:val="0"/>
              <w:snapToGrid w:val="0"/>
              <w:spacing w:line="360" w:lineRule="auto"/>
              <w:ind w:left="0" w:right="0" w:firstLine="0"/>
              <w:textAlignment w:val="auto"/>
              <w:rPr>
                <w:rFonts w:hint="default" w:ascii="Times New Roman" w:hAnsi="Times New Roman" w:eastAsia="宋体" w:cs="Times New Roman"/>
                <w:b/>
                <w:bCs/>
                <w:color w:val="auto"/>
                <w:spacing w:val="1"/>
                <w:kern w:val="2"/>
                <w:sz w:val="24"/>
                <w:szCs w:val="24"/>
                <w:highlight w:val="none"/>
                <w:lang w:val="en-US" w:eastAsia="zh-CN" w:bidi="ar-SA"/>
              </w:rPr>
            </w:pPr>
            <w:r>
              <w:rPr>
                <w:rFonts w:hint="eastAsia" w:ascii="Times New Roman" w:hAnsi="Times New Roman" w:cs="Times New Roman"/>
                <w:b/>
                <w:bCs/>
                <w:color w:val="auto"/>
                <w:spacing w:val="1"/>
                <w:kern w:val="2"/>
                <w:sz w:val="24"/>
                <w:szCs w:val="24"/>
                <w:highlight w:val="none"/>
                <w:lang w:val="en-US" w:eastAsia="zh-CN" w:bidi="ar-SA"/>
              </w:rPr>
              <w:t>1.</w:t>
            </w:r>
            <w:r>
              <w:rPr>
                <w:rFonts w:hint="default" w:ascii="Times New Roman" w:hAnsi="Times New Roman" w:eastAsia="宋体" w:cs="Times New Roman"/>
                <w:b/>
                <w:bCs/>
                <w:color w:val="auto"/>
                <w:spacing w:val="1"/>
                <w:kern w:val="2"/>
                <w:sz w:val="24"/>
                <w:szCs w:val="24"/>
                <w:highlight w:val="none"/>
                <w:lang w:val="en-US" w:eastAsia="zh-CN" w:bidi="ar-SA"/>
              </w:rPr>
              <w:t>产业政策符合性分析</w:t>
            </w:r>
          </w:p>
          <w:p w14:paraId="6F95916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经查阅《产业结构调整指导目录（2024</w:t>
            </w:r>
            <w:r>
              <w:rPr>
                <w:rFonts w:hint="eastAsia" w:cs="Times New Roman"/>
                <w:color w:val="auto"/>
                <w:highlight w:val="none"/>
                <w:lang w:val="en-US" w:eastAsia="zh-CN"/>
              </w:rPr>
              <w:t>年本</w:t>
            </w:r>
            <w:r>
              <w:rPr>
                <w:rFonts w:hint="default" w:ascii="Times New Roman" w:hAnsi="Times New Roman" w:cs="Times New Roman"/>
                <w:color w:val="auto"/>
                <w:highlight w:val="none"/>
                <w:lang w:val="en-US" w:eastAsia="zh-CN"/>
              </w:rPr>
              <w:t>）》，风力发电属于鼓励类“五、新能源”中“1、风力发电技术与应用中高原、山区风电场建设”，项目建设符合国家现行产业政策。</w:t>
            </w:r>
          </w:p>
          <w:p w14:paraId="015E051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宣威市海德村</w:t>
            </w:r>
            <w:r>
              <w:rPr>
                <w:rFonts w:hint="eastAsia" w:cs="Times New Roman"/>
                <w:color w:val="auto"/>
                <w:highlight w:val="none"/>
                <w:lang w:val="en-US" w:eastAsia="zh-CN"/>
              </w:rPr>
              <w:t>项目</w:t>
            </w:r>
            <w:r>
              <w:rPr>
                <w:rFonts w:hint="default" w:ascii="Times New Roman" w:hAnsi="Times New Roman" w:cs="Times New Roman"/>
                <w:color w:val="auto"/>
                <w:highlight w:val="none"/>
                <w:lang w:val="en-US" w:eastAsia="zh-CN"/>
              </w:rPr>
              <w:t>利用当地风能资源发电，可缓解当地电力供需矛盾，符合国家能源发展战略和产业政策要求</w:t>
            </w:r>
            <w:r>
              <w:rPr>
                <w:rFonts w:hint="eastAsia" w:cs="Times New Roman"/>
                <w:color w:val="auto"/>
                <w:highlight w:val="none"/>
                <w:lang w:val="en-US" w:eastAsia="zh-CN"/>
              </w:rPr>
              <w:t>，属</w:t>
            </w:r>
            <w:r>
              <w:rPr>
                <w:rFonts w:hint="default" w:ascii="Times New Roman" w:hAnsi="Times New Roman" w:cs="Times New Roman"/>
                <w:color w:val="auto"/>
                <w:highlight w:val="none"/>
                <w:lang w:val="en-US" w:eastAsia="zh-CN"/>
              </w:rPr>
              <w:t>《云南省发展和改革委员会云南省能源局云南省农业农村厅关于印发云南省“千乡万村驭风行动”第一批项目开发建设方案的通知》</w:t>
            </w:r>
            <w:r>
              <w:rPr>
                <w:rFonts w:hint="eastAsia" w:cs="Times New Roman"/>
                <w:color w:val="auto"/>
                <w:highlight w:val="none"/>
                <w:lang w:val="en-US" w:eastAsia="zh-CN"/>
              </w:rPr>
              <w:t>中</w:t>
            </w:r>
            <w:r>
              <w:rPr>
                <w:rFonts w:hint="default" w:ascii="Times New Roman" w:hAnsi="Times New Roman" w:cs="Times New Roman"/>
                <w:color w:val="auto"/>
                <w:highlight w:val="none"/>
                <w:lang w:val="en-US" w:eastAsia="zh-CN"/>
              </w:rPr>
              <w:t>的项目，</w:t>
            </w:r>
            <w:r>
              <w:rPr>
                <w:rFonts w:hint="default" w:ascii="Times New Roman" w:hAnsi="Times New Roman" w:eastAsia="宋体" w:cs="Times New Roman"/>
                <w:color w:val="auto"/>
                <w:sz w:val="24"/>
                <w:szCs w:val="24"/>
                <w:highlight w:val="none"/>
              </w:rPr>
              <w:t>符合国家现行产业政策</w:t>
            </w:r>
            <w:r>
              <w:rPr>
                <w:rFonts w:hint="default" w:ascii="Times New Roman" w:hAnsi="Times New Roman" w:cs="Times New Roman"/>
                <w:color w:val="auto"/>
                <w:highlight w:val="none"/>
                <w:lang w:val="en-US" w:eastAsia="zh-CN"/>
              </w:rPr>
              <w:t>。</w:t>
            </w:r>
          </w:p>
          <w:p w14:paraId="09C0E9A3">
            <w:pPr>
              <w:pStyle w:val="45"/>
              <w:spacing w:line="359" w:lineRule="auto"/>
              <w:ind w:left="24" w:hanging="9"/>
              <w:rPr>
                <w:rFonts w:hint="default" w:ascii="Times New Roman" w:hAnsi="Times New Roman" w:cs="Times New Roman"/>
                <w:color w:val="auto"/>
                <w:sz w:val="24"/>
                <w:szCs w:val="24"/>
                <w:highlight w:val="none"/>
              </w:rPr>
            </w:pPr>
            <w:r>
              <w:rPr>
                <w:rFonts w:hint="eastAsia" w:ascii="Times New Roman" w:hAnsi="Times New Roman" w:eastAsia="宋体" w:cs="Times New Roman"/>
                <w:b/>
                <w:bCs/>
                <w:color w:val="auto"/>
                <w:spacing w:val="-12"/>
                <w:sz w:val="24"/>
                <w:szCs w:val="24"/>
                <w:highlight w:val="none"/>
                <w:lang w:eastAsia="zh-CN"/>
              </w:rPr>
              <w:t>2.</w:t>
            </w:r>
            <w:r>
              <w:rPr>
                <w:rFonts w:hint="default" w:ascii="Times New Roman" w:hAnsi="Times New Roman" w:cs="Times New Roman"/>
                <w:b/>
                <w:bCs/>
                <w:color w:val="auto"/>
                <w:spacing w:val="-12"/>
                <w:sz w:val="24"/>
                <w:szCs w:val="24"/>
                <w:highlight w:val="none"/>
              </w:rPr>
              <w:t>与《风电场工程建设用地和环境保护管理暂行办法》发改能源〔</w:t>
            </w:r>
            <w:r>
              <w:rPr>
                <w:rFonts w:hint="default" w:ascii="Times New Roman" w:hAnsi="Times New Roman" w:eastAsia="Times New Roman" w:cs="Times New Roman"/>
                <w:b/>
                <w:bCs/>
                <w:color w:val="auto"/>
                <w:spacing w:val="-12"/>
                <w:sz w:val="24"/>
                <w:szCs w:val="24"/>
                <w:highlight w:val="none"/>
              </w:rPr>
              <w:t>2005</w:t>
            </w:r>
            <w:r>
              <w:rPr>
                <w:rFonts w:hint="default" w:ascii="Times New Roman" w:hAnsi="Times New Roman" w:cs="Times New Roman"/>
                <w:b/>
                <w:bCs/>
                <w:color w:val="auto"/>
                <w:spacing w:val="-12"/>
                <w:sz w:val="24"/>
                <w:szCs w:val="24"/>
                <w:highlight w:val="none"/>
              </w:rPr>
              <w:t>〕</w:t>
            </w:r>
            <w:r>
              <w:rPr>
                <w:rFonts w:hint="default" w:ascii="Times New Roman" w:hAnsi="Times New Roman" w:eastAsia="Times New Roman" w:cs="Times New Roman"/>
                <w:b/>
                <w:bCs/>
                <w:color w:val="auto"/>
                <w:spacing w:val="-6"/>
                <w:sz w:val="24"/>
                <w:szCs w:val="24"/>
                <w:highlight w:val="none"/>
              </w:rPr>
              <w:t>1511</w:t>
            </w:r>
            <w:r>
              <w:rPr>
                <w:rFonts w:hint="default" w:ascii="Times New Roman" w:hAnsi="Times New Roman" w:cs="Times New Roman"/>
                <w:b/>
                <w:bCs/>
                <w:color w:val="auto"/>
                <w:spacing w:val="-6"/>
                <w:sz w:val="24"/>
                <w:szCs w:val="24"/>
                <w:highlight w:val="none"/>
              </w:rPr>
              <w:t>号符合性分析</w:t>
            </w:r>
          </w:p>
          <w:p w14:paraId="76CE3416">
            <w:pPr>
              <w:pStyle w:val="45"/>
              <w:spacing w:line="359" w:lineRule="auto"/>
              <w:ind w:left="18" w:right="9" w:firstLine="480"/>
              <w:jc w:val="both"/>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根据《风电场工程建设用地和环境保护管理暂行办法》，风电场工</w:t>
            </w:r>
            <w:r>
              <w:rPr>
                <w:rFonts w:hint="default" w:ascii="Times New Roman" w:hAnsi="Times New Roman" w:cs="Times New Roman"/>
                <w:color w:val="auto"/>
                <w:spacing w:val="1"/>
                <w:sz w:val="24"/>
                <w:szCs w:val="24"/>
                <w:highlight w:val="none"/>
              </w:rPr>
              <w:t>程建设用地应本着</w:t>
            </w:r>
            <w:r>
              <w:rPr>
                <w:rFonts w:hint="eastAsia" w:ascii="Times New Roman" w:hAnsi="Times New Roman" w:cs="Times New Roman"/>
                <w:color w:val="auto"/>
                <w:spacing w:val="1"/>
                <w:sz w:val="24"/>
                <w:szCs w:val="24"/>
                <w:highlight w:val="none"/>
                <w:lang w:eastAsia="zh-CN"/>
              </w:rPr>
              <w:t>节约集约利用</w:t>
            </w:r>
            <w:r>
              <w:rPr>
                <w:rFonts w:hint="default" w:ascii="Times New Roman" w:hAnsi="Times New Roman" w:cs="Times New Roman"/>
                <w:color w:val="auto"/>
                <w:spacing w:val="1"/>
                <w:sz w:val="24"/>
                <w:szCs w:val="24"/>
                <w:highlight w:val="none"/>
              </w:rPr>
              <w:t>土地的原</w:t>
            </w:r>
            <w:r>
              <w:rPr>
                <w:rFonts w:hint="default" w:ascii="Times New Roman" w:hAnsi="Times New Roman" w:cs="Times New Roman"/>
                <w:color w:val="auto"/>
                <w:sz w:val="24"/>
                <w:szCs w:val="24"/>
                <w:highlight w:val="none"/>
              </w:rPr>
              <w:t>则，尽量使用未利用土地，</w:t>
            </w:r>
            <w:r>
              <w:rPr>
                <w:rFonts w:hint="default" w:ascii="Times New Roman" w:hAnsi="Times New Roman" w:cs="Times New Roman"/>
                <w:color w:val="auto"/>
                <w:spacing w:val="1"/>
                <w:sz w:val="24"/>
                <w:szCs w:val="24"/>
                <w:highlight w:val="none"/>
              </w:rPr>
              <w:t>少占或不占耕地，并尽量避开省级以上政府</w:t>
            </w:r>
            <w:r>
              <w:rPr>
                <w:rFonts w:hint="default" w:ascii="Times New Roman" w:hAnsi="Times New Roman" w:cs="Times New Roman"/>
                <w:color w:val="auto"/>
                <w:sz w:val="24"/>
                <w:szCs w:val="24"/>
                <w:highlight w:val="none"/>
              </w:rPr>
              <w:t>部门依法批准的需要特殊保</w:t>
            </w:r>
            <w:r>
              <w:rPr>
                <w:rFonts w:hint="default" w:ascii="Times New Roman" w:hAnsi="Times New Roman" w:cs="Times New Roman"/>
                <w:color w:val="auto"/>
                <w:spacing w:val="-2"/>
                <w:sz w:val="24"/>
                <w:szCs w:val="24"/>
                <w:highlight w:val="none"/>
              </w:rPr>
              <w:t>护的区域。</w:t>
            </w:r>
          </w:p>
          <w:p w14:paraId="6299AA60">
            <w:pPr>
              <w:pStyle w:val="7"/>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本项目占地</w:t>
            </w:r>
            <w:r>
              <w:rPr>
                <w:rFonts w:hint="eastAsia" w:ascii="Times New Roman" w:hAnsi="Times New Roman" w:cs="Times New Roman"/>
                <w:color w:val="auto"/>
                <w:sz w:val="24"/>
                <w:szCs w:val="24"/>
                <w:highlight w:val="none"/>
                <w:lang w:val="en-US" w:eastAsia="zh-CN"/>
              </w:rPr>
              <w:t>主要为</w:t>
            </w:r>
            <w:r>
              <w:rPr>
                <w:rFonts w:hint="default" w:ascii="Times New Roman" w:hAnsi="Times New Roman" w:cs="Times New Roman"/>
                <w:color w:val="auto"/>
                <w:sz w:val="24"/>
                <w:szCs w:val="24"/>
                <w:highlight w:val="none"/>
              </w:rPr>
              <w:t>稀疏灌木林地，有部分旱地及荒草地，不涉及特殊保护区域。环评提出进行生态恢复，按照原占地类型种植草本和灌木，恢复临时占地的生态环境。</w:t>
            </w:r>
            <w:r>
              <w:rPr>
                <w:rFonts w:hint="default" w:ascii="Times New Roman" w:hAnsi="Times New Roman" w:cs="Times New Roman"/>
                <w:color w:val="auto"/>
                <w:spacing w:val="0"/>
                <w:sz w:val="24"/>
                <w:highlight w:val="none"/>
              </w:rPr>
              <w:t>且已取得《宣威市林业和草原局关于海德村项目是否涉及林草地及各级自然保护区、风景名胜区的情况说明》</w:t>
            </w:r>
            <w:r>
              <w:rPr>
                <w:rFonts w:hint="default" w:ascii="Times New Roman" w:hAnsi="Times New Roman" w:cs="Times New Roman"/>
                <w:color w:val="auto"/>
                <w:spacing w:val="0"/>
                <w:sz w:val="24"/>
                <w:highlight w:val="none"/>
                <w:lang w:eastAsia="zh-CN"/>
              </w:rPr>
              <w:t>，须严格按照</w:t>
            </w:r>
            <w:r>
              <w:rPr>
                <w:rFonts w:hint="default"/>
                <w:color w:val="auto"/>
                <w:sz w:val="24"/>
                <w:highlight w:val="none"/>
                <w:lang w:eastAsia="zh-CN"/>
              </w:rPr>
              <w:t>《</w:t>
            </w:r>
            <w:r>
              <w:rPr>
                <w:rFonts w:hint="default"/>
                <w:color w:val="auto"/>
                <w:sz w:val="24"/>
                <w:highlight w:val="none"/>
              </w:rPr>
              <w:t>国家林业和草原局国家能源局关于支持风电开发建设规范使用林地草地有关工作的通知</w:t>
            </w:r>
            <w:r>
              <w:rPr>
                <w:rFonts w:hint="default"/>
                <w:color w:val="auto"/>
                <w:sz w:val="24"/>
                <w:highlight w:val="none"/>
                <w:lang w:eastAsia="zh-CN"/>
              </w:rPr>
              <w:t>》林资规</w:t>
            </w:r>
            <w:r>
              <w:rPr>
                <w:rFonts w:hint="default" w:ascii="Times New Roman" w:hAnsi="Times New Roman" w:cs="Times New Roman"/>
                <w:color w:val="auto"/>
                <w:spacing w:val="0"/>
                <w:sz w:val="24"/>
                <w:highlight w:val="none"/>
                <w:lang w:eastAsia="zh-CN"/>
              </w:rPr>
              <w:t>〔20</w:t>
            </w:r>
            <w:r>
              <w:rPr>
                <w:rFonts w:hint="default" w:cs="Times New Roman"/>
                <w:color w:val="auto"/>
                <w:spacing w:val="0"/>
                <w:sz w:val="24"/>
                <w:highlight w:val="none"/>
                <w:lang w:val="en-US" w:eastAsia="zh-CN"/>
              </w:rPr>
              <w:t>26</w:t>
            </w:r>
            <w:r>
              <w:rPr>
                <w:rFonts w:hint="default" w:ascii="Times New Roman" w:hAnsi="Times New Roman" w:cs="Times New Roman"/>
                <w:color w:val="auto"/>
                <w:spacing w:val="0"/>
                <w:sz w:val="24"/>
                <w:highlight w:val="none"/>
                <w:lang w:eastAsia="zh-CN"/>
              </w:rPr>
              <w:t>〕</w:t>
            </w:r>
            <w:r>
              <w:rPr>
                <w:rFonts w:hint="default"/>
                <w:color w:val="auto"/>
                <w:sz w:val="24"/>
                <w:highlight w:val="none"/>
                <w:lang w:eastAsia="zh-CN"/>
              </w:rPr>
              <w:t>1号</w:t>
            </w:r>
            <w:r>
              <w:rPr>
                <w:rFonts w:hint="default" w:ascii="Times New Roman" w:hAnsi="Times New Roman" w:cs="Times New Roman"/>
                <w:color w:val="auto"/>
                <w:spacing w:val="0"/>
                <w:sz w:val="24"/>
                <w:highlight w:val="none"/>
                <w:lang w:eastAsia="zh-CN"/>
              </w:rPr>
              <w:t>文件执行并依法依规办理林草地使用许可手续后方可使用。</w:t>
            </w:r>
            <w:r>
              <w:rPr>
                <w:rFonts w:hint="default" w:ascii="Times New Roman" w:hAnsi="Times New Roman" w:cs="Times New Roman"/>
                <w:color w:val="auto"/>
                <w:sz w:val="24"/>
                <w:szCs w:val="24"/>
                <w:highlight w:val="none"/>
              </w:rPr>
              <w:t>因此项目占地符合《风电场工程建设用</w:t>
            </w:r>
            <w:r>
              <w:rPr>
                <w:rFonts w:hint="default" w:ascii="Times New Roman" w:hAnsi="Times New Roman" w:cs="Times New Roman"/>
                <w:color w:val="auto"/>
                <w:spacing w:val="0"/>
                <w:sz w:val="24"/>
                <w:szCs w:val="24"/>
                <w:highlight w:val="none"/>
              </w:rPr>
              <w:t>地和环境保护管理暂行办法》要求。</w:t>
            </w:r>
          </w:p>
          <w:p w14:paraId="578EF360">
            <w:pPr>
              <w:bidi w:val="0"/>
              <w:rPr>
                <w:rFonts w:hint="default" w:ascii="Times New Roman" w:hAnsi="Times New Roman" w:cs="Times New Roman"/>
                <w:b/>
                <w:bCs/>
                <w:color w:val="auto"/>
                <w:highlight w:val="none"/>
              </w:rPr>
            </w:pPr>
            <w:r>
              <w:rPr>
                <w:rFonts w:hint="eastAsia" w:cs="Times New Roman"/>
                <w:b/>
                <w:bCs/>
                <w:color w:val="auto"/>
                <w:highlight w:val="none"/>
                <w:lang w:val="en-US" w:eastAsia="zh-CN"/>
              </w:rPr>
              <w:t>3</w:t>
            </w:r>
            <w:r>
              <w:rPr>
                <w:rFonts w:hint="eastAsia" w:cs="Times New Roman"/>
                <w:b/>
                <w:bCs/>
                <w:color w:val="auto"/>
                <w:highlight w:val="none"/>
                <w:lang w:eastAsia="zh-CN"/>
              </w:rPr>
              <w:t>.</w:t>
            </w:r>
            <w:r>
              <w:rPr>
                <w:rFonts w:hint="default" w:ascii="Times New Roman" w:hAnsi="Times New Roman" w:cs="Times New Roman"/>
                <w:b/>
                <w:bCs/>
                <w:color w:val="auto"/>
                <w:highlight w:val="none"/>
              </w:rPr>
              <w:t>与《云南省生物多样性保护条例》符合性分析</w:t>
            </w:r>
          </w:p>
          <w:p w14:paraId="021EA89A">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（1）《云南省生物多样性保护条例》基本情况</w:t>
            </w:r>
          </w:p>
          <w:p w14:paraId="081B3505">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《云南省生物多样性保护条例》旨在保护生物多样性，保障生态安全，由云南省第十三届</w:t>
            </w:r>
            <w:r>
              <w:rPr>
                <w:rFonts w:hint="eastAsia" w:cs="Times New Roman"/>
                <w:color w:val="auto"/>
                <w:highlight w:val="none"/>
                <w:lang w:eastAsia="zh-CN"/>
              </w:rPr>
              <w:t>人大常委会</w:t>
            </w:r>
            <w:r>
              <w:rPr>
                <w:rFonts w:hint="default" w:ascii="Times New Roman" w:hAnsi="Times New Roman" w:cs="Times New Roman"/>
                <w:color w:val="auto"/>
                <w:highlight w:val="none"/>
              </w:rPr>
              <w:t>第五次会议于2018年9月21日审议通过并公布，共七章四十条，自2019年1月1日起施行。</w:t>
            </w:r>
          </w:p>
          <w:p w14:paraId="3A1911E6">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其中，《云南省生物多样性保护条例》第二十九条规定：“新建、改建、扩建建设项目以及开发自然资源，应当依法开展环境影响评价。对可能造成重要生态系统破坏、损害重要物种及其栖息地和生境的，应当制定专项保护、恢复和补偿方案，纳入环境影响评价。</w:t>
            </w:r>
          </w:p>
          <w:p w14:paraId="372C50F2">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在生物多样性保护优先区域的建设项目以及自然资源开发，应当评价对生物多样性的影响，并作为环境影响评价的重要组成部分。</w:t>
            </w:r>
          </w:p>
          <w:p w14:paraId="1520AC71">
            <w:pPr>
              <w:bidi w:val="0"/>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（2）符合性分析</w:t>
            </w:r>
          </w:p>
          <w:p w14:paraId="380026EA">
            <w:p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highlight w:val="none"/>
              </w:rPr>
              <w:t>根据生态调查，</w:t>
            </w:r>
            <w:r>
              <w:rPr>
                <w:rFonts w:hint="default" w:ascii="Times New Roman" w:hAnsi="Times New Roman" w:eastAsia="宋体" w:cs="Times New Roman"/>
                <w:color w:val="auto"/>
                <w:sz w:val="24"/>
                <w:szCs w:val="24"/>
                <w:highlight w:val="none"/>
                <w:lang w:val="en-US" w:eastAsia="zh-CN"/>
              </w:rPr>
              <w:t>本项目位于云南省曲靖市宣威市海德村境内，根据云南植被区划，该区域属于亚热带常绿阔叶林区域（Ⅱ），西部（半湿润）常绿阔叶林亚区域（ⅡA），高原亚热带北部常绿阔叶林地带（ⅡAii），滇中、滇东高原半湿润常绿阔叶林、云南松林区（ⅡAii-1），滇中高原盆谷滇青冈林、元江栲林、云南松林亚区（ⅡAii-1a）。根据植被分布的地带性规律和评价区的地理位置及气候条件可知，评价区内的原生地带性植被原本是亚热带常绿阔叶林。但由于长期的人类活动，大面积的原始常绿阔叶林现已较为少见，取而代之的是以云南松为代表的暖温性针叶林等次生植被。</w:t>
            </w:r>
          </w:p>
          <w:p w14:paraId="0F630E78">
            <w:pPr>
              <w:bidi w:val="0"/>
              <w:rPr>
                <w:rFonts w:hint="eastAsia" w:ascii="Times New Roman" w:hAnsi="Times New Roman" w:eastAsia="宋体" w:cs="Times New Roman"/>
                <w:color w:val="auto"/>
                <w:highlight w:val="none"/>
                <w:lang w:eastAsia="zh-CN"/>
              </w:rPr>
            </w:pPr>
            <w:r>
              <w:rPr>
                <w:rFonts w:hint="eastAsia" w:cs="Times New Roman"/>
                <w:color w:val="auto"/>
                <w:highlight w:val="none"/>
                <w:lang w:val="en-US" w:eastAsia="zh-CN"/>
              </w:rPr>
              <w:t>项目建设及运行</w:t>
            </w:r>
            <w:r>
              <w:rPr>
                <w:rFonts w:hint="default" w:ascii="Times New Roman" w:hAnsi="Times New Roman" w:cs="Times New Roman"/>
                <w:color w:val="auto"/>
                <w:highlight w:val="none"/>
                <w:lang w:val="en-US" w:eastAsia="zh-CN"/>
              </w:rPr>
              <w:t>主要影响生境</w:t>
            </w:r>
            <w:r>
              <w:rPr>
                <w:rFonts w:hint="eastAsia" w:cs="Times New Roman"/>
                <w:color w:val="auto"/>
                <w:highlight w:val="none"/>
                <w:lang w:val="en-US" w:eastAsia="zh-CN"/>
              </w:rPr>
              <w:t>包括</w:t>
            </w:r>
            <w:r>
              <w:rPr>
                <w:rFonts w:hint="default" w:ascii="Times New Roman" w:hAnsi="Times New Roman" w:cs="Times New Roman"/>
                <w:color w:val="auto"/>
                <w:highlight w:val="none"/>
                <w:lang w:val="en-US" w:eastAsia="zh-CN"/>
              </w:rPr>
              <w:t>一些小型鸟类的活动区域，</w:t>
            </w:r>
            <w:r>
              <w:rPr>
                <w:rFonts w:hint="eastAsia" w:cs="Times New Roman"/>
                <w:color w:val="auto"/>
                <w:highlight w:val="none"/>
                <w:lang w:val="en-US" w:eastAsia="zh-CN"/>
              </w:rPr>
              <w:t>且大多数小型鸟类属于广生境种，</w:t>
            </w:r>
            <w:r>
              <w:rPr>
                <w:rFonts w:hint="default" w:ascii="Times New Roman" w:hAnsi="Times New Roman" w:cs="Times New Roman"/>
                <w:color w:val="auto"/>
                <w:highlight w:val="none"/>
                <w:lang w:val="en-US" w:eastAsia="zh-CN"/>
              </w:rPr>
              <w:t>中型鸟类分布较少。经过本项目小范围影响后，这些鸟类在其他地方仍广泛分布。</w:t>
            </w:r>
            <w:r>
              <w:rPr>
                <w:rFonts w:hint="eastAsia" w:cs="Times New Roman"/>
                <w:color w:val="auto"/>
                <w:highlight w:val="none"/>
                <w:lang w:eastAsia="zh-CN"/>
              </w:rPr>
              <w:t>对典型生态系统、珍稀濒危物种及其栖息地不存在潜在影响。</w:t>
            </w:r>
          </w:p>
          <w:p w14:paraId="7113BBF9">
            <w:pPr>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综上所述，本工程的建设</w:t>
            </w:r>
            <w:r>
              <w:rPr>
                <w:rFonts w:hint="default" w:ascii="Times New Roman" w:hAnsi="Times New Roman" w:cs="Times New Roman"/>
                <w:color w:val="auto"/>
                <w:highlight w:val="none"/>
                <w:lang w:eastAsia="zh-CN"/>
              </w:rPr>
              <w:t>符合</w:t>
            </w:r>
            <w:r>
              <w:rPr>
                <w:rFonts w:hint="default" w:ascii="Times New Roman" w:hAnsi="Times New Roman" w:cs="Times New Roman"/>
                <w:color w:val="auto"/>
                <w:highlight w:val="none"/>
              </w:rPr>
              <w:t>《云南省生物多样性保护条例》</w:t>
            </w:r>
            <w:r>
              <w:rPr>
                <w:rFonts w:hint="default" w:ascii="Times New Roman" w:hAnsi="Times New Roman" w:cs="Times New Roman"/>
                <w:color w:val="auto"/>
                <w:highlight w:val="none"/>
                <w:lang w:eastAsia="zh-CN"/>
              </w:rPr>
              <w:t>。</w:t>
            </w:r>
          </w:p>
          <w:p w14:paraId="7826F299">
            <w:pPr>
              <w:bidi w:val="0"/>
              <w:rPr>
                <w:rFonts w:hint="default" w:ascii="Times New Roman" w:hAnsi="Times New Roman" w:eastAsia="宋体" w:cs="Times New Roman"/>
                <w:b/>
                <w:bCs/>
                <w:color w:val="auto"/>
                <w:highlight w:val="none"/>
              </w:rPr>
            </w:pPr>
            <w:r>
              <w:rPr>
                <w:rFonts w:hint="eastAsia" w:cs="Times New Roman"/>
                <w:b/>
                <w:bCs/>
                <w:color w:val="auto"/>
                <w:highlight w:val="none"/>
                <w:lang w:val="en-US" w:eastAsia="zh-CN"/>
              </w:rPr>
              <w:t>4.</w:t>
            </w:r>
            <w:r>
              <w:rPr>
                <w:rFonts w:hint="default" w:ascii="Times New Roman" w:hAnsi="Times New Roman" w:eastAsia="宋体" w:cs="Times New Roman"/>
                <w:b/>
                <w:bCs/>
                <w:color w:val="auto"/>
                <w:highlight w:val="none"/>
              </w:rPr>
              <w:t>与《云南省生物多样性保护战略与行动计划（2024~2030）》的符合性分析</w:t>
            </w:r>
          </w:p>
          <w:p w14:paraId="0F5529B0">
            <w:pPr>
              <w:spacing w:line="360" w:lineRule="auto"/>
              <w:ind w:firstLine="480"/>
              <w:rPr>
                <w:color w:val="auto"/>
              </w:rPr>
            </w:pPr>
            <w:r>
              <w:rPr>
                <w:color w:val="auto"/>
              </w:rPr>
              <w:t>2024年5月20日，云南省生态环境厅印发《云南省生物多样性保护战略与行动计划（2024—2030年）》，明确全省新时期生物多样性保护战略定位、战略目标、战略任务、优先领域和优先行动，为各部门各地区推进生物多样性保护提供指引。本项目与行动计划的符合性分析见表1-1。</w:t>
            </w:r>
          </w:p>
          <w:p w14:paraId="605171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b/>
                <w:bCs/>
                <w:color w:val="auto"/>
                <w:sz w:val="21"/>
                <w:szCs w:val="21"/>
              </w:rPr>
              <w:t>表1-</w:t>
            </w:r>
            <w:r>
              <w:rPr>
                <w:rFonts w:hint="eastAsia"/>
                <w:b/>
                <w:bCs/>
                <w:color w:val="auto"/>
                <w:sz w:val="21"/>
                <w:szCs w:val="21"/>
                <w:lang w:val="en-US" w:eastAsia="zh-CN"/>
              </w:rPr>
              <w:t>1</w:t>
            </w:r>
            <w:r>
              <w:rPr>
                <w:b/>
                <w:bCs/>
                <w:color w:val="auto"/>
                <w:sz w:val="21"/>
                <w:szCs w:val="21"/>
              </w:rPr>
              <w:t>生物多样性保护优先区域划分</w:t>
            </w:r>
          </w:p>
          <w:tbl>
            <w:tblPr>
              <w:tblStyle w:val="20"/>
              <w:tblW w:w="4876" w:type="pct"/>
              <w:jc w:val="center"/>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11"/>
              <w:gridCol w:w="4282"/>
              <w:gridCol w:w="2555"/>
              <w:gridCol w:w="646"/>
            </w:tblGrid>
            <w:tr w14:paraId="19B5E264">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972" w:type="pct"/>
                  <w:gridSpan w:val="2"/>
                  <w:tcBorders>
                    <w:tl2br w:val="nil"/>
                    <w:tr2bl w:val="nil"/>
                  </w:tcBorders>
                  <w:noWrap w:val="0"/>
                  <w:vAlign w:val="center"/>
                </w:tcPr>
                <w:p w14:paraId="1BC7F151">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相关内容</w:t>
                  </w:r>
                </w:p>
              </w:tc>
              <w:tc>
                <w:tcPr>
                  <w:tcW w:w="1618" w:type="pct"/>
                  <w:tcBorders>
                    <w:tl2br w:val="nil"/>
                    <w:tr2bl w:val="nil"/>
                  </w:tcBorders>
                  <w:noWrap w:val="0"/>
                  <w:vAlign w:val="center"/>
                </w:tcPr>
                <w:p w14:paraId="6D2B15F9">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本项目情况</w:t>
                  </w:r>
                </w:p>
              </w:tc>
              <w:tc>
                <w:tcPr>
                  <w:tcW w:w="409" w:type="pct"/>
                  <w:tcBorders>
                    <w:tl2br w:val="nil"/>
                    <w:tr2bl w:val="nil"/>
                  </w:tcBorders>
                  <w:noWrap w:val="0"/>
                  <w:vAlign w:val="center"/>
                </w:tcPr>
                <w:p w14:paraId="7D687C83">
                  <w:pPr>
                    <w:keepLines w:val="0"/>
                    <w:pageBreakBefore w:val="0"/>
                    <w:widowControl w:val="0"/>
                    <w:kinsoku/>
                    <w:wordWrap/>
                    <w:topLinePunct w:val="0"/>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符合性</w:t>
                  </w:r>
                </w:p>
              </w:tc>
            </w:tr>
            <w:tr w14:paraId="71E79E61">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61" w:type="pct"/>
                  <w:vMerge w:val="restart"/>
                  <w:tcBorders>
                    <w:tl2br w:val="nil"/>
                    <w:tr2bl w:val="nil"/>
                  </w:tcBorders>
                  <w:noWrap w:val="0"/>
                  <w:vAlign w:val="center"/>
                </w:tcPr>
                <w:p w14:paraId="69AECC8A">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三</w:t>
                  </w:r>
                </w:p>
                <w:p w14:paraId="550063F0">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p>
                <w:p w14:paraId="1E54F358">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生物多样性保护战略</w:t>
                  </w:r>
                </w:p>
              </w:tc>
              <w:tc>
                <w:tcPr>
                  <w:tcW w:w="2711" w:type="pct"/>
                  <w:tcBorders>
                    <w:tl2br w:val="nil"/>
                    <w:tr2bl w:val="nil"/>
                  </w:tcBorders>
                  <w:noWrap w:val="0"/>
                  <w:vAlign w:val="center"/>
                </w:tcPr>
                <w:p w14:paraId="4603E6E5">
                  <w:pPr>
                    <w:keepLines w:val="0"/>
                    <w:pageBreakBefore w:val="0"/>
                    <w:widowControl w:val="0"/>
                    <w:kinsoku/>
                    <w:wordWrap/>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基本原则：</w:t>
                  </w:r>
                </w:p>
                <w:p w14:paraId="0905C424">
                  <w:pPr>
                    <w:keepLines w:val="0"/>
                    <w:pageBreakBefore w:val="0"/>
                    <w:widowControl w:val="0"/>
                    <w:kinsoku/>
                    <w:wordWrap/>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尊重自然、保护优先。牢固树立尊重自然、顺应自然、保护自然的生态文明理念，坚持保护优先，综合运用自然恢复和人工修复两种手段，因地因时制宜、分区分类施策，对重要生态系统、生物物种及遗传资源实施有效保护，保障生物安全和生态安全。</w:t>
                  </w:r>
                </w:p>
              </w:tc>
              <w:tc>
                <w:tcPr>
                  <w:tcW w:w="1618" w:type="pct"/>
                  <w:tcBorders>
                    <w:tl2br w:val="nil"/>
                    <w:tr2bl w:val="nil"/>
                  </w:tcBorders>
                  <w:noWrap w:val="0"/>
                  <w:vAlign w:val="center"/>
                </w:tcPr>
                <w:p w14:paraId="367E53E0">
                  <w:pPr>
                    <w:pStyle w:val="2"/>
                    <w:keepLines w:val="0"/>
                    <w:pageBreakBefore w:val="0"/>
                    <w:widowControl w:val="0"/>
                    <w:kinsoku/>
                    <w:wordWrap/>
                    <w:topLinePunct w:val="0"/>
                    <w:bidi w:val="0"/>
                    <w:adjustRightInd w:val="0"/>
                    <w:snapToGrid w:val="0"/>
                    <w:spacing w:before="0" w:after="0" w:line="240" w:lineRule="auto"/>
                    <w:ind w:left="0" w:leftChars="0" w:firstLine="0" w:firstLineChars="0"/>
                    <w:jc w:val="center"/>
                    <w:textAlignment w:val="auto"/>
                    <w:outlineLvl w:val="0"/>
                    <w:rPr>
                      <w:rFonts w:hint="default" w:ascii="Times New Roman" w:hAnsi="Times New Roman" w:eastAsia="宋体" w:cs="Times New Roman"/>
                      <w:b w:val="0"/>
                      <w:bCs w:val="0"/>
                      <w:color w:val="auto"/>
                      <w:w w:val="90"/>
                      <w:kern w:val="0"/>
                      <w:sz w:val="21"/>
                      <w:szCs w:val="21"/>
                      <w:highlight w:val="none"/>
                      <w:lang w:val="en-US" w:eastAsia="zh-CN" w:bidi="ar-SA"/>
                    </w:rPr>
                  </w:pPr>
                  <w:bookmarkStart w:id="3" w:name="_Toc174540092"/>
                  <w:bookmarkStart w:id="4" w:name="_Toc174540043"/>
                  <w:r>
                    <w:rPr>
                      <w:rFonts w:hint="default" w:ascii="Times New Roman" w:hAnsi="Times New Roman" w:eastAsia="宋体" w:cs="Times New Roman"/>
                      <w:b w:val="0"/>
                      <w:bCs w:val="0"/>
                      <w:color w:val="auto"/>
                      <w:w w:val="90"/>
                      <w:kern w:val="0"/>
                      <w:sz w:val="21"/>
                      <w:szCs w:val="21"/>
                      <w:highlight w:val="none"/>
                      <w:lang w:val="en-US" w:eastAsia="zh-CN" w:bidi="ar-SA"/>
                    </w:rPr>
                    <w:t>本项目不涉及风景名胜区、国家公园、文物古迹、湿地保护区、生物多样性保护区域、特殊生态环境及特有物种保护区域、鸟类迁徙重要通道及其栖息地、民俗保护区等生态保护红线和生态敏感区域。</w:t>
                  </w:r>
                  <w:bookmarkEnd w:id="3"/>
                  <w:bookmarkEnd w:id="4"/>
                </w:p>
              </w:tc>
              <w:tc>
                <w:tcPr>
                  <w:tcW w:w="409" w:type="pct"/>
                  <w:tcBorders>
                    <w:tl2br w:val="nil"/>
                    <w:tr2bl w:val="nil"/>
                  </w:tcBorders>
                  <w:noWrap w:val="0"/>
                  <w:vAlign w:val="center"/>
                </w:tcPr>
                <w:p w14:paraId="2DB95EBC">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符合</w:t>
                  </w:r>
                </w:p>
              </w:tc>
            </w:tr>
            <w:tr w14:paraId="2EC03535">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61" w:type="pct"/>
                  <w:vMerge w:val="continue"/>
                  <w:tcBorders>
                    <w:tl2br w:val="nil"/>
                    <w:tr2bl w:val="nil"/>
                  </w:tcBorders>
                  <w:noWrap w:val="0"/>
                  <w:vAlign w:val="center"/>
                </w:tcPr>
                <w:p w14:paraId="6BFA55DA">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p>
              </w:tc>
              <w:tc>
                <w:tcPr>
                  <w:tcW w:w="2711" w:type="pct"/>
                  <w:tcBorders>
                    <w:tl2br w:val="nil"/>
                    <w:tr2bl w:val="nil"/>
                  </w:tcBorders>
                  <w:noWrap w:val="0"/>
                  <w:vAlign w:val="center"/>
                </w:tcPr>
                <w:p w14:paraId="3F4D31E3">
                  <w:pPr>
                    <w:keepLines w:val="0"/>
                    <w:pageBreakBefore w:val="0"/>
                    <w:widowControl w:val="0"/>
                    <w:kinsoku/>
                    <w:wordWrap/>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战略定位：</w:t>
                  </w:r>
                </w:p>
                <w:p w14:paraId="0420EABA">
                  <w:pPr>
                    <w:keepLines w:val="0"/>
                    <w:pageBreakBefore w:val="0"/>
                    <w:widowControl w:val="0"/>
                    <w:kinsoku/>
                    <w:wordWrap/>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生物多样性可持续利用的排头兵。加强生物生态资源可持续利用与全过程监管，在生态环境能够承受的范围内，以加快发展新质生产力为目标，强化生物生态资源可持续利用，做优做强做大绿色高原特色农业、绿色能源、食品与保健品、生物医药、生态旅游、生态康养、绿色环保等产业，构建云南现代化生物生态产业集群。</w:t>
                  </w:r>
                </w:p>
              </w:tc>
              <w:tc>
                <w:tcPr>
                  <w:tcW w:w="1618" w:type="pct"/>
                  <w:tcBorders>
                    <w:tl2br w:val="nil"/>
                    <w:tr2bl w:val="nil"/>
                  </w:tcBorders>
                  <w:noWrap w:val="0"/>
                  <w:vAlign w:val="center"/>
                </w:tcPr>
                <w:p w14:paraId="1BBE614C">
                  <w:pPr>
                    <w:pStyle w:val="2"/>
                    <w:keepLines w:val="0"/>
                    <w:pageBreakBefore w:val="0"/>
                    <w:widowControl w:val="0"/>
                    <w:kinsoku/>
                    <w:wordWrap/>
                    <w:topLinePunct w:val="0"/>
                    <w:bidi w:val="0"/>
                    <w:adjustRightInd w:val="0"/>
                    <w:snapToGrid w:val="0"/>
                    <w:spacing w:before="0" w:after="0" w:line="240" w:lineRule="auto"/>
                    <w:ind w:left="0" w:leftChars="0" w:firstLine="0" w:firstLineChars="0"/>
                    <w:jc w:val="center"/>
                    <w:textAlignment w:val="auto"/>
                    <w:outlineLvl w:val="0"/>
                    <w:rPr>
                      <w:rFonts w:hint="default" w:ascii="Times New Roman" w:hAnsi="Times New Roman" w:eastAsia="宋体" w:cs="Times New Roman"/>
                      <w:b w:val="0"/>
                      <w:bCs w:val="0"/>
                      <w:color w:val="auto"/>
                      <w:w w:val="90"/>
                      <w:kern w:val="0"/>
                      <w:sz w:val="21"/>
                      <w:szCs w:val="21"/>
                      <w:highlight w:val="none"/>
                      <w:lang w:val="en-US" w:eastAsia="zh-CN" w:bidi="ar-SA"/>
                    </w:rPr>
                  </w:pPr>
                  <w:bookmarkStart w:id="5" w:name="_Toc174540093"/>
                  <w:bookmarkStart w:id="6" w:name="_Toc174540044"/>
                  <w:r>
                    <w:rPr>
                      <w:rFonts w:hint="eastAsia" w:ascii="Times New Roman" w:hAnsi="Times New Roman" w:eastAsia="宋体" w:cs="Times New Roman"/>
                      <w:b w:val="0"/>
                      <w:bCs w:val="0"/>
                      <w:color w:val="auto"/>
                      <w:w w:val="90"/>
                      <w:kern w:val="0"/>
                      <w:sz w:val="21"/>
                      <w:szCs w:val="21"/>
                      <w:highlight w:val="none"/>
                      <w:lang w:val="en-US" w:eastAsia="zh-CN" w:bidi="ar-SA"/>
                    </w:rPr>
                    <w:t>本项目属于风力发电项目，属于绿色清洁能源，坚持了生态优先、绿色低碳的理念，实现了项目建设和自然环境和谐统一。</w:t>
                  </w:r>
                  <w:bookmarkEnd w:id="5"/>
                  <w:bookmarkEnd w:id="6"/>
                </w:p>
              </w:tc>
              <w:tc>
                <w:tcPr>
                  <w:tcW w:w="409" w:type="pct"/>
                  <w:tcBorders>
                    <w:tl2br w:val="nil"/>
                    <w:tr2bl w:val="nil"/>
                  </w:tcBorders>
                  <w:noWrap w:val="0"/>
                  <w:vAlign w:val="center"/>
                </w:tcPr>
                <w:p w14:paraId="14C43F53">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符合</w:t>
                  </w:r>
                </w:p>
              </w:tc>
            </w:tr>
            <w:tr w14:paraId="00F83B6B">
              <w:tblPrEx>
                <w:tblBorders>
                  <w:top w:val="single" w:color="auto" w:sz="8" w:space="0"/>
                  <w:left w:val="single" w:color="auto" w:sz="8" w:space="0"/>
                  <w:bottom w:val="single" w:color="auto" w:sz="4"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261" w:type="pct"/>
                  <w:vMerge w:val="continue"/>
                  <w:tcBorders>
                    <w:tl2br w:val="nil"/>
                    <w:tr2bl w:val="nil"/>
                  </w:tcBorders>
                  <w:noWrap w:val="0"/>
                  <w:vAlign w:val="center"/>
                </w:tcPr>
                <w:p w14:paraId="0EF57A61">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p>
              </w:tc>
              <w:tc>
                <w:tcPr>
                  <w:tcW w:w="2711" w:type="pct"/>
                  <w:tcBorders>
                    <w:tl2br w:val="nil"/>
                    <w:tr2bl w:val="nil"/>
                  </w:tcBorders>
                  <w:noWrap w:val="0"/>
                  <w:vAlign w:val="center"/>
                </w:tcPr>
                <w:p w14:paraId="45E5F130">
                  <w:pPr>
                    <w:keepLines w:val="0"/>
                    <w:pageBreakBefore w:val="0"/>
                    <w:widowControl w:val="0"/>
                    <w:kinsoku/>
                    <w:wordWrap/>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战略任务：</w:t>
                  </w:r>
                </w:p>
                <w:p w14:paraId="7BB8EAFE">
                  <w:pPr>
                    <w:keepLines w:val="0"/>
                    <w:pageBreakBefore w:val="0"/>
                    <w:widowControl w:val="0"/>
                    <w:kinsoku/>
                    <w:wordWrap/>
                    <w:topLinePunct w:val="0"/>
                    <w:bidi w:val="0"/>
                    <w:adjustRightInd w:val="0"/>
                    <w:snapToGrid w:val="0"/>
                    <w:spacing w:line="240" w:lineRule="auto"/>
                    <w:ind w:firstLine="0" w:firstLineChars="0"/>
                    <w:jc w:val="left"/>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完善生物多样性保护空间网络。科学构建国土空间开发保护新格局，严格生态空间管理，严守生态保护红线。</w:t>
                  </w:r>
                </w:p>
              </w:tc>
              <w:tc>
                <w:tcPr>
                  <w:tcW w:w="1618" w:type="pct"/>
                  <w:tcBorders>
                    <w:tl2br w:val="nil"/>
                    <w:tr2bl w:val="nil"/>
                  </w:tcBorders>
                  <w:noWrap w:val="0"/>
                  <w:vAlign w:val="center"/>
                </w:tcPr>
                <w:p w14:paraId="0C7AF069">
                  <w:pPr>
                    <w:keepLines w:val="0"/>
                    <w:pageBreakBefore w:val="0"/>
                    <w:widowControl w:val="0"/>
                    <w:kinsoku/>
                    <w:wordWrap/>
                    <w:topLinePunct w:val="0"/>
                    <w:autoSpaceDE w:val="0"/>
                    <w:autoSpaceDN w:val="0"/>
                    <w:bidi w:val="0"/>
                    <w:adjustRightInd w:val="0"/>
                    <w:snapToGrid w:val="0"/>
                    <w:spacing w:line="240" w:lineRule="auto"/>
                    <w:ind w:left="0" w:leftChars="0" w:firstLine="0" w:firstLineChars="0"/>
                    <w:jc w:val="center"/>
                    <w:textAlignment w:val="auto"/>
                    <w:rPr>
                      <w:rFonts w:hint="eastAsia"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根据</w:t>
                  </w:r>
                  <w:r>
                    <w:rPr>
                      <w:rFonts w:hint="eastAsia" w:ascii="Times New Roman" w:hAnsi="Times New Roman" w:eastAsia="宋体" w:cs="Times New Roman"/>
                      <w:b w:val="0"/>
                      <w:bCs w:val="0"/>
                      <w:color w:val="auto"/>
                      <w:w w:val="90"/>
                      <w:kern w:val="0"/>
                      <w:sz w:val="21"/>
                      <w:szCs w:val="21"/>
                      <w:highlight w:val="none"/>
                      <w:lang w:val="en-US" w:eastAsia="zh-CN" w:bidi="ar-SA"/>
                    </w:rPr>
                    <w:t>宣威市相关单位</w:t>
                  </w:r>
                  <w:r>
                    <w:rPr>
                      <w:rFonts w:hint="default" w:ascii="Times New Roman" w:hAnsi="Times New Roman" w:eastAsia="宋体" w:cs="Times New Roman"/>
                      <w:b w:val="0"/>
                      <w:bCs w:val="0"/>
                      <w:color w:val="auto"/>
                      <w:w w:val="90"/>
                      <w:kern w:val="0"/>
                      <w:sz w:val="21"/>
                      <w:szCs w:val="21"/>
                      <w:highlight w:val="none"/>
                      <w:lang w:val="en-US" w:eastAsia="zh-CN" w:bidi="ar-SA"/>
                    </w:rPr>
                    <w:t>出具的</w:t>
                  </w:r>
                  <w:r>
                    <w:rPr>
                      <w:rFonts w:hint="eastAsia" w:ascii="Times New Roman" w:hAnsi="Times New Roman" w:eastAsia="宋体" w:cs="Times New Roman"/>
                      <w:b w:val="0"/>
                      <w:bCs w:val="0"/>
                      <w:color w:val="auto"/>
                      <w:w w:val="90"/>
                      <w:kern w:val="0"/>
                      <w:sz w:val="21"/>
                      <w:szCs w:val="21"/>
                      <w:highlight w:val="none"/>
                      <w:lang w:val="en-US" w:eastAsia="zh-CN" w:bidi="ar-SA"/>
                    </w:rPr>
                    <w:t>选址</w:t>
                  </w:r>
                  <w:r>
                    <w:rPr>
                      <w:rFonts w:hint="default" w:ascii="Times New Roman" w:hAnsi="Times New Roman" w:eastAsia="宋体" w:cs="Times New Roman"/>
                      <w:b w:val="0"/>
                      <w:bCs w:val="0"/>
                      <w:color w:val="auto"/>
                      <w:w w:val="90"/>
                      <w:kern w:val="0"/>
                      <w:sz w:val="21"/>
                      <w:szCs w:val="21"/>
                      <w:highlight w:val="none"/>
                      <w:lang w:val="en-US" w:eastAsia="zh-CN" w:bidi="ar-SA"/>
                    </w:rPr>
                    <w:t>意见，项目不涉及永久基本农田、生态保护红线管控范围、饮用水源保护范围</w:t>
                  </w:r>
                  <w:r>
                    <w:rPr>
                      <w:rFonts w:hint="eastAsia" w:ascii="Times New Roman" w:hAnsi="Times New Roman" w:eastAsia="宋体" w:cs="Times New Roman"/>
                      <w:b w:val="0"/>
                      <w:bCs w:val="0"/>
                      <w:color w:val="auto"/>
                      <w:w w:val="90"/>
                      <w:kern w:val="0"/>
                      <w:sz w:val="21"/>
                      <w:szCs w:val="21"/>
                      <w:highlight w:val="none"/>
                      <w:lang w:val="en-US" w:eastAsia="zh-CN" w:bidi="ar-SA"/>
                    </w:rPr>
                    <w:t>。</w:t>
                  </w:r>
                </w:p>
              </w:tc>
              <w:tc>
                <w:tcPr>
                  <w:tcW w:w="409" w:type="pct"/>
                  <w:tcBorders>
                    <w:tl2br w:val="nil"/>
                    <w:tr2bl w:val="nil"/>
                  </w:tcBorders>
                  <w:noWrap w:val="0"/>
                  <w:vAlign w:val="center"/>
                </w:tcPr>
                <w:p w14:paraId="7A3B5755">
                  <w:pPr>
                    <w:keepLines w:val="0"/>
                    <w:pageBreakBefore w:val="0"/>
                    <w:widowControl w:val="0"/>
                    <w:kinsoku/>
                    <w:wordWrap/>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val="0"/>
                      <w:color w:val="auto"/>
                      <w:w w:val="90"/>
                      <w:kern w:val="0"/>
                      <w:sz w:val="21"/>
                      <w:szCs w:val="21"/>
                      <w:highlight w:val="none"/>
                      <w:lang w:val="en-US" w:eastAsia="zh-CN" w:bidi="ar-SA"/>
                    </w:rPr>
                  </w:pPr>
                  <w:r>
                    <w:rPr>
                      <w:rFonts w:hint="default" w:ascii="Times New Roman" w:hAnsi="Times New Roman" w:eastAsia="宋体" w:cs="Times New Roman"/>
                      <w:b w:val="0"/>
                      <w:bCs w:val="0"/>
                      <w:color w:val="auto"/>
                      <w:w w:val="90"/>
                      <w:kern w:val="0"/>
                      <w:sz w:val="21"/>
                      <w:szCs w:val="21"/>
                      <w:highlight w:val="none"/>
                      <w:lang w:val="en-US" w:eastAsia="zh-CN" w:bidi="ar-SA"/>
                    </w:rPr>
                    <w:t>符合</w:t>
                  </w:r>
                </w:p>
              </w:tc>
            </w:tr>
          </w:tbl>
          <w:p w14:paraId="312CD441">
            <w:pPr>
              <w:pStyle w:val="2"/>
              <w:spacing w:before="0" w:after="0" w:line="360" w:lineRule="auto"/>
              <w:ind w:firstLine="480" w:firstLineChars="200"/>
              <w:outlineLvl w:val="0"/>
              <w:rPr>
                <w:rFonts w:hint="default" w:ascii="Times New Roman" w:hAnsi="Times New Roman" w:eastAsia="宋体" w:cs="Times New Roman"/>
                <w:b w:val="0"/>
                <w:bCs w:val="0"/>
                <w:color w:val="auto"/>
                <w:kern w:val="2"/>
                <w:sz w:val="24"/>
                <w:szCs w:val="24"/>
              </w:rPr>
            </w:pPr>
            <w:bookmarkStart w:id="7" w:name="_Toc169785123"/>
            <w:bookmarkStart w:id="8" w:name="_Toc174540094"/>
            <w:bookmarkStart w:id="9" w:name="_Toc174540045"/>
            <w:r>
              <w:rPr>
                <w:rFonts w:hint="default" w:ascii="Times New Roman" w:hAnsi="Times New Roman" w:eastAsia="宋体" w:cs="Times New Roman"/>
                <w:b w:val="0"/>
                <w:bCs w:val="0"/>
                <w:color w:val="auto"/>
                <w:kern w:val="2"/>
                <w:sz w:val="24"/>
                <w:szCs w:val="24"/>
              </w:rPr>
              <w:t>根据</w:t>
            </w:r>
            <w:r>
              <w:rPr>
                <w:rFonts w:hint="default" w:ascii="Times New Roman" w:hAnsi="Times New Roman" w:eastAsia="宋体" w:cs="Times New Roman"/>
                <w:b w:val="0"/>
                <w:bCs w:val="0"/>
                <w:color w:val="auto"/>
                <w:kern w:val="2"/>
                <w:sz w:val="24"/>
                <w:szCs w:val="24"/>
                <w:lang w:eastAsia="zh-CN"/>
              </w:rPr>
              <w:t>上表，</w:t>
            </w:r>
            <w:r>
              <w:rPr>
                <w:rFonts w:hint="default" w:ascii="Times New Roman" w:hAnsi="Times New Roman" w:eastAsia="宋体" w:cs="Times New Roman"/>
                <w:b w:val="0"/>
                <w:color w:val="auto"/>
                <w:sz w:val="24"/>
              </w:rPr>
              <w:t>工程建设与《云南省生物多样性保护战略行动计划（2024</w:t>
            </w:r>
            <w:r>
              <w:rPr>
                <w:rFonts w:hint="default" w:ascii="Times New Roman" w:hAnsi="Times New Roman" w:eastAsia="宋体" w:cs="Times New Roman"/>
                <w:b w:val="0"/>
                <w:color w:val="auto"/>
                <w:sz w:val="24"/>
                <w:lang w:eastAsia="zh-CN"/>
              </w:rPr>
              <w:t>—</w:t>
            </w:r>
            <w:r>
              <w:rPr>
                <w:rFonts w:hint="default" w:ascii="Times New Roman" w:hAnsi="Times New Roman" w:eastAsia="宋体" w:cs="Times New Roman"/>
                <w:b w:val="0"/>
                <w:color w:val="auto"/>
                <w:sz w:val="24"/>
              </w:rPr>
              <w:t>2030年）》不冲突。</w:t>
            </w:r>
            <w:bookmarkEnd w:id="7"/>
            <w:bookmarkEnd w:id="8"/>
            <w:bookmarkEnd w:id="9"/>
          </w:p>
          <w:p w14:paraId="48B709FA">
            <w:pPr>
              <w:bidi w:val="0"/>
              <w:rPr>
                <w:rFonts w:hint="default" w:ascii="Times New Roman" w:hAnsi="Times New Roman" w:cs="Times New Roman"/>
                <w:b/>
                <w:bCs/>
                <w:color w:val="auto"/>
                <w:highlight w:val="none"/>
              </w:rPr>
            </w:pPr>
            <w:r>
              <w:rPr>
                <w:rFonts w:hint="eastAsia" w:cs="Times New Roman"/>
                <w:b/>
                <w:bCs/>
                <w:color w:val="auto"/>
                <w:highlight w:val="none"/>
                <w:lang w:val="en-US" w:eastAsia="zh-CN"/>
              </w:rPr>
              <w:t>5</w:t>
            </w:r>
            <w:r>
              <w:rPr>
                <w:rFonts w:hint="eastAsia" w:cs="Times New Roman"/>
                <w:b/>
                <w:bCs/>
                <w:color w:val="auto"/>
                <w:highlight w:val="none"/>
                <w:lang w:eastAsia="zh-CN"/>
              </w:rPr>
              <w:t>.</w:t>
            </w:r>
            <w:r>
              <w:rPr>
                <w:rFonts w:hint="default" w:ascii="Times New Roman" w:hAnsi="Times New Roman" w:cs="Times New Roman"/>
                <w:b/>
                <w:bCs/>
                <w:color w:val="auto"/>
                <w:highlight w:val="none"/>
              </w:rPr>
              <w:t>与《曲靖市生态环境分区管控动态更新方案（2023年）》符合性分析</w:t>
            </w:r>
          </w:p>
          <w:p w14:paraId="6F8F126B">
            <w:pPr>
              <w:pStyle w:val="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云南省生态环境分区管控公共服务查询平台”查询，项目位于云南省曲靖市宣威市热水镇，属于《曲靖市生态环境分区管控动态更新方案（2023年）》宣威市一般生态空间优先保护单元和宣威市一般管控单元。</w:t>
            </w:r>
          </w:p>
          <w:p w14:paraId="63BBDD6C">
            <w:pPr>
              <w:pStyle w:val="49"/>
              <w:bidi w:val="0"/>
              <w:rPr>
                <w:rFonts w:hint="default" w:ascii="Times New Roman" w:hAnsi="Times New Roman" w:cs="Times New Roman"/>
                <w:color w:val="auto"/>
                <w:highlight w:val="none"/>
              </w:rPr>
            </w:pPr>
          </w:p>
          <w:p w14:paraId="7BBE97E9">
            <w:pPr>
              <w:pStyle w:val="49"/>
              <w:bidi w:val="0"/>
              <w:rPr>
                <w:rFonts w:hint="default" w:ascii="Times New Roman" w:hAnsi="Times New Roman" w:cs="Times New Roman"/>
                <w:color w:val="auto"/>
                <w:highlight w:val="none"/>
              </w:rPr>
            </w:pPr>
          </w:p>
          <w:p w14:paraId="046BB342">
            <w:pPr>
              <w:pStyle w:val="49"/>
              <w:bidi w:val="0"/>
              <w:rPr>
                <w:rFonts w:hint="default" w:ascii="Times New Roman" w:hAnsi="Times New Roman" w:cs="Times New Roman"/>
                <w:color w:val="auto"/>
                <w:highlight w:val="none"/>
              </w:rPr>
            </w:pPr>
          </w:p>
          <w:p w14:paraId="06D42B29">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eastAsia" w:ascii="Times New Roman" w:hAnsi="Times New Roman" w:cs="Times New Roman"/>
                <w:color w:val="auto"/>
                <w:highlight w:val="none"/>
                <w:lang w:val="en-US" w:eastAsia="zh-CN"/>
              </w:rPr>
              <w:t xml:space="preserve">2 </w:t>
            </w:r>
            <w:r>
              <w:rPr>
                <w:rFonts w:hint="default" w:ascii="Times New Roman" w:hAnsi="Times New Roman" w:cs="Times New Roman"/>
                <w:color w:val="auto"/>
                <w:highlight w:val="none"/>
              </w:rPr>
              <w:t>项目与曲靖市生态环境分区管控要求的符合性分析</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091"/>
              <w:gridCol w:w="2261"/>
              <w:gridCol w:w="2757"/>
              <w:gridCol w:w="979"/>
            </w:tblGrid>
            <w:tr w14:paraId="76AA8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Align w:val="center"/>
                </w:tcPr>
                <w:p w14:paraId="63DA60F3">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单元分类</w:t>
                  </w:r>
                </w:p>
              </w:tc>
              <w:tc>
                <w:tcPr>
                  <w:tcW w:w="1091" w:type="dxa"/>
                  <w:vAlign w:val="center"/>
                </w:tcPr>
                <w:p w14:paraId="25BF6CCD">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单元名称</w:t>
                  </w:r>
                </w:p>
              </w:tc>
              <w:tc>
                <w:tcPr>
                  <w:tcW w:w="2261" w:type="dxa"/>
                  <w:vAlign w:val="center"/>
                </w:tcPr>
                <w:p w14:paraId="5B902311">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管控要求</w:t>
                  </w:r>
                </w:p>
              </w:tc>
              <w:tc>
                <w:tcPr>
                  <w:tcW w:w="2757" w:type="dxa"/>
                  <w:vAlign w:val="center"/>
                </w:tcPr>
                <w:p w14:paraId="388C822D">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项目情况</w:t>
                  </w:r>
                </w:p>
              </w:tc>
              <w:tc>
                <w:tcPr>
                  <w:tcW w:w="979" w:type="dxa"/>
                  <w:vAlign w:val="center"/>
                </w:tcPr>
                <w:p w14:paraId="468EC4D4">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符合性</w:t>
                  </w:r>
                </w:p>
              </w:tc>
            </w:tr>
            <w:tr w14:paraId="0368A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1017" w:type="dxa"/>
                  <w:vMerge w:val="restart"/>
                  <w:vAlign w:val="top"/>
                </w:tcPr>
                <w:p w14:paraId="5D4AB9BC">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曲靖市生态环境分区</w:t>
                  </w:r>
                  <w:r>
                    <w:rPr>
                      <w:rFonts w:hint="eastAsia" w:ascii="Times New Roman" w:hAnsi="Times New Roman" w:cs="Times New Roman"/>
                      <w:color w:val="auto"/>
                      <w:w w:val="90"/>
                      <w:highlight w:val="none"/>
                      <w:lang w:val="en-US" w:eastAsia="zh-CN"/>
                    </w:rPr>
                    <w:t>管理</w:t>
                  </w:r>
                  <w:r>
                    <w:rPr>
                      <w:rFonts w:hint="default" w:ascii="Times New Roman" w:hAnsi="Times New Roman" w:cs="Times New Roman"/>
                      <w:color w:val="auto"/>
                      <w:w w:val="90"/>
                      <w:highlight w:val="none"/>
                      <w:lang w:val="en-US" w:eastAsia="zh-CN"/>
                    </w:rPr>
                    <w:t>总体要求</w:t>
                  </w:r>
                </w:p>
              </w:tc>
              <w:tc>
                <w:tcPr>
                  <w:tcW w:w="1091" w:type="dxa"/>
                  <w:vMerge w:val="restart"/>
                  <w:vAlign w:val="top"/>
                </w:tcPr>
                <w:p w14:paraId="0CCD691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空间布局约束</w:t>
                  </w:r>
                </w:p>
              </w:tc>
              <w:tc>
                <w:tcPr>
                  <w:tcW w:w="2261" w:type="dxa"/>
                  <w:vAlign w:val="top"/>
                </w:tcPr>
                <w:p w14:paraId="162412CB">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1.严格执行《长江经济带发展负面清单指南（试行，2022年版）》《云南省长江经济带发展负面清单指南实施细则（试行）》等产业准入有关要求。</w:t>
                  </w:r>
                </w:p>
              </w:tc>
              <w:tc>
                <w:tcPr>
                  <w:tcW w:w="2757" w:type="dxa"/>
                  <w:shd w:val="clear" w:color="auto" w:fill="auto"/>
                  <w:vAlign w:val="top"/>
                </w:tcPr>
                <w:p w14:paraId="39D0F05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经对照云南省推动长江经济带发展领导小组办公室关于印发《云南省长江经济带发展负面清单指南实施细则（试行，2022年版）》（云发改基础〔2022〕894号）的通知，项目不属于《云南省长江经济带发展负面清单指南实施细则（试行，2022年版）》中各类功能区、各类保护区、工业布局及其</w:t>
                  </w:r>
                  <w:r>
                    <w:rPr>
                      <w:rFonts w:hint="eastAsia" w:ascii="Times New Roman" w:hAnsi="Times New Roman" w:cs="Times New Roman"/>
                      <w:color w:val="auto"/>
                      <w:w w:val="90"/>
                      <w:highlight w:val="none"/>
                      <w:lang w:eastAsia="zh-CN"/>
                    </w:rPr>
                    <w:t>他</w:t>
                  </w:r>
                  <w:r>
                    <w:rPr>
                      <w:rFonts w:hint="default" w:ascii="Times New Roman" w:hAnsi="Times New Roman" w:cs="Times New Roman"/>
                      <w:color w:val="auto"/>
                      <w:w w:val="90"/>
                      <w:highlight w:val="none"/>
                    </w:rPr>
                    <w:t>禁止建设的项目。</w:t>
                  </w:r>
                </w:p>
              </w:tc>
              <w:tc>
                <w:tcPr>
                  <w:tcW w:w="979" w:type="dxa"/>
                  <w:vAlign w:val="top"/>
                </w:tcPr>
                <w:p w14:paraId="2F281CF3">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F9E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017" w:type="dxa"/>
                  <w:vMerge w:val="continue"/>
                  <w:vAlign w:val="top"/>
                </w:tcPr>
                <w:p w14:paraId="7B4EE4A4">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7FD437E3">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170C9130">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2.严格实施化解过剩产能和淘汰落后产能，制定产能过剩行业淘汰计划，确保国家、省下达的淘汰落后产能目标任务全面完成。</w:t>
                  </w:r>
                </w:p>
              </w:tc>
              <w:tc>
                <w:tcPr>
                  <w:tcW w:w="2757" w:type="dxa"/>
                  <w:shd w:val="clear" w:color="auto" w:fill="auto"/>
                  <w:vAlign w:val="top"/>
                </w:tcPr>
                <w:p w14:paraId="1F79353B">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2.本工程为风力发电项目，不属于过剩产能和落后产能。</w:t>
                  </w:r>
                </w:p>
              </w:tc>
              <w:tc>
                <w:tcPr>
                  <w:tcW w:w="979" w:type="dxa"/>
                  <w:vAlign w:val="top"/>
                </w:tcPr>
                <w:p w14:paraId="000920C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4F14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017" w:type="dxa"/>
                  <w:vMerge w:val="continue"/>
                  <w:vAlign w:val="top"/>
                </w:tcPr>
                <w:p w14:paraId="7A7B78AF">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48DB0F1C">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21E2E1D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3.将资源承载能力、生态环境</w:t>
                  </w:r>
                  <w:r>
                    <w:rPr>
                      <w:rFonts w:hint="eastAsia" w:ascii="Times New Roman" w:hAnsi="Times New Roman" w:cs="Times New Roman"/>
                      <w:color w:val="auto"/>
                      <w:w w:val="90"/>
                      <w:highlight w:val="none"/>
                      <w:lang w:eastAsia="zh-CN"/>
                    </w:rPr>
                    <w:t>质</w:t>
                  </w:r>
                  <w:r>
                    <w:rPr>
                      <w:rFonts w:hint="default" w:ascii="Times New Roman" w:hAnsi="Times New Roman" w:cs="Times New Roman"/>
                      <w:color w:val="auto"/>
                      <w:w w:val="90"/>
                      <w:highlight w:val="none"/>
                    </w:rPr>
                    <w:t>量作为承接产业转移的基础和前提，合理确定承接产业转移重点，禁止引进环境污染大、资源消耗高、技术落后的生产能力。</w:t>
                  </w:r>
                </w:p>
              </w:tc>
              <w:tc>
                <w:tcPr>
                  <w:tcW w:w="2757" w:type="dxa"/>
                  <w:shd w:val="clear" w:color="auto" w:fill="auto"/>
                  <w:vAlign w:val="top"/>
                </w:tcPr>
                <w:p w14:paraId="6E0C429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3.本工程为风力发电项目，不属于环境污染大、资源消耗高、技术落后的生产能力。</w:t>
                  </w:r>
                </w:p>
              </w:tc>
              <w:tc>
                <w:tcPr>
                  <w:tcW w:w="979" w:type="dxa"/>
                  <w:vAlign w:val="top"/>
                </w:tcPr>
                <w:p w14:paraId="2168AD0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8BC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1017" w:type="dxa"/>
                  <w:vMerge w:val="continue"/>
                  <w:vAlign w:val="top"/>
                </w:tcPr>
                <w:p w14:paraId="2C115D46">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748D20C8">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5C4ABC1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4.支持现有各类产业园区有供热需求的实施热电联产或者集中供热改造，具备条件的工业园区实现集中供热。</w:t>
                  </w:r>
                </w:p>
              </w:tc>
              <w:tc>
                <w:tcPr>
                  <w:tcW w:w="2757" w:type="dxa"/>
                  <w:shd w:val="clear" w:color="auto" w:fill="auto"/>
                  <w:vAlign w:val="top"/>
                </w:tcPr>
                <w:p w14:paraId="4ACF2032">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4.本工程为风力发电项目，</w:t>
                  </w:r>
                  <w:r>
                    <w:rPr>
                      <w:rFonts w:hint="eastAsia" w:ascii="Times New Roman" w:hAnsi="Times New Roman" w:cs="Times New Roman"/>
                      <w:color w:val="auto"/>
                      <w:w w:val="90"/>
                      <w:highlight w:val="none"/>
                      <w:lang w:eastAsia="zh-CN"/>
                    </w:rPr>
                    <w:t>不在各类产业园区</w:t>
                  </w:r>
                  <w:r>
                    <w:rPr>
                      <w:rFonts w:hint="default" w:ascii="Times New Roman" w:hAnsi="Times New Roman" w:cs="Times New Roman"/>
                      <w:color w:val="auto"/>
                      <w:w w:val="90"/>
                      <w:highlight w:val="none"/>
                    </w:rPr>
                    <w:t>。</w:t>
                  </w:r>
                </w:p>
              </w:tc>
              <w:tc>
                <w:tcPr>
                  <w:tcW w:w="979" w:type="dxa"/>
                  <w:vAlign w:val="top"/>
                </w:tcPr>
                <w:p w14:paraId="715E339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5EE5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017" w:type="dxa"/>
                  <w:vMerge w:val="continue"/>
                  <w:vAlign w:val="top"/>
                </w:tcPr>
                <w:p w14:paraId="4790683C">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181DD5C4">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6BAE7A7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5.严格控制在生态脆弱或环境敏感地区建设《环境保护综合名录》中“高污染、高环境风险”行业项目。</w:t>
                  </w:r>
                </w:p>
              </w:tc>
              <w:tc>
                <w:tcPr>
                  <w:tcW w:w="2757" w:type="dxa"/>
                  <w:shd w:val="clear" w:color="auto" w:fill="auto"/>
                  <w:vAlign w:val="top"/>
                </w:tcPr>
                <w:p w14:paraId="18AB6B4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5.项目地不涉及生态脆弱地区，且项目不是《环境保护综合名录》中“高污染、高环境风险”行业项目。</w:t>
                  </w:r>
                </w:p>
              </w:tc>
              <w:tc>
                <w:tcPr>
                  <w:tcW w:w="979" w:type="dxa"/>
                  <w:vAlign w:val="top"/>
                </w:tcPr>
                <w:p w14:paraId="32079BF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3D02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017" w:type="dxa"/>
                  <w:vMerge w:val="continue"/>
                  <w:vAlign w:val="top"/>
                </w:tcPr>
                <w:p w14:paraId="25EA08E9">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287659A1">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623BE126">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6.禁止在合规园区外新建、扩建钢铁、石化、化工、焦化、建材、有色行业中的高污染项目。</w:t>
                  </w:r>
                </w:p>
              </w:tc>
              <w:tc>
                <w:tcPr>
                  <w:tcW w:w="2757" w:type="dxa"/>
                  <w:shd w:val="clear" w:color="auto" w:fill="auto"/>
                  <w:vAlign w:val="top"/>
                </w:tcPr>
                <w:p w14:paraId="6BFCFB1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6.本工程为风力发电项目，不属于高污染项目。</w:t>
                  </w:r>
                </w:p>
              </w:tc>
              <w:tc>
                <w:tcPr>
                  <w:tcW w:w="979" w:type="dxa"/>
                  <w:vAlign w:val="top"/>
                </w:tcPr>
                <w:p w14:paraId="5BF963E3">
                  <w:pPr>
                    <w:pStyle w:val="28"/>
                    <w:bidi w:val="0"/>
                    <w:jc w:val="both"/>
                    <w:rPr>
                      <w:rFonts w:hint="default" w:ascii="Times New Roman" w:hAnsi="Times New Roman" w:cs="Times New Roman"/>
                      <w:color w:val="auto"/>
                      <w:w w:val="90"/>
                      <w:highlight w:val="none"/>
                      <w:lang w:val="en-US" w:eastAsia="zh-CN"/>
                    </w:rPr>
                  </w:pPr>
                </w:p>
              </w:tc>
            </w:tr>
            <w:tr w14:paraId="038A8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017" w:type="dxa"/>
                  <w:vMerge w:val="continue"/>
                  <w:vAlign w:val="top"/>
                </w:tcPr>
                <w:p w14:paraId="3CB1C5F5">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6462BFAA">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2A3639A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7.集中式饮用水水源地严格执行《中华人民共和国水污染防治法》《地下水管理条例》《饮用水水源保护区污染防治管理规定》《曲靖市集中式饮用水水源地保护条例》《云南省曲靖独木水库保护条例》</w:t>
                  </w:r>
                  <w:r>
                    <w:rPr>
                      <w:rFonts w:hint="eastAsia" w:ascii="Times New Roman" w:hAnsi="Times New Roman" w:cs="Times New Roman"/>
                      <w:color w:val="auto"/>
                      <w:w w:val="90"/>
                      <w:highlight w:val="none"/>
                      <w:lang w:eastAsia="zh-CN"/>
                    </w:rPr>
                    <w:t>，在</w:t>
                  </w:r>
                  <w:r>
                    <w:rPr>
                      <w:rFonts w:hint="default" w:ascii="Times New Roman" w:hAnsi="Times New Roman" w:cs="Times New Roman"/>
                      <w:color w:val="auto"/>
                      <w:w w:val="90"/>
                      <w:highlight w:val="none"/>
                    </w:rPr>
                    <w:t>水源地内城镇开发边界范围已开发区域强化环境基础设施建设与运行维护。</w:t>
                  </w:r>
                </w:p>
              </w:tc>
              <w:tc>
                <w:tcPr>
                  <w:tcW w:w="2757" w:type="dxa"/>
                  <w:shd w:val="clear" w:color="auto" w:fill="auto"/>
                  <w:vAlign w:val="top"/>
                </w:tcPr>
                <w:p w14:paraId="1AE38F9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7.根据曲靖市生态环境</w:t>
                  </w:r>
                  <w:r>
                    <w:rPr>
                      <w:rFonts w:hint="default" w:ascii="Times New Roman" w:hAnsi="Times New Roman" w:cs="Times New Roman"/>
                      <w:color w:val="auto"/>
                      <w:w w:val="90"/>
                      <w:highlight w:val="none"/>
                      <w:lang w:eastAsia="zh-CN"/>
                    </w:rPr>
                    <w:t>局宣威</w:t>
                  </w:r>
                  <w:r>
                    <w:rPr>
                      <w:rFonts w:hint="default" w:ascii="Times New Roman" w:hAnsi="Times New Roman" w:cs="Times New Roman"/>
                      <w:color w:val="auto"/>
                      <w:w w:val="90"/>
                      <w:highlight w:val="none"/>
                    </w:rPr>
                    <w:t>分局的意见，项目不涉及占用已划定的集中式</w:t>
                  </w:r>
                  <w:r>
                    <w:rPr>
                      <w:rFonts w:hint="eastAsia" w:ascii="Times New Roman" w:hAnsi="Times New Roman" w:cs="Times New Roman"/>
                      <w:color w:val="auto"/>
                      <w:w w:val="90"/>
                      <w:highlight w:val="none"/>
                      <w:lang w:eastAsia="zh-CN"/>
                    </w:rPr>
                    <w:t>饮用</w:t>
                  </w:r>
                  <w:r>
                    <w:rPr>
                      <w:rFonts w:hint="default" w:ascii="Times New Roman" w:hAnsi="Times New Roman" w:cs="Times New Roman"/>
                      <w:color w:val="auto"/>
                      <w:w w:val="90"/>
                      <w:highlight w:val="none"/>
                    </w:rPr>
                    <w:t>水源地。</w:t>
                  </w:r>
                </w:p>
              </w:tc>
              <w:tc>
                <w:tcPr>
                  <w:tcW w:w="979" w:type="dxa"/>
                  <w:vAlign w:val="top"/>
                </w:tcPr>
                <w:p w14:paraId="565C667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7641D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017" w:type="dxa"/>
                  <w:vMerge w:val="continue"/>
                  <w:vAlign w:val="top"/>
                </w:tcPr>
                <w:p w14:paraId="273BDA24">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6EE34863">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5C3A818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8.各县（市、区）产业园区重点管控单元、曲靖经济开发区重点管控单元、曲靖高新技术产业开发区重点管控单元、宣威市经济技术开发区重点管控单元空间布局约束、污染物排放管控、环境风险防控、资源利用效率四个维度严格执行现行有效的园区规划、规划环评及其审查意见。</w:t>
                  </w:r>
                </w:p>
              </w:tc>
              <w:tc>
                <w:tcPr>
                  <w:tcW w:w="2757" w:type="dxa"/>
                  <w:shd w:val="clear" w:color="auto" w:fill="auto"/>
                  <w:vAlign w:val="top"/>
                </w:tcPr>
                <w:p w14:paraId="2210793D">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8.根据</w:t>
                  </w:r>
                  <w:r>
                    <w:rPr>
                      <w:rFonts w:hint="default" w:ascii="Times New Roman" w:hAnsi="Times New Roman" w:cs="Times New Roman"/>
                      <w:color w:val="auto"/>
                      <w:w w:val="90"/>
                      <w:highlight w:val="none"/>
                      <w:lang w:eastAsia="zh-CN"/>
                    </w:rPr>
                    <w:t>云南省生态环境管控分区单元</w:t>
                  </w:r>
                  <w:r>
                    <w:rPr>
                      <w:rFonts w:hint="default" w:ascii="Times New Roman" w:hAnsi="Times New Roman" w:cs="Times New Roman"/>
                      <w:color w:val="auto"/>
                      <w:w w:val="90"/>
                      <w:highlight w:val="none"/>
                    </w:rPr>
                    <w:t>查询结果，项目选址涉及</w:t>
                  </w:r>
                  <w:r>
                    <w:rPr>
                      <w:rFonts w:hint="default" w:ascii="Times New Roman" w:hAnsi="Times New Roman" w:cs="Times New Roman"/>
                      <w:color w:val="auto"/>
                      <w:w w:val="90"/>
                      <w:highlight w:val="none"/>
                      <w:lang w:eastAsia="zh-CN"/>
                    </w:rPr>
                    <w:t>宣威市</w:t>
                  </w:r>
                  <w:r>
                    <w:rPr>
                      <w:rFonts w:hint="default" w:ascii="Times New Roman" w:hAnsi="Times New Roman" w:cs="Times New Roman"/>
                      <w:color w:val="auto"/>
                      <w:w w:val="90"/>
                      <w:highlight w:val="none"/>
                    </w:rPr>
                    <w:t>一般管控单元、一般生态空间优先保护单元，不涉及各产业园区、经济开发区重点管控单元。</w:t>
                  </w:r>
                </w:p>
              </w:tc>
              <w:tc>
                <w:tcPr>
                  <w:tcW w:w="979" w:type="dxa"/>
                  <w:vAlign w:val="top"/>
                </w:tcPr>
                <w:p w14:paraId="4D444F4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504C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3" w:hRule="atLeast"/>
              </w:trPr>
              <w:tc>
                <w:tcPr>
                  <w:tcW w:w="1017" w:type="dxa"/>
                  <w:vMerge w:val="continue"/>
                  <w:vAlign w:val="top"/>
                </w:tcPr>
                <w:p w14:paraId="7842E629">
                  <w:pPr>
                    <w:pStyle w:val="28"/>
                    <w:bidi w:val="0"/>
                    <w:jc w:val="both"/>
                    <w:rPr>
                      <w:rFonts w:hint="default" w:ascii="Times New Roman" w:hAnsi="Times New Roman" w:cs="Times New Roman"/>
                      <w:color w:val="auto"/>
                      <w:w w:val="90"/>
                      <w:highlight w:val="none"/>
                      <w:lang w:val="en-US" w:eastAsia="zh-CN"/>
                    </w:rPr>
                  </w:pPr>
                </w:p>
              </w:tc>
              <w:tc>
                <w:tcPr>
                  <w:tcW w:w="1091" w:type="dxa"/>
                  <w:vMerge w:val="restart"/>
                  <w:vAlign w:val="top"/>
                </w:tcPr>
                <w:p w14:paraId="5597380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污染物排放管控</w:t>
                  </w:r>
                </w:p>
              </w:tc>
              <w:tc>
                <w:tcPr>
                  <w:tcW w:w="2261" w:type="dxa"/>
                  <w:vAlign w:val="top"/>
                </w:tcPr>
                <w:p w14:paraId="58FA4E5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1.推进以能源、化工、冶金、建材、造纸、农副食品加工、工业涂装和包装印刷等行业为重点的清洁生产审核工作，具体行业包括但不限于煤矿、火力发电，甲醇、焦化、氮肥、磷肥、氯碱、电石、制药、农药、黄磷、铬盐生产，钢铁、铁合金铅锌铝冶炼及再生，水泥、石灰、建筑陶瓷、平板玻璃、沥青防水材料，纸浆造纸，酿造、味精、柠檬酸、酶制剂、酵母，新能源电池</w:t>
                  </w:r>
                  <w:r>
                    <w:rPr>
                      <w:rFonts w:hint="eastAsia" w:ascii="Times New Roman" w:hAnsi="Times New Roman" w:cs="Times New Roman"/>
                      <w:color w:val="auto"/>
                      <w:w w:val="90"/>
                      <w:highlight w:val="none"/>
                      <w:lang w:val="en-US" w:eastAsia="zh-CN"/>
                    </w:rPr>
                    <w:t>（</w:t>
                  </w:r>
                  <w:r>
                    <w:rPr>
                      <w:rFonts w:hint="default" w:ascii="Times New Roman" w:hAnsi="Times New Roman" w:cs="Times New Roman"/>
                      <w:color w:val="auto"/>
                      <w:w w:val="90"/>
                      <w:highlight w:val="none"/>
                      <w:lang w:val="en-US" w:eastAsia="zh-CN"/>
                    </w:rPr>
                    <w:t>正负极材料），多晶硅、单晶硅、有机硅，工业涂装和包装印刷等行业。</w:t>
                  </w:r>
                </w:p>
              </w:tc>
              <w:tc>
                <w:tcPr>
                  <w:tcW w:w="2757" w:type="dxa"/>
                  <w:shd w:val="clear" w:color="auto" w:fill="auto"/>
                  <w:vAlign w:val="top"/>
                </w:tcPr>
                <w:p w14:paraId="6F4A0233">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1.本项目为风力发电项目，不涉及能源、化工、冶金、建材、造纸、农副食品加工、工业涂装和包装印刷等行业。</w:t>
                  </w:r>
                </w:p>
              </w:tc>
              <w:tc>
                <w:tcPr>
                  <w:tcW w:w="979" w:type="dxa"/>
                  <w:vAlign w:val="top"/>
                </w:tcPr>
                <w:p w14:paraId="6DEDC6BC">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43DA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1017" w:type="dxa"/>
                  <w:vMerge w:val="continue"/>
                  <w:vAlign w:val="top"/>
                </w:tcPr>
                <w:p w14:paraId="3A5A3E74">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1C3F24D9">
                  <w:pPr>
                    <w:pStyle w:val="28"/>
                    <w:bidi w:val="0"/>
                    <w:jc w:val="both"/>
                    <w:rPr>
                      <w:rFonts w:hint="default" w:ascii="Times New Roman" w:hAnsi="Times New Roman" w:cs="Times New Roman"/>
                      <w:color w:val="auto"/>
                      <w:w w:val="90"/>
                      <w:highlight w:val="none"/>
                    </w:rPr>
                  </w:pPr>
                </w:p>
              </w:tc>
              <w:tc>
                <w:tcPr>
                  <w:tcW w:w="2261" w:type="dxa"/>
                  <w:vAlign w:val="top"/>
                </w:tcPr>
                <w:p w14:paraId="0D5D6A6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2.落实云南省碳达峰碳中和相关要求，处理好发展和减排、整体和局部、长远目标和短期目标、政府和市场的关系，加快推动减污降碳协同创新试点，坚定不移走生态优先、绿色低碳的高质量发展道路。</w:t>
                  </w:r>
                </w:p>
              </w:tc>
              <w:tc>
                <w:tcPr>
                  <w:tcW w:w="2757" w:type="dxa"/>
                  <w:shd w:val="clear" w:color="auto" w:fill="auto"/>
                  <w:vAlign w:val="top"/>
                </w:tcPr>
                <w:p w14:paraId="02F9DB7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2.本项目为风力发电项目，项目的实施有助于减少二氧化碳排放，推动经济发展，顺应生态优先、绿色低碳的高质量发展道路。</w:t>
                  </w:r>
                </w:p>
              </w:tc>
              <w:tc>
                <w:tcPr>
                  <w:tcW w:w="979" w:type="dxa"/>
                  <w:vAlign w:val="top"/>
                </w:tcPr>
                <w:p w14:paraId="7F724C13">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088D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017" w:type="dxa"/>
                  <w:vMerge w:val="continue"/>
                  <w:vAlign w:val="top"/>
                </w:tcPr>
                <w:p w14:paraId="6331D4A8">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487F5CE1">
                  <w:pPr>
                    <w:pStyle w:val="28"/>
                    <w:bidi w:val="0"/>
                    <w:jc w:val="both"/>
                    <w:rPr>
                      <w:rFonts w:hint="default" w:ascii="Times New Roman" w:hAnsi="Times New Roman" w:cs="Times New Roman"/>
                      <w:color w:val="auto"/>
                      <w:w w:val="90"/>
                      <w:highlight w:val="none"/>
                    </w:rPr>
                  </w:pPr>
                </w:p>
              </w:tc>
              <w:tc>
                <w:tcPr>
                  <w:tcW w:w="2261" w:type="dxa"/>
                  <w:vAlign w:val="top"/>
                </w:tcPr>
                <w:p w14:paraId="225191F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3.加大重点流域水污染防治，确保水质如期达标。南盘江龚家坝、北盘江旧营桥等断面汇水区，新建、改建、扩建重点行业建设项目实行主要污染物排放减量置换。到2025年，牛栏江、南盘江、北盘江流域内所有城镇区域内实现生活污水处理设施全覆盖、生活污水全处理。</w:t>
                  </w:r>
                </w:p>
              </w:tc>
              <w:tc>
                <w:tcPr>
                  <w:tcW w:w="2757" w:type="dxa"/>
                  <w:shd w:val="clear" w:color="auto" w:fill="auto"/>
                  <w:vAlign w:val="top"/>
                </w:tcPr>
                <w:p w14:paraId="09FFC5C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3.本工程为风力发电项目，项目运营期</w:t>
                  </w:r>
                  <w:r>
                    <w:rPr>
                      <w:rFonts w:hint="default" w:ascii="Times New Roman" w:hAnsi="Times New Roman" w:cs="Times New Roman"/>
                      <w:color w:val="auto"/>
                      <w:w w:val="90"/>
                      <w:highlight w:val="none"/>
                      <w:lang w:eastAsia="zh-CN"/>
                    </w:rPr>
                    <w:t>厂区内不设置住宿，运营期依托热水光伏电站管理人员，项目区不产生</w:t>
                  </w:r>
                  <w:r>
                    <w:rPr>
                      <w:rFonts w:hint="default" w:ascii="Times New Roman" w:hAnsi="Times New Roman" w:cs="Times New Roman"/>
                      <w:color w:val="auto"/>
                      <w:w w:val="90"/>
                      <w:highlight w:val="none"/>
                    </w:rPr>
                    <w:t>废水；运营期</w:t>
                  </w:r>
                  <w:r>
                    <w:rPr>
                      <w:rFonts w:hint="default" w:ascii="Times New Roman" w:hAnsi="Times New Roman" w:cs="Times New Roman"/>
                      <w:color w:val="auto"/>
                      <w:w w:val="90"/>
                      <w:highlight w:val="none"/>
                      <w:lang w:eastAsia="zh-CN"/>
                    </w:rPr>
                    <w:t>不</w:t>
                  </w:r>
                  <w:r>
                    <w:rPr>
                      <w:rFonts w:hint="default" w:ascii="Times New Roman" w:hAnsi="Times New Roman" w:cs="Times New Roman"/>
                      <w:color w:val="auto"/>
                      <w:w w:val="90"/>
                      <w:highlight w:val="none"/>
                    </w:rPr>
                    <w:t>产生生活垃圾等固体废物。</w:t>
                  </w:r>
                </w:p>
              </w:tc>
              <w:tc>
                <w:tcPr>
                  <w:tcW w:w="979" w:type="dxa"/>
                  <w:vAlign w:val="top"/>
                </w:tcPr>
                <w:p w14:paraId="3B78388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2F47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017" w:type="dxa"/>
                  <w:vMerge w:val="continue"/>
                  <w:vAlign w:val="top"/>
                </w:tcPr>
                <w:p w14:paraId="1F99C8CE">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3EB6F285">
                  <w:pPr>
                    <w:pStyle w:val="28"/>
                    <w:bidi w:val="0"/>
                    <w:jc w:val="both"/>
                    <w:rPr>
                      <w:rFonts w:hint="default" w:ascii="Times New Roman" w:hAnsi="Times New Roman" w:cs="Times New Roman"/>
                      <w:color w:val="auto"/>
                      <w:w w:val="90"/>
                      <w:highlight w:val="none"/>
                    </w:rPr>
                  </w:pPr>
                </w:p>
              </w:tc>
              <w:tc>
                <w:tcPr>
                  <w:tcW w:w="2261" w:type="dxa"/>
                  <w:vAlign w:val="top"/>
                </w:tcPr>
                <w:p w14:paraId="6ABAAD8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牛栏江等流域内，严格按照《云南省牛栏江保护条例》《牛栏江流域（云南部分）水环境保护规划报告》及其中期评估报告有关要求，禁止在牛栏江水源保护区核心区新建、改建、扩建排污口。牛栏江流域上游保护区内已设置排污口的生产企业，排放水污染物应当符合国家或者地方规定的水污染物排放标准和重点水污染物排放总量控制指标。</w:t>
                  </w:r>
                </w:p>
              </w:tc>
              <w:tc>
                <w:tcPr>
                  <w:tcW w:w="2757" w:type="dxa"/>
                  <w:shd w:val="clear" w:color="auto" w:fill="auto"/>
                  <w:vAlign w:val="top"/>
                </w:tcPr>
                <w:p w14:paraId="7FB99FC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4.本项目选址不在牛栏江流域内。</w:t>
                  </w:r>
                </w:p>
              </w:tc>
              <w:tc>
                <w:tcPr>
                  <w:tcW w:w="979" w:type="dxa"/>
                  <w:vAlign w:val="top"/>
                </w:tcPr>
                <w:p w14:paraId="6CB2F84D">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7224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017" w:type="dxa"/>
                  <w:vMerge w:val="continue"/>
                  <w:vAlign w:val="top"/>
                </w:tcPr>
                <w:p w14:paraId="3C2BA237">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0FE48F61">
                  <w:pPr>
                    <w:pStyle w:val="28"/>
                    <w:bidi w:val="0"/>
                    <w:jc w:val="both"/>
                    <w:rPr>
                      <w:rFonts w:hint="default" w:ascii="Times New Roman" w:hAnsi="Times New Roman" w:cs="Times New Roman"/>
                      <w:color w:val="auto"/>
                      <w:w w:val="90"/>
                      <w:highlight w:val="none"/>
                    </w:rPr>
                  </w:pPr>
                </w:p>
              </w:tc>
              <w:tc>
                <w:tcPr>
                  <w:tcW w:w="2261" w:type="dxa"/>
                  <w:vAlign w:val="top"/>
                </w:tcPr>
                <w:p w14:paraId="7AEE2D0D">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5.严格保护集中式饮用水水源地，整治饮用水源保护区内的污染源，确保饮水安全。</w:t>
                  </w:r>
                </w:p>
              </w:tc>
              <w:tc>
                <w:tcPr>
                  <w:tcW w:w="2757" w:type="dxa"/>
                  <w:shd w:val="clear" w:color="auto" w:fill="auto"/>
                  <w:vAlign w:val="top"/>
                </w:tcPr>
                <w:p w14:paraId="567932C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5.项目选址不涉及占用集中式</w:t>
                  </w:r>
                  <w:r>
                    <w:rPr>
                      <w:rFonts w:hint="eastAsia" w:ascii="Times New Roman" w:hAnsi="Times New Roman" w:cs="Times New Roman"/>
                      <w:color w:val="auto"/>
                      <w:w w:val="90"/>
                      <w:highlight w:val="none"/>
                      <w:lang w:eastAsia="zh-CN"/>
                    </w:rPr>
                    <w:t>饮用</w:t>
                  </w:r>
                  <w:r>
                    <w:rPr>
                      <w:rFonts w:hint="default" w:ascii="Times New Roman" w:hAnsi="Times New Roman" w:cs="Times New Roman"/>
                      <w:color w:val="auto"/>
                      <w:w w:val="90"/>
                      <w:highlight w:val="none"/>
                    </w:rPr>
                    <w:t>水源地。</w:t>
                  </w:r>
                </w:p>
              </w:tc>
              <w:tc>
                <w:tcPr>
                  <w:tcW w:w="979" w:type="dxa"/>
                  <w:vAlign w:val="top"/>
                </w:tcPr>
                <w:p w14:paraId="319933B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16E4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1017" w:type="dxa"/>
                  <w:vMerge w:val="continue"/>
                  <w:vAlign w:val="top"/>
                </w:tcPr>
                <w:p w14:paraId="7361E4DA">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5E845CAC">
                  <w:pPr>
                    <w:pStyle w:val="28"/>
                    <w:bidi w:val="0"/>
                    <w:jc w:val="both"/>
                    <w:rPr>
                      <w:rFonts w:hint="default" w:ascii="Times New Roman" w:hAnsi="Times New Roman" w:cs="Times New Roman"/>
                      <w:color w:val="auto"/>
                      <w:w w:val="90"/>
                      <w:highlight w:val="none"/>
                    </w:rPr>
                  </w:pPr>
                </w:p>
              </w:tc>
              <w:tc>
                <w:tcPr>
                  <w:tcW w:w="2261" w:type="dxa"/>
                  <w:vAlign w:val="top"/>
                </w:tcPr>
                <w:p w14:paraId="4A6200BC">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全面开展城市（县城）排水管网排查整治，消除城市建成区管网空白区、污水直排口，解决雨污混流、管网破损漏损、错接混接等问题。加大城市生活污水提标改造及扩容工作力度，麒麟区、沾益区、曲靖经开区新、改、扩建城市生活污水集中处理设施及工业园区污水集中处理设施污染物排放标准严格执行《地表水环境质量标准》</w:t>
                  </w:r>
                  <w:r>
                    <w:rPr>
                      <w:rFonts w:hint="eastAsia" w:ascii="Times New Roman" w:hAnsi="Times New Roman" w:cs="Times New Roman"/>
                      <w:color w:val="auto"/>
                      <w:w w:val="90"/>
                      <w:highlight w:val="none"/>
                      <w:lang w:eastAsia="zh-CN"/>
                    </w:rPr>
                    <w:t>Ⅳ类</w:t>
                  </w:r>
                  <w:r>
                    <w:rPr>
                      <w:rFonts w:hint="default" w:ascii="Times New Roman" w:hAnsi="Times New Roman" w:cs="Times New Roman"/>
                      <w:color w:val="auto"/>
                      <w:w w:val="90"/>
                      <w:highlight w:val="none"/>
                    </w:rPr>
                    <w:t>标准（其中总氮&lt;10mg/L，</w:t>
                  </w:r>
                  <w:r>
                    <w:rPr>
                      <w:rFonts w:hint="eastAsia" w:ascii="Times New Roman" w:hAnsi="Times New Roman" w:cs="Times New Roman"/>
                      <w:color w:val="auto"/>
                      <w:w w:val="90"/>
                      <w:highlight w:val="none"/>
                      <w:lang w:eastAsia="zh-CN"/>
                    </w:rPr>
                    <w:t>粪大肠菌群</w:t>
                  </w:r>
                  <w:r>
                    <w:rPr>
                      <w:rFonts w:hint="default" w:ascii="Times New Roman" w:hAnsi="Times New Roman" w:cs="Times New Roman"/>
                      <w:color w:val="auto"/>
                      <w:w w:val="90"/>
                      <w:highlight w:val="none"/>
                    </w:rPr>
                    <w:t>&lt;1000个/L）。陆良县、宣威市根据水生态环境质量变化趋势适时推进执行《地表水环境质量标准》</w:t>
                  </w:r>
                  <w:r>
                    <w:rPr>
                      <w:rFonts w:hint="eastAsia" w:ascii="Times New Roman" w:hAnsi="Times New Roman" w:cs="Times New Roman"/>
                      <w:color w:val="auto"/>
                      <w:w w:val="90"/>
                      <w:highlight w:val="none"/>
                      <w:lang w:eastAsia="zh-CN"/>
                    </w:rPr>
                    <w:t>Ⅳ类</w:t>
                  </w:r>
                  <w:r>
                    <w:rPr>
                      <w:rFonts w:hint="default" w:ascii="Times New Roman" w:hAnsi="Times New Roman" w:cs="Times New Roman"/>
                      <w:color w:val="auto"/>
                      <w:w w:val="90"/>
                      <w:highlight w:val="none"/>
                    </w:rPr>
                    <w:t>标准</w:t>
                  </w:r>
                  <w:r>
                    <w:rPr>
                      <w:rFonts w:hint="eastAsia"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（其中总氮&lt;10mg/L，</w:t>
                  </w:r>
                  <w:r>
                    <w:rPr>
                      <w:rFonts w:hint="eastAsia" w:ascii="Times New Roman" w:hAnsi="Times New Roman" w:cs="Times New Roman"/>
                      <w:color w:val="auto"/>
                      <w:w w:val="90"/>
                      <w:highlight w:val="none"/>
                      <w:lang w:eastAsia="zh-CN"/>
                    </w:rPr>
                    <w:t>粪大肠菌群</w:t>
                  </w:r>
                  <w:r>
                    <w:rPr>
                      <w:rFonts w:hint="default" w:ascii="Times New Roman" w:hAnsi="Times New Roman" w:cs="Times New Roman"/>
                      <w:color w:val="auto"/>
                      <w:w w:val="90"/>
                      <w:highlight w:val="none"/>
                    </w:rPr>
                    <w:t>&lt;1000个/L</w:t>
                  </w:r>
                  <w:r>
                    <w:rPr>
                      <w:rFonts w:hint="eastAsia"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）。其他县（市、区）执行《城镇污水处理厂污染物排放标准》一级标准A标准。</w:t>
                  </w:r>
                </w:p>
              </w:tc>
              <w:tc>
                <w:tcPr>
                  <w:tcW w:w="2757" w:type="dxa"/>
                  <w:shd w:val="clear" w:color="auto" w:fill="auto"/>
                  <w:vAlign w:val="top"/>
                </w:tcPr>
                <w:p w14:paraId="2C84486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6.本工程为风力发电项目，项目运营期</w:t>
                  </w:r>
                  <w:r>
                    <w:rPr>
                      <w:rFonts w:hint="default" w:ascii="Times New Roman" w:hAnsi="Times New Roman" w:cs="Times New Roman"/>
                      <w:color w:val="auto"/>
                      <w:w w:val="90"/>
                      <w:highlight w:val="none"/>
                      <w:lang w:eastAsia="zh-CN"/>
                    </w:rPr>
                    <w:t>厂区内不设置住宿，运营期依托热水光伏电站管理人员</w:t>
                  </w:r>
                  <w:r>
                    <w:rPr>
                      <w:rFonts w:hint="default" w:ascii="Times New Roman" w:hAnsi="Times New Roman"/>
                      <w:color w:val="auto"/>
                      <w:w w:val="90"/>
                      <w:highlight w:val="none"/>
                      <w:lang w:val="en-US" w:eastAsia="zh-CN"/>
                    </w:rPr>
                    <w:t>。</w:t>
                  </w:r>
                </w:p>
              </w:tc>
              <w:tc>
                <w:tcPr>
                  <w:tcW w:w="979" w:type="dxa"/>
                  <w:vAlign w:val="top"/>
                </w:tcPr>
                <w:p w14:paraId="4B19DA66">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470A9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017" w:type="dxa"/>
                  <w:vMerge w:val="continue"/>
                  <w:vAlign w:val="top"/>
                </w:tcPr>
                <w:p w14:paraId="196DE74B">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6D56E5F1">
                  <w:pPr>
                    <w:pStyle w:val="28"/>
                    <w:bidi w:val="0"/>
                    <w:jc w:val="both"/>
                    <w:rPr>
                      <w:rFonts w:hint="default" w:ascii="Times New Roman" w:hAnsi="Times New Roman" w:cs="Times New Roman"/>
                      <w:color w:val="auto"/>
                      <w:w w:val="90"/>
                      <w:highlight w:val="none"/>
                    </w:rPr>
                  </w:pPr>
                </w:p>
              </w:tc>
              <w:tc>
                <w:tcPr>
                  <w:tcW w:w="2261" w:type="dxa"/>
                  <w:vAlign w:val="top"/>
                </w:tcPr>
                <w:p w14:paraId="28D0E7D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7.加快推进污泥无害化处理处置工程建设，鼓励采用资源化利用方式处理处置污泥，经处理后的污泥达到《农用污泥污染物控制标准》（GB428</w:t>
                  </w:r>
                  <w:r>
                    <w:rPr>
                      <w:rFonts w:hint="eastAsia" w:ascii="Times New Roman" w:hAnsi="Times New Roman" w:cs="Times New Roman"/>
                      <w:color w:val="auto"/>
                      <w:w w:val="90"/>
                      <w:highlight w:val="none"/>
                      <w:lang w:val="en-US" w:eastAsia="zh-CN"/>
                    </w:rPr>
                    <w:t>4</w:t>
                  </w:r>
                  <w:r>
                    <w:rPr>
                      <w:rFonts w:hint="default" w:ascii="Times New Roman" w:hAnsi="Times New Roman" w:cs="Times New Roman"/>
                      <w:color w:val="auto"/>
                      <w:w w:val="90"/>
                      <w:highlight w:val="none"/>
                    </w:rPr>
                    <w:t>—2018）要求的用于还田利用。</w:t>
                  </w:r>
                </w:p>
              </w:tc>
              <w:tc>
                <w:tcPr>
                  <w:tcW w:w="2757" w:type="dxa"/>
                  <w:shd w:val="clear" w:color="auto" w:fill="auto"/>
                  <w:vAlign w:val="top"/>
                </w:tcPr>
                <w:p w14:paraId="5B9B1893">
                  <w:pPr>
                    <w:pStyle w:val="28"/>
                    <w:bidi w:val="0"/>
                    <w:jc w:val="both"/>
                    <w:rPr>
                      <w:rFonts w:hint="default" w:ascii="Times New Roman" w:hAnsi="Times New Roman" w:eastAsia="宋体" w:cs="Times New Roman"/>
                      <w:color w:val="auto"/>
                      <w:w w:val="90"/>
                      <w:highlight w:val="none"/>
                      <w:lang w:val="en-US" w:eastAsia="zh-CN"/>
                    </w:rPr>
                  </w:pPr>
                  <w:r>
                    <w:rPr>
                      <w:rFonts w:hint="default" w:ascii="Times New Roman" w:hAnsi="Times New Roman" w:cs="Times New Roman"/>
                      <w:color w:val="auto"/>
                      <w:w w:val="90"/>
                      <w:highlight w:val="none"/>
                    </w:rPr>
                    <w:t>7.</w:t>
                  </w:r>
                  <w:r>
                    <w:rPr>
                      <w:rFonts w:hint="default" w:ascii="Times New Roman" w:hAnsi="Times New Roman" w:cs="Times New Roman"/>
                      <w:color w:val="auto"/>
                      <w:w w:val="90"/>
                      <w:highlight w:val="none"/>
                      <w:lang w:eastAsia="zh-CN"/>
                    </w:rPr>
                    <w:t>不涉及</w:t>
                  </w:r>
                </w:p>
              </w:tc>
              <w:tc>
                <w:tcPr>
                  <w:tcW w:w="979" w:type="dxa"/>
                  <w:vAlign w:val="top"/>
                </w:tcPr>
                <w:p w14:paraId="149A992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w:t>
                  </w:r>
                </w:p>
              </w:tc>
            </w:tr>
            <w:tr w14:paraId="3596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7" w:type="dxa"/>
                  <w:vMerge w:val="continue"/>
                  <w:vAlign w:val="top"/>
                </w:tcPr>
                <w:p w14:paraId="4B39208C">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14660BD5">
                  <w:pPr>
                    <w:pStyle w:val="28"/>
                    <w:bidi w:val="0"/>
                    <w:jc w:val="both"/>
                    <w:rPr>
                      <w:rFonts w:hint="default" w:ascii="Times New Roman" w:hAnsi="Times New Roman" w:cs="Times New Roman"/>
                      <w:color w:val="auto"/>
                      <w:w w:val="90"/>
                      <w:highlight w:val="none"/>
                    </w:rPr>
                  </w:pPr>
                </w:p>
              </w:tc>
              <w:tc>
                <w:tcPr>
                  <w:tcW w:w="2261" w:type="dxa"/>
                  <w:vAlign w:val="top"/>
                </w:tcPr>
                <w:p w14:paraId="54D0285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8.加快生活垃圾处理设施建设，推进实施生活垃圾焚烧发电，全面提升城镇生活垃圾分类收转运能力和厨余垃圾处理能力。</w:t>
                  </w:r>
                </w:p>
              </w:tc>
              <w:tc>
                <w:tcPr>
                  <w:tcW w:w="2757" w:type="dxa"/>
                  <w:shd w:val="clear" w:color="auto" w:fill="auto"/>
                  <w:vAlign w:val="top"/>
                </w:tcPr>
                <w:p w14:paraId="66F263B1">
                  <w:pPr>
                    <w:pStyle w:val="7"/>
                    <w:spacing w:line="240" w:lineRule="auto"/>
                    <w:ind w:firstLine="378" w:firstLineChars="200"/>
                    <w:jc w:val="left"/>
                    <w:rPr>
                      <w:rFonts w:hint="default" w:eastAsia="宋体"/>
                      <w:color w:val="auto"/>
                      <w:w w:val="90"/>
                      <w:sz w:val="21"/>
                      <w:szCs w:val="21"/>
                      <w:highlight w:val="none"/>
                      <w:lang w:val="en-US" w:eastAsia="zh-CN"/>
                    </w:rPr>
                  </w:pPr>
                  <w:r>
                    <w:rPr>
                      <w:rFonts w:hint="default" w:ascii="Times New Roman" w:hAnsi="Times New Roman" w:cs="Times New Roman"/>
                      <w:color w:val="auto"/>
                      <w:w w:val="90"/>
                      <w:sz w:val="21"/>
                      <w:szCs w:val="21"/>
                      <w:highlight w:val="none"/>
                    </w:rPr>
                    <w:t>8.</w:t>
                  </w:r>
                  <w:r>
                    <w:rPr>
                      <w:rFonts w:hint="default" w:ascii="Times New Roman" w:hAnsi="Times New Roman" w:cs="Times New Roman"/>
                      <w:color w:val="auto"/>
                      <w:w w:val="90"/>
                      <w:sz w:val="21"/>
                      <w:szCs w:val="21"/>
                      <w:highlight w:val="none"/>
                      <w:lang w:eastAsia="zh-CN"/>
                    </w:rPr>
                    <w:t>项目运营期运营期依托热水光伏电站管理人员</w:t>
                  </w:r>
                  <w:r>
                    <w:rPr>
                      <w:rFonts w:hint="default"/>
                      <w:color w:val="auto"/>
                      <w:w w:val="90"/>
                      <w:sz w:val="21"/>
                      <w:szCs w:val="21"/>
                      <w:highlight w:val="none"/>
                      <w:lang w:val="en-US" w:eastAsia="zh-CN"/>
                    </w:rPr>
                    <w:t>。</w:t>
                  </w:r>
                </w:p>
                <w:p w14:paraId="5D6115D8">
                  <w:pPr>
                    <w:pStyle w:val="28"/>
                    <w:bidi w:val="0"/>
                    <w:jc w:val="both"/>
                    <w:rPr>
                      <w:rFonts w:hint="default" w:ascii="Times New Roman" w:hAnsi="Times New Roman" w:cs="Times New Roman"/>
                      <w:color w:val="auto"/>
                      <w:w w:val="90"/>
                      <w:highlight w:val="none"/>
                      <w:lang w:val="en-US" w:eastAsia="zh-CN"/>
                    </w:rPr>
                  </w:pPr>
                </w:p>
              </w:tc>
              <w:tc>
                <w:tcPr>
                  <w:tcW w:w="979" w:type="dxa"/>
                  <w:vAlign w:val="top"/>
                </w:tcPr>
                <w:p w14:paraId="1309DF1C">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0B48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1017" w:type="dxa"/>
                  <w:vMerge w:val="continue"/>
                  <w:vAlign w:val="top"/>
                </w:tcPr>
                <w:p w14:paraId="5B01E180">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35BC1FFD">
                  <w:pPr>
                    <w:pStyle w:val="28"/>
                    <w:bidi w:val="0"/>
                    <w:jc w:val="both"/>
                    <w:rPr>
                      <w:rFonts w:hint="default" w:ascii="Times New Roman" w:hAnsi="Times New Roman" w:cs="Times New Roman"/>
                      <w:color w:val="auto"/>
                      <w:w w:val="90"/>
                      <w:highlight w:val="none"/>
                    </w:rPr>
                  </w:pPr>
                </w:p>
              </w:tc>
              <w:tc>
                <w:tcPr>
                  <w:tcW w:w="2261" w:type="dxa"/>
                  <w:vAlign w:val="top"/>
                </w:tcPr>
                <w:p w14:paraId="5CE2E94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9.到2025年，中心城区、县城中心城市建成区基本实现污水全收集、全处理，建制镇污水收集处理能力明显提升，中心城市、县城平均污泥无害化处理率达到90%以上，力争实现全市生活垃圾焚烧处理实现全覆盖，餐厨垃圾实现零填埋无害化处理。</w:t>
                  </w:r>
                </w:p>
              </w:tc>
              <w:tc>
                <w:tcPr>
                  <w:tcW w:w="2757" w:type="dxa"/>
                  <w:vAlign w:val="top"/>
                </w:tcPr>
                <w:p w14:paraId="1AEE69A1">
                  <w:pPr>
                    <w:pStyle w:val="7"/>
                    <w:spacing w:line="240" w:lineRule="auto"/>
                    <w:rPr>
                      <w:rFonts w:hint="default" w:eastAsia="宋体"/>
                      <w:color w:val="auto"/>
                      <w:w w:val="90"/>
                      <w:sz w:val="21"/>
                      <w:szCs w:val="21"/>
                      <w:highlight w:val="none"/>
                      <w:lang w:val="en-US" w:eastAsia="zh-CN"/>
                    </w:rPr>
                  </w:pPr>
                  <w:r>
                    <w:rPr>
                      <w:rFonts w:hint="default" w:ascii="Times New Roman" w:hAnsi="Times New Roman" w:cs="Times New Roman"/>
                      <w:color w:val="auto"/>
                      <w:w w:val="90"/>
                      <w:sz w:val="21"/>
                      <w:szCs w:val="21"/>
                      <w:highlight w:val="none"/>
                    </w:rPr>
                    <w:t>9.</w:t>
                  </w:r>
                  <w:r>
                    <w:rPr>
                      <w:rFonts w:hint="default"/>
                      <w:color w:val="auto"/>
                      <w:w w:val="90"/>
                      <w:sz w:val="21"/>
                      <w:szCs w:val="21"/>
                      <w:highlight w:val="none"/>
                      <w:lang w:val="en-US" w:eastAsia="zh-CN"/>
                    </w:rPr>
                    <w:t>项目位于</w:t>
                  </w:r>
                  <w:r>
                    <w:rPr>
                      <w:rFonts w:hint="default"/>
                      <w:color w:val="auto"/>
                      <w:w w:val="90"/>
                      <w:kern w:val="0"/>
                      <w:sz w:val="21"/>
                      <w:szCs w:val="21"/>
                      <w:highlight w:val="none"/>
                      <w:lang w:bidi="ar"/>
                    </w:rPr>
                    <w:t>宣威市热水镇海德村</w:t>
                  </w:r>
                  <w:r>
                    <w:rPr>
                      <w:rFonts w:hint="default"/>
                      <w:color w:val="auto"/>
                      <w:w w:val="90"/>
                      <w:sz w:val="21"/>
                      <w:szCs w:val="21"/>
                      <w:highlight w:val="none"/>
                      <w:lang w:val="en-US" w:eastAsia="zh-CN"/>
                    </w:rPr>
                    <w:t>，不在中心城区、县城中心城市建成区；项目运营期租赁海德村民房作为管理用房，办公人员产生的生活废水和生活垃圾依托已建成的化粪池、垃圾收集设施收集处置。</w:t>
                  </w:r>
                </w:p>
                <w:p w14:paraId="7DCC6599">
                  <w:pPr>
                    <w:pStyle w:val="28"/>
                    <w:bidi w:val="0"/>
                    <w:jc w:val="both"/>
                    <w:rPr>
                      <w:rFonts w:hint="default" w:ascii="Times New Roman" w:hAnsi="Times New Roman" w:cs="Times New Roman"/>
                      <w:color w:val="auto"/>
                      <w:w w:val="90"/>
                      <w:highlight w:val="none"/>
                      <w:lang w:val="en-US" w:eastAsia="zh-CN"/>
                    </w:rPr>
                  </w:pPr>
                </w:p>
              </w:tc>
              <w:tc>
                <w:tcPr>
                  <w:tcW w:w="979" w:type="dxa"/>
                  <w:vAlign w:val="top"/>
                </w:tcPr>
                <w:p w14:paraId="3654511D">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017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017" w:type="dxa"/>
                  <w:vMerge w:val="continue"/>
                  <w:vAlign w:val="top"/>
                </w:tcPr>
                <w:p w14:paraId="067C16C3">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57BA0BD9">
                  <w:pPr>
                    <w:pStyle w:val="28"/>
                    <w:bidi w:val="0"/>
                    <w:jc w:val="both"/>
                    <w:rPr>
                      <w:rFonts w:hint="default" w:ascii="Times New Roman" w:hAnsi="Times New Roman" w:cs="Times New Roman"/>
                      <w:color w:val="auto"/>
                      <w:w w:val="90"/>
                      <w:highlight w:val="none"/>
                    </w:rPr>
                  </w:pPr>
                </w:p>
              </w:tc>
              <w:tc>
                <w:tcPr>
                  <w:tcW w:w="2261" w:type="dxa"/>
                  <w:vAlign w:val="top"/>
                </w:tcPr>
                <w:p w14:paraId="086D896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10.到2025年，全市农村生活污水治理率达到40%以上，城乡生活垃圾焚烧处理比重达90%以上，全市农村卫生户厕覆盖率达到70%以上，农膜回收率达到90%以上，秸秆综合利用率稳定在90%以上，畜禽粪污综合利用率达到95%以上</w:t>
                  </w:r>
                  <w:r>
                    <w:rPr>
                      <w:rFonts w:hint="default"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基本实现化肥农药施用量减少3%以上。</w:t>
                  </w:r>
                </w:p>
              </w:tc>
              <w:tc>
                <w:tcPr>
                  <w:tcW w:w="2757" w:type="dxa"/>
                  <w:shd w:val="clear" w:color="auto" w:fill="auto"/>
                  <w:vAlign w:val="top"/>
                </w:tcPr>
                <w:p w14:paraId="13F8A771">
                  <w:pPr>
                    <w:pStyle w:val="7"/>
                    <w:spacing w:line="240" w:lineRule="auto"/>
                    <w:rPr>
                      <w:rFonts w:hint="default" w:eastAsia="宋体"/>
                      <w:color w:val="auto"/>
                      <w:w w:val="90"/>
                      <w:sz w:val="21"/>
                      <w:szCs w:val="21"/>
                      <w:highlight w:val="none"/>
                      <w:lang w:val="en-US" w:eastAsia="zh-CN"/>
                    </w:rPr>
                  </w:pPr>
                  <w:r>
                    <w:rPr>
                      <w:rFonts w:hint="default" w:ascii="Times New Roman" w:hAnsi="Times New Roman" w:cs="Times New Roman"/>
                      <w:color w:val="auto"/>
                      <w:w w:val="90"/>
                      <w:sz w:val="21"/>
                      <w:szCs w:val="21"/>
                      <w:highlight w:val="none"/>
                    </w:rPr>
                    <w:t>10.本项目位于</w:t>
                  </w:r>
                  <w:r>
                    <w:rPr>
                      <w:rFonts w:hint="default"/>
                      <w:color w:val="auto"/>
                      <w:w w:val="90"/>
                      <w:kern w:val="0"/>
                      <w:sz w:val="21"/>
                      <w:szCs w:val="21"/>
                      <w:highlight w:val="none"/>
                      <w:lang w:bidi="ar"/>
                    </w:rPr>
                    <w:t>宣威市热水镇海德村</w:t>
                  </w:r>
                  <w:r>
                    <w:rPr>
                      <w:rFonts w:hint="default" w:ascii="Times New Roman" w:hAnsi="Times New Roman" w:cs="Times New Roman"/>
                      <w:color w:val="auto"/>
                      <w:w w:val="90"/>
                      <w:sz w:val="21"/>
                      <w:szCs w:val="21"/>
                      <w:highlight w:val="none"/>
                    </w:rPr>
                    <w:t>，项目运营期</w:t>
                  </w:r>
                  <w:r>
                    <w:rPr>
                      <w:rFonts w:hint="default" w:ascii="Times New Roman" w:hAnsi="Times New Roman" w:cs="Times New Roman"/>
                      <w:color w:val="auto"/>
                      <w:w w:val="90"/>
                      <w:sz w:val="21"/>
                      <w:szCs w:val="21"/>
                      <w:highlight w:val="none"/>
                      <w:lang w:eastAsia="zh-CN"/>
                    </w:rPr>
                    <w:t>厂区内不设置住宿，依托热水光伏电站管理人员</w:t>
                  </w:r>
                  <w:r>
                    <w:rPr>
                      <w:rFonts w:hint="default"/>
                      <w:color w:val="auto"/>
                      <w:w w:val="90"/>
                      <w:sz w:val="21"/>
                      <w:szCs w:val="21"/>
                      <w:highlight w:val="none"/>
                      <w:lang w:val="en-US" w:eastAsia="zh-CN"/>
                    </w:rPr>
                    <w:t>。</w:t>
                  </w:r>
                </w:p>
                <w:p w14:paraId="41613B80">
                  <w:pPr>
                    <w:pStyle w:val="28"/>
                    <w:bidi w:val="0"/>
                    <w:jc w:val="both"/>
                    <w:rPr>
                      <w:rFonts w:hint="default" w:ascii="Times New Roman" w:hAnsi="Times New Roman" w:cs="Times New Roman"/>
                      <w:color w:val="auto"/>
                      <w:w w:val="90"/>
                      <w:highlight w:val="none"/>
                      <w:lang w:val="en-US" w:eastAsia="zh-CN"/>
                    </w:rPr>
                  </w:pPr>
                </w:p>
              </w:tc>
              <w:tc>
                <w:tcPr>
                  <w:tcW w:w="979" w:type="dxa"/>
                  <w:vAlign w:val="top"/>
                </w:tcPr>
                <w:p w14:paraId="1FB30C9B">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2129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7" w:type="dxa"/>
                  <w:vMerge w:val="continue"/>
                  <w:vAlign w:val="top"/>
                </w:tcPr>
                <w:p w14:paraId="6E350F12">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2595D3F5">
                  <w:pPr>
                    <w:pStyle w:val="28"/>
                    <w:bidi w:val="0"/>
                    <w:jc w:val="both"/>
                    <w:rPr>
                      <w:rFonts w:hint="default" w:ascii="Times New Roman" w:hAnsi="Times New Roman" w:cs="Times New Roman"/>
                      <w:color w:val="auto"/>
                      <w:w w:val="90"/>
                      <w:highlight w:val="none"/>
                    </w:rPr>
                  </w:pPr>
                </w:p>
              </w:tc>
              <w:tc>
                <w:tcPr>
                  <w:tcW w:w="2261" w:type="dxa"/>
                  <w:vAlign w:val="top"/>
                </w:tcPr>
                <w:p w14:paraId="2532DB7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11.严把新建、改扩建涉重金属重点行业建设项目审批关，切实降低区域重金属排放总量。会泽县新、改、扩建涉重金属重点行业建设项目重点重金属污染物排放遵循</w:t>
                  </w:r>
                  <w:r>
                    <w:rPr>
                      <w:rFonts w:hint="default"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减量替代</w:t>
                  </w:r>
                  <w:r>
                    <w:rPr>
                      <w:rFonts w:hint="default"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原则，替代比例不低于1.2:1</w:t>
                  </w:r>
                  <w:r>
                    <w:rPr>
                      <w:rFonts w:hint="default"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其他县</w:t>
                  </w:r>
                  <w:r>
                    <w:rPr>
                      <w:rFonts w:hint="eastAsia"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市、区</w:t>
                  </w:r>
                  <w:r>
                    <w:rPr>
                      <w:rFonts w:hint="eastAsia"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遵循</w:t>
                  </w:r>
                  <w:r>
                    <w:rPr>
                      <w:rFonts w:hint="default"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等量替代</w:t>
                  </w:r>
                  <w:r>
                    <w:rPr>
                      <w:rFonts w:hint="default" w:ascii="Times New Roman" w:hAnsi="Times New Roman" w:cs="Times New Roman"/>
                      <w:color w:val="auto"/>
                      <w:w w:val="90"/>
                      <w:highlight w:val="none"/>
                      <w:lang w:eastAsia="zh-CN"/>
                    </w:rPr>
                    <w:t>”</w:t>
                  </w:r>
                  <w:r>
                    <w:rPr>
                      <w:rFonts w:hint="default" w:ascii="Times New Roman" w:hAnsi="Times New Roman" w:cs="Times New Roman"/>
                      <w:color w:val="auto"/>
                      <w:w w:val="90"/>
                      <w:highlight w:val="none"/>
                    </w:rPr>
                    <w:t>原则。</w:t>
                  </w:r>
                </w:p>
              </w:tc>
              <w:tc>
                <w:tcPr>
                  <w:tcW w:w="2757" w:type="dxa"/>
                  <w:shd w:val="clear" w:color="auto" w:fill="auto"/>
                  <w:vAlign w:val="top"/>
                </w:tcPr>
                <w:p w14:paraId="4E0BE91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11.本项目为风力发电项目，不涉及重金属重点行业。</w:t>
                  </w:r>
                </w:p>
              </w:tc>
              <w:tc>
                <w:tcPr>
                  <w:tcW w:w="979" w:type="dxa"/>
                  <w:vAlign w:val="top"/>
                </w:tcPr>
                <w:p w14:paraId="45487E3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5A476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017" w:type="dxa"/>
                  <w:vMerge w:val="continue"/>
                  <w:vAlign w:val="top"/>
                </w:tcPr>
                <w:p w14:paraId="78E70B50">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4CD152F0">
                  <w:pPr>
                    <w:pStyle w:val="28"/>
                    <w:bidi w:val="0"/>
                    <w:jc w:val="both"/>
                    <w:rPr>
                      <w:rFonts w:hint="default" w:ascii="Times New Roman" w:hAnsi="Times New Roman" w:cs="Times New Roman"/>
                      <w:color w:val="auto"/>
                      <w:w w:val="90"/>
                      <w:highlight w:val="none"/>
                    </w:rPr>
                  </w:pPr>
                </w:p>
              </w:tc>
              <w:tc>
                <w:tcPr>
                  <w:tcW w:w="2261" w:type="dxa"/>
                  <w:vAlign w:val="top"/>
                </w:tcPr>
                <w:p w14:paraId="478FBF1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12.到2025年，曲靖市重点行业重点重金属污染物排放量比2020年下降6%。</w:t>
                  </w:r>
                </w:p>
              </w:tc>
              <w:tc>
                <w:tcPr>
                  <w:tcW w:w="2757" w:type="dxa"/>
                  <w:shd w:val="clear" w:color="auto" w:fill="auto"/>
                  <w:vAlign w:val="top"/>
                </w:tcPr>
                <w:p w14:paraId="102A510C">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12.本项目为风力发电项目，不涉及重金属重点行业。</w:t>
                  </w:r>
                </w:p>
              </w:tc>
              <w:tc>
                <w:tcPr>
                  <w:tcW w:w="979" w:type="dxa"/>
                  <w:vAlign w:val="top"/>
                </w:tcPr>
                <w:p w14:paraId="3A481FB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AAF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017" w:type="dxa"/>
                  <w:vMerge w:val="continue"/>
                  <w:vAlign w:val="top"/>
                </w:tcPr>
                <w:p w14:paraId="679610C6">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65FDCFF4">
                  <w:pPr>
                    <w:pStyle w:val="28"/>
                    <w:bidi w:val="0"/>
                    <w:jc w:val="both"/>
                    <w:rPr>
                      <w:rFonts w:hint="default" w:ascii="Times New Roman" w:hAnsi="Times New Roman" w:cs="Times New Roman"/>
                      <w:color w:val="auto"/>
                      <w:w w:val="90"/>
                      <w:highlight w:val="none"/>
                    </w:rPr>
                  </w:pPr>
                </w:p>
              </w:tc>
              <w:tc>
                <w:tcPr>
                  <w:tcW w:w="2261" w:type="dxa"/>
                  <w:vAlign w:val="top"/>
                </w:tcPr>
                <w:p w14:paraId="5F5B4576">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13.到2025年，全市化学需氧量、氨氮、氮氧化物、挥发性有机物排放总量等重点工程减排量分别达到7984吨、496吨、3611吨、1181吨。</w:t>
                  </w:r>
                </w:p>
              </w:tc>
              <w:tc>
                <w:tcPr>
                  <w:tcW w:w="2757" w:type="dxa"/>
                  <w:shd w:val="clear" w:color="auto" w:fill="auto"/>
                  <w:vAlign w:val="top"/>
                </w:tcPr>
                <w:p w14:paraId="28ED013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13.本工程为风力发电项目，项目运营期</w:t>
                  </w:r>
                  <w:r>
                    <w:rPr>
                      <w:rFonts w:hint="default" w:ascii="Times New Roman" w:hAnsi="Times New Roman" w:cs="Times New Roman"/>
                      <w:color w:val="auto"/>
                      <w:w w:val="90"/>
                      <w:highlight w:val="none"/>
                      <w:lang w:eastAsia="zh-CN"/>
                    </w:rPr>
                    <w:t>厂区内不设置住宿，</w:t>
                  </w:r>
                  <w:r>
                    <w:rPr>
                      <w:rFonts w:hint="eastAsia" w:ascii="Times New Roman" w:hAnsi="Times New Roman" w:cs="Times New Roman"/>
                      <w:color w:val="auto"/>
                      <w:w w:val="90"/>
                      <w:highlight w:val="none"/>
                      <w:lang w:eastAsia="zh-CN"/>
                    </w:rPr>
                    <w:t>依托热水光伏电站管理人员</w:t>
                  </w:r>
                  <w:r>
                    <w:rPr>
                      <w:rFonts w:hint="default" w:ascii="Times New Roman" w:hAnsi="Times New Roman" w:cs="Times New Roman"/>
                      <w:color w:val="auto"/>
                      <w:w w:val="90"/>
                      <w:highlight w:val="none"/>
                      <w:lang w:eastAsia="zh-CN"/>
                    </w:rPr>
                    <w:t>，项目区不产生</w:t>
                  </w:r>
                  <w:r>
                    <w:rPr>
                      <w:rFonts w:hint="eastAsia" w:ascii="Times New Roman" w:hAnsi="Times New Roman" w:cs="Times New Roman"/>
                      <w:color w:val="auto"/>
                      <w:w w:val="90"/>
                      <w:highlight w:val="none"/>
                      <w:lang w:eastAsia="zh-CN"/>
                    </w:rPr>
                    <w:t>废气</w:t>
                  </w:r>
                  <w:r>
                    <w:rPr>
                      <w:rFonts w:hint="default" w:ascii="Times New Roman" w:hAnsi="Times New Roman" w:cs="Times New Roman"/>
                      <w:color w:val="auto"/>
                      <w:w w:val="90"/>
                      <w:highlight w:val="none"/>
                    </w:rPr>
                    <w:t>。</w:t>
                  </w:r>
                </w:p>
              </w:tc>
              <w:tc>
                <w:tcPr>
                  <w:tcW w:w="979" w:type="dxa"/>
                  <w:vAlign w:val="top"/>
                </w:tcPr>
                <w:p w14:paraId="6625BCD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0464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6A6C8643">
                  <w:pPr>
                    <w:pStyle w:val="28"/>
                    <w:bidi w:val="0"/>
                    <w:jc w:val="both"/>
                    <w:rPr>
                      <w:rFonts w:hint="default" w:ascii="Times New Roman" w:hAnsi="Times New Roman" w:cs="Times New Roman"/>
                      <w:color w:val="auto"/>
                      <w:w w:val="90"/>
                      <w:highlight w:val="none"/>
                      <w:lang w:val="en-US" w:eastAsia="zh-CN"/>
                    </w:rPr>
                  </w:pPr>
                </w:p>
              </w:tc>
              <w:tc>
                <w:tcPr>
                  <w:tcW w:w="1091" w:type="dxa"/>
                  <w:vMerge w:val="restart"/>
                  <w:vAlign w:val="top"/>
                </w:tcPr>
                <w:p w14:paraId="788CE00B">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环境风险防控</w:t>
                  </w:r>
                </w:p>
              </w:tc>
              <w:tc>
                <w:tcPr>
                  <w:tcW w:w="2261" w:type="dxa"/>
                  <w:vAlign w:val="top"/>
                </w:tcPr>
                <w:p w14:paraId="6F5D1A3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1.以南盘江、北盘江、牛栏江流域为重点，按规范开展流域工业企业、工业集聚区环境风险评估，落实防控措施。</w:t>
                  </w:r>
                </w:p>
              </w:tc>
              <w:tc>
                <w:tcPr>
                  <w:tcW w:w="2757" w:type="dxa"/>
                  <w:shd w:val="clear" w:color="auto" w:fill="auto"/>
                  <w:vAlign w:val="top"/>
                </w:tcPr>
                <w:p w14:paraId="218D645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1.本项目位于南盘江流域，但本工程为风力发电项目，不属于工业企业及工业集聚区。</w:t>
                  </w:r>
                </w:p>
              </w:tc>
              <w:tc>
                <w:tcPr>
                  <w:tcW w:w="979" w:type="dxa"/>
                  <w:vAlign w:val="top"/>
                </w:tcPr>
                <w:p w14:paraId="3EB9579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5199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7F581939">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39ED459A">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5D0130EC">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2.开展麒沾马区域大气污染联防联控，逐步推行区域统一规划，统一监测，实行协同的环境准入、落后产能淘汰、机动车环境管理政策和考核评估制度。</w:t>
                  </w:r>
                </w:p>
              </w:tc>
              <w:tc>
                <w:tcPr>
                  <w:tcW w:w="2757" w:type="dxa"/>
                  <w:shd w:val="clear" w:color="auto" w:fill="auto"/>
                  <w:vAlign w:val="top"/>
                </w:tcPr>
                <w:p w14:paraId="048881A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2.本工程为风力发电项目，不属于落后产能，项目运行期无大气污染物产生。</w:t>
                  </w:r>
                </w:p>
              </w:tc>
              <w:tc>
                <w:tcPr>
                  <w:tcW w:w="979" w:type="dxa"/>
                  <w:vAlign w:val="top"/>
                </w:tcPr>
                <w:p w14:paraId="2C4DDE3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529C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3D52E3AB">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1807F693">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5527B970">
                  <w:pPr>
                    <w:pStyle w:val="28"/>
                    <w:bidi w:val="0"/>
                    <w:jc w:val="both"/>
                    <w:rPr>
                      <w:rFonts w:hint="default" w:ascii="Times New Roman" w:hAnsi="Times New Roman" w:cs="Times New Roman"/>
                      <w:color w:val="auto"/>
                      <w:w w:val="90"/>
                      <w:highlight w:val="none"/>
                    </w:rPr>
                  </w:pPr>
                  <w:r>
                    <w:rPr>
                      <w:rFonts w:hint="default" w:ascii="Times New Roman" w:hAnsi="Times New Roman" w:cs="Times New Roman"/>
                      <w:color w:val="auto"/>
                      <w:w w:val="90"/>
                      <w:highlight w:val="none"/>
                    </w:rPr>
                    <w:t>4.强化大气污染分区分时分类差异化精细化协同管控，加强监测预警应急能力建设，及时采取差异化管控措施。</w:t>
                  </w:r>
                </w:p>
                <w:p w14:paraId="3D93BDE9">
                  <w:pPr>
                    <w:pStyle w:val="28"/>
                    <w:bidi w:val="0"/>
                    <w:jc w:val="both"/>
                    <w:rPr>
                      <w:rFonts w:hint="default" w:ascii="Times New Roman" w:hAnsi="Times New Roman" w:cs="Times New Roman"/>
                      <w:color w:val="auto"/>
                      <w:w w:val="90"/>
                      <w:highlight w:val="none"/>
                      <w:lang w:val="en-US" w:eastAsia="zh-CN"/>
                    </w:rPr>
                  </w:pPr>
                </w:p>
              </w:tc>
              <w:tc>
                <w:tcPr>
                  <w:tcW w:w="2757" w:type="dxa"/>
                  <w:shd w:val="clear" w:color="auto" w:fill="auto"/>
                  <w:vAlign w:val="top"/>
                </w:tcPr>
                <w:p w14:paraId="02A0E663">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4.本工程为风力发电项目，项目运营期除汽车尾气和异味外，无大气污染物排放。</w:t>
                  </w:r>
                </w:p>
              </w:tc>
              <w:tc>
                <w:tcPr>
                  <w:tcW w:w="979" w:type="dxa"/>
                  <w:vAlign w:val="top"/>
                </w:tcPr>
                <w:p w14:paraId="67AE8BE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1CBD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46D78E15">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7BCE688C">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30DDF0C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逐步建成全市土壤环境质量监测网络，推进各县（市、区）土壤环境质量监测点位全覆盖；有色金属矿采选、有色金属冶炼、石油加工、化工、农药、焦化、电镀、制革、印染、危险废物处置等行业企业拆除生产设施设备、构筑物和污染治理设施，要事先制定残留污染物清理和安全处置方案。</w:t>
                  </w:r>
                </w:p>
              </w:tc>
              <w:tc>
                <w:tcPr>
                  <w:tcW w:w="2757" w:type="dxa"/>
                  <w:shd w:val="clear" w:color="auto" w:fill="auto"/>
                  <w:vAlign w:val="top"/>
                </w:tcPr>
                <w:p w14:paraId="7AA52E5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5.本工程为风力发电项目，项目</w:t>
                  </w:r>
                  <w:r>
                    <w:rPr>
                      <w:rFonts w:hint="eastAsia" w:ascii="Times New Roman" w:hAnsi="Times New Roman" w:cs="Times New Roman"/>
                      <w:color w:val="auto"/>
                      <w:w w:val="90"/>
                      <w:highlight w:val="none"/>
                      <w:lang w:eastAsia="zh-CN"/>
                    </w:rPr>
                    <w:t>风机</w:t>
                  </w:r>
                  <w:r>
                    <w:rPr>
                      <w:rFonts w:hint="default" w:ascii="Times New Roman" w:hAnsi="Times New Roman" w:cs="Times New Roman"/>
                      <w:color w:val="auto"/>
                      <w:w w:val="90"/>
                      <w:highlight w:val="none"/>
                    </w:rPr>
                    <w:t>箱变、</w:t>
                  </w:r>
                  <w:r>
                    <w:rPr>
                      <w:rFonts w:hint="default" w:ascii="Times New Roman" w:hAnsi="Times New Roman" w:cs="Times New Roman"/>
                      <w:color w:val="auto"/>
                      <w:w w:val="90"/>
                      <w:highlight w:val="none"/>
                      <w:lang w:eastAsia="zh-CN"/>
                    </w:rPr>
                    <w:t>开关站</w:t>
                  </w:r>
                  <w:r>
                    <w:rPr>
                      <w:rFonts w:hint="default" w:ascii="Times New Roman" w:hAnsi="Times New Roman" w:cs="Times New Roman"/>
                      <w:color w:val="auto"/>
                      <w:w w:val="90"/>
                      <w:highlight w:val="none"/>
                    </w:rPr>
                    <w:t>涉及产生事故废油，可能造成土壤污染，但本项目设置有效的变压器油泄漏收集设施并按国家标准要求做好防渗处理，故项目在采取有效措施后可降低土壤污染的可能性，项目不涉</w:t>
                  </w:r>
                  <w:r>
                    <w:rPr>
                      <w:rFonts w:hint="eastAsia" w:ascii="Times New Roman" w:hAnsi="Times New Roman" w:cs="Times New Roman"/>
                      <w:color w:val="auto"/>
                      <w:w w:val="90"/>
                      <w:highlight w:val="none"/>
                      <w:lang w:eastAsia="zh-CN"/>
                    </w:rPr>
                    <w:t>及有</w:t>
                  </w:r>
                  <w:r>
                    <w:rPr>
                      <w:rFonts w:hint="default" w:ascii="Times New Roman" w:hAnsi="Times New Roman" w:cs="Times New Roman"/>
                      <w:color w:val="auto"/>
                      <w:w w:val="90"/>
                      <w:highlight w:val="none"/>
                    </w:rPr>
                    <w:t>色金属矿采选、有色金属冶炼、石油加工、化工、农药、焦化、电镀、制革、印染、危险废物处置等行业。</w:t>
                  </w:r>
                </w:p>
              </w:tc>
              <w:tc>
                <w:tcPr>
                  <w:tcW w:w="979" w:type="dxa"/>
                  <w:vAlign w:val="top"/>
                </w:tcPr>
                <w:p w14:paraId="3600F17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236B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132BAE8F">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35E93C2C">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22739C7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6.加强环境风险防控和应急管理，制定和完善突发环境事件和集中式饮用水水源地突发环境事件应急预案，加强风险防控和突发环境事件应急处理处置能力。</w:t>
                  </w:r>
                </w:p>
              </w:tc>
              <w:tc>
                <w:tcPr>
                  <w:tcW w:w="2757" w:type="dxa"/>
                  <w:shd w:val="clear" w:color="auto" w:fill="auto"/>
                  <w:vAlign w:val="top"/>
                </w:tcPr>
                <w:p w14:paraId="0C06388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6.目前项目还未建设，待建设完毕后将制定和完善突发环境事件应急预案，加强风险防控和突发环境事件应急处理处置能力。</w:t>
                  </w:r>
                </w:p>
              </w:tc>
              <w:tc>
                <w:tcPr>
                  <w:tcW w:w="979" w:type="dxa"/>
                  <w:vAlign w:val="top"/>
                </w:tcPr>
                <w:p w14:paraId="4A028E02">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05C70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5D34C8A1">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547110A7">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4621C76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7.严格管控类农用地，重金属超标区域严禁种植食用农产品；涉重金属、持久性有机物等有毒有害污染物工业企业退出用地，须经评估符合建设用地、农用地土壤环境质量相关要求后，方可用于居住或农业用地。</w:t>
                  </w:r>
                </w:p>
              </w:tc>
              <w:tc>
                <w:tcPr>
                  <w:tcW w:w="2757" w:type="dxa"/>
                  <w:shd w:val="clear" w:color="auto" w:fill="auto"/>
                  <w:vAlign w:val="top"/>
                </w:tcPr>
                <w:p w14:paraId="21A08B7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7.本项目为风力发电项目，不涉及农业种植和重金属、持久性有机物等有毒有害污染物工业企业。</w:t>
                  </w:r>
                </w:p>
              </w:tc>
              <w:tc>
                <w:tcPr>
                  <w:tcW w:w="979" w:type="dxa"/>
                  <w:vAlign w:val="top"/>
                </w:tcPr>
                <w:p w14:paraId="3696FA21">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623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684AEAF6">
                  <w:pPr>
                    <w:pStyle w:val="28"/>
                    <w:bidi w:val="0"/>
                    <w:jc w:val="both"/>
                    <w:rPr>
                      <w:rFonts w:hint="default" w:ascii="Times New Roman" w:hAnsi="Times New Roman" w:cs="Times New Roman"/>
                      <w:color w:val="auto"/>
                      <w:w w:val="90"/>
                      <w:highlight w:val="none"/>
                      <w:lang w:val="en-US" w:eastAsia="zh-CN"/>
                    </w:rPr>
                  </w:pPr>
                </w:p>
              </w:tc>
              <w:tc>
                <w:tcPr>
                  <w:tcW w:w="1091" w:type="dxa"/>
                  <w:vMerge w:val="restart"/>
                  <w:vAlign w:val="top"/>
                </w:tcPr>
                <w:p w14:paraId="66F876E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资源利用效率</w:t>
                  </w:r>
                </w:p>
              </w:tc>
              <w:tc>
                <w:tcPr>
                  <w:tcW w:w="2261" w:type="dxa"/>
                  <w:vAlign w:val="top"/>
                </w:tcPr>
                <w:p w14:paraId="28E6D08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坚持以水而定、量水而行，统筹生活、生产和生态用水，科学合理配置水资源，保障河湖基本生态用水。确定河流生态需水量，确保河流生态系统功能。通过电站引水闸的调节，使最低下泄流量不小于河道所需的最小生态径流，以维持下游生物的最小生态需水，以维持坝下游最小生态需水。</w:t>
                  </w:r>
                </w:p>
              </w:tc>
              <w:tc>
                <w:tcPr>
                  <w:tcW w:w="2757" w:type="dxa"/>
                  <w:shd w:val="clear" w:color="auto" w:fill="auto"/>
                  <w:vAlign w:val="top"/>
                </w:tcPr>
                <w:p w14:paraId="22AF2B5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1.本工程为风力发电项目，</w:t>
                  </w:r>
                  <w:r>
                    <w:rPr>
                      <w:rFonts w:hint="default" w:ascii="Times New Roman" w:hAnsi="Times New Roman" w:cs="Times New Roman"/>
                      <w:color w:val="auto"/>
                      <w:w w:val="90"/>
                      <w:highlight w:val="none"/>
                      <w:lang w:eastAsia="zh-CN"/>
                    </w:rPr>
                    <w:t>不涉及相关内容</w:t>
                  </w:r>
                  <w:r>
                    <w:rPr>
                      <w:rFonts w:hint="default" w:ascii="Times New Roman" w:hAnsi="Times New Roman" w:cs="Times New Roman"/>
                      <w:color w:val="auto"/>
                      <w:w w:val="90"/>
                      <w:highlight w:val="none"/>
                    </w:rPr>
                    <w:t>。</w:t>
                  </w:r>
                </w:p>
              </w:tc>
              <w:tc>
                <w:tcPr>
                  <w:tcW w:w="979" w:type="dxa"/>
                  <w:vAlign w:val="top"/>
                </w:tcPr>
                <w:p w14:paraId="73D1610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28B1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2A6525D1">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19DF9B7B">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431CE90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2.加强南盘江、北盘江、牛栏江等生态流量保障工程建设，合理安排闸坝下泄水量和泄洪时段，维护河湖基本生态用水需求，重点保障、生态敏感区生态流量。</w:t>
                  </w:r>
                </w:p>
              </w:tc>
              <w:tc>
                <w:tcPr>
                  <w:tcW w:w="2757" w:type="dxa"/>
                  <w:shd w:val="clear" w:color="auto" w:fill="auto"/>
                  <w:vAlign w:val="top"/>
                </w:tcPr>
                <w:p w14:paraId="3F1DCE4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2.本工程不设置取水口。</w:t>
                  </w:r>
                </w:p>
              </w:tc>
              <w:tc>
                <w:tcPr>
                  <w:tcW w:w="979" w:type="dxa"/>
                  <w:vAlign w:val="top"/>
                </w:tcPr>
                <w:p w14:paraId="52EEE7A0">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677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4C50854B">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74E41E6E">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773E793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3.加快建设麒麟区、沾益区、马龙区水系连通工程，形成独木水库—水城水库—潇湘水库—潇湘江等6条生态流量通道，生态流量月保障程度达到90%以上，加强牛栏江流域水资源配置和调度管理，保障公锁、土格樟、黄梨树、黑山河流控制断面和苏斗河水库、金乐水库、长海子水库3个水库控制断面生态基流，确保生态流量泄放，确保德泽水库下泄流量在丰水期和枯水期分别达到16立方米/秒和5.4立方米/秒。</w:t>
                  </w:r>
                </w:p>
              </w:tc>
              <w:tc>
                <w:tcPr>
                  <w:tcW w:w="2757" w:type="dxa"/>
                  <w:shd w:val="clear" w:color="auto" w:fill="auto"/>
                  <w:vAlign w:val="top"/>
                </w:tcPr>
                <w:p w14:paraId="28B23E0D">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3.项目地不涉及水库，不在水库设置取水口。</w:t>
                  </w:r>
                </w:p>
              </w:tc>
              <w:tc>
                <w:tcPr>
                  <w:tcW w:w="979" w:type="dxa"/>
                  <w:vAlign w:val="top"/>
                </w:tcPr>
                <w:p w14:paraId="2650DD22">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45D7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1392FC9E">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2DD81EF0">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3EFF687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4.建立水资源刚性约束制度，实行水资源消耗总量和强度双控，严格实施取水许可和水资源有偿使用制度，强化用水全过程管理，深入抓好工业、城镇、农业等方面用水量控制，严格规范取水许可审批管理。</w:t>
                  </w:r>
                </w:p>
              </w:tc>
              <w:tc>
                <w:tcPr>
                  <w:tcW w:w="2757" w:type="dxa"/>
                  <w:shd w:val="clear" w:color="auto" w:fill="auto"/>
                  <w:vAlign w:val="top"/>
                </w:tcPr>
                <w:p w14:paraId="509F47DD">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4.本工程不设置取水口。</w:t>
                  </w:r>
                </w:p>
              </w:tc>
              <w:tc>
                <w:tcPr>
                  <w:tcW w:w="979" w:type="dxa"/>
                  <w:vAlign w:val="top"/>
                </w:tcPr>
                <w:p w14:paraId="18C9C96B">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00C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69B42067">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54407ADD">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13F836D2">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5.大力推进各县（市、区）农业、工业、城镇节水，扩大曲靖市县域节水型社会比例。强化农业节水，优化农业种植结构，加大农业节水力度，加快实施规模化高效节水灌溉行动。推广和普及田间节水技术，开辟抗旱水源，科学调度抗旱用水。</w:t>
                  </w:r>
                </w:p>
              </w:tc>
              <w:tc>
                <w:tcPr>
                  <w:tcW w:w="2757" w:type="dxa"/>
                  <w:shd w:val="clear" w:color="auto" w:fill="auto"/>
                  <w:vAlign w:val="top"/>
                </w:tcPr>
                <w:p w14:paraId="016A987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sz w:val="21"/>
                      <w:szCs w:val="21"/>
                      <w:highlight w:val="none"/>
                    </w:rPr>
                    <w:t>5.本工程为风力发电项目，</w:t>
                  </w:r>
                  <w:r>
                    <w:rPr>
                      <w:rFonts w:hint="default"/>
                      <w:color w:val="auto"/>
                      <w:w w:val="90"/>
                      <w:sz w:val="21"/>
                      <w:szCs w:val="21"/>
                      <w:highlight w:val="none"/>
                      <w:lang w:val="en-US" w:eastAsia="zh-CN"/>
                    </w:rPr>
                    <w:t>运营期依托热水光伏电站管理人员</w:t>
                  </w:r>
                  <w:r>
                    <w:rPr>
                      <w:rFonts w:hint="default" w:ascii="Times New Roman" w:hAnsi="Times New Roman" w:cs="Times New Roman"/>
                      <w:color w:val="auto"/>
                      <w:w w:val="90"/>
                      <w:highlight w:val="none"/>
                    </w:rPr>
                    <w:t>。</w:t>
                  </w:r>
                </w:p>
              </w:tc>
              <w:tc>
                <w:tcPr>
                  <w:tcW w:w="979" w:type="dxa"/>
                  <w:vAlign w:val="top"/>
                </w:tcPr>
                <w:p w14:paraId="617AAC7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E42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4EF97E68">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5AB705AF">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3AC6A9B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6.到2025年，曲靖市用水总量控制在18.68亿立方米以内，万元GDP用水量、万元工业增加值用水量比2020年分别不低于20%和16%，</w:t>
                  </w:r>
                  <w:r>
                    <w:rPr>
                      <w:rFonts w:hint="eastAsia" w:ascii="Times New Roman" w:hAnsi="Times New Roman" w:cs="Times New Roman"/>
                      <w:color w:val="auto"/>
                      <w:w w:val="90"/>
                      <w:highlight w:val="none"/>
                      <w:lang w:eastAsia="zh-CN"/>
                    </w:rPr>
                    <w:t>农田灌溉水有效利用系数</w:t>
                  </w:r>
                  <w:r>
                    <w:rPr>
                      <w:rFonts w:hint="default" w:ascii="Times New Roman" w:hAnsi="Times New Roman" w:cs="Times New Roman"/>
                      <w:color w:val="auto"/>
                      <w:w w:val="90"/>
                      <w:highlight w:val="none"/>
                    </w:rPr>
                    <w:t>不低于0.545。</w:t>
                  </w:r>
                </w:p>
              </w:tc>
              <w:tc>
                <w:tcPr>
                  <w:tcW w:w="2757" w:type="dxa"/>
                  <w:shd w:val="clear" w:color="auto" w:fill="auto"/>
                  <w:vAlign w:val="top"/>
                </w:tcPr>
                <w:p w14:paraId="42ECE348">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6.本工程为风力发电项目，</w:t>
                  </w:r>
                  <w:r>
                    <w:rPr>
                      <w:rFonts w:hint="default" w:ascii="Times New Roman" w:hAnsi="Times New Roman" w:cs="Times New Roman"/>
                      <w:color w:val="auto"/>
                      <w:w w:val="90"/>
                      <w:sz w:val="21"/>
                      <w:szCs w:val="21"/>
                      <w:highlight w:val="none"/>
                      <w:lang w:eastAsia="zh-CN"/>
                    </w:rPr>
                    <w:t>运营期依托热水光伏电站管理人员</w:t>
                  </w:r>
                  <w:r>
                    <w:rPr>
                      <w:rFonts w:hint="eastAsia" w:ascii="Times New Roman" w:hAnsi="Times New Roman" w:cs="Times New Roman"/>
                      <w:color w:val="auto"/>
                      <w:w w:val="90"/>
                      <w:sz w:val="21"/>
                      <w:szCs w:val="21"/>
                      <w:highlight w:val="none"/>
                      <w:lang w:eastAsia="zh-CN"/>
                    </w:rPr>
                    <w:t>，</w:t>
                  </w:r>
                  <w:r>
                    <w:rPr>
                      <w:rFonts w:hint="default"/>
                      <w:color w:val="auto"/>
                      <w:w w:val="90"/>
                      <w:sz w:val="21"/>
                      <w:szCs w:val="21"/>
                      <w:highlight w:val="none"/>
                      <w:lang w:val="en-US" w:eastAsia="zh-CN"/>
                    </w:rPr>
                    <w:t>用水量较少</w:t>
                  </w:r>
                  <w:r>
                    <w:rPr>
                      <w:rFonts w:hint="default" w:ascii="Times New Roman" w:hAnsi="Times New Roman" w:cs="Times New Roman"/>
                      <w:color w:val="auto"/>
                      <w:w w:val="90"/>
                      <w:highlight w:val="none"/>
                    </w:rPr>
                    <w:t>。</w:t>
                  </w:r>
                </w:p>
              </w:tc>
              <w:tc>
                <w:tcPr>
                  <w:tcW w:w="979" w:type="dxa"/>
                  <w:vAlign w:val="top"/>
                </w:tcPr>
                <w:p w14:paraId="570A469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2BDB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2DF3DFDA">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32487164">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219A971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7.坚持最严格的耕地保护制度，坚决制止耕地“非农化”防止耕地“非粮化”。坚持节约用地，严格执行耕地占补平衡等制度，提高土地投资强度和单位面积产出水平。</w:t>
                  </w:r>
                </w:p>
              </w:tc>
              <w:tc>
                <w:tcPr>
                  <w:tcW w:w="2757" w:type="dxa"/>
                  <w:shd w:val="clear" w:color="auto" w:fill="auto"/>
                  <w:vAlign w:val="top"/>
                </w:tcPr>
                <w:p w14:paraId="7AEDB6A6">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7.根据</w:t>
                  </w:r>
                  <w:r>
                    <w:rPr>
                      <w:rFonts w:hint="default" w:ascii="Times New Roman" w:hAnsi="Times New Roman" w:cs="Times New Roman"/>
                      <w:color w:val="auto"/>
                      <w:w w:val="90"/>
                      <w:highlight w:val="none"/>
                      <w:lang w:eastAsia="zh-CN"/>
                    </w:rPr>
                    <w:t>宣威市</w:t>
                  </w:r>
                  <w:r>
                    <w:rPr>
                      <w:rFonts w:hint="default" w:ascii="Times New Roman" w:hAnsi="Times New Roman" w:cs="Times New Roman"/>
                      <w:color w:val="auto"/>
                      <w:w w:val="90"/>
                      <w:highlight w:val="none"/>
                    </w:rPr>
                    <w:t>自然资源局查询结果，本项目不涉及占用永久基本农田。</w:t>
                  </w:r>
                </w:p>
              </w:tc>
              <w:tc>
                <w:tcPr>
                  <w:tcW w:w="979" w:type="dxa"/>
                  <w:vAlign w:val="top"/>
                </w:tcPr>
                <w:p w14:paraId="45EE882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B81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6B9A857E">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602E08F9">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1D4A4063">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8.矿产能源发展区应在符合国家产业政策的前提下，依法依规办理用地手续，在符合矿产资源总体规划的前提下合理开采，促进土地集约节约利用，保护区域生态环境，避免造成地质灾害。</w:t>
                  </w:r>
                </w:p>
              </w:tc>
              <w:tc>
                <w:tcPr>
                  <w:tcW w:w="2757" w:type="dxa"/>
                  <w:shd w:val="clear" w:color="auto" w:fill="auto"/>
                  <w:vAlign w:val="top"/>
                </w:tcPr>
                <w:p w14:paraId="40393A4F">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8.本工程为风力发电项目，不涉及矿产行业。</w:t>
                  </w:r>
                </w:p>
              </w:tc>
              <w:tc>
                <w:tcPr>
                  <w:tcW w:w="979" w:type="dxa"/>
                  <w:vAlign w:val="top"/>
                </w:tcPr>
                <w:p w14:paraId="125C923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CD0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262B5859">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04DF3ABD">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0C6D06DB">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9.到2025年，全市</w:t>
                  </w:r>
                  <w:r>
                    <w:rPr>
                      <w:rFonts w:hint="eastAsia" w:ascii="Times New Roman" w:hAnsi="Times New Roman" w:cs="Times New Roman"/>
                      <w:color w:val="auto"/>
                      <w:w w:val="90"/>
                      <w:highlight w:val="none"/>
                      <w:lang w:eastAsia="zh-CN"/>
                    </w:rPr>
                    <w:t>规模</w:t>
                  </w:r>
                  <w:r>
                    <w:rPr>
                      <w:rFonts w:hint="default" w:ascii="Times New Roman" w:hAnsi="Times New Roman" w:cs="Times New Roman"/>
                      <w:color w:val="auto"/>
                      <w:w w:val="90"/>
                      <w:highlight w:val="none"/>
                    </w:rPr>
                    <w:t>以上工业单位增加值能耗下降16%，万元工业增加值用水量下降16%，重点耗能行业能效达到标杆水平的比例超过30%。</w:t>
                  </w:r>
                </w:p>
              </w:tc>
              <w:tc>
                <w:tcPr>
                  <w:tcW w:w="2757" w:type="dxa"/>
                  <w:shd w:val="clear" w:color="auto" w:fill="auto"/>
                  <w:vAlign w:val="top"/>
                </w:tcPr>
                <w:p w14:paraId="08D48EE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9.本工程为风力发电项目，不涉及规模化以上工业及重点耗能行业。</w:t>
                  </w:r>
                </w:p>
              </w:tc>
              <w:tc>
                <w:tcPr>
                  <w:tcW w:w="979" w:type="dxa"/>
                  <w:vAlign w:val="top"/>
                </w:tcPr>
                <w:p w14:paraId="6B85DC99">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3DD89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019D78F4">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2EA6C08A">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7EC0C5F4">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10.加强南盘江、牛栏江等岸线保护，强化九龙河（麒麟段、罗平段、陆良段、富源段）、牛栏江（会泽段、沾益段、宣威段）、清水江（罗平段、师宗段），宣威市窑上海子、北盘江、可渡河、拖长江、西泽河、以那河，马龙区马龙河，师宗县甸溪河、篆长河，</w:t>
                  </w:r>
                  <w:r>
                    <w:rPr>
                      <w:rFonts w:hint="default" w:ascii="Times New Roman" w:hAnsi="Times New Roman" w:cs="Times New Roman"/>
                      <w:color w:val="auto"/>
                      <w:w w:val="90"/>
                      <w:highlight w:val="none"/>
                      <w:lang w:eastAsia="zh-CN"/>
                    </w:rPr>
                    <w:t>宣威市</w:t>
                  </w:r>
                  <w:r>
                    <w:rPr>
                      <w:rFonts w:hint="default" w:ascii="Times New Roman" w:hAnsi="Times New Roman" w:cs="Times New Roman"/>
                      <w:color w:val="auto"/>
                      <w:w w:val="90"/>
                      <w:highlight w:val="none"/>
                    </w:rPr>
                    <w:t>、小黄泥河，会泽县以礼河、硝厂河、小江等河湖岸线保护与管控。</w:t>
                  </w:r>
                </w:p>
              </w:tc>
              <w:tc>
                <w:tcPr>
                  <w:tcW w:w="2757" w:type="dxa"/>
                  <w:shd w:val="clear" w:color="auto" w:fill="auto"/>
                  <w:vAlign w:val="top"/>
                </w:tcPr>
                <w:p w14:paraId="6FB507A5">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10.本工程为风力发电项目，不属于“高污染、高环境风险”行业项目，不会对南盘江、牛栏江等岸线造成影响。</w:t>
                  </w:r>
                </w:p>
              </w:tc>
              <w:tc>
                <w:tcPr>
                  <w:tcW w:w="979" w:type="dxa"/>
                  <w:vAlign w:val="top"/>
                </w:tcPr>
                <w:p w14:paraId="729DB0EE">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68B2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7" w:type="dxa"/>
                  <w:vMerge w:val="continue"/>
                  <w:vAlign w:val="top"/>
                </w:tcPr>
                <w:p w14:paraId="4ABB8FB7">
                  <w:pPr>
                    <w:pStyle w:val="28"/>
                    <w:bidi w:val="0"/>
                    <w:jc w:val="both"/>
                    <w:rPr>
                      <w:rFonts w:hint="default" w:ascii="Times New Roman" w:hAnsi="Times New Roman" w:cs="Times New Roman"/>
                      <w:color w:val="auto"/>
                      <w:w w:val="90"/>
                      <w:highlight w:val="none"/>
                      <w:lang w:val="en-US" w:eastAsia="zh-CN"/>
                    </w:rPr>
                  </w:pPr>
                </w:p>
              </w:tc>
              <w:tc>
                <w:tcPr>
                  <w:tcW w:w="1091" w:type="dxa"/>
                  <w:vMerge w:val="continue"/>
                  <w:vAlign w:val="top"/>
                </w:tcPr>
                <w:p w14:paraId="05905C65">
                  <w:pPr>
                    <w:pStyle w:val="28"/>
                    <w:bidi w:val="0"/>
                    <w:jc w:val="both"/>
                    <w:rPr>
                      <w:rFonts w:hint="default" w:ascii="Times New Roman" w:hAnsi="Times New Roman" w:cs="Times New Roman"/>
                      <w:color w:val="auto"/>
                      <w:w w:val="90"/>
                      <w:highlight w:val="none"/>
                      <w:lang w:val="en-US" w:eastAsia="zh-CN"/>
                    </w:rPr>
                  </w:pPr>
                </w:p>
              </w:tc>
              <w:tc>
                <w:tcPr>
                  <w:tcW w:w="2261" w:type="dxa"/>
                  <w:vAlign w:val="top"/>
                </w:tcPr>
                <w:p w14:paraId="00136692">
                  <w:pPr>
                    <w:pStyle w:val="28"/>
                    <w:bidi w:val="0"/>
                    <w:jc w:val="both"/>
                    <w:rPr>
                      <w:rFonts w:hint="default" w:ascii="Times New Roman" w:hAnsi="Times New Roman" w:eastAsia="宋体" w:cs="Times New Roman"/>
                      <w:color w:val="auto"/>
                      <w:w w:val="90"/>
                      <w:highlight w:val="none"/>
                      <w:lang w:val="en-US" w:eastAsia="zh-CN"/>
                    </w:rPr>
                  </w:pPr>
                  <w:r>
                    <w:rPr>
                      <w:rFonts w:hint="default" w:ascii="Times New Roman" w:hAnsi="Times New Roman" w:cs="Times New Roman"/>
                      <w:color w:val="auto"/>
                      <w:w w:val="90"/>
                      <w:highlight w:val="none"/>
                    </w:rPr>
                    <w:t>11.在禁燃区内，禁止销售、燃用高污染燃料；禁止新建、扩建燃用高污染燃料的设施，已建成的，应当在规定的期限内改用天然气、液化石油气、电或者其他清洁能源。</w:t>
                  </w:r>
                </w:p>
              </w:tc>
              <w:tc>
                <w:tcPr>
                  <w:tcW w:w="2757" w:type="dxa"/>
                  <w:shd w:val="clear" w:color="auto" w:fill="auto"/>
                  <w:vAlign w:val="top"/>
                </w:tcPr>
                <w:p w14:paraId="703CCB8A">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rPr>
                    <w:t>11.本工程为风力发电项目，不涉及销售、燃用高污染燃料，不属于新建、扩建燃用高污染燃料的设施。</w:t>
                  </w:r>
                </w:p>
              </w:tc>
              <w:tc>
                <w:tcPr>
                  <w:tcW w:w="979" w:type="dxa"/>
                  <w:vAlign w:val="top"/>
                </w:tcPr>
                <w:p w14:paraId="28EEAD27">
                  <w:pPr>
                    <w:pStyle w:val="28"/>
                    <w:bidi w:val="0"/>
                    <w:jc w:val="both"/>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bl>
          <w:p w14:paraId="2E83F7A5">
            <w:pPr>
              <w:pStyle w:val="49"/>
              <w:bidi w:val="0"/>
              <w:rPr>
                <w:rFonts w:hint="default" w:ascii="Times New Roman" w:hAnsi="Times New Roman" w:cs="Times New Roman"/>
                <w:color w:val="auto"/>
                <w:highlight w:val="none"/>
              </w:rPr>
            </w:pPr>
          </w:p>
          <w:p w14:paraId="20DD63EC">
            <w:pPr>
              <w:pStyle w:val="49"/>
              <w:bidi w:val="0"/>
              <w:rPr>
                <w:rFonts w:hint="default" w:ascii="Times New Roman" w:hAnsi="Times New Roman" w:cs="Times New Roman"/>
                <w:color w:val="auto"/>
                <w:highlight w:val="none"/>
              </w:rPr>
            </w:pPr>
          </w:p>
          <w:p w14:paraId="6E40282B">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项目与</w:t>
            </w:r>
            <w:r>
              <w:rPr>
                <w:rFonts w:hint="default" w:ascii="Times New Roman" w:hAnsi="Times New Roman" w:eastAsia="宋体" w:cs="Times New Roman"/>
                <w:color w:val="auto"/>
                <w:highlight w:val="none"/>
              </w:rPr>
              <w:t>曲靖市优先保护单元生态环境准入清单的符合</w:t>
            </w:r>
            <w:r>
              <w:rPr>
                <w:rFonts w:hint="default" w:ascii="Times New Roman" w:hAnsi="Times New Roman" w:cs="Times New Roman"/>
                <w:color w:val="auto"/>
                <w:highlight w:val="none"/>
              </w:rPr>
              <w:t>性分析</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982"/>
              <w:gridCol w:w="2411"/>
              <w:gridCol w:w="2752"/>
              <w:gridCol w:w="965"/>
            </w:tblGrid>
            <w:tr w14:paraId="3925E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dxa"/>
                  <w:shd w:val="clear" w:color="auto" w:fill="auto"/>
                  <w:vAlign w:val="top"/>
                </w:tcPr>
                <w:p w14:paraId="6D505C70">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单元分类</w:t>
                  </w:r>
                </w:p>
              </w:tc>
              <w:tc>
                <w:tcPr>
                  <w:tcW w:w="982" w:type="dxa"/>
                  <w:shd w:val="clear" w:color="auto" w:fill="auto"/>
                  <w:vAlign w:val="top"/>
                </w:tcPr>
                <w:p w14:paraId="6BB20F72">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单元名称</w:t>
                  </w:r>
                </w:p>
              </w:tc>
              <w:tc>
                <w:tcPr>
                  <w:tcW w:w="2411" w:type="dxa"/>
                  <w:shd w:val="clear" w:color="auto" w:fill="auto"/>
                  <w:vAlign w:val="top"/>
                </w:tcPr>
                <w:p w14:paraId="53E9E944">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管控要求</w:t>
                  </w:r>
                </w:p>
              </w:tc>
              <w:tc>
                <w:tcPr>
                  <w:tcW w:w="2752" w:type="dxa"/>
                  <w:shd w:val="clear" w:color="auto" w:fill="auto"/>
                  <w:vAlign w:val="top"/>
                </w:tcPr>
                <w:p w14:paraId="04FCC942">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项目情况</w:t>
                  </w:r>
                </w:p>
              </w:tc>
              <w:tc>
                <w:tcPr>
                  <w:tcW w:w="965" w:type="dxa"/>
                  <w:shd w:val="clear" w:color="auto" w:fill="auto"/>
                  <w:vAlign w:val="top"/>
                </w:tcPr>
                <w:p w14:paraId="7EF32F96">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符合性</w:t>
                  </w:r>
                </w:p>
              </w:tc>
            </w:tr>
            <w:tr w14:paraId="34D1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dxa"/>
                  <w:vMerge w:val="restart"/>
                </w:tcPr>
                <w:p w14:paraId="6569BDBC">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各县（市、区）优先保护单元</w:t>
                  </w:r>
                </w:p>
              </w:tc>
              <w:tc>
                <w:tcPr>
                  <w:tcW w:w="982" w:type="dxa"/>
                </w:tcPr>
                <w:p w14:paraId="25813449">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各县（市、区）</w:t>
                  </w:r>
                  <w:bookmarkStart w:id="10" w:name="_Hlk156394094"/>
                  <w:r>
                    <w:rPr>
                      <w:rFonts w:hint="default" w:ascii="Times New Roman" w:hAnsi="Times New Roman" w:cs="Times New Roman"/>
                      <w:color w:val="auto"/>
                      <w:w w:val="90"/>
                      <w:highlight w:val="none"/>
                      <w:lang w:val="en-US" w:eastAsia="zh-CN"/>
                    </w:rPr>
                    <w:t>生态保护红线优先保护单元</w:t>
                  </w:r>
                  <w:bookmarkEnd w:id="10"/>
                </w:p>
              </w:tc>
              <w:tc>
                <w:tcPr>
                  <w:tcW w:w="2411" w:type="dxa"/>
                </w:tcPr>
                <w:p w14:paraId="31EF920C">
                  <w:pPr>
                    <w:pStyle w:val="28"/>
                    <w:bidi w:val="0"/>
                    <w:jc w:val="both"/>
                    <w:rPr>
                      <w:rFonts w:hint="default" w:ascii="Times New Roman" w:hAnsi="Times New Roman" w:cs="Times New Roman"/>
                      <w:color w:val="auto"/>
                      <w:w w:val="90"/>
                      <w:highlight w:val="none"/>
                      <w:lang w:val="en-US" w:eastAsia="zh-CN"/>
                    </w:rPr>
                  </w:pPr>
                  <w:bookmarkStart w:id="11" w:name="_Hlk152149467"/>
                  <w:bookmarkStart w:id="12" w:name="_Hlk156394107"/>
                  <w:r>
                    <w:rPr>
                      <w:rFonts w:hint="default" w:ascii="Times New Roman" w:hAnsi="Times New Roman" w:cs="Times New Roman"/>
                      <w:color w:val="auto"/>
                      <w:w w:val="90"/>
                      <w:highlight w:val="none"/>
                      <w:lang w:val="en-US" w:eastAsia="zh-CN"/>
                    </w:rPr>
                    <w:t>按</w:t>
                  </w:r>
                  <w:bookmarkStart w:id="13" w:name="_Hlk152149441"/>
                  <w:r>
                    <w:rPr>
                      <w:rFonts w:hint="default" w:ascii="Times New Roman" w:hAnsi="Times New Roman" w:cs="Times New Roman"/>
                      <w:color w:val="auto"/>
                      <w:w w:val="90"/>
                      <w:highlight w:val="none"/>
                      <w:lang w:val="en-US" w:eastAsia="zh-CN"/>
                    </w:rPr>
                    <w:t>《自然资源部生态环境部国家林业和草原局关于加强生态保护红线管理的通知（试行）》（自然资发〔2022〕142号）和《云南省自然资源厅云南省生态环境厅云南省林业和草原局关于加强生态保护红线管理工作的通知》（云自然资﹝2023﹞98号）</w:t>
                  </w:r>
                  <w:bookmarkEnd w:id="13"/>
                  <w:r>
                    <w:rPr>
                      <w:rFonts w:hint="default" w:ascii="Times New Roman" w:hAnsi="Times New Roman" w:cs="Times New Roman"/>
                      <w:color w:val="auto"/>
                      <w:w w:val="90"/>
                      <w:highlight w:val="none"/>
                      <w:lang w:val="en-US" w:eastAsia="zh-CN"/>
                    </w:rPr>
                    <w:t>执行。</w:t>
                  </w:r>
                  <w:bookmarkEnd w:id="11"/>
                  <w:r>
                    <w:rPr>
                      <w:rFonts w:hint="default" w:ascii="Times New Roman" w:hAnsi="Times New Roman" w:cs="Times New Roman"/>
                      <w:color w:val="auto"/>
                      <w:w w:val="90"/>
                      <w:highlight w:val="none"/>
                      <w:lang w:val="en-US" w:eastAsia="zh-CN"/>
                    </w:rPr>
                    <w:t>后续若国家和省生态保护红线相关管控政策发生调整，按调整后的管控办法执行。</w:t>
                  </w:r>
                  <w:bookmarkEnd w:id="12"/>
                  <w:bookmarkStart w:id="14" w:name="_Hlk156394308"/>
                  <w:r>
                    <w:rPr>
                      <w:rFonts w:hint="default" w:ascii="Times New Roman" w:hAnsi="Times New Roman" w:cs="Times New Roman"/>
                      <w:color w:val="auto"/>
                      <w:w w:val="90"/>
                      <w:highlight w:val="none"/>
                      <w:lang w:val="en-US" w:eastAsia="zh-CN"/>
                    </w:rPr>
                    <w:t>自然保护地优化整合成果获批前，按现行有效法律法规管理。</w:t>
                  </w:r>
                  <w:bookmarkEnd w:id="14"/>
                </w:p>
              </w:tc>
              <w:tc>
                <w:tcPr>
                  <w:tcW w:w="2752" w:type="dxa"/>
                  <w:shd w:val="clear" w:color="auto" w:fill="auto"/>
                  <w:vAlign w:val="top"/>
                </w:tcPr>
                <w:p w14:paraId="19772A60">
                  <w:pPr>
                    <w:pStyle w:val="45"/>
                    <w:spacing w:before="78" w:line="229" w:lineRule="auto"/>
                    <w:ind w:left="0" w:leftChars="0" w:right="98" w:rightChars="0" w:firstLine="0" w:firstLineChars="0"/>
                    <w:jc w:val="both"/>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本项目不在生态保护红线内设置临时和永久占地。建设单位在建设过程中严格控制施工范围，严禁进入生态保护红线设置施工营地、严禁在生态保护红线内排放废水及固体废物等。项目的建设符合《自然资源部生态环境部国家林业和草原局关于加强生态保护红线管理的通知（试行）》（自然资发〔2022〕142号）和《云南省自然资源厅云南省生态环境厅云南省林业和草原局关于加强生态保护红线管理工作的通知》（云自然资﹝2023﹞98号）相关规定。</w:t>
                  </w:r>
                </w:p>
              </w:tc>
              <w:tc>
                <w:tcPr>
                  <w:tcW w:w="965" w:type="dxa"/>
                </w:tcPr>
                <w:p w14:paraId="4AC227D1">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5CBC0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4" w:hRule="atLeast"/>
                <w:jc w:val="center"/>
              </w:trPr>
              <w:tc>
                <w:tcPr>
                  <w:tcW w:w="995" w:type="dxa"/>
                  <w:vMerge w:val="continue"/>
                </w:tcPr>
                <w:p w14:paraId="6F315975">
                  <w:pPr>
                    <w:pStyle w:val="28"/>
                    <w:bidi w:val="0"/>
                    <w:jc w:val="left"/>
                    <w:rPr>
                      <w:rFonts w:hint="default" w:ascii="Times New Roman" w:hAnsi="Times New Roman" w:cs="Times New Roman"/>
                      <w:color w:val="auto"/>
                      <w:w w:val="90"/>
                      <w:highlight w:val="none"/>
                      <w:lang w:val="en-US" w:eastAsia="zh-CN"/>
                    </w:rPr>
                  </w:pPr>
                </w:p>
              </w:tc>
              <w:tc>
                <w:tcPr>
                  <w:tcW w:w="982" w:type="dxa"/>
                  <w:vMerge w:val="restart"/>
                </w:tcPr>
                <w:p w14:paraId="59F1300B">
                  <w:pPr>
                    <w:pStyle w:val="28"/>
                    <w:bidi w:val="0"/>
                    <w:jc w:val="left"/>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各县（市、区）</w:t>
                  </w:r>
                  <w:bookmarkStart w:id="15" w:name="_Hlk156394131"/>
                  <w:r>
                    <w:rPr>
                      <w:rFonts w:hint="default" w:ascii="Times New Roman" w:hAnsi="Times New Roman" w:cs="Times New Roman"/>
                      <w:color w:val="auto"/>
                      <w:w w:val="90"/>
                      <w:highlight w:val="none"/>
                      <w:lang w:val="en-US" w:eastAsia="zh-CN"/>
                    </w:rPr>
                    <w:t>一般生态空间优先保护单元</w:t>
                  </w:r>
                  <w:bookmarkEnd w:id="15"/>
                </w:p>
              </w:tc>
              <w:tc>
                <w:tcPr>
                  <w:tcW w:w="2411" w:type="dxa"/>
                </w:tcPr>
                <w:p w14:paraId="23C42273">
                  <w:pPr>
                    <w:pStyle w:val="28"/>
                    <w:bidi w:val="0"/>
                    <w:jc w:val="left"/>
                    <w:rPr>
                      <w:rFonts w:hint="default" w:ascii="Times New Roman" w:hAnsi="Times New Roman" w:cs="Times New Roman"/>
                      <w:color w:val="auto"/>
                      <w:w w:val="90"/>
                      <w:highlight w:val="none"/>
                      <w:lang w:val="en-US" w:eastAsia="zh-CN"/>
                    </w:rPr>
                  </w:pPr>
                  <w:bookmarkStart w:id="16" w:name="_Hlk156319677"/>
                  <w:r>
                    <w:rPr>
                      <w:rFonts w:hint="default" w:ascii="Times New Roman" w:hAnsi="Times New Roman" w:cs="Times New Roman"/>
                      <w:color w:val="auto"/>
                      <w:w w:val="90"/>
                      <w:highlight w:val="none"/>
                      <w:lang w:val="en-US" w:eastAsia="zh-CN"/>
                    </w:rPr>
                    <w:t>1.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w:t>
                  </w:r>
                  <w:bookmarkEnd w:id="16"/>
                  <w:r>
                    <w:rPr>
                      <w:rFonts w:hint="default" w:ascii="Times New Roman" w:hAnsi="Times New Roman" w:cs="Times New Roman"/>
                      <w:color w:val="auto"/>
                      <w:w w:val="90"/>
                      <w:highlight w:val="none"/>
                      <w:lang w:val="en-US" w:eastAsia="zh-CN"/>
                    </w:rPr>
                    <w:t>。</w:t>
                  </w:r>
                </w:p>
              </w:tc>
              <w:tc>
                <w:tcPr>
                  <w:tcW w:w="2752" w:type="dxa"/>
                  <w:shd w:val="clear" w:color="auto" w:fill="auto"/>
                  <w:vAlign w:val="top"/>
                </w:tcPr>
                <w:p w14:paraId="0476C906">
                  <w:pPr>
                    <w:pStyle w:val="45"/>
                    <w:spacing w:before="61" w:line="228" w:lineRule="auto"/>
                    <w:ind w:left="0" w:leftChars="0" w:right="98" w:rightChars="0" w:firstLine="0" w:firstLineChars="0"/>
                    <w:jc w:val="both"/>
                    <w:rPr>
                      <w:rFonts w:hint="default" w:ascii="Times New Roman" w:hAnsi="Times New Roman" w:eastAsia="宋体" w:cs="Times New Roman"/>
                      <w:color w:val="auto"/>
                      <w:w w:val="90"/>
                      <w:kern w:val="0"/>
                      <w:sz w:val="21"/>
                      <w:szCs w:val="21"/>
                      <w:highlight w:val="none"/>
                      <w:lang w:val="en-US" w:eastAsia="zh-CN" w:bidi="ar-SA"/>
                    </w:rPr>
                  </w:pPr>
                  <w:r>
                    <w:rPr>
                      <w:rFonts w:hint="eastAsia" w:ascii="Times New Roman" w:hAnsi="Times New Roman" w:cs="Times New Roman"/>
                      <w:color w:val="auto"/>
                      <w:w w:val="90"/>
                      <w:kern w:val="0"/>
                      <w:sz w:val="21"/>
                      <w:szCs w:val="21"/>
                      <w:highlight w:val="none"/>
                      <w:lang w:val="en-US" w:eastAsia="zh-CN" w:bidi="ar-SA"/>
                    </w:rPr>
                    <w:t>1.</w:t>
                  </w:r>
                  <w:r>
                    <w:rPr>
                      <w:rFonts w:hint="default" w:ascii="Times New Roman" w:hAnsi="Times New Roman" w:eastAsia="宋体" w:cs="Times New Roman"/>
                      <w:color w:val="auto"/>
                      <w:w w:val="90"/>
                      <w:kern w:val="0"/>
                      <w:sz w:val="21"/>
                      <w:szCs w:val="21"/>
                      <w:highlight w:val="none"/>
                      <w:lang w:val="en-US" w:eastAsia="zh-CN" w:bidi="ar-SA"/>
                    </w:rPr>
                    <w:t>本项目为风力发电项目，参考《云南省主体功能区规划》中重点生态功能区的开发和管制原则，项目已尽可能减少对自然生态系统的干扰，不损害生态系统的稳定和完整性；项目已尽量节约用地，将用地控制在尽可能小的空间范围之内。且项目不涉及过度垦殖、放牧、采伐、取水、渔猎、旅游等对生态功能造成损害的行业。</w:t>
                  </w:r>
                </w:p>
              </w:tc>
              <w:tc>
                <w:tcPr>
                  <w:tcW w:w="965" w:type="dxa"/>
                </w:tcPr>
                <w:p w14:paraId="2DB90190">
                  <w:pPr>
                    <w:pStyle w:val="28"/>
                    <w:bidi w:val="0"/>
                    <w:jc w:val="left"/>
                    <w:rPr>
                      <w:rFonts w:hint="default" w:ascii="Times New Roman" w:hAnsi="Times New Roman" w:cs="Times New Roman"/>
                      <w:color w:val="auto"/>
                      <w:w w:val="90"/>
                      <w:highlight w:val="none"/>
                      <w:lang w:val="en-US" w:eastAsia="zh-CN"/>
                    </w:rPr>
                  </w:pPr>
                </w:p>
              </w:tc>
            </w:tr>
            <w:tr w14:paraId="6C63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995" w:type="dxa"/>
                  <w:vMerge w:val="continue"/>
                </w:tcPr>
                <w:p w14:paraId="1E773BF2">
                  <w:pPr>
                    <w:pStyle w:val="28"/>
                    <w:bidi w:val="0"/>
                    <w:jc w:val="left"/>
                    <w:rPr>
                      <w:rFonts w:hint="default" w:ascii="Times New Roman" w:hAnsi="Times New Roman" w:cs="Times New Roman"/>
                      <w:color w:val="auto"/>
                      <w:w w:val="90"/>
                      <w:highlight w:val="none"/>
                      <w:lang w:val="en-US" w:eastAsia="zh-CN"/>
                    </w:rPr>
                  </w:pPr>
                </w:p>
              </w:tc>
              <w:tc>
                <w:tcPr>
                  <w:tcW w:w="982" w:type="dxa"/>
                  <w:vMerge w:val="continue"/>
                </w:tcPr>
                <w:p w14:paraId="7763360D">
                  <w:pPr>
                    <w:pStyle w:val="28"/>
                    <w:bidi w:val="0"/>
                    <w:jc w:val="left"/>
                    <w:rPr>
                      <w:rFonts w:hint="default" w:ascii="Times New Roman" w:hAnsi="Times New Roman" w:cs="Times New Roman"/>
                      <w:color w:val="auto"/>
                      <w:w w:val="90"/>
                      <w:highlight w:val="none"/>
                      <w:lang w:val="en-US" w:eastAsia="zh-CN"/>
                    </w:rPr>
                  </w:pPr>
                </w:p>
              </w:tc>
              <w:tc>
                <w:tcPr>
                  <w:tcW w:w="2411" w:type="dxa"/>
                </w:tcPr>
                <w:p w14:paraId="2B26C53C">
                  <w:pPr>
                    <w:pStyle w:val="28"/>
                    <w:bidi w:val="0"/>
                    <w:jc w:val="left"/>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2.暂未纳入生态保护红线的自然保护地按照相关保护地法律法规进行管理；自然保护地优化整合成果获批前，按现行有效法律法规管理。重要湿地依据《湿地保护管理规定》《云南省湿地保护条例》《云南省人民政府关于加强湿地保护工作的意见》等进行管理；生态公益林依据《国家级公益林管理办法》《云南省地方公益林管理办法》进行管理；天然林依据《</w:t>
                  </w:r>
                  <w:r>
                    <w:rPr>
                      <w:rFonts w:hint="eastAsia" w:ascii="Times New Roman" w:hAnsi="Times New Roman" w:cs="Times New Roman"/>
                      <w:color w:val="auto"/>
                      <w:w w:val="90"/>
                      <w:highlight w:val="none"/>
                      <w:lang w:val="en-US" w:eastAsia="zh-CN"/>
                    </w:rPr>
                    <w:t>国家林业和草原局</w:t>
                  </w:r>
                  <w:r>
                    <w:rPr>
                      <w:rFonts w:hint="default" w:ascii="Times New Roman" w:hAnsi="Times New Roman" w:cs="Times New Roman"/>
                      <w:color w:val="auto"/>
                      <w:w w:val="90"/>
                      <w:highlight w:val="none"/>
                      <w:lang w:val="en-US" w:eastAsia="zh-CN"/>
                    </w:rPr>
                    <w:t>关于严格保护天然林的通知》（林资发〔2015〕181号）、《</w:t>
                  </w:r>
                  <w:r>
                    <w:rPr>
                      <w:rFonts w:hint="eastAsia" w:ascii="Times New Roman" w:hAnsi="Times New Roman" w:cs="Times New Roman"/>
                      <w:color w:val="auto"/>
                      <w:w w:val="90"/>
                      <w:highlight w:val="none"/>
                      <w:lang w:val="en-US" w:eastAsia="zh-CN"/>
                    </w:rPr>
                    <w:t>中共中央办公厅、国务院办公厅</w:t>
                  </w:r>
                  <w:r>
                    <w:rPr>
                      <w:rFonts w:hint="default" w:ascii="Times New Roman" w:hAnsi="Times New Roman" w:cs="Times New Roman"/>
                      <w:color w:val="auto"/>
                      <w:w w:val="90"/>
                      <w:highlight w:val="none"/>
                      <w:lang w:val="en-US" w:eastAsia="zh-CN"/>
                    </w:rPr>
                    <w:t>印发〈天然林保护修复制度方案〉的通知》（厅字〔2019〕39号）等进行管理。</w:t>
                  </w:r>
                </w:p>
              </w:tc>
              <w:tc>
                <w:tcPr>
                  <w:tcW w:w="2752" w:type="dxa"/>
                  <w:shd w:val="clear" w:color="auto" w:fill="auto"/>
                  <w:vAlign w:val="top"/>
                </w:tcPr>
                <w:p w14:paraId="5B02964D">
                  <w:pPr>
                    <w:pStyle w:val="45"/>
                    <w:spacing w:before="61" w:line="228" w:lineRule="auto"/>
                    <w:ind w:left="0" w:leftChars="0" w:right="98" w:rightChars="0" w:firstLine="0" w:firstLineChars="0"/>
                    <w:jc w:val="both"/>
                    <w:rPr>
                      <w:rFonts w:hint="default" w:ascii="Times New Roman" w:hAnsi="Times New Roman" w:eastAsia="宋体" w:cs="Times New Roman"/>
                      <w:color w:val="auto"/>
                      <w:w w:val="90"/>
                      <w:kern w:val="0"/>
                      <w:sz w:val="21"/>
                      <w:szCs w:val="21"/>
                      <w:highlight w:val="none"/>
                      <w:lang w:val="en-US" w:eastAsia="zh-CN" w:bidi="ar-SA"/>
                    </w:rPr>
                  </w:pPr>
                  <w:r>
                    <w:rPr>
                      <w:rFonts w:hint="eastAsia" w:ascii="Times New Roman" w:hAnsi="Times New Roman" w:cs="Times New Roman"/>
                      <w:color w:val="auto"/>
                      <w:w w:val="90"/>
                      <w:kern w:val="0"/>
                      <w:sz w:val="21"/>
                      <w:szCs w:val="21"/>
                      <w:highlight w:val="none"/>
                      <w:lang w:val="en-US" w:eastAsia="zh-CN" w:bidi="ar-SA"/>
                    </w:rPr>
                    <w:t>2.</w:t>
                  </w:r>
                  <w:r>
                    <w:rPr>
                      <w:rFonts w:hint="default" w:ascii="Times New Roman" w:hAnsi="Times New Roman" w:eastAsia="宋体" w:cs="Times New Roman"/>
                      <w:color w:val="auto"/>
                      <w:w w:val="90"/>
                      <w:kern w:val="0"/>
                      <w:sz w:val="21"/>
                      <w:szCs w:val="21"/>
                      <w:highlight w:val="none"/>
                      <w:lang w:val="en-US" w:eastAsia="zh-CN" w:bidi="ar-SA"/>
                    </w:rPr>
                    <w:t>根据《</w:t>
                  </w:r>
                  <w:r>
                    <w:rPr>
                      <w:rFonts w:hint="default" w:ascii="Times New Roman" w:hAnsi="Times New Roman" w:cs="Times New Roman"/>
                      <w:color w:val="auto"/>
                      <w:w w:val="90"/>
                      <w:kern w:val="0"/>
                      <w:sz w:val="21"/>
                      <w:szCs w:val="21"/>
                      <w:highlight w:val="none"/>
                      <w:lang w:val="en-US" w:eastAsia="zh-CN" w:bidi="ar-SA"/>
                    </w:rPr>
                    <w:t>宣威市林业和草原局关于海德村项目涉林草规划的审查意见</w:t>
                  </w:r>
                  <w:r>
                    <w:rPr>
                      <w:rFonts w:hint="default" w:ascii="Times New Roman" w:hAnsi="Times New Roman" w:eastAsia="宋体" w:cs="Times New Roman"/>
                      <w:color w:val="auto"/>
                      <w:w w:val="90"/>
                      <w:kern w:val="0"/>
                      <w:sz w:val="21"/>
                      <w:szCs w:val="21"/>
                      <w:highlight w:val="none"/>
                      <w:lang w:val="en-US" w:eastAsia="zh-CN" w:bidi="ar-SA"/>
                    </w:rPr>
                    <w:t>》，该项目不涉及占用各类自然保护地、天然乔木林（竹林）地</w:t>
                  </w:r>
                  <w:r>
                    <w:rPr>
                      <w:rFonts w:hint="eastAsia" w:ascii="Times New Roman" w:hAnsi="Times New Roman" w:cs="Times New Roman"/>
                      <w:color w:val="auto"/>
                      <w:w w:val="90"/>
                      <w:kern w:val="0"/>
                      <w:sz w:val="21"/>
                      <w:szCs w:val="21"/>
                      <w:highlight w:val="none"/>
                      <w:lang w:val="en-US" w:eastAsia="zh-CN" w:bidi="ar-SA"/>
                    </w:rPr>
                    <w:t>，</w:t>
                  </w:r>
                  <w:r>
                    <w:rPr>
                      <w:rFonts w:hint="default" w:ascii="Times New Roman" w:hAnsi="Times New Roman" w:cs="Times New Roman"/>
                      <w:color w:val="auto"/>
                      <w:w w:val="90"/>
                      <w:kern w:val="0"/>
                      <w:sz w:val="21"/>
                      <w:szCs w:val="21"/>
                      <w:highlight w:val="none"/>
                      <w:lang w:val="en-US" w:eastAsia="zh-CN" w:bidi="ar-SA"/>
                    </w:rPr>
                    <w:t>原则上</w:t>
                  </w:r>
                  <w:r>
                    <w:rPr>
                      <w:rFonts w:hint="default" w:ascii="Times New Roman" w:hAnsi="Times New Roman" w:eastAsia="宋体" w:cs="Times New Roman"/>
                      <w:color w:val="auto"/>
                      <w:w w:val="90"/>
                      <w:kern w:val="0"/>
                      <w:sz w:val="21"/>
                      <w:szCs w:val="21"/>
                      <w:highlight w:val="none"/>
                      <w:lang w:val="en-US" w:eastAsia="zh-CN" w:bidi="ar-SA"/>
                    </w:rPr>
                    <w:t>同意项目选址，</w:t>
                  </w:r>
                  <w:r>
                    <w:rPr>
                      <w:rFonts w:hint="eastAsia" w:ascii="Times New Roman" w:hAnsi="Times New Roman" w:cs="Times New Roman"/>
                      <w:color w:val="auto"/>
                      <w:w w:val="90"/>
                      <w:kern w:val="0"/>
                      <w:sz w:val="21"/>
                      <w:szCs w:val="21"/>
                      <w:highlight w:val="none"/>
                      <w:lang w:val="en-US" w:eastAsia="zh-CN" w:bidi="ar-SA"/>
                    </w:rPr>
                    <w:t>要求</w:t>
                  </w:r>
                  <w:r>
                    <w:rPr>
                      <w:rFonts w:hint="default" w:ascii="Times New Roman" w:hAnsi="Times New Roman" w:eastAsia="宋体" w:cs="Times New Roman"/>
                      <w:color w:val="auto"/>
                      <w:w w:val="90"/>
                      <w:kern w:val="0"/>
                      <w:sz w:val="21"/>
                      <w:szCs w:val="21"/>
                      <w:highlight w:val="none"/>
                      <w:lang w:val="en-US" w:eastAsia="zh-CN" w:bidi="ar-SA"/>
                    </w:rPr>
                    <w:t>项目建设时要按相关程序依法依规办理使用手续后，方可施工。</w:t>
                  </w:r>
                </w:p>
              </w:tc>
              <w:tc>
                <w:tcPr>
                  <w:tcW w:w="965" w:type="dxa"/>
                </w:tcPr>
                <w:p w14:paraId="0AC7E7D3">
                  <w:pPr>
                    <w:pStyle w:val="28"/>
                    <w:bidi w:val="0"/>
                    <w:jc w:val="center"/>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795A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dxa"/>
                  <w:vMerge w:val="continue"/>
                </w:tcPr>
                <w:p w14:paraId="4BD266D9">
                  <w:pPr>
                    <w:pStyle w:val="28"/>
                    <w:bidi w:val="0"/>
                    <w:jc w:val="left"/>
                    <w:rPr>
                      <w:rFonts w:hint="default" w:ascii="Times New Roman" w:hAnsi="Times New Roman" w:cs="Times New Roman"/>
                      <w:color w:val="auto"/>
                      <w:w w:val="90"/>
                      <w:highlight w:val="none"/>
                      <w:lang w:val="en-US" w:eastAsia="zh-CN"/>
                    </w:rPr>
                  </w:pPr>
                </w:p>
              </w:tc>
              <w:tc>
                <w:tcPr>
                  <w:tcW w:w="982" w:type="dxa"/>
                </w:tcPr>
                <w:p w14:paraId="09615504">
                  <w:pPr>
                    <w:pStyle w:val="28"/>
                    <w:bidi w:val="0"/>
                    <w:jc w:val="left"/>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各县（市、区）</w:t>
                  </w:r>
                  <w:bookmarkStart w:id="17" w:name="_Hlk156394169"/>
                  <w:r>
                    <w:rPr>
                      <w:rFonts w:hint="default" w:ascii="Times New Roman" w:hAnsi="Times New Roman" w:cs="Times New Roman"/>
                      <w:color w:val="auto"/>
                      <w:w w:val="90"/>
                      <w:highlight w:val="none"/>
                      <w:lang w:val="en-US" w:eastAsia="zh-CN"/>
                    </w:rPr>
                    <w:t>饮用水水源地优先保护单元</w:t>
                  </w:r>
                  <w:bookmarkEnd w:id="17"/>
                </w:p>
              </w:tc>
              <w:tc>
                <w:tcPr>
                  <w:tcW w:w="2411" w:type="dxa"/>
                </w:tcPr>
                <w:p w14:paraId="4702647F">
                  <w:pPr>
                    <w:pStyle w:val="28"/>
                    <w:bidi w:val="0"/>
                    <w:jc w:val="left"/>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依据《中华人民共和国水污染防治法》《地下水管理条例》《云南省地下水管理办法》《饮用水水源保护区污染防治管理规定》《曲靖市集中式饮用水水源地保护条例》《云南省曲靖独木水库保护条例》等进行管理。</w:t>
                  </w:r>
                </w:p>
              </w:tc>
              <w:tc>
                <w:tcPr>
                  <w:tcW w:w="2752" w:type="dxa"/>
                  <w:shd w:val="clear" w:color="auto" w:fill="auto"/>
                  <w:vAlign w:val="top"/>
                </w:tcPr>
                <w:p w14:paraId="4F7AEBDE">
                  <w:pPr>
                    <w:pStyle w:val="45"/>
                    <w:spacing w:before="0" w:line="228" w:lineRule="auto"/>
                    <w:ind w:left="0" w:leftChars="0" w:right="0" w:rightChars="0" w:firstLine="0" w:firstLineChars="0"/>
                    <w:jc w:val="both"/>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根据曲靖市生态环境局</w:t>
                  </w:r>
                  <w:r>
                    <w:rPr>
                      <w:rFonts w:hint="default" w:ascii="Times New Roman" w:hAnsi="Times New Roman" w:cs="Times New Roman"/>
                      <w:color w:val="auto"/>
                      <w:w w:val="90"/>
                      <w:kern w:val="0"/>
                      <w:sz w:val="21"/>
                      <w:szCs w:val="21"/>
                      <w:highlight w:val="none"/>
                      <w:lang w:val="en-US" w:eastAsia="zh-CN" w:bidi="ar-SA"/>
                    </w:rPr>
                    <w:t>宣威市</w:t>
                  </w:r>
                  <w:r>
                    <w:rPr>
                      <w:rFonts w:hint="default" w:ascii="Times New Roman" w:hAnsi="Times New Roman" w:eastAsia="宋体" w:cs="Times New Roman"/>
                      <w:color w:val="auto"/>
                      <w:w w:val="90"/>
                      <w:kern w:val="0"/>
                      <w:sz w:val="21"/>
                      <w:szCs w:val="21"/>
                      <w:highlight w:val="none"/>
                      <w:lang w:val="en-US" w:eastAsia="zh-CN" w:bidi="ar-SA"/>
                    </w:rPr>
                    <w:t>分局意见，项目不涉及已划定的集中式饮用水源地。</w:t>
                  </w:r>
                </w:p>
              </w:tc>
              <w:tc>
                <w:tcPr>
                  <w:tcW w:w="965" w:type="dxa"/>
                </w:tcPr>
                <w:p w14:paraId="5F716A5D">
                  <w:pPr>
                    <w:pStyle w:val="28"/>
                    <w:bidi w:val="0"/>
                    <w:jc w:val="left"/>
                    <w:rPr>
                      <w:rFonts w:hint="default" w:ascii="Times New Roman" w:hAnsi="Times New Roman"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bl>
          <w:p w14:paraId="357796E8">
            <w:pPr>
              <w:pStyle w:val="8"/>
              <w:adjustRightInd w:val="0"/>
              <w:snapToGrid w:val="0"/>
              <w:spacing w:after="0" w:line="580" w:lineRule="exact"/>
              <w:ind w:left="0" w:leftChars="0"/>
              <w:jc w:val="center"/>
              <w:outlineLvl w:val="0"/>
              <w:rPr>
                <w:rFonts w:hint="default" w:ascii="Times New Roman" w:hAnsi="Times New Roman" w:cs="Times New Roman"/>
                <w:color w:val="auto"/>
                <w:highlight w:val="none"/>
              </w:rPr>
            </w:pPr>
            <w:bookmarkStart w:id="18" w:name="_Toc16442"/>
            <w:r>
              <w:rPr>
                <w:rFonts w:hint="default" w:ascii="Times New Roman" w:hAnsi="Times New Roman" w:eastAsia="宋体" w:cs="Times New Roman"/>
                <w:b/>
                <w:bCs/>
                <w:color w:val="auto"/>
                <w:spacing w:val="5"/>
                <w:kern w:val="2"/>
                <w:sz w:val="21"/>
                <w:szCs w:val="20"/>
                <w:highlight w:val="none"/>
                <w:lang w:val="en-US" w:eastAsia="en-US" w:bidi="ar-SA"/>
              </w:rPr>
              <w:t>表1-</w:t>
            </w:r>
            <w:r>
              <w:rPr>
                <w:rFonts w:hint="eastAsia" w:cs="Times New Roman"/>
                <w:b/>
                <w:bCs/>
                <w:color w:val="auto"/>
                <w:spacing w:val="5"/>
                <w:kern w:val="2"/>
                <w:sz w:val="21"/>
                <w:szCs w:val="20"/>
                <w:highlight w:val="none"/>
                <w:lang w:val="en-US" w:eastAsia="zh-CN" w:bidi="ar-SA"/>
              </w:rPr>
              <w:t>4</w:t>
            </w:r>
            <w:r>
              <w:rPr>
                <w:rFonts w:hint="default" w:ascii="Times New Roman" w:hAnsi="Times New Roman" w:eastAsia="宋体" w:cs="Times New Roman"/>
                <w:b/>
                <w:bCs/>
                <w:color w:val="auto"/>
                <w:spacing w:val="5"/>
                <w:kern w:val="2"/>
                <w:sz w:val="21"/>
                <w:szCs w:val="20"/>
                <w:highlight w:val="none"/>
                <w:lang w:val="en-US" w:eastAsia="en-US" w:bidi="ar-SA"/>
              </w:rPr>
              <w:t>项目与曲靖市一般管控单元生态环境准入清单的符合性分析</w:t>
            </w:r>
            <w:bookmarkEnd w:id="18"/>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02"/>
              <w:gridCol w:w="2193"/>
              <w:gridCol w:w="2752"/>
              <w:gridCol w:w="965"/>
            </w:tblGrid>
            <w:tr w14:paraId="52C60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shd w:val="clear" w:color="auto" w:fill="auto"/>
                  <w:vAlign w:val="top"/>
                </w:tcPr>
                <w:p w14:paraId="69BCBD2A">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单元分类</w:t>
                  </w:r>
                </w:p>
              </w:tc>
              <w:tc>
                <w:tcPr>
                  <w:tcW w:w="1102" w:type="dxa"/>
                  <w:shd w:val="clear" w:color="auto" w:fill="auto"/>
                  <w:vAlign w:val="top"/>
                </w:tcPr>
                <w:p w14:paraId="3C9091F4">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单元名称</w:t>
                  </w:r>
                </w:p>
              </w:tc>
              <w:tc>
                <w:tcPr>
                  <w:tcW w:w="2193" w:type="dxa"/>
                  <w:shd w:val="clear" w:color="auto" w:fill="auto"/>
                  <w:vAlign w:val="top"/>
                </w:tcPr>
                <w:p w14:paraId="6CE1A359">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管控要求</w:t>
                  </w:r>
                </w:p>
              </w:tc>
              <w:tc>
                <w:tcPr>
                  <w:tcW w:w="2752" w:type="dxa"/>
                  <w:shd w:val="clear" w:color="auto" w:fill="auto"/>
                  <w:vAlign w:val="top"/>
                </w:tcPr>
                <w:p w14:paraId="638A3BF0">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项目情况</w:t>
                  </w:r>
                </w:p>
              </w:tc>
              <w:tc>
                <w:tcPr>
                  <w:tcW w:w="965" w:type="dxa"/>
                  <w:shd w:val="clear" w:color="auto" w:fill="auto"/>
                  <w:vAlign w:val="top"/>
                </w:tcPr>
                <w:p w14:paraId="380BFB80">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符合性</w:t>
                  </w:r>
                </w:p>
              </w:tc>
            </w:tr>
            <w:tr w14:paraId="3E03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93" w:type="dxa"/>
                  <w:vMerge w:val="restart"/>
                </w:tcPr>
                <w:p w14:paraId="60062811">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各县（市、区）一般管控单元</w:t>
                  </w:r>
                </w:p>
              </w:tc>
              <w:tc>
                <w:tcPr>
                  <w:tcW w:w="1102" w:type="dxa"/>
                  <w:vMerge w:val="restart"/>
                </w:tcPr>
                <w:p w14:paraId="6329F87C">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空间布局约束</w:t>
                  </w:r>
                </w:p>
              </w:tc>
              <w:tc>
                <w:tcPr>
                  <w:tcW w:w="2193" w:type="dxa"/>
                </w:tcPr>
                <w:p w14:paraId="21AB1BB7">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1.加强耕地和永久基本农田保护，坚决制止耕地“非农化”、防止耕地“非粮化”。</w:t>
                  </w:r>
                </w:p>
              </w:tc>
              <w:tc>
                <w:tcPr>
                  <w:tcW w:w="2752" w:type="dxa"/>
                  <w:shd w:val="clear" w:color="auto" w:fill="auto"/>
                  <w:vAlign w:val="top"/>
                </w:tcPr>
                <w:p w14:paraId="18B4BD65">
                  <w:pPr>
                    <w:pStyle w:val="45"/>
                    <w:spacing w:before="0" w:line="245" w:lineRule="auto"/>
                    <w:ind w:left="0" w:right="0" w:firstLine="0" w:firstLineChars="0"/>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1.根据</w:t>
                  </w:r>
                  <w:r>
                    <w:rPr>
                      <w:rFonts w:hint="default" w:ascii="Times New Roman" w:hAnsi="Times New Roman" w:cs="Times New Roman"/>
                      <w:color w:val="auto"/>
                      <w:w w:val="90"/>
                      <w:kern w:val="0"/>
                      <w:sz w:val="21"/>
                      <w:szCs w:val="21"/>
                      <w:highlight w:val="none"/>
                      <w:lang w:val="en-US" w:eastAsia="zh-CN" w:bidi="ar-SA"/>
                    </w:rPr>
                    <w:t>宣威市</w:t>
                  </w:r>
                  <w:r>
                    <w:rPr>
                      <w:rFonts w:hint="default" w:ascii="Times New Roman" w:hAnsi="Times New Roman" w:eastAsia="宋体" w:cs="Times New Roman"/>
                      <w:color w:val="auto"/>
                      <w:w w:val="90"/>
                      <w:kern w:val="0"/>
                      <w:sz w:val="21"/>
                      <w:szCs w:val="21"/>
                      <w:highlight w:val="none"/>
                      <w:lang w:val="en-US" w:eastAsia="zh-CN" w:bidi="ar-SA"/>
                    </w:rPr>
                    <w:t>自然资源局查询意见，项目选址不涉及占用永久基本农田。</w:t>
                  </w:r>
                </w:p>
              </w:tc>
              <w:tc>
                <w:tcPr>
                  <w:tcW w:w="965" w:type="dxa"/>
                </w:tcPr>
                <w:p w14:paraId="691FC9C9">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04B6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093" w:type="dxa"/>
                  <w:vMerge w:val="continue"/>
                </w:tcPr>
                <w:p w14:paraId="20C69B74">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continue"/>
                </w:tcPr>
                <w:p w14:paraId="70287BB4">
                  <w:pPr>
                    <w:pStyle w:val="28"/>
                    <w:bidi w:val="0"/>
                    <w:jc w:val="left"/>
                    <w:rPr>
                      <w:rFonts w:hint="default" w:ascii="Times New Roman" w:hAnsi="Times New Roman" w:eastAsia="宋体" w:cs="Times New Roman"/>
                      <w:color w:val="auto"/>
                      <w:w w:val="90"/>
                      <w:highlight w:val="none"/>
                      <w:lang w:val="en-US" w:eastAsia="zh-CN"/>
                    </w:rPr>
                  </w:pPr>
                </w:p>
              </w:tc>
              <w:tc>
                <w:tcPr>
                  <w:tcW w:w="2193" w:type="dxa"/>
                </w:tcPr>
                <w:p w14:paraId="4604CAE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2.禁止新建、改扩建中小水电项目，现有中小水电站应按照环评批复（环评批复未明确生态流量的根据来水量科学确定生态流量），确保连续稳定下泄生态流量。</w:t>
                  </w:r>
                </w:p>
              </w:tc>
              <w:tc>
                <w:tcPr>
                  <w:tcW w:w="2752" w:type="dxa"/>
                  <w:shd w:val="clear" w:color="auto" w:fill="auto"/>
                  <w:vAlign w:val="top"/>
                </w:tcPr>
                <w:p w14:paraId="6A72972F">
                  <w:pPr>
                    <w:pStyle w:val="45"/>
                    <w:spacing w:before="21" w:line="239" w:lineRule="auto"/>
                    <w:ind w:left="0" w:leftChars="0" w:right="98" w:rightChars="0" w:firstLine="0" w:firstLineChars="0"/>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2.本项目为风力发电项目，不属于水电项目。</w:t>
                  </w:r>
                </w:p>
              </w:tc>
              <w:tc>
                <w:tcPr>
                  <w:tcW w:w="965" w:type="dxa"/>
                </w:tcPr>
                <w:p w14:paraId="2D6D1E03">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r w14:paraId="4654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93" w:type="dxa"/>
                  <w:vMerge w:val="continue"/>
                </w:tcPr>
                <w:p w14:paraId="05BBA5BB">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restart"/>
                </w:tcPr>
                <w:p w14:paraId="2AE16789">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污染物排放管控</w:t>
                  </w:r>
                </w:p>
              </w:tc>
              <w:tc>
                <w:tcPr>
                  <w:tcW w:w="2193" w:type="dxa"/>
                </w:tcPr>
                <w:p w14:paraId="4125ACD6">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1.严禁污水灌溉，灌溉用水应满足《农田灌溉水质标准》。</w:t>
                  </w:r>
                </w:p>
              </w:tc>
              <w:tc>
                <w:tcPr>
                  <w:tcW w:w="2752" w:type="dxa"/>
                  <w:shd w:val="clear" w:color="auto" w:fill="auto"/>
                  <w:vAlign w:val="top"/>
                </w:tcPr>
                <w:p w14:paraId="0EEA05B8">
                  <w:pPr>
                    <w:pStyle w:val="45"/>
                    <w:spacing w:before="35" w:line="248" w:lineRule="auto"/>
                    <w:ind w:left="0" w:right="98" w:firstLine="0" w:firstLineChars="0"/>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1.</w:t>
                  </w:r>
                  <w:r>
                    <w:rPr>
                      <w:rFonts w:hint="default" w:ascii="Times New Roman" w:hAnsi="Times New Roman" w:cs="Times New Roman"/>
                      <w:color w:val="auto"/>
                      <w:w w:val="90"/>
                      <w:kern w:val="0"/>
                      <w:sz w:val="21"/>
                      <w:szCs w:val="21"/>
                      <w:highlight w:val="none"/>
                      <w:lang w:val="en-US" w:eastAsia="zh-CN" w:bidi="ar-SA"/>
                    </w:rPr>
                    <w:t>不涉及</w:t>
                  </w:r>
                  <w:r>
                    <w:rPr>
                      <w:rFonts w:hint="default" w:ascii="Times New Roman" w:hAnsi="Times New Roman" w:eastAsia="宋体" w:cs="Times New Roman"/>
                      <w:color w:val="auto"/>
                      <w:w w:val="90"/>
                      <w:kern w:val="0"/>
                      <w:sz w:val="21"/>
                      <w:szCs w:val="21"/>
                      <w:highlight w:val="none"/>
                      <w:lang w:val="en-US" w:eastAsia="zh-CN" w:bidi="ar-SA"/>
                    </w:rPr>
                    <w:t>。</w:t>
                  </w:r>
                </w:p>
              </w:tc>
              <w:tc>
                <w:tcPr>
                  <w:tcW w:w="965" w:type="dxa"/>
                </w:tcPr>
                <w:p w14:paraId="0D11512F">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cs="Times New Roman"/>
                      <w:color w:val="auto"/>
                      <w:w w:val="90"/>
                      <w:sz w:val="21"/>
                      <w:szCs w:val="21"/>
                      <w:highlight w:val="none"/>
                      <w:lang w:val="en-US" w:eastAsia="zh-CN"/>
                    </w:rPr>
                    <w:t>符合</w:t>
                  </w:r>
                </w:p>
              </w:tc>
            </w:tr>
            <w:tr w14:paraId="2427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093" w:type="dxa"/>
                  <w:vMerge w:val="continue"/>
                </w:tcPr>
                <w:p w14:paraId="3149E1C0">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continue"/>
                </w:tcPr>
                <w:p w14:paraId="2C8C35E5">
                  <w:pPr>
                    <w:pStyle w:val="28"/>
                    <w:bidi w:val="0"/>
                    <w:jc w:val="left"/>
                    <w:rPr>
                      <w:rFonts w:hint="default" w:ascii="Times New Roman" w:hAnsi="Times New Roman" w:eastAsia="宋体" w:cs="Times New Roman"/>
                      <w:color w:val="auto"/>
                      <w:w w:val="90"/>
                      <w:highlight w:val="none"/>
                      <w:lang w:val="en-US" w:eastAsia="zh-CN"/>
                    </w:rPr>
                  </w:pPr>
                </w:p>
              </w:tc>
              <w:tc>
                <w:tcPr>
                  <w:tcW w:w="2193" w:type="dxa"/>
                </w:tcPr>
                <w:p w14:paraId="3818A76E">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2.现有工业企业应达标排放，逐步提升清洁生产水平，减少污染物排放量。</w:t>
                  </w:r>
                </w:p>
              </w:tc>
              <w:tc>
                <w:tcPr>
                  <w:tcW w:w="2752" w:type="dxa"/>
                  <w:shd w:val="clear" w:color="auto" w:fill="auto"/>
                  <w:vAlign w:val="top"/>
                </w:tcPr>
                <w:p w14:paraId="39EE277B">
                  <w:pPr>
                    <w:pStyle w:val="45"/>
                    <w:spacing w:before="22" w:line="241" w:lineRule="auto"/>
                    <w:ind w:right="98" w:firstLine="0" w:firstLineChars="0"/>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2.本工程为风力发电项目，不涉及工业企业。</w:t>
                  </w:r>
                </w:p>
              </w:tc>
              <w:tc>
                <w:tcPr>
                  <w:tcW w:w="965" w:type="dxa"/>
                </w:tcPr>
                <w:p w14:paraId="4F345262">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cs="Times New Roman"/>
                      <w:color w:val="auto"/>
                      <w:w w:val="90"/>
                      <w:sz w:val="21"/>
                      <w:szCs w:val="21"/>
                      <w:highlight w:val="none"/>
                      <w:lang w:val="en-US" w:eastAsia="zh-CN"/>
                    </w:rPr>
                    <w:t>符合</w:t>
                  </w:r>
                </w:p>
              </w:tc>
            </w:tr>
            <w:tr w14:paraId="36C2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3" w:type="dxa"/>
                  <w:vMerge w:val="continue"/>
                </w:tcPr>
                <w:p w14:paraId="7EE2498E">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continue"/>
                </w:tcPr>
                <w:p w14:paraId="24AF081B">
                  <w:pPr>
                    <w:pStyle w:val="28"/>
                    <w:bidi w:val="0"/>
                    <w:jc w:val="left"/>
                    <w:rPr>
                      <w:rFonts w:hint="default" w:ascii="Times New Roman" w:hAnsi="Times New Roman" w:eastAsia="宋体" w:cs="Times New Roman"/>
                      <w:color w:val="auto"/>
                      <w:w w:val="90"/>
                      <w:highlight w:val="none"/>
                      <w:lang w:val="en-US" w:eastAsia="zh-CN"/>
                    </w:rPr>
                  </w:pPr>
                </w:p>
              </w:tc>
              <w:tc>
                <w:tcPr>
                  <w:tcW w:w="2193" w:type="dxa"/>
                </w:tcPr>
                <w:p w14:paraId="6F351783">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3.加强农业面源污染治理，严格控制化肥农药施用量，合理水产养殖布局，控制水产养殖污染，逐步削减农业面源污染物排放量。</w:t>
                  </w:r>
                </w:p>
              </w:tc>
              <w:tc>
                <w:tcPr>
                  <w:tcW w:w="2752" w:type="dxa"/>
                </w:tcPr>
                <w:p w14:paraId="1A2D528E">
                  <w:pPr>
                    <w:pStyle w:val="28"/>
                    <w:bidi w:val="0"/>
                    <w:jc w:val="left"/>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3.本工程为风力发电项目，不涉及农业污染、化肥施用、水产养殖等。</w:t>
                  </w:r>
                </w:p>
              </w:tc>
              <w:tc>
                <w:tcPr>
                  <w:tcW w:w="965" w:type="dxa"/>
                </w:tcPr>
                <w:p w14:paraId="44CFDA3A">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cs="Times New Roman"/>
                      <w:color w:val="auto"/>
                      <w:w w:val="90"/>
                      <w:sz w:val="21"/>
                      <w:szCs w:val="21"/>
                      <w:highlight w:val="none"/>
                      <w:lang w:val="en-US" w:eastAsia="zh-CN"/>
                    </w:rPr>
                    <w:t>符合</w:t>
                  </w:r>
                </w:p>
              </w:tc>
            </w:tr>
            <w:tr w14:paraId="2E872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093" w:type="dxa"/>
                  <w:vMerge w:val="continue"/>
                </w:tcPr>
                <w:p w14:paraId="3AA87A44">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restart"/>
                </w:tcPr>
                <w:p w14:paraId="495B3970">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环境风险防控</w:t>
                  </w:r>
                </w:p>
              </w:tc>
              <w:tc>
                <w:tcPr>
                  <w:tcW w:w="2193" w:type="dxa"/>
                </w:tcPr>
                <w:p w14:paraId="37BEB900">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1.禁止使用国家规定的禁限用农药名录中的农药。</w:t>
                  </w:r>
                </w:p>
              </w:tc>
              <w:tc>
                <w:tcPr>
                  <w:tcW w:w="2752" w:type="dxa"/>
                </w:tcPr>
                <w:p w14:paraId="02DB1988">
                  <w:pPr>
                    <w:pStyle w:val="45"/>
                    <w:spacing w:before="37" w:line="239" w:lineRule="auto"/>
                    <w:ind w:left="0" w:leftChars="0" w:right="98" w:firstLine="0" w:firstLineChars="0"/>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1.本工程为风力发电项目，不涉及农药使用。</w:t>
                  </w:r>
                </w:p>
              </w:tc>
              <w:tc>
                <w:tcPr>
                  <w:tcW w:w="965" w:type="dxa"/>
                </w:tcPr>
                <w:p w14:paraId="59D77032">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cs="Times New Roman"/>
                      <w:color w:val="auto"/>
                      <w:w w:val="90"/>
                      <w:sz w:val="21"/>
                      <w:szCs w:val="21"/>
                      <w:highlight w:val="none"/>
                      <w:lang w:val="en-US" w:eastAsia="zh-CN"/>
                    </w:rPr>
                    <w:t>符合</w:t>
                  </w:r>
                </w:p>
              </w:tc>
            </w:tr>
            <w:tr w14:paraId="6053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1093" w:type="dxa"/>
                  <w:vMerge w:val="continue"/>
                </w:tcPr>
                <w:p w14:paraId="4A2EA6C9">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continue"/>
                </w:tcPr>
                <w:p w14:paraId="5FE92C66">
                  <w:pPr>
                    <w:pStyle w:val="28"/>
                    <w:bidi w:val="0"/>
                    <w:jc w:val="left"/>
                    <w:rPr>
                      <w:rFonts w:hint="default" w:ascii="Times New Roman" w:hAnsi="Times New Roman" w:eastAsia="宋体" w:cs="Times New Roman"/>
                      <w:color w:val="auto"/>
                      <w:w w:val="90"/>
                      <w:highlight w:val="none"/>
                      <w:lang w:val="en-US" w:eastAsia="zh-CN"/>
                    </w:rPr>
                  </w:pPr>
                </w:p>
              </w:tc>
              <w:tc>
                <w:tcPr>
                  <w:tcW w:w="2193" w:type="dxa"/>
                </w:tcPr>
                <w:p w14:paraId="0DB193C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2.</w:t>
                  </w:r>
                  <w:r>
                    <w:rPr>
                      <w:rFonts w:hint="eastAsia" w:ascii="Times New Roman" w:hAnsi="Times New Roman" w:cs="Times New Roman"/>
                      <w:color w:val="auto"/>
                      <w:w w:val="90"/>
                      <w:highlight w:val="none"/>
                      <w:lang w:val="en-US" w:eastAsia="zh-CN"/>
                    </w:rPr>
                    <w:t>加强环境风险防控</w:t>
                  </w:r>
                  <w:r>
                    <w:rPr>
                      <w:rFonts w:hint="default" w:ascii="Times New Roman" w:hAnsi="Times New Roman" w:eastAsia="宋体" w:cs="Times New Roman"/>
                      <w:color w:val="auto"/>
                      <w:w w:val="90"/>
                      <w:highlight w:val="none"/>
                      <w:lang w:val="en-US" w:eastAsia="zh-CN"/>
                    </w:rPr>
                    <w:t>应急体系建设，加强环境应急预案管理，定期开展应急演练，持续开展环境安全隐患排查整治，提升应急监测能力，加强应急物资管理。</w:t>
                  </w:r>
                </w:p>
              </w:tc>
              <w:tc>
                <w:tcPr>
                  <w:tcW w:w="2752" w:type="dxa"/>
                </w:tcPr>
                <w:p w14:paraId="31910011">
                  <w:pPr>
                    <w:pStyle w:val="28"/>
                    <w:bidi w:val="0"/>
                    <w:jc w:val="left"/>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2.目前项目还未建设，待建设完毕后将制定和完善突发环境事件应急预案，加强风险防控和突发环境事件应急处理处置能力。</w:t>
                  </w:r>
                </w:p>
              </w:tc>
              <w:tc>
                <w:tcPr>
                  <w:tcW w:w="965" w:type="dxa"/>
                </w:tcPr>
                <w:p w14:paraId="4FDAF2F1">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cs="Times New Roman"/>
                      <w:color w:val="auto"/>
                      <w:w w:val="90"/>
                      <w:sz w:val="21"/>
                      <w:szCs w:val="21"/>
                      <w:highlight w:val="none"/>
                      <w:lang w:val="en-US" w:eastAsia="zh-CN"/>
                    </w:rPr>
                    <w:t>符合</w:t>
                  </w:r>
                </w:p>
              </w:tc>
            </w:tr>
            <w:tr w14:paraId="3E28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trPr>
              <w:tc>
                <w:tcPr>
                  <w:tcW w:w="1093" w:type="dxa"/>
                  <w:vMerge w:val="continue"/>
                </w:tcPr>
                <w:p w14:paraId="66551CB0">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restart"/>
                </w:tcPr>
                <w:p w14:paraId="2908478C">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资源开发效率</w:t>
                  </w:r>
                </w:p>
              </w:tc>
              <w:tc>
                <w:tcPr>
                  <w:tcW w:w="2193" w:type="dxa"/>
                </w:tcPr>
                <w:p w14:paraId="1C1A3335">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1.优化能源结构，加强能源清洁利用。</w:t>
                  </w:r>
                </w:p>
              </w:tc>
              <w:tc>
                <w:tcPr>
                  <w:tcW w:w="2752" w:type="dxa"/>
                </w:tcPr>
                <w:p w14:paraId="52418B36">
                  <w:pPr>
                    <w:pStyle w:val="45"/>
                    <w:spacing w:before="42" w:line="245" w:lineRule="auto"/>
                    <w:ind w:left="0" w:right="98" w:firstLine="0" w:firstLineChars="0"/>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1.本工程为风力发电项目，是利用风力进行发电的清洁能源开发项目，有助于优化能源结构。</w:t>
                  </w:r>
                </w:p>
                <w:p w14:paraId="63F7B8D9">
                  <w:pPr>
                    <w:pStyle w:val="28"/>
                    <w:bidi w:val="0"/>
                    <w:jc w:val="left"/>
                    <w:rPr>
                      <w:rFonts w:hint="default" w:ascii="Times New Roman" w:hAnsi="Times New Roman" w:eastAsia="宋体" w:cs="Times New Roman"/>
                      <w:color w:val="auto"/>
                      <w:w w:val="90"/>
                      <w:kern w:val="0"/>
                      <w:sz w:val="20"/>
                      <w:szCs w:val="20"/>
                      <w:highlight w:val="none"/>
                      <w:lang w:val="en-US" w:eastAsia="zh-CN" w:bidi="ar-SA"/>
                    </w:rPr>
                  </w:pPr>
                </w:p>
              </w:tc>
              <w:tc>
                <w:tcPr>
                  <w:tcW w:w="965" w:type="dxa"/>
                </w:tcPr>
                <w:p w14:paraId="58FFD892">
                  <w:pPr>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color w:val="auto"/>
                      <w:w w:val="90"/>
                      <w:sz w:val="22"/>
                      <w:szCs w:val="22"/>
                      <w:highlight w:val="none"/>
                      <w:lang w:val="en-US" w:eastAsia="zh-CN"/>
                    </w:rPr>
                  </w:pPr>
                  <w:r>
                    <w:rPr>
                      <w:rFonts w:hint="default" w:ascii="Times New Roman" w:hAnsi="Times New Roman" w:cs="Times New Roman"/>
                      <w:color w:val="auto"/>
                      <w:w w:val="90"/>
                      <w:sz w:val="22"/>
                      <w:szCs w:val="22"/>
                      <w:highlight w:val="none"/>
                      <w:lang w:val="en-US" w:eastAsia="zh-CN"/>
                    </w:rPr>
                    <w:t>符合</w:t>
                  </w:r>
                </w:p>
              </w:tc>
            </w:tr>
            <w:tr w14:paraId="3732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trPr>
              <w:tc>
                <w:tcPr>
                  <w:tcW w:w="1093" w:type="dxa"/>
                  <w:vMerge w:val="continue"/>
                </w:tcPr>
                <w:p w14:paraId="37DCB5CD">
                  <w:pPr>
                    <w:pStyle w:val="28"/>
                    <w:bidi w:val="0"/>
                    <w:jc w:val="left"/>
                    <w:rPr>
                      <w:rFonts w:hint="default" w:ascii="Times New Roman" w:hAnsi="Times New Roman" w:eastAsia="宋体" w:cs="Times New Roman"/>
                      <w:color w:val="auto"/>
                      <w:w w:val="90"/>
                      <w:highlight w:val="none"/>
                      <w:lang w:val="en-US" w:eastAsia="zh-CN"/>
                    </w:rPr>
                  </w:pPr>
                </w:p>
              </w:tc>
              <w:tc>
                <w:tcPr>
                  <w:tcW w:w="1102" w:type="dxa"/>
                  <w:vMerge w:val="continue"/>
                </w:tcPr>
                <w:p w14:paraId="665A1CC9">
                  <w:pPr>
                    <w:pStyle w:val="28"/>
                    <w:bidi w:val="0"/>
                    <w:jc w:val="left"/>
                    <w:rPr>
                      <w:rFonts w:hint="default" w:ascii="Times New Roman" w:hAnsi="Times New Roman" w:eastAsia="宋体" w:cs="Times New Roman"/>
                      <w:color w:val="auto"/>
                      <w:w w:val="90"/>
                      <w:highlight w:val="none"/>
                      <w:lang w:val="en-US" w:eastAsia="zh-CN"/>
                    </w:rPr>
                  </w:pPr>
                </w:p>
              </w:tc>
              <w:tc>
                <w:tcPr>
                  <w:tcW w:w="2193" w:type="dxa"/>
                </w:tcPr>
                <w:p w14:paraId="47DB3275">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2.提高土地利用效率，节约集约利用土地资源。</w:t>
                  </w:r>
                </w:p>
              </w:tc>
              <w:tc>
                <w:tcPr>
                  <w:tcW w:w="2752" w:type="dxa"/>
                </w:tcPr>
                <w:p w14:paraId="63999F20">
                  <w:pPr>
                    <w:pStyle w:val="28"/>
                    <w:bidi w:val="0"/>
                    <w:jc w:val="left"/>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2.本项目已优化场地布置，提高土地利用效率，项目临时占地在施工结束后均进行植被恢复，永久占地面积较小</w:t>
                  </w:r>
                </w:p>
              </w:tc>
              <w:tc>
                <w:tcPr>
                  <w:tcW w:w="965" w:type="dxa"/>
                </w:tcPr>
                <w:p w14:paraId="4CAE539B">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cs="Times New Roman"/>
                      <w:color w:val="auto"/>
                      <w:w w:val="90"/>
                      <w:highlight w:val="none"/>
                      <w:lang w:val="en-US" w:eastAsia="zh-CN"/>
                    </w:rPr>
                    <w:t>符合</w:t>
                  </w:r>
                </w:p>
              </w:tc>
            </w:tr>
          </w:tbl>
          <w:p w14:paraId="2E5AF60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spacing w:val="-1"/>
                <w:highlight w:val="none"/>
              </w:rPr>
              <w:t>由上表可知，本</w:t>
            </w:r>
            <w:r>
              <w:rPr>
                <w:rFonts w:hint="eastAsia" w:cs="Times New Roman"/>
                <w:color w:val="auto"/>
                <w:spacing w:val="-1"/>
                <w:highlight w:val="none"/>
                <w:lang w:eastAsia="zh-CN"/>
              </w:rPr>
              <w:t>项目</w:t>
            </w:r>
            <w:r>
              <w:rPr>
                <w:rFonts w:hint="default" w:ascii="Times New Roman" w:hAnsi="Times New Roman" w:cs="Times New Roman"/>
                <w:color w:val="auto"/>
                <w:spacing w:val="-1"/>
                <w:highlight w:val="none"/>
              </w:rPr>
              <w:t>建设符合《曲靖市生态环境分区管</w:t>
            </w:r>
            <w:r>
              <w:rPr>
                <w:rFonts w:hint="default" w:ascii="Times New Roman" w:hAnsi="Times New Roman" w:cs="Times New Roman"/>
                <w:color w:val="auto"/>
                <w:spacing w:val="-2"/>
                <w:highlight w:val="none"/>
              </w:rPr>
              <w:t>控动态更新方案</w:t>
            </w:r>
            <w:r>
              <w:rPr>
                <w:rFonts w:hint="default" w:ascii="Times New Roman" w:hAnsi="Times New Roman" w:cs="Times New Roman"/>
                <w:color w:val="auto"/>
                <w:spacing w:val="-1"/>
                <w:highlight w:val="none"/>
              </w:rPr>
              <w:t>（</w:t>
            </w:r>
            <w:r>
              <w:rPr>
                <w:rFonts w:hint="default" w:ascii="Times New Roman" w:hAnsi="Times New Roman" w:eastAsia="Times New Roman" w:cs="Times New Roman"/>
                <w:color w:val="auto"/>
                <w:spacing w:val="-1"/>
                <w:highlight w:val="none"/>
              </w:rPr>
              <w:t>2023</w:t>
            </w:r>
            <w:r>
              <w:rPr>
                <w:rFonts w:hint="default" w:ascii="Times New Roman" w:hAnsi="Times New Roman" w:cs="Times New Roman"/>
                <w:color w:val="auto"/>
                <w:spacing w:val="-1"/>
                <w:highlight w:val="none"/>
              </w:rPr>
              <w:t>年）》（曲环通</w:t>
            </w:r>
            <w:r>
              <w:rPr>
                <w:rFonts w:hint="default" w:ascii="Times New Roman" w:hAnsi="Times New Roman" w:eastAsia="Times New Roman" w:cs="Times New Roman"/>
                <w:color w:val="auto"/>
                <w:spacing w:val="-1"/>
                <w:highlight w:val="none"/>
              </w:rPr>
              <w:t>〔2024〕36</w:t>
            </w:r>
            <w:r>
              <w:rPr>
                <w:rFonts w:hint="default" w:ascii="Times New Roman" w:hAnsi="Times New Roman" w:cs="Times New Roman"/>
                <w:color w:val="auto"/>
                <w:spacing w:val="-1"/>
                <w:highlight w:val="none"/>
              </w:rPr>
              <w:t>号）中分区管控和生态环境准入清单要求。</w:t>
            </w:r>
          </w:p>
          <w:p w14:paraId="26F74C03">
            <w:pPr>
              <w:pStyle w:val="45"/>
              <w:spacing w:before="2" w:line="360" w:lineRule="auto"/>
              <w:ind w:left="19" w:right="12" w:hanging="4"/>
              <w:rPr>
                <w:rFonts w:hint="default" w:ascii="Times New Roman" w:hAnsi="Times New Roman" w:eastAsia="宋体" w:cs="Times New Roman"/>
                <w:b/>
                <w:bCs/>
                <w:color w:val="auto"/>
                <w:spacing w:val="-1"/>
                <w:kern w:val="2"/>
                <w:sz w:val="24"/>
                <w:szCs w:val="24"/>
                <w:highlight w:val="none"/>
                <w:lang w:val="en-US" w:eastAsia="zh-CN" w:bidi="ar-SA"/>
              </w:rPr>
            </w:pPr>
            <w:r>
              <w:rPr>
                <w:rFonts w:hint="eastAsia" w:ascii="Times New Roman" w:hAnsi="Times New Roman" w:cs="Times New Roman"/>
                <w:b/>
                <w:bCs/>
                <w:color w:val="auto"/>
                <w:spacing w:val="-1"/>
                <w:kern w:val="2"/>
                <w:sz w:val="24"/>
                <w:szCs w:val="24"/>
                <w:highlight w:val="none"/>
                <w:lang w:val="en-US" w:eastAsia="zh-CN" w:bidi="ar-SA"/>
              </w:rPr>
              <w:t>6.</w:t>
            </w:r>
            <w:r>
              <w:rPr>
                <w:rFonts w:hint="default" w:ascii="Times New Roman" w:hAnsi="Times New Roman" w:eastAsia="宋体" w:cs="Times New Roman"/>
                <w:b/>
                <w:bCs/>
                <w:color w:val="auto"/>
                <w:spacing w:val="-1"/>
                <w:kern w:val="2"/>
                <w:sz w:val="24"/>
                <w:szCs w:val="24"/>
                <w:highlight w:val="none"/>
                <w:lang w:val="en-US" w:eastAsia="zh-CN" w:bidi="ar-SA"/>
              </w:rPr>
              <w:t>项目与云南省</w:t>
            </w:r>
            <w:r>
              <w:rPr>
                <w:rFonts w:hint="eastAsia" w:ascii="Times New Roman" w:hAnsi="Times New Roman" w:cs="Times New Roman"/>
                <w:b/>
                <w:bCs/>
                <w:color w:val="auto"/>
                <w:spacing w:val="-1"/>
                <w:kern w:val="2"/>
                <w:sz w:val="24"/>
                <w:szCs w:val="24"/>
                <w:highlight w:val="none"/>
                <w:lang w:val="en-US" w:eastAsia="zh-CN" w:bidi="ar-SA"/>
              </w:rPr>
              <w:t>生态环境</w:t>
            </w:r>
            <w:r>
              <w:rPr>
                <w:rFonts w:hint="default" w:ascii="Times New Roman" w:hAnsi="Times New Roman" w:eastAsia="宋体" w:cs="Times New Roman"/>
                <w:b/>
                <w:bCs/>
                <w:color w:val="auto"/>
                <w:spacing w:val="-1"/>
                <w:kern w:val="2"/>
                <w:sz w:val="24"/>
                <w:szCs w:val="24"/>
                <w:highlight w:val="none"/>
                <w:lang w:val="en-US" w:eastAsia="zh-CN" w:bidi="ar-SA"/>
              </w:rPr>
              <w:t>厅《关于进一步加强风电建设项目环境影响评价管理工作的通知》（云环发〔2014〕50号）的符合性分析</w:t>
            </w:r>
          </w:p>
          <w:p w14:paraId="515D8A0A">
            <w:pPr>
              <w:pStyle w:val="45"/>
              <w:spacing w:before="1" w:line="356" w:lineRule="auto"/>
              <w:ind w:left="42" w:right="16" w:firstLine="409"/>
              <w:jc w:val="both"/>
              <w:rPr>
                <w:rFonts w:hint="default" w:ascii="Times New Roman" w:hAnsi="Times New Roman" w:eastAsia="宋体"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2014年5月，云南省</w:t>
            </w:r>
            <w:r>
              <w:rPr>
                <w:rFonts w:hint="eastAsia" w:ascii="Times New Roman" w:hAnsi="Times New Roman" w:cs="Times New Roman"/>
                <w:color w:val="auto"/>
                <w:spacing w:val="-1"/>
                <w:kern w:val="2"/>
                <w:sz w:val="24"/>
                <w:szCs w:val="24"/>
                <w:highlight w:val="none"/>
                <w:lang w:val="en-US" w:eastAsia="zh-CN" w:bidi="ar-SA"/>
              </w:rPr>
              <w:t>生态环境</w:t>
            </w:r>
            <w:r>
              <w:rPr>
                <w:rFonts w:hint="default" w:ascii="Times New Roman" w:hAnsi="Times New Roman" w:eastAsia="宋体" w:cs="Times New Roman"/>
                <w:color w:val="auto"/>
                <w:spacing w:val="-1"/>
                <w:kern w:val="2"/>
                <w:sz w:val="24"/>
                <w:szCs w:val="24"/>
                <w:highlight w:val="none"/>
                <w:lang w:val="en-US" w:eastAsia="zh-CN" w:bidi="ar-SA"/>
              </w:rPr>
              <w:t>厅发布了《关于进一步加强风电建设项目环境影响评价管理工作的通知》（云环发〔2014〕50号），项目与该通知符合性分析见下表。</w:t>
            </w:r>
          </w:p>
          <w:p w14:paraId="1F76474F">
            <w:pPr>
              <w:pStyle w:val="4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表1-</w:t>
            </w:r>
            <w:r>
              <w:rPr>
                <w:rFonts w:hint="eastAsia" w:ascii="Times New Roman" w:hAnsi="Times New Roman" w:cs="Times New Roman"/>
                <w:color w:val="auto"/>
                <w:highlight w:val="none"/>
                <w:lang w:val="en-US" w:eastAsia="zh-CN"/>
              </w:rPr>
              <w:t>5</w:t>
            </w:r>
            <w:r>
              <w:rPr>
                <w:rFonts w:hint="default" w:ascii="Times New Roman" w:hAnsi="Times New Roman" w:cs="Times New Roman"/>
                <w:color w:val="auto"/>
                <w:highlight w:val="none"/>
              </w:rPr>
              <w:t>与云环发〔2014〕50号文的符合性分析</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3223"/>
              <w:gridCol w:w="2817"/>
              <w:gridCol w:w="1236"/>
            </w:tblGrid>
            <w:tr w14:paraId="17F4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89C8529">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序号</w:t>
                  </w:r>
                </w:p>
              </w:tc>
              <w:tc>
                <w:tcPr>
                  <w:tcW w:w="3223" w:type="dxa"/>
                </w:tcPr>
                <w:p w14:paraId="66D9C0ED">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文件要求</w:t>
                  </w:r>
                </w:p>
              </w:tc>
              <w:tc>
                <w:tcPr>
                  <w:tcW w:w="2817" w:type="dxa"/>
                  <w:shd w:val="clear" w:color="auto" w:fill="auto"/>
                  <w:vAlign w:val="top"/>
                </w:tcPr>
                <w:p w14:paraId="5A2BE0DA">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项目情况</w:t>
                  </w:r>
                </w:p>
              </w:tc>
              <w:tc>
                <w:tcPr>
                  <w:tcW w:w="1236" w:type="dxa"/>
                  <w:shd w:val="clear" w:color="auto" w:fill="auto"/>
                  <w:vAlign w:val="top"/>
                </w:tcPr>
                <w:p w14:paraId="7FFEF837">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是否符合</w:t>
                  </w:r>
                </w:p>
              </w:tc>
            </w:tr>
            <w:tr w14:paraId="360C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713E05E">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w:t>
                  </w:r>
                </w:p>
              </w:tc>
              <w:tc>
                <w:tcPr>
                  <w:tcW w:w="3223" w:type="dxa"/>
                </w:tcPr>
                <w:p w14:paraId="03D1E18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风电建设要坚持生态优先的原则，结合国家和我省主体功能区规划、生态功能区划、云南省风电开发规划以及规划环境影响评价的有关要求，切实落实生态保护措施，科学、合理、有序地推进风电建设。</w:t>
                  </w:r>
                </w:p>
              </w:tc>
              <w:tc>
                <w:tcPr>
                  <w:tcW w:w="2817" w:type="dxa"/>
                </w:tcPr>
                <w:p w14:paraId="6195AE4C">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拟建项目符合云南省主体功能区规划，生态功能区划及云南省风电开发规划及规划环境影响评价的要求。</w:t>
                  </w:r>
                </w:p>
              </w:tc>
              <w:tc>
                <w:tcPr>
                  <w:tcW w:w="1236" w:type="dxa"/>
                </w:tcPr>
                <w:p w14:paraId="63271792">
                  <w:pPr>
                    <w:bidi w:val="0"/>
                    <w:ind w:firstLine="378" w:firstLineChars="200"/>
                    <w:jc w:val="left"/>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63915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4026323">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2</w:t>
                  </w:r>
                </w:p>
              </w:tc>
              <w:tc>
                <w:tcPr>
                  <w:tcW w:w="3223" w:type="dxa"/>
                </w:tcPr>
                <w:p w14:paraId="40F404DF">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风电建设项目要有效避让环境敏感区和重点环境保护目标，对开发与保护统筹考虑不够的、区域生态系统影响较大的、生态环保措施不落实的以及生态环境保护资金投入不足的不予审批项目环境影响评价文件。</w:t>
                  </w:r>
                </w:p>
              </w:tc>
              <w:tc>
                <w:tcPr>
                  <w:tcW w:w="2817" w:type="dxa"/>
                  <w:shd w:val="clear" w:color="auto" w:fill="auto"/>
                  <w:vAlign w:val="top"/>
                </w:tcPr>
                <w:p w14:paraId="684F0F01">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拟建项目已避让自然保护区、饮用水水源保护区、风景名胜区等生态环境敏感区，并严格要求相关生态保护措施</w:t>
                  </w:r>
                  <w:r>
                    <w:rPr>
                      <w:rFonts w:hint="eastAsia" w:ascii="Times New Roman" w:hAnsi="Times New Roman" w:cs="Times New Roman"/>
                      <w:color w:val="auto"/>
                      <w:w w:val="90"/>
                      <w:highlight w:val="none"/>
                      <w:lang w:val="en-US" w:eastAsia="zh-CN"/>
                    </w:rPr>
                    <w:t>（详见第六章节）</w:t>
                  </w:r>
                  <w:r>
                    <w:rPr>
                      <w:rFonts w:hint="default" w:ascii="Times New Roman" w:hAnsi="Times New Roman" w:eastAsia="宋体" w:cs="Times New Roman"/>
                      <w:color w:val="auto"/>
                      <w:w w:val="90"/>
                      <w:highlight w:val="none"/>
                      <w:lang w:val="en-US" w:eastAsia="zh-CN"/>
                    </w:rPr>
                    <w:t>。</w:t>
                  </w:r>
                </w:p>
              </w:tc>
              <w:tc>
                <w:tcPr>
                  <w:tcW w:w="1236" w:type="dxa"/>
                </w:tcPr>
                <w:p w14:paraId="4A118860">
                  <w:pPr>
                    <w:bidi w:val="0"/>
                    <w:ind w:firstLine="378" w:firstLineChars="200"/>
                    <w:jc w:val="left"/>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070F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3A80DD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3</w:t>
                  </w:r>
                </w:p>
              </w:tc>
              <w:tc>
                <w:tcPr>
                  <w:tcW w:w="3223" w:type="dxa"/>
                </w:tcPr>
                <w:p w14:paraId="1D5A3901">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在风电开发中，还应重点关注鸟类</w:t>
                  </w:r>
                </w:p>
                <w:p w14:paraId="1EFF689B">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迁徙通道、特有（珍稀）植物群落、自然生境等重要生态环境保护</w:t>
                  </w:r>
                  <w:r>
                    <w:rPr>
                      <w:rFonts w:hint="eastAsia" w:ascii="Times New Roman" w:hAnsi="Times New Roman" w:cs="Times New Roman"/>
                      <w:color w:val="auto"/>
                      <w:w w:val="90"/>
                      <w:highlight w:val="none"/>
                      <w:lang w:val="en-US" w:eastAsia="zh-CN"/>
                    </w:rPr>
                    <w:t>目标</w:t>
                  </w:r>
                </w:p>
                <w:p w14:paraId="75136E36">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标。</w:t>
                  </w:r>
                </w:p>
              </w:tc>
              <w:tc>
                <w:tcPr>
                  <w:tcW w:w="2817" w:type="dxa"/>
                  <w:shd w:val="clear" w:color="auto" w:fill="auto"/>
                  <w:vAlign w:val="top"/>
                </w:tcPr>
                <w:p w14:paraId="50112CF6">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项目选址不涉及云南省候鸟迁徙通道重点区域，</w:t>
                  </w:r>
                  <w:r>
                    <w:rPr>
                      <w:rFonts w:hint="eastAsia" w:ascii="Times New Roman" w:hAnsi="Times New Roman" w:eastAsia="宋体" w:cs="Times New Roman"/>
                      <w:color w:val="auto"/>
                      <w:w w:val="90"/>
                      <w:highlight w:val="none"/>
                      <w:lang w:val="en-US" w:eastAsia="zh-CN"/>
                    </w:rPr>
                    <w:t>破坏的植物群落类型，</w:t>
                  </w:r>
                  <w:r>
                    <w:rPr>
                      <w:rFonts w:hint="default" w:ascii="Times New Roman" w:hAnsi="Times New Roman" w:eastAsia="宋体" w:cs="Times New Roman"/>
                      <w:color w:val="auto"/>
                      <w:w w:val="90"/>
                      <w:highlight w:val="none"/>
                      <w:lang w:val="en-US" w:eastAsia="zh-CN"/>
                    </w:rPr>
                    <w:t>不涉及特有（珍稀）植物群落、自然生境等重要生态环境保护目标。</w:t>
                  </w:r>
                </w:p>
              </w:tc>
              <w:tc>
                <w:tcPr>
                  <w:tcW w:w="1236" w:type="dxa"/>
                </w:tcPr>
                <w:p w14:paraId="6F29CA54">
                  <w:pPr>
                    <w:bidi w:val="0"/>
                    <w:ind w:firstLine="378" w:firstLineChars="200"/>
                    <w:jc w:val="left"/>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683F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26869E5D">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4</w:t>
                  </w:r>
                </w:p>
              </w:tc>
              <w:tc>
                <w:tcPr>
                  <w:tcW w:w="3223" w:type="dxa"/>
                  <w:vAlign w:val="top"/>
                </w:tcPr>
                <w:p w14:paraId="7B65C12E">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统筹考虑风电建设项目进场道路、</w:t>
                  </w:r>
                </w:p>
                <w:p w14:paraId="770585D1">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场内道路和升压站的环境影响，将</w:t>
                  </w:r>
                </w:p>
                <w:p w14:paraId="172F3144">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上述建设内容纳入风电项目评价范围一并开展环境影响评价。</w:t>
                  </w:r>
                </w:p>
              </w:tc>
              <w:tc>
                <w:tcPr>
                  <w:tcW w:w="2817" w:type="dxa"/>
                  <w:vAlign w:val="top"/>
                </w:tcPr>
                <w:p w14:paraId="1C58C2FB">
                  <w:pPr>
                    <w:pStyle w:val="7"/>
                    <w:spacing w:line="240" w:lineRule="auto"/>
                    <w:ind w:firstLine="0" w:firstLineChars="0"/>
                    <w:rPr>
                      <w:rFonts w:hint="default" w:ascii="Times New Roman" w:hAnsi="Times New Roman" w:eastAsia="宋体" w:cs="Times New Roman"/>
                      <w:color w:val="auto"/>
                      <w:w w:val="90"/>
                      <w:highlight w:val="none"/>
                      <w:lang w:val="en-US" w:eastAsia="zh-CN"/>
                    </w:rPr>
                  </w:pPr>
                  <w:r>
                    <w:rPr>
                      <w:rFonts w:hint="default"/>
                      <w:color w:val="auto"/>
                      <w:w w:val="90"/>
                      <w:sz w:val="21"/>
                      <w:szCs w:val="21"/>
                      <w:highlight w:val="none"/>
                      <w:lang w:val="en-US" w:eastAsia="zh-CN"/>
                    </w:rPr>
                    <w:t>项目依托现有的乡村道路</w:t>
                  </w:r>
                  <w:r>
                    <w:rPr>
                      <w:rFonts w:hint="eastAsia"/>
                      <w:color w:val="auto"/>
                      <w:w w:val="90"/>
                      <w:sz w:val="21"/>
                      <w:szCs w:val="21"/>
                      <w:highlight w:val="none"/>
                      <w:lang w:val="en-US" w:eastAsia="zh-CN"/>
                    </w:rPr>
                    <w:t>及原有已建的</w:t>
                  </w:r>
                  <w:r>
                    <w:rPr>
                      <w:rFonts w:hint="default"/>
                      <w:color w:val="auto"/>
                      <w:w w:val="90"/>
                      <w:sz w:val="21"/>
                      <w:szCs w:val="21"/>
                      <w:highlight w:val="none"/>
                      <w:lang w:val="en-US" w:eastAsia="zh-CN"/>
                    </w:rPr>
                    <w:t>进场道路</w:t>
                  </w:r>
                  <w:r>
                    <w:rPr>
                      <w:rFonts w:hint="eastAsia"/>
                      <w:color w:val="auto"/>
                      <w:w w:val="90"/>
                      <w:sz w:val="21"/>
                      <w:szCs w:val="21"/>
                      <w:highlight w:val="none"/>
                      <w:lang w:val="en-US" w:eastAsia="zh-CN"/>
                    </w:rPr>
                    <w:t>，不新建道路。</w:t>
                  </w:r>
                  <w:r>
                    <w:rPr>
                      <w:rFonts w:hint="default"/>
                      <w:color w:val="auto"/>
                      <w:w w:val="90"/>
                      <w:sz w:val="21"/>
                      <w:szCs w:val="21"/>
                      <w:highlight w:val="none"/>
                      <w:lang w:val="en-US" w:eastAsia="zh-CN"/>
                    </w:rPr>
                    <w:t>项目不建设升压站，设置一个35kV开关站</w:t>
                  </w:r>
                  <w:r>
                    <w:rPr>
                      <w:rFonts w:hint="eastAsia"/>
                      <w:color w:val="auto"/>
                      <w:w w:val="90"/>
                      <w:sz w:val="21"/>
                      <w:szCs w:val="21"/>
                      <w:highlight w:val="none"/>
                      <w:lang w:val="en-US" w:eastAsia="zh-CN"/>
                    </w:rPr>
                    <w:t>。</w:t>
                  </w:r>
                </w:p>
              </w:tc>
              <w:tc>
                <w:tcPr>
                  <w:tcW w:w="1236" w:type="dxa"/>
                </w:tcPr>
                <w:p w14:paraId="4E10DFF6">
                  <w:pPr>
                    <w:bidi w:val="0"/>
                    <w:ind w:firstLine="378" w:firstLineChars="200"/>
                    <w:jc w:val="left"/>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51B8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CE1DCB1">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5</w:t>
                  </w:r>
                </w:p>
              </w:tc>
              <w:tc>
                <w:tcPr>
                  <w:tcW w:w="3223" w:type="dxa"/>
                  <w:vAlign w:val="top"/>
                </w:tcPr>
                <w:p w14:paraId="232A9333">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风电项目环评要按照《环境影响评</w:t>
                  </w:r>
                </w:p>
                <w:p w14:paraId="4765D50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价公众参与暂行办法（试行）》的要求，组织开展公众参与，编制环评报告表的风电项目要组织公众调查，收集公众调查意见。</w:t>
                  </w:r>
                </w:p>
              </w:tc>
              <w:tc>
                <w:tcPr>
                  <w:tcW w:w="2817" w:type="dxa"/>
                  <w:vAlign w:val="top"/>
                </w:tcPr>
                <w:p w14:paraId="4D9F20BC">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项目已按照《</w:t>
                  </w:r>
                  <w:r>
                    <w:rPr>
                      <w:color w:val="auto"/>
                    </w:rPr>
                    <w:t>环境影响评价公众参与办法</w:t>
                  </w:r>
                  <w:r>
                    <w:rPr>
                      <w:rFonts w:hint="default" w:ascii="Times New Roman" w:hAnsi="Times New Roman" w:eastAsia="宋体" w:cs="Times New Roman"/>
                      <w:color w:val="auto"/>
                      <w:w w:val="90"/>
                      <w:highlight w:val="none"/>
                      <w:lang w:val="en-US" w:eastAsia="zh-CN"/>
                    </w:rPr>
                    <w:t>》的要求组织开展了公众参与，并开展公众调查。</w:t>
                  </w:r>
                </w:p>
              </w:tc>
              <w:tc>
                <w:tcPr>
                  <w:tcW w:w="1236" w:type="dxa"/>
                </w:tcPr>
                <w:p w14:paraId="30FA47A8">
                  <w:pPr>
                    <w:bidi w:val="0"/>
                    <w:ind w:firstLine="378" w:firstLineChars="200"/>
                    <w:jc w:val="left"/>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r w14:paraId="7D8C4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12CA2CEA">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6</w:t>
                  </w:r>
                </w:p>
              </w:tc>
              <w:tc>
                <w:tcPr>
                  <w:tcW w:w="3223" w:type="dxa"/>
                  <w:vAlign w:val="top"/>
                </w:tcPr>
                <w:p w14:paraId="69757531">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应按照生态优先的原则，优化风机</w:t>
                  </w:r>
                </w:p>
                <w:p w14:paraId="30D9AA3E">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选址、调整布局，有效避让环境敏感</w:t>
                  </w:r>
                </w:p>
                <w:p w14:paraId="7F4975B5">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区，降低风电场对环境敏感区域等的</w:t>
                  </w:r>
                </w:p>
                <w:p w14:paraId="05D7401F">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不良环境影响。</w:t>
                  </w:r>
                </w:p>
              </w:tc>
              <w:tc>
                <w:tcPr>
                  <w:tcW w:w="2817" w:type="dxa"/>
                  <w:vAlign w:val="top"/>
                </w:tcPr>
                <w:p w14:paraId="5471438A">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项目选址已经避让自然保护区、风景名胜区等环境敏感区，并提出在工程施工过程中进一步优化施工布置及施工工艺，尽量减少占用自然植被等措施。</w:t>
                  </w:r>
                </w:p>
              </w:tc>
              <w:tc>
                <w:tcPr>
                  <w:tcW w:w="1236" w:type="dxa"/>
                </w:tcPr>
                <w:p w14:paraId="5A03DEC6">
                  <w:pPr>
                    <w:bidi w:val="0"/>
                    <w:ind w:firstLine="378" w:firstLineChars="200"/>
                    <w:jc w:val="left"/>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符合</w:t>
                  </w:r>
                </w:p>
              </w:tc>
            </w:tr>
          </w:tbl>
          <w:p w14:paraId="1D2E3F5C">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left="400" w:leftChars="0" w:right="0" w:rightChars="0"/>
              <w:textAlignment w:val="auto"/>
              <w:rPr>
                <w:rFonts w:hint="eastAsia"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7</w:t>
            </w:r>
            <w:r>
              <w:rPr>
                <w:rFonts w:hint="eastAsia" w:eastAsia="宋体" w:cs="Times New Roman"/>
                <w:b/>
                <w:bCs/>
                <w:color w:val="auto"/>
                <w:sz w:val="24"/>
                <w:szCs w:val="24"/>
                <w:highlight w:val="none"/>
                <w:lang w:val="en-US" w:eastAsia="zh-CN"/>
              </w:rPr>
              <w:t>.与《国家林业和草原局 国家能源局关于支持风电开发建设规范使用林地草地有关工作的通知》(林资规(2026)1</w:t>
            </w:r>
            <w:r>
              <w:rPr>
                <w:rFonts w:hint="eastAsia" w:cs="Times New Roman"/>
                <w:b/>
                <w:bCs/>
                <w:color w:val="auto"/>
                <w:sz w:val="24"/>
                <w:szCs w:val="24"/>
                <w:highlight w:val="none"/>
                <w:lang w:val="en-US" w:eastAsia="zh-CN"/>
              </w:rPr>
              <w:t>号）</w:t>
            </w:r>
            <w:r>
              <w:rPr>
                <w:rFonts w:hint="eastAsia" w:eastAsia="宋体" w:cs="Times New Roman"/>
                <w:b/>
                <w:bCs/>
                <w:color w:val="auto"/>
                <w:sz w:val="24"/>
                <w:szCs w:val="24"/>
                <w:highlight w:val="none"/>
                <w:lang w:val="en-US" w:eastAsia="zh-CN"/>
              </w:rPr>
              <w:t>的符合性分析</w:t>
            </w:r>
          </w:p>
          <w:p w14:paraId="6AC9E34F">
            <w:pPr>
              <w:pStyle w:val="45"/>
              <w:spacing w:before="1" w:line="356" w:lineRule="auto"/>
              <w:ind w:left="42" w:right="16" w:firstLine="409"/>
              <w:rPr>
                <w:rFonts w:hint="default" w:ascii="Times New Roman" w:hAnsi="Times New Roman" w:eastAsia="宋体" w:cs="Times New Roman"/>
                <w:b w:val="0"/>
                <w:bCs w:val="0"/>
                <w:color w:val="auto"/>
                <w:spacing w:val="-1"/>
                <w:sz w:val="24"/>
                <w:szCs w:val="24"/>
                <w:highlight w:val="none"/>
                <w:lang w:val="en-US" w:eastAsia="zh-CN"/>
              </w:rPr>
            </w:pPr>
            <w:r>
              <w:rPr>
                <w:rFonts w:hint="default" w:ascii="Times New Roman" w:hAnsi="Times New Roman" w:eastAsia="宋体" w:cs="Times New Roman"/>
                <w:b w:val="0"/>
                <w:bCs w:val="0"/>
                <w:color w:val="auto"/>
                <w:spacing w:val="-1"/>
                <w:sz w:val="24"/>
                <w:szCs w:val="24"/>
                <w:highlight w:val="none"/>
                <w:lang w:val="en-US" w:eastAsia="zh-CN"/>
              </w:rPr>
              <w:t>2026年01月29日，国家林业和草原局和国家能源局联合印发了《关于支持风电开发建设规范使用林地草地有关工作的通知》(林资规(2026)1</w:t>
            </w:r>
            <w:r>
              <w:rPr>
                <w:rFonts w:hint="eastAsia" w:ascii="Times New Roman" w:hAnsi="Times New Roman" w:cs="Times New Roman"/>
                <w:b w:val="0"/>
                <w:bCs w:val="0"/>
                <w:color w:val="auto"/>
                <w:spacing w:val="-1"/>
                <w:sz w:val="24"/>
                <w:szCs w:val="24"/>
                <w:highlight w:val="none"/>
                <w:lang w:val="en-US" w:eastAsia="zh-CN"/>
              </w:rPr>
              <w:t>号）</w:t>
            </w:r>
            <w:r>
              <w:rPr>
                <w:rFonts w:hint="default" w:ascii="Times New Roman" w:hAnsi="Times New Roman" w:eastAsia="宋体" w:cs="Times New Roman"/>
                <w:b w:val="0"/>
                <w:bCs w:val="0"/>
                <w:color w:val="auto"/>
                <w:spacing w:val="-1"/>
                <w:sz w:val="24"/>
                <w:szCs w:val="24"/>
                <w:highlight w:val="none"/>
                <w:lang w:val="en-US" w:eastAsia="zh-CN"/>
              </w:rPr>
              <w:t>，本项目建设与工作的通知》的符合性分析</w:t>
            </w:r>
            <w:r>
              <w:rPr>
                <w:rFonts w:hint="eastAsia" w:ascii="Times New Roman" w:hAnsi="Times New Roman" w:cs="Times New Roman"/>
                <w:b w:val="0"/>
                <w:bCs w:val="0"/>
                <w:color w:val="auto"/>
                <w:spacing w:val="-1"/>
                <w:sz w:val="24"/>
                <w:szCs w:val="24"/>
                <w:highlight w:val="none"/>
                <w:lang w:val="en-US" w:eastAsia="zh-CN"/>
              </w:rPr>
              <w:t>，详见下表。</w:t>
            </w:r>
          </w:p>
          <w:p w14:paraId="10DBAB84">
            <w:pPr>
              <w:pStyle w:val="49"/>
              <w:bidi w:val="0"/>
              <w:rPr>
                <w:rFonts w:hint="eastAsia" w:ascii="Times New Roman" w:hAnsi="Times New Roman" w:cs="Times New Roman"/>
                <w:color w:val="auto"/>
                <w:sz w:val="18"/>
                <w:szCs w:val="18"/>
                <w:highlight w:val="none"/>
                <w:lang w:val="en-US" w:eastAsia="zh-CN"/>
              </w:rPr>
            </w:pPr>
            <w:r>
              <w:rPr>
                <w:rFonts w:hint="eastAsia" w:ascii="Times New Roman" w:hAnsi="Times New Roman" w:cs="Times New Roman"/>
                <w:color w:val="auto"/>
                <w:sz w:val="18"/>
                <w:szCs w:val="18"/>
                <w:highlight w:val="none"/>
                <w:lang w:val="en-US" w:eastAsia="zh-CN"/>
              </w:rPr>
              <w:t>表1-6与《国家林业和草原局 国家能源局关于支持风电开发建设规范使用林地草地有关</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
              <w:gridCol w:w="3375"/>
              <w:gridCol w:w="2912"/>
              <w:gridCol w:w="1141"/>
            </w:tblGrid>
            <w:tr w14:paraId="3526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vAlign w:val="center"/>
                </w:tcPr>
                <w:p w14:paraId="76C16F19">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jc w:val="center"/>
                    <w:textAlignment w:val="auto"/>
                    <w:rPr>
                      <w:rFonts w:hint="eastAsia" w:eastAsia="宋体" w:cs="Times New Roman"/>
                      <w:b w:val="0"/>
                      <w:bCs w:val="0"/>
                      <w:color w:val="auto"/>
                      <w:w w:val="90"/>
                      <w:kern w:val="0"/>
                      <w:sz w:val="21"/>
                      <w:szCs w:val="21"/>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序号</w:t>
                  </w:r>
                </w:p>
              </w:tc>
              <w:tc>
                <w:tcPr>
                  <w:tcW w:w="3375" w:type="dxa"/>
                  <w:vAlign w:val="center"/>
                </w:tcPr>
                <w:p w14:paraId="66703099">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jc w:val="center"/>
                    <w:textAlignment w:val="auto"/>
                    <w:rPr>
                      <w:rFonts w:hint="eastAsia" w:eastAsia="宋体" w:cs="Times New Roman"/>
                      <w:b w:val="0"/>
                      <w:bCs w:val="0"/>
                      <w:color w:val="auto"/>
                      <w:w w:val="90"/>
                      <w:kern w:val="0"/>
                      <w:sz w:val="21"/>
                      <w:szCs w:val="21"/>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通知要求</w:t>
                  </w:r>
                </w:p>
              </w:tc>
              <w:tc>
                <w:tcPr>
                  <w:tcW w:w="2912" w:type="dxa"/>
                  <w:vAlign w:val="center"/>
                </w:tcPr>
                <w:p w14:paraId="176BD220">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jc w:val="center"/>
                    <w:textAlignment w:val="auto"/>
                    <w:rPr>
                      <w:rFonts w:hint="eastAsia" w:eastAsia="宋体" w:cs="Times New Roman"/>
                      <w:b w:val="0"/>
                      <w:bCs w:val="0"/>
                      <w:color w:val="auto"/>
                      <w:w w:val="90"/>
                      <w:kern w:val="0"/>
                      <w:sz w:val="21"/>
                      <w:szCs w:val="21"/>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本项目情况</w:t>
                  </w:r>
                </w:p>
              </w:tc>
              <w:tc>
                <w:tcPr>
                  <w:tcW w:w="1141" w:type="dxa"/>
                  <w:vAlign w:val="center"/>
                </w:tcPr>
                <w:p w14:paraId="703171C9">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jc w:val="center"/>
                    <w:textAlignment w:val="auto"/>
                    <w:rPr>
                      <w:rFonts w:hint="eastAsia" w:eastAsia="宋体" w:cs="Times New Roman"/>
                      <w:b w:val="0"/>
                      <w:bCs w:val="0"/>
                      <w:color w:val="auto"/>
                      <w:w w:val="90"/>
                      <w:kern w:val="0"/>
                      <w:sz w:val="21"/>
                      <w:szCs w:val="21"/>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符合性</w:t>
                  </w:r>
                </w:p>
              </w:tc>
            </w:tr>
            <w:tr w14:paraId="63D6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tcPr>
                <w:p w14:paraId="3E1BFCF7">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textAlignment w:val="auto"/>
                    <w:rPr>
                      <w:rFonts w:hint="default" w:eastAsia="宋体"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1</w:t>
                  </w:r>
                </w:p>
              </w:tc>
              <w:tc>
                <w:tcPr>
                  <w:tcW w:w="3375" w:type="dxa"/>
                </w:tcPr>
                <w:p w14:paraId="3FED4B07">
                  <w:pPr>
                    <w:pStyle w:val="28"/>
                    <w:jc w:val="left"/>
                    <w:rPr>
                      <w:rFonts w:hint="eastAsia" w:eastAsia="宋体" w:cs="Times New Roman"/>
                      <w:b/>
                      <w:bCs/>
                      <w:color w:val="auto"/>
                      <w:sz w:val="24"/>
                      <w:szCs w:val="24"/>
                      <w:highlight w:val="none"/>
                      <w:vertAlign w:val="baseline"/>
                      <w:lang w:val="en-US" w:eastAsia="zh-CN"/>
                    </w:rPr>
                  </w:pPr>
                  <w:r>
                    <w:rPr>
                      <w:rFonts w:hint="default" w:ascii="Times New Roman" w:hAnsi="Times New Roman" w:eastAsia="宋体" w:cs="Times New Roman"/>
                      <w:b w:val="0"/>
                      <w:bCs w:val="0"/>
                      <w:color w:val="auto"/>
                      <w:w w:val="90"/>
                      <w:sz w:val="21"/>
                      <w:szCs w:val="21"/>
                      <w:highlight w:val="none"/>
                      <w:vertAlign w:val="baseline"/>
                      <w:lang w:val="en-US" w:eastAsia="zh-CN"/>
                    </w:rPr>
                    <w:t>支持引导风电场项目科学布局。各级林草主管部门要与同级发展改革、自然资源、能源等主管部门做好国土空间规划、林草相关规划、风电发展规划、风电资源普查工作的衔接，提前指导项目选址，推动选址符合法律法规和政策要求，鼓励风电场项目开发空间集约复合利用，优先布局在沙漠、戈壁、荒漠等区域。生态保护红线、自然保护地、重要湿地、重点国有林区林地草地内不得新建、扩建风电场项目。在上述禁建区外，支持风电场项目开发建设并规范使用林地草地。风机基础、施工和检修道路、升压站、集电线路等需要使用(含临时使用)林地草地的，应避让以下区域:国家级公益林中的乔木林地(包括未成林造林地和迹地)，年降水量400毫米以下区域的乔木林地，基本草原，野生动物重要栖息地(迁徙通道)及其他集群活动区域。确需占用野生动物重要栖息地(迁徙通道)及其他集群活动区域的，应当进行严格评估并采取修建野生动物通道等措施，消除或减少不利影响。列入国家级重大项目，经论证确实无法避让的，可以占用基本草原。</w:t>
                  </w:r>
                </w:p>
              </w:tc>
              <w:tc>
                <w:tcPr>
                  <w:tcW w:w="2912" w:type="dxa"/>
                </w:tcPr>
                <w:p w14:paraId="50D165A4">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default" w:eastAsia="宋体" w:cs="Times New Roman"/>
                      <w:b w:val="0"/>
                      <w:bCs w:val="0"/>
                      <w:color w:val="auto"/>
                      <w:w w:val="90"/>
                      <w:kern w:val="0"/>
                      <w:sz w:val="21"/>
                      <w:szCs w:val="21"/>
                      <w:highlight w:val="none"/>
                      <w:vertAlign w:val="baseline"/>
                      <w:lang w:val="en-US" w:eastAsia="zh-CN"/>
                    </w:rPr>
                    <w:t>本项目为新建项目，不位于生态保护红线、自然保护地、重要湿地、重点国有林区林地草地范围内:根据</w:t>
                  </w:r>
                  <w:r>
                    <w:rPr>
                      <w:rFonts w:hint="eastAsia" w:cs="Times New Roman"/>
                      <w:b w:val="0"/>
                      <w:bCs w:val="0"/>
                      <w:color w:val="auto"/>
                      <w:w w:val="90"/>
                      <w:kern w:val="0"/>
                      <w:sz w:val="21"/>
                      <w:szCs w:val="21"/>
                      <w:highlight w:val="none"/>
                      <w:vertAlign w:val="baseline"/>
                      <w:lang w:val="en-US" w:eastAsia="zh-CN"/>
                    </w:rPr>
                    <w:t>宣威市</w:t>
                  </w:r>
                  <w:r>
                    <w:rPr>
                      <w:rFonts w:hint="default" w:eastAsia="宋体" w:cs="Times New Roman"/>
                      <w:b w:val="0"/>
                      <w:bCs w:val="0"/>
                      <w:color w:val="auto"/>
                      <w:w w:val="90"/>
                      <w:kern w:val="0"/>
                      <w:sz w:val="21"/>
                      <w:szCs w:val="21"/>
                      <w:highlight w:val="none"/>
                      <w:vertAlign w:val="baseline"/>
                      <w:lang w:val="en-US" w:eastAsia="zh-CN"/>
                    </w:rPr>
                    <w:t>林草局提供的选址意见，本项目临时和永久工程均不涉及国家级公益林中的乔木林地(包括未成林造林地和迹地)，年降水量400毫米以下区域的乔木林地，基本草原，野生动物重要栖息地(迁徙通道)及其他集群活动区域。</w:t>
                  </w:r>
                </w:p>
              </w:tc>
              <w:tc>
                <w:tcPr>
                  <w:tcW w:w="1141" w:type="dxa"/>
                </w:tcPr>
                <w:p w14:paraId="65A678DE">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符合</w:t>
                  </w:r>
                </w:p>
              </w:tc>
            </w:tr>
            <w:tr w14:paraId="59E7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tcPr>
                <w:p w14:paraId="65AA7519">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textAlignment w:val="auto"/>
                    <w:rPr>
                      <w:rFonts w:hint="default" w:eastAsia="宋体"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2</w:t>
                  </w:r>
                </w:p>
              </w:tc>
              <w:tc>
                <w:tcPr>
                  <w:tcW w:w="3375" w:type="dxa"/>
                </w:tcPr>
                <w:p w14:paraId="41D4F454">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default" w:eastAsia="宋体" w:cs="Times New Roman"/>
                      <w:b w:val="0"/>
                      <w:bCs w:val="0"/>
                      <w:color w:val="auto"/>
                      <w:w w:val="90"/>
                      <w:kern w:val="0"/>
                      <w:sz w:val="21"/>
                      <w:szCs w:val="21"/>
                      <w:highlight w:val="none"/>
                      <w:vertAlign w:val="baseline"/>
                      <w:lang w:val="en-US" w:eastAsia="zh-CN"/>
                    </w:rPr>
                    <w:t>明确风电场项目改造升级要求。生态保护红线、自然保护地内依法已建成风电场项目，原则上不进行改造升级。生态保护红线、自然保护地外，重要湿地、重点国有林区林地草地、基本草原内依法已建成的风电场项目，可按照集约化、节约化的原则进行改造升级。鼓励用地单位将风电场项目改造升级后闲置的建设用地修复为林地、草地、湿地，推动风电开发建设与生态修复融合发展。上述区域内的风电场项目用地期满后，应当逐步有序退出，并做好生态修复。</w:t>
                  </w:r>
                </w:p>
              </w:tc>
              <w:tc>
                <w:tcPr>
                  <w:tcW w:w="2912" w:type="dxa"/>
                </w:tcPr>
                <w:p w14:paraId="087CA9E8">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default" w:eastAsia="宋体" w:cs="Times New Roman"/>
                      <w:b w:val="0"/>
                      <w:bCs w:val="0"/>
                      <w:color w:val="auto"/>
                      <w:w w:val="90"/>
                      <w:kern w:val="0"/>
                      <w:sz w:val="21"/>
                      <w:szCs w:val="21"/>
                      <w:highlight w:val="none"/>
                      <w:vertAlign w:val="baseline"/>
                      <w:lang w:val="en-US" w:eastAsia="zh-CN"/>
                    </w:rPr>
                    <w:t>本项目为新建项目，不涉及改造升级。</w:t>
                  </w:r>
                </w:p>
              </w:tc>
              <w:tc>
                <w:tcPr>
                  <w:tcW w:w="1141" w:type="dxa"/>
                </w:tcPr>
                <w:p w14:paraId="3A13FA91">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符合</w:t>
                  </w:r>
                </w:p>
              </w:tc>
            </w:tr>
            <w:tr w14:paraId="150CE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7" w:type="dxa"/>
                </w:tcPr>
                <w:p w14:paraId="150ED152">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textAlignment w:val="auto"/>
                    <w:rPr>
                      <w:rFonts w:hint="default" w:eastAsia="宋体" w:cs="Times New Roman"/>
                      <w:b w:val="0"/>
                      <w:bCs w:val="0"/>
                      <w:color w:val="auto"/>
                      <w:sz w:val="24"/>
                      <w:szCs w:val="24"/>
                      <w:highlight w:val="none"/>
                      <w:vertAlign w:val="baseline"/>
                      <w:lang w:val="en-US" w:eastAsia="zh-CN"/>
                    </w:rPr>
                  </w:pPr>
                  <w:r>
                    <w:rPr>
                      <w:rFonts w:hint="eastAsia" w:cs="Times New Roman"/>
                      <w:b w:val="0"/>
                      <w:bCs w:val="0"/>
                      <w:color w:val="auto"/>
                      <w:sz w:val="24"/>
                      <w:szCs w:val="24"/>
                      <w:highlight w:val="none"/>
                      <w:vertAlign w:val="baseline"/>
                      <w:lang w:val="en-US" w:eastAsia="zh-CN"/>
                    </w:rPr>
                    <w:t>3</w:t>
                  </w:r>
                </w:p>
              </w:tc>
              <w:tc>
                <w:tcPr>
                  <w:tcW w:w="3375" w:type="dxa"/>
                </w:tcPr>
                <w:p w14:paraId="1B5B755F">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default" w:eastAsia="宋体" w:cs="Times New Roman"/>
                      <w:b w:val="0"/>
                      <w:bCs w:val="0"/>
                      <w:color w:val="auto"/>
                      <w:w w:val="90"/>
                      <w:kern w:val="0"/>
                      <w:sz w:val="21"/>
                      <w:szCs w:val="21"/>
                      <w:highlight w:val="none"/>
                      <w:vertAlign w:val="baseline"/>
                      <w:lang w:val="en-US" w:eastAsia="zh-CN"/>
                    </w:rPr>
                  </w:pPr>
                  <w:r>
                    <w:rPr>
                      <w:rFonts w:hint="default" w:eastAsia="宋体" w:cs="Times New Roman"/>
                      <w:b w:val="0"/>
                      <w:bCs w:val="0"/>
                      <w:color w:val="auto"/>
                      <w:w w:val="90"/>
                      <w:kern w:val="0"/>
                      <w:sz w:val="21"/>
                      <w:szCs w:val="21"/>
                      <w:highlight w:val="none"/>
                      <w:vertAlign w:val="baseline"/>
                      <w:lang w:val="en-US" w:eastAsia="zh-CN"/>
                    </w:rPr>
                    <w:t>规范风电场项目使用林地草地手续办理。新建、改扩建风电场应当严格按规定办理林地草地审核审批手续，符合使用林地草地条件的，应当加快办理审核审批手续;涉及新增建设用地的，须依</w:t>
                  </w:r>
                </w:p>
                <w:p w14:paraId="764A4450">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default" w:eastAsia="宋体" w:cs="Times New Roman"/>
                      <w:b w:val="0"/>
                      <w:bCs w:val="0"/>
                      <w:color w:val="auto"/>
                      <w:w w:val="90"/>
                      <w:kern w:val="0"/>
                      <w:sz w:val="21"/>
                      <w:szCs w:val="21"/>
                      <w:highlight w:val="none"/>
                      <w:vertAlign w:val="baseline"/>
                      <w:lang w:val="en-US" w:eastAsia="zh-CN"/>
                    </w:rPr>
                    <w:t>法依规办理建设用地审批手续;涉及湿地、野生动物重要栖息地、迁徙通道、重点保护野生植物生长环境的，应按照《中华人民共和国湿地保护法》《中华人民共和国野生动物保护法》《中华人民共和国野生植物保护条例》等有关规定执行。严禁通过违规改造现地的方式规避禁限建规定。风电场施工和检修道路，应尽可能利用现有道路;确需新建或扩建的，可结合防火路、农村道路等，按相关行业标准建设，严防水土流失，促进林区道路综合利用。施工道路经论证无法恢复的，应与检修道路一并办理永久使用林地草地手续。</w:t>
                  </w:r>
                </w:p>
              </w:tc>
              <w:tc>
                <w:tcPr>
                  <w:tcW w:w="2912" w:type="dxa"/>
                </w:tcPr>
                <w:p w14:paraId="44C86046">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default" w:eastAsia="宋体" w:cs="Times New Roman"/>
                      <w:b w:val="0"/>
                      <w:bCs w:val="0"/>
                      <w:color w:val="auto"/>
                      <w:w w:val="90"/>
                      <w:kern w:val="0"/>
                      <w:sz w:val="21"/>
                      <w:szCs w:val="21"/>
                      <w:highlight w:val="none"/>
                      <w:vertAlign w:val="baseline"/>
                      <w:lang w:val="en-US" w:eastAsia="zh-CN"/>
                    </w:rPr>
                  </w:pPr>
                  <w:r>
                    <w:rPr>
                      <w:rFonts w:hint="default" w:eastAsia="宋体" w:cs="Times New Roman"/>
                      <w:b w:val="0"/>
                      <w:bCs w:val="0"/>
                      <w:color w:val="auto"/>
                      <w:w w:val="90"/>
                      <w:kern w:val="0"/>
                      <w:sz w:val="21"/>
                      <w:szCs w:val="21"/>
                      <w:highlight w:val="none"/>
                      <w:vertAlign w:val="baseline"/>
                      <w:lang w:val="en-US" w:eastAsia="zh-CN"/>
                    </w:rPr>
                    <w:t>本项目不涉及湿地、野生动物重要栖息地、迁徙通道、重点保护野生植物生长环境。</w:t>
                  </w:r>
                </w:p>
                <w:p w14:paraId="74B758E2">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240" w:lineRule="auto"/>
                    <w:ind w:right="0" w:rightChars="0"/>
                    <w:textAlignment w:val="auto"/>
                    <w:rPr>
                      <w:rFonts w:hint="eastAsia" w:eastAsia="宋体" w:cs="Times New Roman"/>
                      <w:b w:val="0"/>
                      <w:bCs w:val="0"/>
                      <w:color w:val="auto"/>
                      <w:w w:val="90"/>
                      <w:kern w:val="0"/>
                      <w:sz w:val="21"/>
                      <w:szCs w:val="21"/>
                      <w:highlight w:val="none"/>
                      <w:vertAlign w:val="baseline"/>
                      <w:lang w:val="en-US" w:eastAsia="zh-CN"/>
                    </w:rPr>
                  </w:pPr>
                  <w:r>
                    <w:rPr>
                      <w:rFonts w:hint="eastAsia" w:cs="Times New Roman"/>
                      <w:b w:val="0"/>
                      <w:bCs w:val="0"/>
                      <w:color w:val="auto"/>
                      <w:w w:val="90"/>
                      <w:kern w:val="0"/>
                      <w:sz w:val="21"/>
                      <w:szCs w:val="21"/>
                      <w:highlight w:val="none"/>
                      <w:vertAlign w:val="baseline"/>
                      <w:lang w:val="en-US" w:eastAsia="zh-CN"/>
                    </w:rPr>
                    <w:t>项目施工和检修道路主要依托现有乡村道路及已建进场道路，未新建道路，有效减少了对林地草地的占用；项目用地手续将依法依规办理，确保符合林地草地使用管理规定，杜绝违规操作。同时，项目建设过程中将严格落实水土保持措施，防止因道路施工引发水土流失，保障区域生态功能不受影响。</w:t>
                  </w:r>
                </w:p>
              </w:tc>
              <w:tc>
                <w:tcPr>
                  <w:tcW w:w="1141" w:type="dxa"/>
                </w:tcPr>
                <w:p w14:paraId="5FE11DFE">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right="0" w:rightChars="0"/>
                    <w:textAlignment w:val="auto"/>
                    <w:rPr>
                      <w:rFonts w:hint="eastAsia" w:eastAsia="宋体" w:cs="Times New Roman"/>
                      <w:b/>
                      <w:bCs/>
                      <w:color w:val="auto"/>
                      <w:sz w:val="24"/>
                      <w:szCs w:val="24"/>
                      <w:highlight w:val="none"/>
                      <w:vertAlign w:val="baseline"/>
                      <w:lang w:val="en-US" w:eastAsia="zh-CN"/>
                    </w:rPr>
                  </w:pPr>
                  <w:r>
                    <w:rPr>
                      <w:rFonts w:hint="eastAsia" w:eastAsia="宋体" w:cs="Times New Roman"/>
                      <w:b w:val="0"/>
                      <w:bCs w:val="0"/>
                      <w:color w:val="auto"/>
                      <w:w w:val="90"/>
                      <w:kern w:val="0"/>
                      <w:sz w:val="21"/>
                      <w:szCs w:val="21"/>
                      <w:highlight w:val="none"/>
                      <w:vertAlign w:val="baseline"/>
                      <w:lang w:val="en-US" w:eastAsia="zh-CN"/>
                    </w:rPr>
                    <w:t>符合</w:t>
                  </w:r>
                </w:p>
              </w:tc>
            </w:tr>
          </w:tbl>
          <w:p w14:paraId="6F5FC885">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left="400" w:leftChars="0" w:right="0" w:rightChars="0"/>
              <w:textAlignment w:val="auto"/>
              <w:rPr>
                <w:rFonts w:hint="eastAsia"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8.</w:t>
            </w:r>
            <w:r>
              <w:rPr>
                <w:rFonts w:hint="eastAsia" w:ascii="Times New Roman" w:hAnsi="Times New Roman" w:eastAsia="宋体" w:cs="Times New Roman"/>
                <w:b/>
                <w:bCs/>
                <w:color w:val="auto"/>
                <w:sz w:val="24"/>
                <w:szCs w:val="24"/>
                <w:highlight w:val="none"/>
                <w:lang w:val="en-US" w:eastAsia="zh-CN"/>
              </w:rPr>
              <w:t>《长江经济带发展负面清单指南（试行）（2022年版）》</w:t>
            </w:r>
          </w:p>
          <w:p w14:paraId="6549E564">
            <w:pPr>
              <w:pStyle w:val="8"/>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left="0" w:right="0" w:rightChars="0" w:firstLine="480" w:firstLineChars="200"/>
              <w:textAlignment w:val="auto"/>
              <w:rPr>
                <w:rFonts w:hint="eastAsia" w:ascii="Times New Roman" w:hAnsi="Times New Roman" w:cs="Times New Roman"/>
                <w:color w:val="auto"/>
                <w:highlight w:val="none"/>
                <w:lang w:val="en-US" w:eastAsia="zh-CN"/>
              </w:rPr>
            </w:pPr>
            <w:r>
              <w:rPr>
                <w:rFonts w:hint="eastAsia" w:ascii="Times New Roman" w:hAnsi="Times New Roman" w:eastAsia="宋体" w:cs="宋体"/>
                <w:b w:val="0"/>
                <w:bCs w:val="0"/>
                <w:color w:val="auto"/>
                <w:sz w:val="24"/>
                <w:szCs w:val="24"/>
                <w:highlight w:val="none"/>
                <w:lang w:val="en-US" w:eastAsia="zh-CN"/>
              </w:rPr>
              <w:t>项目建设符合《长江经济带发展负面清单指南（试行）》（2022年版）要求，分析见下表。</w:t>
            </w:r>
          </w:p>
          <w:p w14:paraId="7C91C1CC">
            <w:pPr>
              <w:keepNext w:val="0"/>
              <w:keepLines w:val="0"/>
              <w:pageBreakBefore w:val="0"/>
              <w:widowControl w:val="0"/>
              <w:suppressLineNumbers w:val="0"/>
              <w:tabs>
                <w:tab w:val="left" w:pos="1147"/>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表1-</w:t>
            </w:r>
            <w:r>
              <w:rPr>
                <w:rFonts w:hint="eastAsia" w:cs="Times New Roman"/>
                <w:b/>
                <w:bCs/>
                <w:color w:val="auto"/>
                <w:kern w:val="0"/>
                <w:sz w:val="21"/>
                <w:szCs w:val="21"/>
                <w:highlight w:val="none"/>
                <w:lang w:val="en-US" w:eastAsia="zh-CN"/>
              </w:rPr>
              <w:t>7</w:t>
            </w:r>
            <w:r>
              <w:rPr>
                <w:rFonts w:hint="default" w:ascii="Times New Roman" w:hAnsi="Times New Roman" w:eastAsia="宋体" w:cs="Times New Roman"/>
                <w:b/>
                <w:bCs/>
                <w:color w:val="auto"/>
                <w:kern w:val="0"/>
                <w:sz w:val="21"/>
                <w:szCs w:val="21"/>
                <w:highlight w:val="none"/>
              </w:rPr>
              <w:t>《长江经济带发展负面清单指南（试行）》（2022年版）符合性分析</w:t>
            </w:r>
          </w:p>
          <w:tbl>
            <w:tblPr>
              <w:tblStyle w:val="20"/>
              <w:tblW w:w="4998" w:type="pct"/>
              <w:jc w:val="center"/>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Layout w:type="fixed"/>
              <w:tblCellMar>
                <w:top w:w="0" w:type="dxa"/>
                <w:left w:w="0" w:type="dxa"/>
                <w:bottom w:w="0" w:type="dxa"/>
                <w:right w:w="0" w:type="dxa"/>
              </w:tblCellMar>
            </w:tblPr>
            <w:tblGrid>
              <w:gridCol w:w="458"/>
              <w:gridCol w:w="4465"/>
              <w:gridCol w:w="2466"/>
              <w:gridCol w:w="707"/>
            </w:tblGrid>
            <w:tr w14:paraId="2FCDBC40">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55830BCA">
                  <w:pPr>
                    <w:pStyle w:val="28"/>
                    <w:bidi w:val="0"/>
                    <w:jc w:val="center"/>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序号</w:t>
                  </w:r>
                </w:p>
              </w:tc>
              <w:tc>
                <w:tcPr>
                  <w:tcW w:w="2757" w:type="pct"/>
                  <w:noWrap w:val="0"/>
                  <w:vAlign w:val="center"/>
                </w:tcPr>
                <w:p w14:paraId="40B03D8F">
                  <w:pPr>
                    <w:pStyle w:val="28"/>
                    <w:bidi w:val="0"/>
                    <w:jc w:val="center"/>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en-US"/>
                    </w:rPr>
                    <w:t>相关要求</w:t>
                  </w:r>
                </w:p>
              </w:tc>
              <w:tc>
                <w:tcPr>
                  <w:tcW w:w="1522" w:type="pct"/>
                  <w:noWrap w:val="0"/>
                  <w:vAlign w:val="center"/>
                </w:tcPr>
                <w:p w14:paraId="5F9635BB">
                  <w:pPr>
                    <w:pStyle w:val="28"/>
                    <w:bidi w:val="0"/>
                    <w:jc w:val="center"/>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项目情况</w:t>
                  </w:r>
                </w:p>
              </w:tc>
              <w:tc>
                <w:tcPr>
                  <w:tcW w:w="436" w:type="pct"/>
                  <w:noWrap w:val="0"/>
                  <w:vAlign w:val="center"/>
                </w:tcPr>
                <w:p w14:paraId="090566C7">
                  <w:pPr>
                    <w:pStyle w:val="28"/>
                    <w:bidi w:val="0"/>
                    <w:jc w:val="center"/>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符合</w:t>
                  </w:r>
                </w:p>
                <w:p w14:paraId="63378418">
                  <w:pPr>
                    <w:pStyle w:val="28"/>
                    <w:bidi w:val="0"/>
                    <w:jc w:val="center"/>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情况</w:t>
                  </w:r>
                </w:p>
              </w:tc>
            </w:tr>
            <w:tr w14:paraId="48327913">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18BADC44">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w:t>
                  </w:r>
                </w:p>
              </w:tc>
              <w:tc>
                <w:tcPr>
                  <w:tcW w:w="2757" w:type="pct"/>
                  <w:noWrap w:val="0"/>
                  <w:vAlign w:val="center"/>
                </w:tcPr>
                <w:p w14:paraId="5E294123">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禁止建设不符合全国和省级港口布局规划以及港口总体规划的码头项目，禁止建设不符合《长江干线过江通道布局规划》的过长江通道项目。</w:t>
                  </w:r>
                </w:p>
              </w:tc>
              <w:tc>
                <w:tcPr>
                  <w:tcW w:w="1522" w:type="pct"/>
                  <w:noWrap w:val="0"/>
                  <w:vAlign w:val="center"/>
                </w:tcPr>
                <w:p w14:paraId="7EFC9228">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项目位于</w:t>
                  </w:r>
                  <w:r>
                    <w:rPr>
                      <w:rFonts w:hint="default"/>
                      <w:color w:val="auto"/>
                      <w:w w:val="90"/>
                      <w:kern w:val="0"/>
                      <w:sz w:val="21"/>
                      <w:szCs w:val="21"/>
                      <w:highlight w:val="none"/>
                      <w:lang w:bidi="ar"/>
                    </w:rPr>
                    <w:t>宣威市热水镇海德村</w:t>
                  </w:r>
                  <w:r>
                    <w:rPr>
                      <w:rFonts w:hint="eastAsia" w:ascii="Times New Roman" w:hAnsi="Times New Roman" w:eastAsia="宋体" w:cs="Times New Roman"/>
                      <w:color w:val="auto"/>
                      <w:w w:val="90"/>
                      <w:highlight w:val="none"/>
                      <w:lang w:val="en-US" w:eastAsia="zh-CN"/>
                    </w:rPr>
                    <w:t>，不涉及码头建设，不涉及过江通道。</w:t>
                  </w:r>
                </w:p>
              </w:tc>
              <w:tc>
                <w:tcPr>
                  <w:tcW w:w="436" w:type="pct"/>
                  <w:noWrap w:val="0"/>
                  <w:vAlign w:val="center"/>
                </w:tcPr>
                <w:p w14:paraId="069A8D74">
                  <w:pPr>
                    <w:pStyle w:val="28"/>
                    <w:bidi w:val="0"/>
                    <w:jc w:val="left"/>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符合</w:t>
                  </w:r>
                </w:p>
              </w:tc>
            </w:tr>
            <w:tr w14:paraId="263D6E40">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53BC9D79">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2</w:t>
                  </w:r>
                </w:p>
              </w:tc>
              <w:tc>
                <w:tcPr>
                  <w:tcW w:w="2757" w:type="pct"/>
                  <w:noWrap w:val="0"/>
                  <w:vAlign w:val="center"/>
                </w:tcPr>
                <w:p w14:paraId="78B15FDA">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禁止在自然保护区核心区、缓冲区的岸线和河段范围内投资建设旅游和生产经营项目。禁止在风景名胜区核心景区的岸线和河段范围内投资建设与风景名胜资源保护无关的项目。</w:t>
                  </w:r>
                </w:p>
              </w:tc>
              <w:tc>
                <w:tcPr>
                  <w:tcW w:w="1522" w:type="pct"/>
                  <w:noWrap w:val="0"/>
                  <w:vAlign w:val="center"/>
                </w:tcPr>
                <w:p w14:paraId="5C965222">
                  <w:pPr>
                    <w:pStyle w:val="28"/>
                    <w:bidi w:val="0"/>
                    <w:jc w:val="left"/>
                    <w:rPr>
                      <w:rFonts w:hint="default"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项目位于</w:t>
                  </w:r>
                  <w:r>
                    <w:rPr>
                      <w:rFonts w:hint="default"/>
                      <w:color w:val="auto"/>
                      <w:w w:val="90"/>
                      <w:kern w:val="0"/>
                      <w:sz w:val="21"/>
                      <w:szCs w:val="21"/>
                      <w:highlight w:val="none"/>
                      <w:lang w:bidi="ar"/>
                    </w:rPr>
                    <w:t>宣威市热水镇海德村</w:t>
                  </w:r>
                  <w:r>
                    <w:rPr>
                      <w:rFonts w:hint="eastAsia" w:ascii="Times New Roman" w:hAnsi="Times New Roman" w:eastAsia="宋体" w:cs="Times New Roman"/>
                      <w:color w:val="auto"/>
                      <w:w w:val="90"/>
                      <w:highlight w:val="none"/>
                      <w:lang w:val="en-US" w:eastAsia="zh-CN"/>
                    </w:rPr>
                    <w:t>，不涉及自然保护区核心区、缓冲区的岸线和河段范围，不涉及风景名胜区核心景区的岸线和河段范围。</w:t>
                  </w:r>
                </w:p>
              </w:tc>
              <w:tc>
                <w:tcPr>
                  <w:tcW w:w="436" w:type="pct"/>
                  <w:noWrap w:val="0"/>
                  <w:vAlign w:val="center"/>
                </w:tcPr>
                <w:p w14:paraId="2BB33E4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w:t>
                  </w:r>
                </w:p>
              </w:tc>
            </w:tr>
            <w:tr w14:paraId="75909F0F">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13D0F9E3">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3</w:t>
                  </w:r>
                </w:p>
              </w:tc>
              <w:tc>
                <w:tcPr>
                  <w:tcW w:w="2757" w:type="pct"/>
                  <w:noWrap w:val="0"/>
                  <w:vAlign w:val="center"/>
                </w:tcPr>
                <w:p w14:paraId="6A64DE9F">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饮用水水源一级保护区的岸线和河段范围内新建、改建、扩建与供水设施和保护水源无关的项目，以及网箱养殖、旅游等可能污染饮用水水体的投资建设项目。禁止在饮用水水源二级保护区的岸线和河段范围内新建、改建、扩建排放污染物的投资建设项目。</w:t>
                  </w:r>
                </w:p>
              </w:tc>
              <w:tc>
                <w:tcPr>
                  <w:tcW w:w="1522" w:type="pct"/>
                  <w:noWrap w:val="0"/>
                  <w:vAlign w:val="center"/>
                </w:tcPr>
                <w:p w14:paraId="4054FDC4">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项目不涉及饮用水水源保护区。</w:t>
                  </w:r>
                </w:p>
              </w:tc>
              <w:tc>
                <w:tcPr>
                  <w:tcW w:w="436" w:type="pct"/>
                  <w:noWrap w:val="0"/>
                  <w:vAlign w:val="center"/>
                </w:tcPr>
                <w:p w14:paraId="621EDB01">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符合</w:t>
                  </w:r>
                </w:p>
              </w:tc>
            </w:tr>
            <w:tr w14:paraId="2582940D">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36FA4E6F">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4</w:t>
                  </w:r>
                </w:p>
              </w:tc>
              <w:tc>
                <w:tcPr>
                  <w:tcW w:w="2757" w:type="pct"/>
                  <w:noWrap w:val="0"/>
                  <w:vAlign w:val="center"/>
                </w:tcPr>
                <w:p w14:paraId="3EF56492">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水产种质资源保护区的岸线和河段范围内新建排污口，以及围湖造田、围海造地或围填海等投资建设项目。禁止在国家湿地公园的岸线和河段范围内挖沙、采矿，以及任何不符合主体功能定位的投资建设项目。</w:t>
                  </w:r>
                </w:p>
              </w:tc>
              <w:tc>
                <w:tcPr>
                  <w:tcW w:w="1522" w:type="pct"/>
                  <w:noWrap w:val="0"/>
                  <w:vAlign w:val="center"/>
                </w:tcPr>
                <w:p w14:paraId="0927C1F2">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项目不涉及水产种质资源保护区，国家湿地公园。</w:t>
                  </w:r>
                </w:p>
              </w:tc>
              <w:tc>
                <w:tcPr>
                  <w:tcW w:w="436" w:type="pct"/>
                  <w:noWrap w:val="0"/>
                  <w:vAlign w:val="center"/>
                </w:tcPr>
                <w:p w14:paraId="5D39CB2F">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符合</w:t>
                  </w:r>
                </w:p>
              </w:tc>
            </w:tr>
            <w:tr w14:paraId="7D9DD6AF">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2249D713">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5</w:t>
                  </w:r>
                </w:p>
              </w:tc>
              <w:tc>
                <w:tcPr>
                  <w:tcW w:w="2757" w:type="pct"/>
                  <w:noWrap w:val="0"/>
                  <w:vAlign w:val="center"/>
                </w:tcPr>
                <w:p w14:paraId="2EE44CAF">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长江岸线保护和开发利用总体规划》划定的岸线保护区内投资建设除保障防洪安全、河势稳定、供水安全以及保护生态环境、已建重要枢纽工程以外的项目，禁止在岸线保留区内投资建设除保障防洪安全、河势稳定、供水安全、航道稳定以及保护生态环境以外的项目。禁止在《全国重要江河湖泊水功能区划》划定的河段保护区、保留区内投资建设不利于水资源及自然生态保护的项目。</w:t>
                  </w:r>
                </w:p>
              </w:tc>
              <w:tc>
                <w:tcPr>
                  <w:tcW w:w="1522" w:type="pct"/>
                  <w:noWrap w:val="0"/>
                  <w:vAlign w:val="center"/>
                </w:tcPr>
                <w:p w14:paraId="53B99858">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项目不属于长江岸线保护区。无生产废水产生，不会对水资源及自然生态产生不利影响。</w:t>
                  </w:r>
                </w:p>
              </w:tc>
              <w:tc>
                <w:tcPr>
                  <w:tcW w:w="436" w:type="pct"/>
                  <w:noWrap w:val="0"/>
                  <w:vAlign w:val="center"/>
                </w:tcPr>
                <w:p w14:paraId="3D07741C">
                  <w:pPr>
                    <w:pStyle w:val="28"/>
                    <w:bidi w:val="0"/>
                    <w:jc w:val="left"/>
                    <w:rPr>
                      <w:rFonts w:hint="default"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符合</w:t>
                  </w:r>
                </w:p>
              </w:tc>
            </w:tr>
            <w:tr w14:paraId="77A51C0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1376E13C">
                  <w:pPr>
                    <w:pStyle w:val="28"/>
                    <w:bidi w:val="0"/>
                    <w:jc w:val="left"/>
                    <w:rPr>
                      <w:rFonts w:hint="eastAsia"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6</w:t>
                  </w:r>
                </w:p>
              </w:tc>
              <w:tc>
                <w:tcPr>
                  <w:tcW w:w="2757" w:type="pct"/>
                  <w:noWrap w:val="0"/>
                  <w:vAlign w:val="center"/>
                </w:tcPr>
                <w:p w14:paraId="7C0B0F94">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禁止未经许可在长江干支流及湖泊新设、改设或扩大排污口。</w:t>
                  </w:r>
                </w:p>
              </w:tc>
              <w:tc>
                <w:tcPr>
                  <w:tcW w:w="1522" w:type="pct"/>
                  <w:noWrap w:val="0"/>
                  <w:vAlign w:val="center"/>
                </w:tcPr>
                <w:p w14:paraId="3169AFC1">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项目无外排废水，不设置废水排污口。</w:t>
                  </w:r>
                </w:p>
              </w:tc>
              <w:tc>
                <w:tcPr>
                  <w:tcW w:w="436" w:type="pct"/>
                  <w:noWrap w:val="0"/>
                  <w:vAlign w:val="center"/>
                </w:tcPr>
                <w:p w14:paraId="4D54C9D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w:t>
                  </w:r>
                </w:p>
              </w:tc>
            </w:tr>
            <w:tr w14:paraId="20080CEB">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700FC2A9">
                  <w:pPr>
                    <w:pStyle w:val="28"/>
                    <w:bidi w:val="0"/>
                    <w:jc w:val="left"/>
                    <w:rPr>
                      <w:rFonts w:hint="eastAsia"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7</w:t>
                  </w:r>
                </w:p>
              </w:tc>
              <w:tc>
                <w:tcPr>
                  <w:tcW w:w="2757" w:type="pct"/>
                  <w:noWrap w:val="0"/>
                  <w:vAlign w:val="center"/>
                </w:tcPr>
                <w:p w14:paraId="5F412C5D">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禁止在“一江一口两湖七河”和332个水生生物保护区开展生产性捕捞。</w:t>
                  </w:r>
                </w:p>
              </w:tc>
              <w:tc>
                <w:tcPr>
                  <w:tcW w:w="1522" w:type="pct"/>
                  <w:noWrap w:val="0"/>
                  <w:vAlign w:val="center"/>
                </w:tcPr>
                <w:p w14:paraId="4B8F7CF6">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项目不涉及“一江一口两湖七河”和332个水生生物保护区。</w:t>
                  </w:r>
                </w:p>
              </w:tc>
              <w:tc>
                <w:tcPr>
                  <w:tcW w:w="436" w:type="pct"/>
                  <w:noWrap w:val="0"/>
                  <w:vAlign w:val="center"/>
                </w:tcPr>
                <w:p w14:paraId="581930B6">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w:t>
                  </w:r>
                </w:p>
              </w:tc>
            </w:tr>
            <w:tr w14:paraId="359D42A7">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4A501A59">
                  <w:pPr>
                    <w:pStyle w:val="28"/>
                    <w:bidi w:val="0"/>
                    <w:jc w:val="left"/>
                    <w:rPr>
                      <w:rFonts w:hint="eastAsia"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8</w:t>
                  </w:r>
                </w:p>
              </w:tc>
              <w:tc>
                <w:tcPr>
                  <w:tcW w:w="2757" w:type="pct"/>
                  <w:noWrap w:val="0"/>
                  <w:vAlign w:val="center"/>
                </w:tcPr>
                <w:p w14:paraId="6F7E7111">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长江干支流、重要湖泊岸线一公里范围内新建、扩建化工园区和化工项目。禁止在长江干流岸线三公里范围内和重要支流岸线一公里范围内新建、改建、扩建尾渣储存间、冶炼渣库和磷石膏库，以提升安全、生态环境保护水平为目的的改建除外。</w:t>
                  </w:r>
                </w:p>
              </w:tc>
              <w:tc>
                <w:tcPr>
                  <w:tcW w:w="1522" w:type="pct"/>
                  <w:noWrap w:val="0"/>
                  <w:vAlign w:val="center"/>
                </w:tcPr>
                <w:p w14:paraId="7A84093F">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项目位置不处于长江干支流、重要湖泊岸线1km范围内。不涉及尾渣储存间、冶炼渣库和磷石膏库。</w:t>
                  </w:r>
                </w:p>
              </w:tc>
              <w:tc>
                <w:tcPr>
                  <w:tcW w:w="436" w:type="pct"/>
                  <w:noWrap w:val="0"/>
                  <w:vAlign w:val="center"/>
                </w:tcPr>
                <w:p w14:paraId="073984A5">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w:t>
                  </w:r>
                </w:p>
              </w:tc>
            </w:tr>
            <w:tr w14:paraId="5346EBC9">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00DD1BB5">
                  <w:pPr>
                    <w:pStyle w:val="28"/>
                    <w:bidi w:val="0"/>
                    <w:jc w:val="left"/>
                    <w:rPr>
                      <w:rFonts w:hint="eastAsia"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9</w:t>
                  </w:r>
                </w:p>
              </w:tc>
              <w:tc>
                <w:tcPr>
                  <w:tcW w:w="2757" w:type="pct"/>
                  <w:noWrap w:val="0"/>
                  <w:vAlign w:val="center"/>
                </w:tcPr>
                <w:p w14:paraId="2C12077B">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禁止在合规园区外新建、扩建钢铁、石化、化工、焦化、建材、有色、制浆造纸等高污染项目。</w:t>
                  </w:r>
                </w:p>
              </w:tc>
              <w:tc>
                <w:tcPr>
                  <w:tcW w:w="1522" w:type="pct"/>
                  <w:noWrap w:val="0"/>
                  <w:vAlign w:val="center"/>
                </w:tcPr>
                <w:p w14:paraId="28DB4825">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项目属于风电发电项目，不属于所列的高污染项目。</w:t>
                  </w:r>
                </w:p>
              </w:tc>
              <w:tc>
                <w:tcPr>
                  <w:tcW w:w="436" w:type="pct"/>
                  <w:noWrap w:val="0"/>
                  <w:vAlign w:val="center"/>
                </w:tcPr>
                <w:p w14:paraId="29144D0F">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w:t>
                  </w:r>
                </w:p>
              </w:tc>
            </w:tr>
            <w:tr w14:paraId="6B049D43">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214CAA0C">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10</w:t>
                  </w:r>
                </w:p>
              </w:tc>
              <w:tc>
                <w:tcPr>
                  <w:tcW w:w="2757" w:type="pct"/>
                  <w:noWrap w:val="0"/>
                  <w:vAlign w:val="center"/>
                </w:tcPr>
                <w:p w14:paraId="110B9528">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禁止新建、扩建不符合国家石化、现代煤化工等产业布局规划的项目。</w:t>
                  </w:r>
                </w:p>
              </w:tc>
              <w:tc>
                <w:tcPr>
                  <w:tcW w:w="1522" w:type="pct"/>
                  <w:noWrap w:val="0"/>
                  <w:vAlign w:val="center"/>
                </w:tcPr>
                <w:p w14:paraId="410C1B1F">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项目符合《产业结构调整指导目录（2024年本）》</w:t>
                  </w:r>
                </w:p>
              </w:tc>
              <w:tc>
                <w:tcPr>
                  <w:tcW w:w="436" w:type="pct"/>
                  <w:noWrap w:val="0"/>
                  <w:vAlign w:val="center"/>
                </w:tcPr>
                <w:p w14:paraId="5838A172">
                  <w:pPr>
                    <w:pStyle w:val="28"/>
                    <w:bidi w:val="0"/>
                    <w:jc w:val="left"/>
                    <w:rPr>
                      <w:rFonts w:hint="default" w:ascii="Times New Roman" w:hAnsi="Times New Roman" w:eastAsia="宋体" w:cs="Times New Roman"/>
                      <w:color w:val="auto"/>
                      <w:w w:val="90"/>
                      <w:highlight w:val="none"/>
                      <w:lang w:val="en-US" w:eastAsia="zh-CN"/>
                    </w:rPr>
                  </w:pPr>
                  <w:r>
                    <w:rPr>
                      <w:rFonts w:hint="default" w:ascii="Times New Roman" w:hAnsi="Times New Roman" w:eastAsia="宋体" w:cs="Times New Roman"/>
                      <w:color w:val="auto"/>
                      <w:w w:val="90"/>
                      <w:highlight w:val="none"/>
                      <w:lang w:val="en-US" w:eastAsia="zh-CN"/>
                    </w:rPr>
                    <w:t>符合</w:t>
                  </w:r>
                </w:p>
              </w:tc>
            </w:tr>
            <w:tr w14:paraId="40104FA3">
              <w:tblPrEx>
                <w:tblBorders>
                  <w:top w:val="single" w:color="000000" w:sz="6" w:space="0"/>
                  <w:left w:val="single" w:color="000000" w:sz="6" w:space="0"/>
                  <w:bottom w:val="single" w:color="000000" w:sz="6" w:space="0"/>
                  <w:right w:val="single" w:color="000000" w:sz="6"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3" w:type="pct"/>
                  <w:noWrap w:val="0"/>
                  <w:vAlign w:val="center"/>
                </w:tcPr>
                <w:p w14:paraId="67A4C64C">
                  <w:pPr>
                    <w:pStyle w:val="28"/>
                    <w:bidi w:val="0"/>
                    <w:jc w:val="left"/>
                    <w:rPr>
                      <w:rFonts w:hint="default"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11</w:t>
                  </w:r>
                </w:p>
              </w:tc>
              <w:tc>
                <w:tcPr>
                  <w:tcW w:w="2757" w:type="pct"/>
                  <w:noWrap w:val="0"/>
                  <w:vAlign w:val="center"/>
                </w:tcPr>
                <w:p w14:paraId="29C0C53A">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禁止新建、扩建法律法规和相关政策明令禁止的落后产能项目。禁止新建、扩建不符合国家产能置换要求的严重过剩产能行业的项目。禁止新建、扩建不符合要求的高耗能高排放项目。</w:t>
                  </w:r>
                </w:p>
              </w:tc>
              <w:tc>
                <w:tcPr>
                  <w:tcW w:w="1522" w:type="pct"/>
                  <w:noWrap w:val="0"/>
                  <w:vAlign w:val="center"/>
                </w:tcPr>
                <w:p w14:paraId="44F02443">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项目不属于落后产能项目，不属于严重过剩产能行业，不属于高耗能高排放项目。</w:t>
                  </w:r>
                </w:p>
              </w:tc>
              <w:tc>
                <w:tcPr>
                  <w:tcW w:w="436" w:type="pct"/>
                  <w:noWrap w:val="0"/>
                  <w:vAlign w:val="center"/>
                </w:tcPr>
                <w:p w14:paraId="0FB0439D">
                  <w:pPr>
                    <w:pStyle w:val="28"/>
                    <w:bidi w:val="0"/>
                    <w:jc w:val="left"/>
                    <w:rPr>
                      <w:rFonts w:hint="default"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符合</w:t>
                  </w:r>
                </w:p>
              </w:tc>
            </w:tr>
          </w:tbl>
          <w:p w14:paraId="2A226173">
            <w:pPr>
              <w:keepNext w:val="0"/>
              <w:keepLines w:val="0"/>
              <w:pageBreakBefore w:val="0"/>
              <w:numPr>
                <w:ilvl w:val="0"/>
                <w:numId w:val="0"/>
              </w:numPr>
              <w:suppressLineNumbers w:val="0"/>
              <w:kinsoku/>
              <w:wordWrap/>
              <w:overflowPunct/>
              <w:topLinePunct w:val="0"/>
              <w:bidi w:val="0"/>
              <w:adjustRightInd w:val="0"/>
              <w:snapToGrid w:val="0"/>
              <w:spacing w:before="0" w:beforeAutospacing="0" w:after="0" w:afterAutospacing="0" w:line="360" w:lineRule="auto"/>
              <w:ind w:left="400" w:leftChars="0" w:right="0" w:rightChars="0"/>
              <w:textAlignment w:val="auto"/>
              <w:rPr>
                <w:rFonts w:hint="default" w:ascii="Times New Roman" w:hAnsi="Times New Roman" w:eastAsia="宋体" w:cs="Times New Roman"/>
                <w:b/>
                <w:bCs/>
                <w:color w:val="auto"/>
                <w:sz w:val="24"/>
                <w:szCs w:val="24"/>
                <w:highlight w:val="none"/>
                <w:lang w:val="en-US" w:eastAsia="zh-CN"/>
              </w:rPr>
            </w:pPr>
            <w:r>
              <w:rPr>
                <w:rFonts w:hint="eastAsia" w:cs="Times New Roman"/>
                <w:b/>
                <w:bCs/>
                <w:color w:val="auto"/>
                <w:sz w:val="24"/>
                <w:szCs w:val="24"/>
                <w:highlight w:val="none"/>
                <w:lang w:val="en-US" w:eastAsia="zh-CN"/>
              </w:rPr>
              <w:t>9</w:t>
            </w:r>
            <w:r>
              <w:rPr>
                <w:rFonts w:hint="eastAsia" w:eastAsia="宋体"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lang w:val="en-US" w:eastAsia="zh-CN"/>
              </w:rPr>
              <w:t>《</w:t>
            </w:r>
            <w:r>
              <w:rPr>
                <w:rFonts w:hint="default" w:ascii="Times New Roman" w:hAnsi="Times New Roman" w:eastAsia="宋体" w:cs="Times New Roman"/>
                <w:b/>
                <w:bCs/>
                <w:color w:val="auto"/>
                <w:kern w:val="0"/>
                <w:sz w:val="24"/>
                <w:highlight w:val="none"/>
                <w:lang w:val="en-US" w:eastAsia="zh-CN"/>
              </w:rPr>
              <w:t>云南省</w:t>
            </w:r>
            <w:r>
              <w:rPr>
                <w:rFonts w:hint="default" w:ascii="Times New Roman" w:hAnsi="Times New Roman" w:eastAsia="宋体" w:cs="Times New Roman"/>
                <w:b/>
                <w:bCs/>
                <w:color w:val="auto"/>
                <w:sz w:val="24"/>
                <w:szCs w:val="24"/>
                <w:highlight w:val="none"/>
                <w:lang w:val="en-US" w:eastAsia="zh-CN"/>
              </w:rPr>
              <w:t>长江经济带发展负面清单指南实施细则（试行，2022年版）》</w:t>
            </w:r>
          </w:p>
          <w:p w14:paraId="70B55AAC">
            <w:pPr>
              <w:keepNext w:val="0"/>
              <w:keepLines w:val="0"/>
              <w:suppressLineNumbers w:val="0"/>
              <w:spacing w:before="0" w:beforeAutospacing="0" w:after="0" w:afterAutospacing="0" w:line="360" w:lineRule="auto"/>
              <w:ind w:left="0" w:right="0"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项目建设与</w:t>
            </w:r>
            <w:r>
              <w:rPr>
                <w:rFonts w:hint="default" w:ascii="Times New Roman" w:hAnsi="Times New Roman" w:eastAsia="宋体" w:cs="Times New Roman"/>
                <w:color w:val="auto"/>
                <w:sz w:val="24"/>
                <w:highlight w:val="none"/>
                <w:lang w:val="en-US" w:eastAsia="zh-CN"/>
              </w:rPr>
              <w:t>《云南省长江经济带发展负面清单指南实施细则</w:t>
            </w:r>
            <w:r>
              <w:rPr>
                <w:rFonts w:hint="eastAsia"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lang w:val="en-US" w:eastAsia="zh-CN"/>
              </w:rPr>
              <w:t>试行</w:t>
            </w:r>
            <w:r>
              <w:rPr>
                <w:rFonts w:hint="eastAsia" w:ascii="Times New Roman" w:hAnsi="Times New Roman" w:eastAsia="宋体" w:cs="Times New Roman"/>
                <w:color w:val="auto"/>
                <w:sz w:val="24"/>
                <w:highlight w:val="none"/>
                <w:lang w:val="en-US" w:eastAsia="zh-CN"/>
              </w:rPr>
              <w:t>，2022年版）</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不冲突，对照分析见下表：</w:t>
            </w:r>
          </w:p>
          <w:p w14:paraId="378037B5">
            <w:pPr>
              <w:keepNext w:val="0"/>
              <w:keepLines w:val="0"/>
              <w:pageBreakBefore w:val="0"/>
              <w:widowControl w:val="0"/>
              <w:suppressLineNumbers w:val="0"/>
              <w:tabs>
                <w:tab w:val="left" w:pos="1147"/>
              </w:tabs>
              <w:kinsoku/>
              <w:wordWrap/>
              <w:overflowPunct/>
              <w:topLinePunct w:val="0"/>
              <w:autoSpaceDE/>
              <w:autoSpaceDN/>
              <w:bidi w:val="0"/>
              <w:adjustRightInd w:val="0"/>
              <w:snapToGrid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表1-</w:t>
            </w:r>
            <w:r>
              <w:rPr>
                <w:rFonts w:hint="eastAsia" w:cs="Times New Roman"/>
                <w:b/>
                <w:bCs/>
                <w:color w:val="auto"/>
                <w:kern w:val="0"/>
                <w:sz w:val="21"/>
                <w:szCs w:val="21"/>
                <w:highlight w:val="none"/>
                <w:lang w:val="en-US" w:eastAsia="zh-CN"/>
              </w:rPr>
              <w:t>8</w:t>
            </w:r>
            <w:r>
              <w:rPr>
                <w:rFonts w:hint="default" w:ascii="Times New Roman" w:hAnsi="Times New Roman" w:eastAsia="宋体" w:cs="Times New Roman"/>
                <w:b/>
                <w:bCs/>
                <w:color w:val="auto"/>
                <w:kern w:val="0"/>
                <w:sz w:val="21"/>
                <w:szCs w:val="21"/>
                <w:highlight w:val="none"/>
              </w:rPr>
              <w:t>《云南省长江经济带发展负面清单指南实施细则（试行）》符合性分析</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13"/>
              <w:gridCol w:w="2915"/>
              <w:gridCol w:w="874"/>
            </w:tblGrid>
            <w:tr w14:paraId="2C8B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60AF5F2E">
                  <w:pPr>
                    <w:pStyle w:val="28"/>
                    <w:bidi w:val="0"/>
                    <w:jc w:val="left"/>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长江经济带发展负面清单</w:t>
                  </w:r>
                </w:p>
              </w:tc>
              <w:tc>
                <w:tcPr>
                  <w:tcW w:w="1798" w:type="pct"/>
                  <w:noWrap w:val="0"/>
                  <w:vAlign w:val="center"/>
                </w:tcPr>
                <w:p w14:paraId="02430573">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项目情况</w:t>
                  </w:r>
                </w:p>
              </w:tc>
              <w:tc>
                <w:tcPr>
                  <w:tcW w:w="539" w:type="pct"/>
                  <w:noWrap w:val="0"/>
                  <w:vAlign w:val="center"/>
                </w:tcPr>
                <w:p w14:paraId="316F00CE">
                  <w:pPr>
                    <w:pStyle w:val="28"/>
                    <w:bidi w:val="0"/>
                    <w:jc w:val="left"/>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符合性</w:t>
                  </w:r>
                </w:p>
              </w:tc>
            </w:tr>
            <w:tr w14:paraId="470B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4D7CA943">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第一条禁止新建、改建和扩建不符合《全国内河航道与港口布局规划》等全国港口规划和《昭通市港口码头岸线规划（金沙江段2019年—2035年）</w:t>
                  </w:r>
                  <w:r>
                    <w:rPr>
                      <w:rFonts w:hint="eastAsia" w:ascii="Times New Roman" w:hAnsi="Times New Roman" w:eastAsia="宋体" w:cs="Times New Roman"/>
                      <w:color w:val="auto"/>
                      <w:w w:val="90"/>
                      <w:highlight w:val="none"/>
                      <w:lang w:val="en-US" w:eastAsia="zh-CN"/>
                    </w:rPr>
                    <w:t>》《</w:t>
                  </w:r>
                  <w:r>
                    <w:rPr>
                      <w:rFonts w:hint="eastAsia" w:ascii="Times New Roman" w:hAnsi="Times New Roman" w:eastAsia="宋体" w:cs="Times New Roman"/>
                      <w:color w:val="auto"/>
                      <w:w w:val="90"/>
                      <w:highlight w:val="none"/>
                      <w:lang w:val="en-US" w:eastAsia="en-US"/>
                    </w:rPr>
                    <w:t>景洪港总体规划（2019—2035年）》等州（市）级以上港口布局规划以及港口总体规划的码头项目</w:t>
                  </w:r>
                </w:p>
              </w:tc>
              <w:tc>
                <w:tcPr>
                  <w:tcW w:w="1798" w:type="pct"/>
                  <w:noWrap w:val="0"/>
                  <w:vAlign w:val="center"/>
                </w:tcPr>
                <w:p w14:paraId="216B4D09">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项目位于</w:t>
                  </w:r>
                  <w:r>
                    <w:rPr>
                      <w:rFonts w:hint="default"/>
                      <w:color w:val="auto"/>
                      <w:w w:val="90"/>
                      <w:kern w:val="0"/>
                      <w:sz w:val="21"/>
                      <w:szCs w:val="21"/>
                      <w:highlight w:val="none"/>
                      <w:lang w:bidi="ar"/>
                    </w:rPr>
                    <w:t>宣威市热水镇海德村</w:t>
                  </w:r>
                  <w:r>
                    <w:rPr>
                      <w:rFonts w:hint="eastAsia" w:ascii="Times New Roman" w:hAnsi="Times New Roman" w:eastAsia="宋体" w:cs="Times New Roman"/>
                      <w:color w:val="auto"/>
                      <w:w w:val="90"/>
                      <w:highlight w:val="none"/>
                      <w:lang w:val="en-US" w:eastAsia="en-US"/>
                    </w:rPr>
                    <w:t>，不涉及码头建设，不涉及过江通道。</w:t>
                  </w:r>
                </w:p>
              </w:tc>
              <w:tc>
                <w:tcPr>
                  <w:tcW w:w="539" w:type="pct"/>
                  <w:noWrap w:val="0"/>
                  <w:vAlign w:val="center"/>
                </w:tcPr>
                <w:p w14:paraId="7FFB58E9">
                  <w:pPr>
                    <w:pStyle w:val="28"/>
                    <w:bidi w:val="0"/>
                    <w:jc w:val="left"/>
                    <w:rPr>
                      <w:rFonts w:hint="eastAsia"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zh-CN"/>
                    </w:rPr>
                    <w:t>不冲突</w:t>
                  </w:r>
                </w:p>
              </w:tc>
            </w:tr>
            <w:tr w14:paraId="3199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70CA7164">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二条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798" w:type="pct"/>
                  <w:noWrap w:val="0"/>
                  <w:vAlign w:val="center"/>
                </w:tcPr>
                <w:p w14:paraId="18C8C54F">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项目位于</w:t>
                  </w:r>
                  <w:r>
                    <w:rPr>
                      <w:rFonts w:hint="default"/>
                      <w:color w:val="auto"/>
                      <w:w w:val="90"/>
                      <w:kern w:val="0"/>
                      <w:sz w:val="21"/>
                      <w:szCs w:val="21"/>
                      <w:highlight w:val="none"/>
                      <w:lang w:bidi="ar"/>
                    </w:rPr>
                    <w:t>宣威市热水镇海德村</w:t>
                  </w:r>
                  <w:r>
                    <w:rPr>
                      <w:rFonts w:hint="eastAsia" w:ascii="Times New Roman" w:hAnsi="Times New Roman" w:eastAsia="宋体" w:cs="Times New Roman"/>
                      <w:color w:val="auto"/>
                      <w:w w:val="90"/>
                      <w:highlight w:val="none"/>
                      <w:lang w:val="en-US" w:eastAsia="en-US"/>
                    </w:rPr>
                    <w:t>，不涉及自然保护区核心区、缓冲区的岸线和河段范围，不涉及风景名胜区核心景区的岸线和河段</w:t>
                  </w:r>
                  <w:r>
                    <w:rPr>
                      <w:rFonts w:hint="eastAsia" w:ascii="Times New Roman" w:hAnsi="Times New Roman" w:eastAsia="宋体" w:cs="Times New Roman"/>
                      <w:color w:val="auto"/>
                      <w:w w:val="90"/>
                      <w:highlight w:val="none"/>
                      <w:lang w:val="en-US" w:eastAsia="zh-CN"/>
                    </w:rPr>
                    <w:t>范围。</w:t>
                  </w:r>
                </w:p>
              </w:tc>
              <w:tc>
                <w:tcPr>
                  <w:tcW w:w="539" w:type="pct"/>
                  <w:noWrap w:val="0"/>
                  <w:vAlign w:val="center"/>
                </w:tcPr>
                <w:p w14:paraId="0E02EE17">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4367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39DBF459">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三条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798" w:type="pct"/>
                  <w:noWrap w:val="0"/>
                  <w:vAlign w:val="center"/>
                </w:tcPr>
                <w:p w14:paraId="1B6590A2">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项目不涉及风景名胜区</w:t>
                  </w:r>
                </w:p>
              </w:tc>
              <w:tc>
                <w:tcPr>
                  <w:tcW w:w="539" w:type="pct"/>
                  <w:noWrap w:val="0"/>
                  <w:vAlign w:val="center"/>
                </w:tcPr>
                <w:p w14:paraId="587D8DF0">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3055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1" w:type="pct"/>
                  <w:noWrap w:val="0"/>
                  <w:vAlign w:val="center"/>
                </w:tcPr>
                <w:p w14:paraId="4D313F35">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四条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798" w:type="pct"/>
                  <w:noWrap w:val="0"/>
                  <w:vAlign w:val="center"/>
                </w:tcPr>
                <w:p w14:paraId="36BEB519">
                  <w:pPr>
                    <w:pStyle w:val="28"/>
                    <w:bidi w:val="0"/>
                    <w:jc w:val="left"/>
                    <w:rPr>
                      <w:rFonts w:hint="default"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项目</w:t>
                  </w:r>
                  <w:r>
                    <w:rPr>
                      <w:rFonts w:hint="eastAsia" w:ascii="Times New Roman" w:hAnsi="Times New Roman" w:eastAsia="宋体" w:cs="Times New Roman"/>
                      <w:color w:val="auto"/>
                      <w:w w:val="90"/>
                      <w:highlight w:val="none"/>
                      <w:lang w:val="en-US" w:eastAsia="en-US"/>
                    </w:rPr>
                    <w:t>不涉及饮用水水源保护区。</w:t>
                  </w:r>
                </w:p>
              </w:tc>
              <w:tc>
                <w:tcPr>
                  <w:tcW w:w="539" w:type="pct"/>
                  <w:noWrap w:val="0"/>
                  <w:vAlign w:val="center"/>
                </w:tcPr>
                <w:p w14:paraId="00535239">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700C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1" w:type="pct"/>
                  <w:noWrap w:val="0"/>
                  <w:vAlign w:val="center"/>
                </w:tcPr>
                <w:p w14:paraId="470529A4">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五条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798" w:type="pct"/>
                  <w:noWrap w:val="0"/>
                  <w:vAlign w:val="center"/>
                </w:tcPr>
                <w:p w14:paraId="2FA27B8C">
                  <w:pPr>
                    <w:pStyle w:val="28"/>
                    <w:bidi w:val="0"/>
                    <w:jc w:val="left"/>
                    <w:rPr>
                      <w:rFonts w:hint="eastAsia" w:ascii="Times New Roman" w:hAnsi="Times New Roman" w:eastAsia="宋体" w:cs="Times New Roman"/>
                      <w:color w:val="auto"/>
                      <w:w w:val="90"/>
                      <w:highlight w:val="none"/>
                      <w:lang w:val="en-US" w:eastAsia="en-US"/>
                    </w:rPr>
                  </w:pPr>
                  <w:r>
                    <w:rPr>
                      <w:rFonts w:hint="default" w:ascii="Times New Roman" w:hAnsi="Times New Roman" w:eastAsia="宋体" w:cs="Times New Roman"/>
                      <w:color w:val="auto"/>
                      <w:w w:val="90"/>
                      <w:highlight w:val="none"/>
                      <w:lang w:val="en-US" w:eastAsia="en-US"/>
                    </w:rPr>
                    <w:t>项目</w:t>
                  </w:r>
                  <w:r>
                    <w:rPr>
                      <w:rFonts w:hint="eastAsia" w:ascii="Times New Roman" w:hAnsi="Times New Roman" w:eastAsia="宋体" w:cs="Times New Roman"/>
                      <w:color w:val="auto"/>
                      <w:w w:val="90"/>
                      <w:highlight w:val="none"/>
                      <w:lang w:val="en-US" w:eastAsia="en-US"/>
                    </w:rPr>
                    <w:t>不涉及水产种质资源保护区、国家湿地公园。</w:t>
                  </w:r>
                </w:p>
              </w:tc>
              <w:tc>
                <w:tcPr>
                  <w:tcW w:w="539" w:type="pct"/>
                  <w:noWrap w:val="0"/>
                  <w:vAlign w:val="center"/>
                </w:tcPr>
                <w:p w14:paraId="72ACAC69">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3AB0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77C05480">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六条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798" w:type="pct"/>
                  <w:noWrap w:val="0"/>
                  <w:vAlign w:val="center"/>
                </w:tcPr>
                <w:p w14:paraId="7AF5A42A">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项目不涉及长江流域河湖岸线、金沙江岸线保护区和保留区</w:t>
                  </w:r>
                </w:p>
              </w:tc>
              <w:tc>
                <w:tcPr>
                  <w:tcW w:w="539" w:type="pct"/>
                  <w:noWrap w:val="0"/>
                  <w:vAlign w:val="center"/>
                </w:tcPr>
                <w:p w14:paraId="204ED7EF">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66E3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1418472D">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第七条禁止在金沙江干流、长江一级支流建设除党中央、国务院、</w:t>
                  </w:r>
                  <w:r>
                    <w:rPr>
                      <w:rFonts w:hint="eastAsia" w:ascii="Times New Roman" w:hAnsi="Times New Roman" w:eastAsia="宋体" w:cs="Times New Roman"/>
                      <w:color w:val="auto"/>
                      <w:w w:val="90"/>
                      <w:highlight w:val="none"/>
                      <w:lang w:val="en-US" w:eastAsia="zh-CN"/>
                    </w:rPr>
                    <w:t>国务院投资主管部门</w:t>
                  </w:r>
                  <w:r>
                    <w:rPr>
                      <w:rFonts w:hint="eastAsia" w:ascii="Times New Roman" w:hAnsi="Times New Roman" w:eastAsia="宋体" w:cs="Times New Roman"/>
                      <w:color w:val="auto"/>
                      <w:w w:val="90"/>
                      <w:highlight w:val="none"/>
                      <w:lang w:val="en-US" w:eastAsia="en-US"/>
                    </w:rPr>
                    <w:t>、省级有关部门批复同意以外的过江基础设施项目；禁止未经许可在金沙江干流、长江一级支流、九大高原湖泊流域新设、改设或扩大排污口。</w:t>
                  </w:r>
                </w:p>
              </w:tc>
              <w:tc>
                <w:tcPr>
                  <w:tcW w:w="1798" w:type="pct"/>
                  <w:noWrap w:val="0"/>
                  <w:vAlign w:val="center"/>
                </w:tcPr>
                <w:p w14:paraId="4ACBD604">
                  <w:pPr>
                    <w:pStyle w:val="28"/>
                    <w:bidi w:val="0"/>
                    <w:jc w:val="left"/>
                    <w:rPr>
                      <w:rFonts w:hint="default" w:ascii="Times New Roman" w:hAnsi="Times New Roman" w:eastAsia="宋体" w:cs="Times New Roman"/>
                      <w:color w:val="auto"/>
                      <w:w w:val="90"/>
                      <w:highlight w:val="none"/>
                      <w:lang w:val="en-US" w:eastAsia="zh-CN"/>
                    </w:rPr>
                  </w:pPr>
                  <w:r>
                    <w:rPr>
                      <w:rFonts w:hint="eastAsia" w:ascii="Times New Roman" w:hAnsi="Times New Roman" w:eastAsia="宋体" w:cs="Times New Roman"/>
                      <w:color w:val="auto"/>
                      <w:w w:val="90"/>
                      <w:highlight w:val="none"/>
                      <w:lang w:val="en-US" w:eastAsia="en-US"/>
                    </w:rPr>
                    <w:t>项目不涉及金沙江干流、九大高原湖泊流域</w:t>
                  </w:r>
                  <w:r>
                    <w:rPr>
                      <w:rFonts w:hint="eastAsia" w:ascii="Times New Roman" w:hAnsi="Times New Roman" w:eastAsia="宋体" w:cs="Times New Roman"/>
                      <w:color w:val="auto"/>
                      <w:w w:val="90"/>
                      <w:highlight w:val="none"/>
                      <w:lang w:val="en-US" w:eastAsia="zh-CN"/>
                    </w:rPr>
                    <w:t>，不设置排污口。</w:t>
                  </w:r>
                </w:p>
                <w:p w14:paraId="5736DBE6">
                  <w:pPr>
                    <w:pStyle w:val="28"/>
                    <w:bidi w:val="0"/>
                    <w:jc w:val="left"/>
                    <w:rPr>
                      <w:rFonts w:hint="default" w:ascii="Times New Roman" w:hAnsi="Times New Roman" w:eastAsia="宋体" w:cs="Times New Roman"/>
                      <w:color w:val="auto"/>
                      <w:w w:val="90"/>
                      <w:highlight w:val="none"/>
                      <w:lang w:val="en-US" w:eastAsia="en-US"/>
                    </w:rPr>
                  </w:pPr>
                </w:p>
              </w:tc>
              <w:tc>
                <w:tcPr>
                  <w:tcW w:w="539" w:type="pct"/>
                  <w:noWrap w:val="0"/>
                  <w:vAlign w:val="center"/>
                </w:tcPr>
                <w:p w14:paraId="785F28B8">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54B27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6EBE8473">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第八条禁止在金沙江干流、长江一级支流、水生生物保护区和长江流域禁捕水域开展天然渔业资源生产性捕捞。</w:t>
                  </w:r>
                </w:p>
              </w:tc>
              <w:tc>
                <w:tcPr>
                  <w:tcW w:w="1798" w:type="pct"/>
                  <w:noWrap w:val="0"/>
                  <w:vAlign w:val="center"/>
                </w:tcPr>
                <w:p w14:paraId="52B3EDFB">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项目不涉及渔业资源生产性捕捞</w:t>
                  </w:r>
                </w:p>
              </w:tc>
              <w:tc>
                <w:tcPr>
                  <w:tcW w:w="539" w:type="pct"/>
                  <w:noWrap w:val="0"/>
                  <w:vAlign w:val="center"/>
                </w:tcPr>
                <w:p w14:paraId="341445E9">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1A92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724123F6">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九条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798" w:type="pct"/>
                  <w:noWrap w:val="0"/>
                  <w:vAlign w:val="center"/>
                </w:tcPr>
                <w:p w14:paraId="570BF108">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项目不涉及禁止建设项目</w:t>
                  </w:r>
                </w:p>
              </w:tc>
              <w:tc>
                <w:tcPr>
                  <w:tcW w:w="539" w:type="pct"/>
                  <w:noWrap w:val="0"/>
                  <w:vAlign w:val="center"/>
                </w:tcPr>
                <w:p w14:paraId="03E09558">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2E08B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2AEA862C">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第十条禁止在合规园区外新建、扩建钢铁、石化、化工、焦化、建材</w:t>
                  </w:r>
                  <w:r>
                    <w:rPr>
                      <w:rFonts w:hint="eastAsia" w:ascii="Times New Roman" w:hAnsi="Times New Roman" w:eastAsia="宋体" w:cs="Times New Roman"/>
                      <w:color w:val="auto"/>
                      <w:w w:val="90"/>
                      <w:highlight w:val="none"/>
                      <w:lang w:val="en-US" w:eastAsia="en-US"/>
                    </w:rPr>
                    <w:cr/>
                  </w:r>
                  <w:r>
                    <w:rPr>
                      <w:rFonts w:hint="eastAsia" w:ascii="Times New Roman" w:hAnsi="Times New Roman" w:eastAsia="宋体" w:cs="Times New Roman"/>
                      <w:color w:val="auto"/>
                      <w:w w:val="90"/>
                      <w:highlight w:val="none"/>
                      <w:lang w:val="en-US" w:eastAsia="en-US"/>
                    </w:rPr>
                    <w:t>有色、制浆造纸行业中的高污染项目。</w:t>
                  </w:r>
                </w:p>
              </w:tc>
              <w:tc>
                <w:tcPr>
                  <w:tcW w:w="1798" w:type="pct"/>
                  <w:noWrap w:val="0"/>
                  <w:vAlign w:val="center"/>
                </w:tcPr>
                <w:p w14:paraId="3A9AD371">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项目不属于禁止建设的高污染项目</w:t>
                  </w:r>
                </w:p>
              </w:tc>
              <w:tc>
                <w:tcPr>
                  <w:tcW w:w="539" w:type="pct"/>
                  <w:noWrap w:val="0"/>
                  <w:vAlign w:val="center"/>
                </w:tcPr>
                <w:p w14:paraId="1D15187A">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0492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221DC4EB">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第十一条禁止新建、扩建不符合国家石化、现代煤化工等产业布局规划的项目。禁止列入《云南省城镇人口密集区危险化学品生产企业搬迁改造名单》的搬迁改造企业在原址新建、扩建危险化学品生产项目。</w:t>
                  </w:r>
                </w:p>
              </w:tc>
              <w:tc>
                <w:tcPr>
                  <w:tcW w:w="1798" w:type="pct"/>
                  <w:noWrap w:val="0"/>
                  <w:vAlign w:val="center"/>
                </w:tcPr>
                <w:p w14:paraId="2224A91F">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项目不属于禁止建设的项目</w:t>
                  </w:r>
                </w:p>
              </w:tc>
              <w:tc>
                <w:tcPr>
                  <w:tcW w:w="539" w:type="pct"/>
                  <w:noWrap w:val="0"/>
                  <w:vAlign w:val="center"/>
                </w:tcPr>
                <w:p w14:paraId="34F061C0">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r w14:paraId="42FF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1" w:type="pct"/>
                  <w:noWrap w:val="0"/>
                  <w:vAlign w:val="center"/>
                </w:tcPr>
                <w:p w14:paraId="33496518">
                  <w:pPr>
                    <w:pStyle w:val="28"/>
                    <w:bidi w:val="0"/>
                    <w:jc w:val="left"/>
                    <w:rPr>
                      <w:rFonts w:hint="eastAsia"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第十二条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798" w:type="pct"/>
                  <w:noWrap w:val="0"/>
                  <w:vAlign w:val="center"/>
                </w:tcPr>
                <w:p w14:paraId="2805BEC2">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en-US"/>
                    </w:rPr>
                    <w:t>项目不属于禁止建设的</w:t>
                  </w:r>
                  <w:r>
                    <w:rPr>
                      <w:rFonts w:hint="default" w:ascii="Times New Roman" w:hAnsi="Times New Roman" w:eastAsia="宋体" w:cs="Times New Roman"/>
                      <w:color w:val="auto"/>
                      <w:w w:val="90"/>
                      <w:highlight w:val="none"/>
                      <w:lang w:val="en-US" w:eastAsia="en-US"/>
                    </w:rPr>
                    <w:t>落后产能项目</w:t>
                  </w:r>
                  <w:r>
                    <w:rPr>
                      <w:rFonts w:hint="eastAsia" w:ascii="Times New Roman" w:hAnsi="Times New Roman" w:eastAsia="宋体" w:cs="Times New Roman"/>
                      <w:color w:val="auto"/>
                      <w:w w:val="90"/>
                      <w:highlight w:val="none"/>
                      <w:lang w:val="en-US" w:eastAsia="en-US"/>
                    </w:rPr>
                    <w:t>、</w:t>
                  </w:r>
                  <w:r>
                    <w:rPr>
                      <w:rFonts w:hint="default" w:ascii="Times New Roman" w:hAnsi="Times New Roman" w:eastAsia="宋体" w:cs="Times New Roman"/>
                      <w:color w:val="auto"/>
                      <w:w w:val="90"/>
                      <w:highlight w:val="none"/>
                      <w:lang w:val="en-US" w:eastAsia="en-US"/>
                    </w:rPr>
                    <w:t>不符合国家产能置换要求的过剩产能行业的项目</w:t>
                  </w:r>
                  <w:r>
                    <w:rPr>
                      <w:rFonts w:hint="eastAsia" w:ascii="Times New Roman" w:hAnsi="Times New Roman" w:eastAsia="宋体" w:cs="Times New Roman"/>
                      <w:color w:val="auto"/>
                      <w:w w:val="90"/>
                      <w:highlight w:val="none"/>
                      <w:lang w:val="en-US" w:eastAsia="en-US"/>
                    </w:rPr>
                    <w:t>等。</w:t>
                  </w:r>
                </w:p>
              </w:tc>
              <w:tc>
                <w:tcPr>
                  <w:tcW w:w="539" w:type="pct"/>
                  <w:noWrap w:val="0"/>
                  <w:vAlign w:val="center"/>
                </w:tcPr>
                <w:p w14:paraId="4A5A9F03">
                  <w:pPr>
                    <w:pStyle w:val="28"/>
                    <w:bidi w:val="0"/>
                    <w:jc w:val="left"/>
                    <w:rPr>
                      <w:rFonts w:hint="default" w:ascii="Times New Roman" w:hAnsi="Times New Roman" w:eastAsia="宋体" w:cs="Times New Roman"/>
                      <w:color w:val="auto"/>
                      <w:w w:val="90"/>
                      <w:highlight w:val="none"/>
                      <w:lang w:val="en-US" w:eastAsia="en-US"/>
                    </w:rPr>
                  </w:pPr>
                  <w:r>
                    <w:rPr>
                      <w:rFonts w:hint="eastAsia" w:ascii="Times New Roman" w:hAnsi="Times New Roman" w:eastAsia="宋体" w:cs="Times New Roman"/>
                      <w:color w:val="auto"/>
                      <w:w w:val="90"/>
                      <w:highlight w:val="none"/>
                      <w:lang w:val="en-US" w:eastAsia="zh-CN"/>
                    </w:rPr>
                    <w:t>不冲突</w:t>
                  </w:r>
                </w:p>
              </w:tc>
            </w:tr>
          </w:tbl>
          <w:p w14:paraId="4AB22AB0">
            <w:pPr>
              <w:autoSpaceDE w:val="0"/>
              <w:autoSpaceDN w:val="0"/>
              <w:adjustRightInd w:val="0"/>
              <w:snapToGrid w:val="0"/>
              <w:rPr>
                <w:rFonts w:hint="default" w:ascii="Times New Roman" w:hAnsi="Times New Roman" w:cs="Times New Roman"/>
                <w:color w:val="auto"/>
                <w:kern w:val="0"/>
                <w:szCs w:val="21"/>
                <w:highlight w:val="none"/>
              </w:rPr>
            </w:pPr>
          </w:p>
        </w:tc>
      </w:tr>
    </w:tbl>
    <w:p w14:paraId="14A82FF4">
      <w:pPr>
        <w:spacing w:line="360" w:lineRule="auto"/>
        <w:outlineLvl w:val="0"/>
        <w:rPr>
          <w:rFonts w:eastAsia="黑体"/>
          <w:color w:val="auto"/>
          <w:sz w:val="30"/>
          <w:highlight w:val="none"/>
        </w:rPr>
        <w:sectPr>
          <w:footerReference r:id="rId8" w:type="default"/>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p w14:paraId="5A2646E9">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宋体" w:cs="Times New Roman"/>
          <w:b/>
          <w:bCs/>
          <w:snapToGrid w:val="0"/>
          <w:color w:val="auto"/>
          <w:sz w:val="30"/>
          <w:szCs w:val="30"/>
          <w:highlight w:val="none"/>
        </w:rPr>
      </w:pPr>
      <w:bookmarkStart w:id="19" w:name="_Toc24774"/>
      <w:r>
        <w:rPr>
          <w:rFonts w:hint="default" w:ascii="Times New Roman" w:hAnsi="Times New Roman" w:eastAsia="宋体" w:cs="Times New Roman"/>
          <w:b/>
          <w:bCs/>
          <w:snapToGrid w:val="0"/>
          <w:color w:val="auto"/>
          <w:sz w:val="30"/>
          <w:szCs w:val="30"/>
          <w:highlight w:val="none"/>
        </w:rPr>
        <w:t>二、建设内容</w:t>
      </w:r>
      <w:bookmarkEnd w:id="19"/>
    </w:p>
    <w:tbl>
      <w:tblPr>
        <w:tblStyle w:val="20"/>
        <w:tblW w:w="905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49"/>
      </w:tblGrid>
      <w:tr w14:paraId="79AD7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noWrap w:val="0"/>
            <w:vAlign w:val="center"/>
          </w:tcPr>
          <w:p w14:paraId="1D131DC6">
            <w:pPr>
              <w:adjustRightInd w:val="0"/>
              <w:snapToGrid w:val="0"/>
              <w:ind w:left="0" w:leftChars="0" w:firstLine="0" w:firstLineChars="0"/>
              <w:jc w:val="both"/>
              <w:rPr>
                <w:rFonts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地理位置</w:t>
            </w:r>
          </w:p>
        </w:tc>
        <w:tc>
          <w:tcPr>
            <w:tcW w:w="8349" w:type="dxa"/>
            <w:noWrap w:val="0"/>
            <w:vAlign w:val="center"/>
          </w:tcPr>
          <w:p w14:paraId="3487EB47">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kern w:val="0"/>
                <w:szCs w:val="24"/>
                <w:highlight w:val="none"/>
                <w:lang w:bidi="ar"/>
              </w:rPr>
              <w:t>海德村项目</w:t>
            </w:r>
            <w:r>
              <w:rPr>
                <w:rFonts w:ascii="Times New Roman" w:hAnsi="Times New Roman" w:cs="Times New Roman"/>
                <w:color w:val="auto"/>
                <w:kern w:val="0"/>
                <w:szCs w:val="24"/>
                <w:highlight w:val="none"/>
                <w:lang w:bidi="ar"/>
              </w:rPr>
              <w:t>位于</w:t>
            </w:r>
            <w:r>
              <w:rPr>
                <w:rFonts w:hint="default" w:ascii="Times New Roman" w:hAnsi="Times New Roman" w:cs="Times New Roman"/>
                <w:color w:val="auto"/>
                <w:kern w:val="0"/>
                <w:szCs w:val="24"/>
                <w:highlight w:val="none"/>
                <w:lang w:bidi="ar"/>
              </w:rPr>
              <w:t>云南省宣威市西南部的热水镇海德村西侧松科梁子</w:t>
            </w:r>
            <w:r>
              <w:rPr>
                <w:rFonts w:hint="eastAsia"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长梁子一带，地理坐标介于</w:t>
            </w:r>
            <w:r>
              <w:rPr>
                <w:rFonts w:hint="default" w:ascii="Times New Roman" w:hAnsi="Times New Roman" w:cs="Times New Roman"/>
                <w:color w:val="auto"/>
                <w:highlight w:val="none"/>
              </w:rPr>
              <w:t>北纬25°57′59.1</w:t>
            </w:r>
            <w:r>
              <w:rPr>
                <w:rFonts w:hint="eastAsia" w:cs="Times New Roman"/>
                <w:color w:val="auto"/>
                <w:highlight w:val="none"/>
                <w:lang w:val="en-US" w:eastAsia="zh-CN"/>
              </w:rPr>
              <w:t>25</w:t>
            </w:r>
            <w:r>
              <w:rPr>
                <w:rFonts w:hint="default" w:ascii="Times New Roman" w:hAnsi="Times New Roman" w:cs="Times New Roman"/>
                <w:color w:val="auto"/>
                <w:highlight w:val="none"/>
              </w:rPr>
              <w:t>″~25°58′35.5</w:t>
            </w:r>
            <w:r>
              <w:rPr>
                <w:rFonts w:hint="eastAsia" w:cs="Times New Roman"/>
                <w:color w:val="auto"/>
                <w:highlight w:val="none"/>
                <w:lang w:val="en-US" w:eastAsia="zh-CN"/>
              </w:rPr>
              <w:t>01</w:t>
            </w:r>
            <w:r>
              <w:rPr>
                <w:rFonts w:hint="default" w:ascii="Times New Roman" w:hAnsi="Times New Roman" w:cs="Times New Roman"/>
                <w:color w:val="auto"/>
                <w:highlight w:val="none"/>
              </w:rPr>
              <w:t>″、东经103°44′22.3</w:t>
            </w:r>
            <w:r>
              <w:rPr>
                <w:rFonts w:hint="eastAsia" w:cs="Times New Roman"/>
                <w:color w:val="auto"/>
                <w:highlight w:val="none"/>
                <w:lang w:val="en-US" w:eastAsia="zh-CN"/>
              </w:rPr>
              <w:t>02</w:t>
            </w:r>
            <w:r>
              <w:rPr>
                <w:rFonts w:hint="default" w:ascii="Times New Roman" w:hAnsi="Times New Roman" w:cs="Times New Roman"/>
                <w:color w:val="auto"/>
                <w:highlight w:val="none"/>
              </w:rPr>
              <w:t>″~103°44′56.1</w:t>
            </w:r>
            <w:r>
              <w:rPr>
                <w:rFonts w:hint="eastAsia" w:cs="Times New Roman"/>
                <w:color w:val="auto"/>
                <w:highlight w:val="none"/>
                <w:lang w:val="en-US" w:eastAsia="zh-CN"/>
              </w:rPr>
              <w:t>25</w:t>
            </w:r>
            <w:r>
              <w:rPr>
                <w:rFonts w:hint="default" w:ascii="Times New Roman" w:hAnsi="Times New Roman" w:cs="Times New Roman"/>
                <w:color w:val="auto"/>
                <w:highlight w:val="none"/>
              </w:rPr>
              <w:t>″之间</w:t>
            </w:r>
            <w:r>
              <w:rPr>
                <w:rFonts w:hint="default" w:ascii="Times New Roman" w:hAnsi="Times New Roman" w:cs="Times New Roman"/>
                <w:color w:val="auto"/>
                <w:kern w:val="0"/>
                <w:szCs w:val="24"/>
                <w:highlight w:val="none"/>
                <w:lang w:bidi="ar"/>
              </w:rPr>
              <w:t>，海拔在2370～2409m之间。</w:t>
            </w:r>
            <w:r>
              <w:rPr>
                <w:rFonts w:hint="eastAsia" w:cs="Times New Roman"/>
                <w:color w:val="auto"/>
                <w:kern w:val="0"/>
                <w:szCs w:val="24"/>
                <w:highlight w:val="none"/>
                <w:lang w:eastAsia="zh-CN" w:bidi="ar"/>
              </w:rPr>
              <w:t>建设内容</w:t>
            </w:r>
            <w:r>
              <w:rPr>
                <w:rFonts w:hint="default" w:ascii="Times New Roman" w:hAnsi="Times New Roman" w:cs="Times New Roman"/>
                <w:color w:val="auto"/>
                <w:kern w:val="0"/>
                <w:szCs w:val="24"/>
                <w:highlight w:val="none"/>
                <w:lang w:bidi="ar"/>
              </w:rPr>
              <w:t>包含2台7.5MW风机、1台5MW风机，1座35KV开关站</w:t>
            </w:r>
            <w:r>
              <w:rPr>
                <w:rFonts w:ascii="Times New Roman" w:hAnsi="Times New Roman" w:cs="Times New Roman"/>
                <w:color w:val="auto"/>
                <w:kern w:val="0"/>
                <w:szCs w:val="24"/>
                <w:highlight w:val="none"/>
                <w:lang w:bidi="ar"/>
              </w:rPr>
              <w:t>，</w:t>
            </w:r>
            <w:r>
              <w:rPr>
                <w:rFonts w:hint="default" w:ascii="Times New Roman" w:hAnsi="Times New Roman" w:cs="Times New Roman"/>
                <w:color w:val="auto"/>
                <w:kern w:val="0"/>
                <w:szCs w:val="24"/>
                <w:highlight w:val="none"/>
                <w:lang w:bidi="ar"/>
              </w:rPr>
              <w:t>总装机容量为20MW</w:t>
            </w:r>
            <w:r>
              <w:rPr>
                <w:rFonts w:hint="eastAsia" w:cs="Times New Roman"/>
                <w:color w:val="auto"/>
                <w:kern w:val="0"/>
                <w:szCs w:val="24"/>
                <w:highlight w:val="none"/>
                <w:lang w:eastAsia="zh-CN" w:bidi="ar"/>
              </w:rPr>
              <w:t>，</w:t>
            </w:r>
            <w:r>
              <w:rPr>
                <w:rFonts w:hint="eastAsia"/>
                <w:color w:val="auto"/>
                <w:highlight w:val="none"/>
                <w:lang w:val="en-US" w:eastAsia="zh-CN"/>
              </w:rPr>
              <w:t>场内之间的集电线路</w:t>
            </w:r>
            <w:r>
              <w:rPr>
                <w:rFonts w:hint="default" w:ascii="Times New Roman" w:hAnsi="Times New Roman" w:cs="Times New Roman"/>
                <w:color w:val="auto"/>
                <w:highlight w:val="none"/>
              </w:rPr>
              <w:t>。项目区距离宣威市约60km，距离曲靖市约70km，距离昆明市约200km。项目区附近有G56杭瑞高速、S16宣片高速、乡间水泥道路</w:t>
            </w:r>
            <w:r>
              <w:rPr>
                <w:rFonts w:hint="eastAsia" w:cs="Times New Roman"/>
                <w:color w:val="auto"/>
                <w:highlight w:val="none"/>
                <w:lang w:eastAsia="zh-CN"/>
              </w:rPr>
              <w:t>、</w:t>
            </w:r>
            <w:r>
              <w:rPr>
                <w:rFonts w:hint="eastAsia" w:cs="Times New Roman"/>
                <w:color w:val="auto"/>
                <w:highlight w:val="none"/>
                <w:lang w:val="en-US" w:eastAsia="zh-CN"/>
              </w:rPr>
              <w:t>农业生产生活道路</w:t>
            </w:r>
            <w:r>
              <w:rPr>
                <w:rFonts w:hint="default" w:ascii="Times New Roman" w:hAnsi="Times New Roman" w:cs="Times New Roman"/>
                <w:color w:val="auto"/>
                <w:highlight w:val="none"/>
              </w:rPr>
              <w:t>及附近</w:t>
            </w:r>
            <w:r>
              <w:rPr>
                <w:rFonts w:hint="eastAsia" w:cs="Times New Roman"/>
                <w:color w:val="auto"/>
                <w:highlight w:val="none"/>
                <w:lang w:eastAsia="zh-CN"/>
              </w:rPr>
              <w:t>已</w:t>
            </w:r>
            <w:r>
              <w:rPr>
                <w:rFonts w:hint="default" w:ascii="Times New Roman" w:hAnsi="Times New Roman" w:cs="Times New Roman"/>
                <w:color w:val="auto"/>
                <w:highlight w:val="none"/>
              </w:rPr>
              <w:t>建风机项目进场道路通达，交通尚属便利</w:t>
            </w:r>
            <w:r>
              <w:rPr>
                <w:rFonts w:hint="default" w:ascii="Times New Roman" w:hAnsi="Times New Roman" w:cs="Times New Roman"/>
                <w:color w:val="auto"/>
                <w:highlight w:val="none"/>
                <w:lang w:eastAsia="zh-CN"/>
              </w:rPr>
              <w:t>。</w:t>
            </w:r>
          </w:p>
          <w:p w14:paraId="40DDCE3B">
            <w:pPr>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cs="Times New Roman"/>
                <w:color w:val="auto"/>
                <w:kern w:val="0"/>
                <w:szCs w:val="21"/>
                <w:highlight w:val="none"/>
              </w:rPr>
            </w:pPr>
            <w:r>
              <w:rPr>
                <w:rFonts w:ascii="Times New Roman" w:hAnsi="Times New Roman" w:cs="Times New Roman"/>
                <w:color w:val="auto"/>
                <w:highlight w:val="none"/>
              </w:rPr>
              <w:t>项目地理位置图见附图1。</w:t>
            </w:r>
          </w:p>
        </w:tc>
      </w:tr>
      <w:tr w14:paraId="2E6787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0" w:type="dxa"/>
            <w:noWrap w:val="0"/>
            <w:vAlign w:val="center"/>
          </w:tcPr>
          <w:p w14:paraId="66E879C0">
            <w:pPr>
              <w:adjustRightInd w:val="0"/>
              <w:snapToGrid w:val="0"/>
              <w:ind w:left="0" w:leftChars="0" w:firstLine="0" w:firstLineChars="0"/>
              <w:jc w:val="both"/>
              <w:rPr>
                <w:rFonts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项目组成及规模</w:t>
            </w:r>
          </w:p>
        </w:tc>
        <w:tc>
          <w:tcPr>
            <w:tcW w:w="8349" w:type="dxa"/>
            <w:noWrap w:val="0"/>
            <w:vAlign w:val="center"/>
          </w:tcPr>
          <w:p w14:paraId="616CBD43">
            <w:pPr>
              <w:pStyle w:val="45"/>
              <w:spacing w:before="182" w:line="219" w:lineRule="auto"/>
              <w:ind w:left="105"/>
              <w:rPr>
                <w:rFonts w:ascii="Times New Roman" w:hAnsi="Times New Roman" w:cs="Times New Roman"/>
                <w:color w:val="auto"/>
                <w:sz w:val="24"/>
                <w:szCs w:val="24"/>
                <w:highlight w:val="none"/>
              </w:rPr>
            </w:pPr>
            <w:r>
              <w:rPr>
                <w:rFonts w:ascii="Times New Roman" w:hAnsi="Times New Roman" w:eastAsia="Times New Roman" w:cs="Times New Roman"/>
                <w:b/>
                <w:bCs/>
                <w:color w:val="auto"/>
                <w:spacing w:val="-4"/>
                <w:sz w:val="24"/>
                <w:szCs w:val="24"/>
                <w:highlight w:val="none"/>
              </w:rPr>
              <w:t>2.</w:t>
            </w:r>
            <w:r>
              <w:rPr>
                <w:rFonts w:hint="default" w:ascii="Times New Roman" w:hAnsi="Times New Roman" w:eastAsia="宋体" w:cs="Times New Roman"/>
                <w:b/>
                <w:bCs/>
                <w:color w:val="auto"/>
                <w:spacing w:val="-4"/>
                <w:sz w:val="24"/>
                <w:szCs w:val="24"/>
                <w:highlight w:val="none"/>
                <w:lang w:val="en-US" w:eastAsia="zh-CN"/>
              </w:rPr>
              <w:t>1</w:t>
            </w:r>
            <w:r>
              <w:rPr>
                <w:rFonts w:ascii="Times New Roman" w:hAnsi="Times New Roman" w:cs="Times New Roman"/>
                <w:b/>
                <w:bCs/>
                <w:color w:val="auto"/>
                <w:spacing w:val="-4"/>
                <w:sz w:val="24"/>
                <w:szCs w:val="24"/>
                <w:highlight w:val="none"/>
              </w:rPr>
              <w:t>项目基本情况</w:t>
            </w:r>
          </w:p>
          <w:p w14:paraId="6E777D5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（1）项目名称：海德村风电项目</w:t>
            </w:r>
          </w:p>
          <w:p w14:paraId="149C8E7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（2）建设性质：新建</w:t>
            </w:r>
          </w:p>
          <w:p w14:paraId="322D92A5">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（3）建设单位：曲靖国电电力新能源开发有限公司</w:t>
            </w:r>
          </w:p>
          <w:p w14:paraId="034C61D3">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（4）建设地点：</w:t>
            </w:r>
            <w:r>
              <w:rPr>
                <w:rFonts w:hint="default" w:ascii="Times New Roman" w:hAnsi="Times New Roman" w:cs="Times New Roman"/>
                <w:color w:val="auto"/>
                <w:sz w:val="24"/>
                <w:szCs w:val="22"/>
                <w:highlight w:val="none"/>
              </w:rPr>
              <w:t>云南</w:t>
            </w:r>
            <w:r>
              <w:rPr>
                <w:rFonts w:ascii="Times New Roman" w:hAnsi="Times New Roman" w:cs="Times New Roman"/>
                <w:color w:val="auto"/>
                <w:sz w:val="24"/>
                <w:szCs w:val="22"/>
                <w:highlight w:val="none"/>
              </w:rPr>
              <w:t>省</w:t>
            </w:r>
            <w:r>
              <w:rPr>
                <w:rFonts w:hint="default" w:ascii="Times New Roman" w:hAnsi="Times New Roman" w:cs="Times New Roman"/>
                <w:color w:val="auto"/>
                <w:sz w:val="24"/>
                <w:szCs w:val="22"/>
                <w:highlight w:val="none"/>
              </w:rPr>
              <w:t>宣威</w:t>
            </w:r>
            <w:r>
              <w:rPr>
                <w:rFonts w:ascii="Times New Roman" w:hAnsi="Times New Roman" w:cs="Times New Roman"/>
                <w:color w:val="auto"/>
                <w:sz w:val="24"/>
                <w:szCs w:val="22"/>
                <w:highlight w:val="none"/>
              </w:rPr>
              <w:t>市</w:t>
            </w:r>
            <w:r>
              <w:rPr>
                <w:rFonts w:hint="default" w:ascii="Times New Roman" w:hAnsi="Times New Roman" w:cs="Times New Roman"/>
                <w:color w:val="auto"/>
                <w:sz w:val="24"/>
                <w:szCs w:val="22"/>
                <w:highlight w:val="none"/>
              </w:rPr>
              <w:t>热水镇海德村</w:t>
            </w:r>
          </w:p>
          <w:p w14:paraId="3629C4EA">
            <w:pPr>
              <w:widowControl/>
              <w:spacing w:line="360" w:lineRule="auto"/>
              <w:ind w:firstLine="480" w:firstLineChars="20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（5）建设</w:t>
            </w:r>
            <w:r>
              <w:rPr>
                <w:rFonts w:hint="eastAsia" w:cs="Times New Roman"/>
                <w:color w:val="auto"/>
                <w:highlight w:val="none"/>
                <w:lang w:val="en-US" w:eastAsia="zh-CN"/>
              </w:rPr>
              <w:t>内容</w:t>
            </w:r>
            <w:r>
              <w:rPr>
                <w:rFonts w:hint="default" w:ascii="Times New Roman" w:hAnsi="Times New Roman" w:cs="Times New Roman"/>
                <w:color w:val="auto"/>
                <w:highlight w:val="none"/>
                <w:lang w:val="en-US" w:eastAsia="zh-CN"/>
              </w:rPr>
              <w:t>：</w:t>
            </w:r>
            <w:r>
              <w:rPr>
                <w:rFonts w:ascii="Times New Roman" w:hAnsi="Times New Roman" w:cs="Times New Roman"/>
                <w:color w:val="auto"/>
                <w:sz w:val="24"/>
                <w:szCs w:val="22"/>
                <w:highlight w:val="none"/>
              </w:rPr>
              <w:t>风电场安装</w:t>
            </w:r>
            <w:r>
              <w:rPr>
                <w:rFonts w:hint="default" w:ascii="Times New Roman" w:hAnsi="Times New Roman" w:cs="Times New Roman"/>
                <w:color w:val="auto"/>
                <w:sz w:val="24"/>
                <w:szCs w:val="22"/>
                <w:highlight w:val="none"/>
              </w:rPr>
              <w:t>2</w:t>
            </w:r>
            <w:r>
              <w:rPr>
                <w:rFonts w:ascii="Times New Roman" w:hAnsi="Times New Roman" w:cs="Times New Roman"/>
                <w:color w:val="auto"/>
                <w:sz w:val="24"/>
                <w:szCs w:val="22"/>
                <w:highlight w:val="none"/>
              </w:rPr>
              <w:t>台单机容量为</w:t>
            </w:r>
            <w:r>
              <w:rPr>
                <w:rFonts w:hint="default" w:ascii="Times New Roman" w:hAnsi="Times New Roman" w:cs="Times New Roman"/>
                <w:color w:val="auto"/>
                <w:sz w:val="24"/>
                <w:szCs w:val="22"/>
                <w:highlight w:val="none"/>
              </w:rPr>
              <w:t>7</w:t>
            </w:r>
            <w:r>
              <w:rPr>
                <w:rFonts w:ascii="Times New Roman" w:hAnsi="Times New Roman" w:cs="Times New Roman"/>
                <w:color w:val="auto"/>
                <w:sz w:val="24"/>
                <w:szCs w:val="22"/>
                <w:highlight w:val="none"/>
              </w:rPr>
              <w:t>.5MW的风电机组，1台单机容量为</w:t>
            </w:r>
            <w:r>
              <w:rPr>
                <w:rFonts w:hint="default" w:ascii="Times New Roman" w:hAnsi="Times New Roman" w:cs="Times New Roman"/>
                <w:color w:val="auto"/>
                <w:sz w:val="24"/>
                <w:szCs w:val="22"/>
                <w:highlight w:val="none"/>
              </w:rPr>
              <w:t>5</w:t>
            </w:r>
            <w:r>
              <w:rPr>
                <w:rFonts w:ascii="Times New Roman" w:hAnsi="Times New Roman" w:cs="Times New Roman"/>
                <w:color w:val="auto"/>
                <w:sz w:val="24"/>
                <w:szCs w:val="22"/>
                <w:highlight w:val="none"/>
              </w:rPr>
              <w:t>MW的风电机组，总装机容量</w:t>
            </w:r>
            <w:r>
              <w:rPr>
                <w:rFonts w:hint="default" w:ascii="Times New Roman" w:hAnsi="Times New Roman" w:cs="Times New Roman"/>
                <w:color w:val="auto"/>
                <w:sz w:val="24"/>
                <w:szCs w:val="22"/>
                <w:highlight w:val="none"/>
              </w:rPr>
              <w:t>20</w:t>
            </w:r>
            <w:r>
              <w:rPr>
                <w:rFonts w:ascii="Times New Roman" w:hAnsi="Times New Roman" w:cs="Times New Roman"/>
                <w:color w:val="auto"/>
                <w:sz w:val="24"/>
                <w:szCs w:val="22"/>
                <w:highlight w:val="none"/>
              </w:rPr>
              <w:t>MW。风电场新建一座35kV开关站</w:t>
            </w:r>
            <w:r>
              <w:rPr>
                <w:rFonts w:hint="eastAsia" w:ascii="Times New Roman" w:hAnsi="Times New Roman" w:cs="Times New Roman"/>
                <w:color w:val="auto"/>
                <w:sz w:val="24"/>
                <w:szCs w:val="22"/>
                <w:highlight w:val="none"/>
                <w:lang w:eastAsia="zh-CN"/>
              </w:rPr>
              <w:t>及</w:t>
            </w:r>
            <w:r>
              <w:rPr>
                <w:rFonts w:hint="eastAsia" w:ascii="Times New Roman" w:hAnsi="Times New Roman" w:cs="Times New Roman"/>
                <w:color w:val="auto"/>
                <w:sz w:val="24"/>
                <w:szCs w:val="22"/>
                <w:highlight w:val="none"/>
                <w:lang w:val="en-US" w:eastAsia="zh-CN"/>
              </w:rPr>
              <w:t>场内之间的集电线路</w:t>
            </w:r>
            <w:r>
              <w:rPr>
                <w:rFonts w:hint="default" w:ascii="Times New Roman" w:hAnsi="Times New Roman" w:cs="Times New Roman"/>
                <w:color w:val="auto"/>
                <w:sz w:val="24"/>
                <w:szCs w:val="22"/>
                <w:highlight w:val="none"/>
              </w:rPr>
              <w:t>。</w:t>
            </w:r>
            <w:r>
              <w:rPr>
                <w:rFonts w:hint="eastAsia" w:cs="Times New Roman"/>
                <w:color w:val="auto"/>
                <w:sz w:val="24"/>
                <w:szCs w:val="22"/>
                <w:highlight w:val="none"/>
                <w:lang w:eastAsia="zh-CN"/>
              </w:rPr>
              <w:t>项目从开关站出来以</w:t>
            </w:r>
            <w:r>
              <w:rPr>
                <w:rFonts w:hint="eastAsia" w:ascii="Times New Roman" w:hAnsi="Times New Roman" w:cs="Times New Roman"/>
                <w:color w:val="auto"/>
                <w:sz w:val="24"/>
                <w:szCs w:val="22"/>
                <w:highlight w:val="none"/>
              </w:rPr>
              <w:t>1回35kV线路接入35kV卡郎变电站</w:t>
            </w:r>
            <w:r>
              <w:rPr>
                <w:rFonts w:hint="eastAsia" w:cs="Times New Roman"/>
                <w:color w:val="auto"/>
                <w:sz w:val="24"/>
                <w:szCs w:val="22"/>
                <w:highlight w:val="none"/>
                <w:lang w:eastAsia="zh-CN"/>
              </w:rPr>
              <w:t>，本次评价内容不包括送出线路。</w:t>
            </w:r>
          </w:p>
          <w:p w14:paraId="7E2720EA">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）建设工期：计划施工建设期为</w:t>
            </w:r>
            <w:r>
              <w:rPr>
                <w:rFonts w:hint="eastAsia" w:cs="Times New Roman"/>
                <w:color w:val="auto"/>
                <w:highlight w:val="none"/>
                <w:lang w:val="en-US" w:eastAsia="zh-CN"/>
              </w:rPr>
              <w:t>6</w:t>
            </w:r>
            <w:r>
              <w:rPr>
                <w:rFonts w:hint="default" w:ascii="Times New Roman" w:hAnsi="Times New Roman" w:cs="Times New Roman"/>
                <w:color w:val="auto"/>
                <w:highlight w:val="none"/>
                <w:lang w:val="en-US" w:eastAsia="zh-CN"/>
              </w:rPr>
              <w:t>个月。</w:t>
            </w:r>
          </w:p>
          <w:p w14:paraId="137C9496">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7</w:t>
            </w:r>
            <w:r>
              <w:rPr>
                <w:rFonts w:hint="default" w:ascii="Times New Roman" w:hAnsi="Times New Roman" w:cs="Times New Roman"/>
                <w:color w:val="auto"/>
                <w:highlight w:val="none"/>
                <w:lang w:val="en-US" w:eastAsia="zh-CN"/>
              </w:rPr>
              <w:t>）投资：</w:t>
            </w:r>
            <w:r>
              <w:rPr>
                <w:rFonts w:hint="eastAsia" w:cs="Times New Roman"/>
                <w:color w:val="auto"/>
                <w:highlight w:val="none"/>
                <w:lang w:val="en-US" w:eastAsia="zh-CN"/>
              </w:rPr>
              <w:t>9574.20万</w:t>
            </w:r>
            <w:r>
              <w:rPr>
                <w:rFonts w:hint="default" w:ascii="Times New Roman" w:hAnsi="Times New Roman" w:cs="Times New Roman"/>
                <w:color w:val="auto"/>
                <w:highlight w:val="none"/>
                <w:lang w:val="en-US" w:eastAsia="zh-CN"/>
              </w:rPr>
              <w:t>元</w:t>
            </w:r>
          </w:p>
          <w:p w14:paraId="2BE3E3F4">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拟建项目主要由</w:t>
            </w:r>
            <w:r>
              <w:rPr>
                <w:rFonts w:hint="eastAsia" w:cs="Times New Roman"/>
                <w:color w:val="auto"/>
                <w:highlight w:val="none"/>
                <w:lang w:val="en-US" w:eastAsia="zh-CN"/>
              </w:rPr>
              <w:t>主体工程、辅助工程、临时工程、公用工程及环保工程</w:t>
            </w:r>
            <w:r>
              <w:rPr>
                <w:rFonts w:hint="default" w:ascii="Times New Roman" w:hAnsi="Times New Roman" w:cs="Times New Roman"/>
                <w:color w:val="auto"/>
                <w:highlight w:val="none"/>
                <w:lang w:val="en-US" w:eastAsia="zh-CN"/>
              </w:rPr>
              <w:t>组成，项目组成情况如下表所示。</w:t>
            </w:r>
          </w:p>
          <w:p w14:paraId="195914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bCs/>
                <w:color w:val="auto"/>
                <w:spacing w:val="-3"/>
                <w:highlight w:val="none"/>
              </w:rPr>
            </w:pPr>
            <w:r>
              <w:rPr>
                <w:rFonts w:ascii="Times New Roman" w:hAnsi="Times New Roman" w:cs="Times New Roman"/>
                <w:b/>
                <w:bCs/>
                <w:color w:val="auto"/>
                <w:spacing w:val="-3"/>
                <w:highlight w:val="none"/>
              </w:rPr>
              <w:t>表</w:t>
            </w:r>
            <w:r>
              <w:rPr>
                <w:rFonts w:ascii="Times New Roman" w:hAnsi="Times New Roman" w:eastAsia="Times New Roman" w:cs="Times New Roman"/>
                <w:b/>
                <w:bCs/>
                <w:color w:val="auto"/>
                <w:spacing w:val="-3"/>
                <w:highlight w:val="none"/>
              </w:rPr>
              <w:t>2-</w:t>
            </w:r>
            <w:r>
              <w:rPr>
                <w:rFonts w:hint="default" w:ascii="Times New Roman" w:hAnsi="Times New Roman" w:eastAsia="宋体" w:cs="Times New Roman"/>
                <w:b/>
                <w:bCs/>
                <w:color w:val="auto"/>
                <w:spacing w:val="-3"/>
                <w:highlight w:val="none"/>
                <w:lang w:val="en-US" w:eastAsia="zh-CN"/>
              </w:rPr>
              <w:t>1</w:t>
            </w:r>
            <w:r>
              <w:rPr>
                <w:rFonts w:ascii="Times New Roman" w:hAnsi="Times New Roman" w:cs="Times New Roman"/>
                <w:b/>
                <w:bCs/>
                <w:color w:val="auto"/>
                <w:spacing w:val="-3"/>
                <w:highlight w:val="none"/>
              </w:rPr>
              <w:t>项目组成一览表</w:t>
            </w:r>
          </w:p>
          <w:tbl>
            <w:tblPr>
              <w:tblStyle w:val="46"/>
              <w:tblW w:w="498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8"/>
              <w:gridCol w:w="450"/>
              <w:gridCol w:w="1248"/>
              <w:gridCol w:w="21"/>
              <w:gridCol w:w="5143"/>
              <w:gridCol w:w="685"/>
              <w:gridCol w:w="23"/>
            </w:tblGrid>
            <w:tr w14:paraId="365D9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349" w:hRule="atLeast"/>
              </w:trPr>
              <w:tc>
                <w:tcPr>
                  <w:tcW w:w="1374" w:type="pct"/>
                  <w:gridSpan w:val="3"/>
                  <w:vAlign w:val="top"/>
                </w:tcPr>
                <w:p w14:paraId="2E1B6AE6">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工程组成部分</w:t>
                  </w:r>
                </w:p>
              </w:tc>
              <w:tc>
                <w:tcPr>
                  <w:tcW w:w="3188" w:type="pct"/>
                  <w:gridSpan w:val="2"/>
                  <w:vAlign w:val="top"/>
                </w:tcPr>
                <w:p w14:paraId="2AC74104">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主要内容</w:t>
                  </w:r>
                </w:p>
              </w:tc>
              <w:tc>
                <w:tcPr>
                  <w:tcW w:w="422" w:type="pct"/>
                  <w:vAlign w:val="center"/>
                </w:tcPr>
                <w:p w14:paraId="725AEFA7">
                  <w:pPr>
                    <w:pStyle w:val="28"/>
                    <w:bidi w:val="0"/>
                    <w:jc w:val="center"/>
                    <w:rPr>
                      <w:rFonts w:hint="eastAsia" w:ascii="Times New Roman" w:hAnsi="Times New Roman" w:eastAsia="宋体" w:cs="Times New Roman"/>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备注</w:t>
                  </w:r>
                </w:p>
              </w:tc>
            </w:tr>
            <w:tr w14:paraId="19F9F2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90" w:hRule="atLeast"/>
              </w:trPr>
              <w:tc>
                <w:tcPr>
                  <w:tcW w:w="325" w:type="pct"/>
                  <w:vMerge w:val="restart"/>
                  <w:textDirection w:val="tbRlV"/>
                  <w:vAlign w:val="center"/>
                </w:tcPr>
                <w:p w14:paraId="7EE2643F">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主体工程</w:t>
                  </w:r>
                </w:p>
              </w:tc>
              <w:tc>
                <w:tcPr>
                  <w:tcW w:w="277" w:type="pct"/>
                  <w:vMerge w:val="restart"/>
                  <w:tcBorders>
                    <w:bottom w:val="nil"/>
                  </w:tcBorders>
                  <w:vAlign w:val="center"/>
                </w:tcPr>
                <w:p w14:paraId="7842556D">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风力</w:t>
                  </w:r>
                </w:p>
                <w:p w14:paraId="4B2722CC">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发电</w:t>
                  </w:r>
                </w:p>
                <w:p w14:paraId="16E08DFF">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系统</w:t>
                  </w:r>
                </w:p>
              </w:tc>
              <w:tc>
                <w:tcPr>
                  <w:tcW w:w="770" w:type="pct"/>
                  <w:vAlign w:val="center"/>
                </w:tcPr>
                <w:p w14:paraId="79D09690">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风力发</w:t>
                  </w:r>
                </w:p>
                <w:p w14:paraId="21FF0415">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电机组</w:t>
                  </w:r>
                </w:p>
              </w:tc>
              <w:tc>
                <w:tcPr>
                  <w:tcW w:w="3188" w:type="pct"/>
                  <w:gridSpan w:val="2"/>
                  <w:vAlign w:val="top"/>
                </w:tcPr>
                <w:p w14:paraId="29D61AE8">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rPr>
                    <w:t>安装2台单机容量为7.5MW的风电机组，1台单机容量为5MW的风电机组，总装机容量20MW。</w:t>
                  </w:r>
                  <w:r>
                    <w:rPr>
                      <w:rFonts w:hint="default" w:ascii="Times New Roman" w:hAnsi="Times New Roman" w:eastAsia="宋体" w:cs="Times New Roman"/>
                      <w:color w:val="auto"/>
                      <w:w w:val="90"/>
                      <w:sz w:val="21"/>
                      <w:szCs w:val="21"/>
                      <w:highlight w:val="none"/>
                      <w:lang w:eastAsia="zh-CN"/>
                    </w:rPr>
                    <w:t>从西侧</w:t>
                  </w:r>
                  <w:r>
                    <w:rPr>
                      <w:rFonts w:hint="default" w:ascii="Times New Roman" w:hAnsi="Times New Roman" w:eastAsia="宋体" w:cs="Times New Roman"/>
                      <w:color w:val="auto"/>
                      <w:w w:val="90"/>
                      <w:sz w:val="21"/>
                      <w:szCs w:val="21"/>
                      <w:highlight w:val="none"/>
                      <w:lang w:val="en-US" w:eastAsia="zh-CN"/>
                    </w:rPr>
                    <w:t>A1</w:t>
                  </w:r>
                  <w:r>
                    <w:rPr>
                      <w:rFonts w:hint="eastAsia" w:ascii="Times New Roman" w:hAnsi="Times New Roman" w:cs="Times New Roman"/>
                      <w:color w:val="auto"/>
                      <w:w w:val="90"/>
                      <w:sz w:val="21"/>
                      <w:szCs w:val="21"/>
                      <w:highlight w:val="none"/>
                      <w:lang w:val="en-US" w:eastAsia="zh-CN"/>
                    </w:rPr>
                    <w:t>（103.743841°E，25.970421°N）</w:t>
                  </w:r>
                  <w:r>
                    <w:rPr>
                      <w:rFonts w:hint="default" w:ascii="Times New Roman" w:hAnsi="Times New Roman" w:eastAsia="宋体" w:cs="Times New Roman"/>
                      <w:color w:val="auto"/>
                      <w:w w:val="90"/>
                      <w:sz w:val="21"/>
                      <w:szCs w:val="21"/>
                      <w:highlight w:val="none"/>
                      <w:lang w:val="en-US" w:eastAsia="zh-CN"/>
                    </w:rPr>
                    <w:t>，开关站右侧A2</w:t>
                  </w:r>
                  <w:r>
                    <w:rPr>
                      <w:rFonts w:hint="eastAsia" w:ascii="Times New Roman" w:hAnsi="Times New Roman" w:cs="Times New Roman"/>
                      <w:color w:val="auto"/>
                      <w:w w:val="90"/>
                      <w:sz w:val="21"/>
                      <w:szCs w:val="21"/>
                      <w:highlight w:val="none"/>
                      <w:lang w:val="en-US" w:eastAsia="zh-CN"/>
                    </w:rPr>
                    <w:t>（103.747650°E，25.972953°N）</w:t>
                  </w:r>
                  <w:r>
                    <w:rPr>
                      <w:rFonts w:hint="default" w:ascii="Times New Roman" w:hAnsi="Times New Roman" w:eastAsia="宋体" w:cs="Times New Roman"/>
                      <w:color w:val="auto"/>
                      <w:w w:val="90"/>
                      <w:sz w:val="21"/>
                      <w:szCs w:val="21"/>
                      <w:highlight w:val="none"/>
                      <w:lang w:val="en-US" w:eastAsia="zh-CN"/>
                    </w:rPr>
                    <w:t>，北侧A3</w:t>
                  </w:r>
                  <w:r>
                    <w:rPr>
                      <w:rFonts w:hint="eastAsia" w:ascii="Times New Roman" w:hAnsi="Times New Roman" w:cs="Times New Roman"/>
                      <w:color w:val="auto"/>
                      <w:w w:val="90"/>
                      <w:sz w:val="21"/>
                      <w:szCs w:val="21"/>
                      <w:highlight w:val="none"/>
                      <w:lang w:val="en-US" w:eastAsia="zh-CN"/>
                    </w:rPr>
                    <w:t>（103.748476°E，25.977268°N）</w:t>
                  </w:r>
                  <w:r>
                    <w:rPr>
                      <w:rFonts w:hint="default" w:ascii="Times New Roman" w:hAnsi="Times New Roman" w:eastAsia="宋体" w:cs="Times New Roman"/>
                      <w:color w:val="auto"/>
                      <w:w w:val="90"/>
                      <w:sz w:val="21"/>
                      <w:szCs w:val="21"/>
                      <w:highlight w:val="none"/>
                      <w:lang w:val="en-US" w:eastAsia="zh-CN"/>
                    </w:rPr>
                    <w:t>，呈“不规则长条形状”排列。</w:t>
                  </w:r>
                </w:p>
              </w:tc>
              <w:tc>
                <w:tcPr>
                  <w:tcW w:w="422" w:type="pct"/>
                  <w:vAlign w:val="center"/>
                </w:tcPr>
                <w:p w14:paraId="508B9472">
                  <w:pPr>
                    <w:pStyle w:val="28"/>
                    <w:bidi w:val="0"/>
                    <w:jc w:val="center"/>
                    <w:rPr>
                      <w:rFonts w:hint="eastAsia" w:ascii="Times New Roman" w:hAnsi="Times New Roman" w:eastAsia="宋体" w:cs="Times New Roman"/>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新建</w:t>
                  </w:r>
                </w:p>
              </w:tc>
            </w:tr>
            <w:tr w14:paraId="41D59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822" w:hRule="atLeast"/>
              </w:trPr>
              <w:tc>
                <w:tcPr>
                  <w:tcW w:w="325" w:type="pct"/>
                  <w:vMerge w:val="continue"/>
                  <w:textDirection w:val="tbRlV"/>
                  <w:vAlign w:val="center"/>
                </w:tcPr>
                <w:p w14:paraId="0B62A9BA">
                  <w:pPr>
                    <w:pStyle w:val="28"/>
                    <w:bidi w:val="0"/>
                    <w:jc w:val="center"/>
                    <w:rPr>
                      <w:rFonts w:hint="default" w:ascii="Times New Roman" w:hAnsi="Times New Roman" w:eastAsia="宋体" w:cs="Times New Roman"/>
                      <w:color w:val="auto"/>
                      <w:w w:val="90"/>
                      <w:sz w:val="21"/>
                      <w:szCs w:val="21"/>
                      <w:highlight w:val="none"/>
                    </w:rPr>
                  </w:pPr>
                </w:p>
              </w:tc>
              <w:tc>
                <w:tcPr>
                  <w:tcW w:w="277" w:type="pct"/>
                  <w:vMerge w:val="continue"/>
                  <w:tcBorders>
                    <w:top w:val="nil"/>
                    <w:bottom w:val="nil"/>
                  </w:tcBorders>
                  <w:vAlign w:val="center"/>
                </w:tcPr>
                <w:p w14:paraId="150D711C">
                  <w:pPr>
                    <w:pStyle w:val="28"/>
                    <w:bidi w:val="0"/>
                    <w:jc w:val="center"/>
                    <w:rPr>
                      <w:rFonts w:hint="default" w:ascii="Times New Roman" w:hAnsi="Times New Roman" w:eastAsia="宋体" w:cs="Times New Roman"/>
                      <w:color w:val="auto"/>
                      <w:w w:val="90"/>
                      <w:sz w:val="21"/>
                      <w:szCs w:val="21"/>
                      <w:highlight w:val="none"/>
                    </w:rPr>
                  </w:pPr>
                </w:p>
              </w:tc>
              <w:tc>
                <w:tcPr>
                  <w:tcW w:w="770" w:type="pct"/>
                  <w:vAlign w:val="center"/>
                </w:tcPr>
                <w:p w14:paraId="35F3D632">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箱式变压器</w:t>
                  </w:r>
                </w:p>
              </w:tc>
              <w:tc>
                <w:tcPr>
                  <w:tcW w:w="3188" w:type="pct"/>
                  <w:gridSpan w:val="2"/>
                  <w:vAlign w:val="top"/>
                </w:tcPr>
                <w:p w14:paraId="396CAB46">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GB"/>
                    </w:rPr>
                    <w:t>每台风电机组配置一台箱式变压器，</w:t>
                  </w:r>
                  <w:r>
                    <w:rPr>
                      <w:rFonts w:hint="default" w:ascii="Times New Roman" w:hAnsi="Times New Roman" w:eastAsia="宋体" w:cs="Times New Roman"/>
                      <w:color w:val="auto"/>
                      <w:w w:val="90"/>
                      <w:sz w:val="21"/>
                      <w:szCs w:val="21"/>
                      <w:highlight w:val="none"/>
                      <w:lang w:val="en-GB" w:eastAsia="zh-CN"/>
                    </w:rPr>
                    <w:t>共设</w:t>
                  </w:r>
                  <w:r>
                    <w:rPr>
                      <w:rFonts w:hint="default" w:ascii="Times New Roman" w:hAnsi="Times New Roman" w:eastAsia="宋体" w:cs="Times New Roman"/>
                      <w:color w:val="auto"/>
                      <w:w w:val="90"/>
                      <w:sz w:val="21"/>
                      <w:szCs w:val="21"/>
                      <w:highlight w:val="none"/>
                      <w:lang w:val="en-US" w:eastAsia="zh-CN"/>
                    </w:rPr>
                    <w:t>3台</w:t>
                  </w:r>
                  <w:r>
                    <w:rPr>
                      <w:rFonts w:hint="default" w:ascii="Times New Roman" w:hAnsi="Times New Roman" w:eastAsia="宋体" w:cs="Times New Roman"/>
                      <w:color w:val="auto"/>
                      <w:w w:val="90"/>
                      <w:sz w:val="21"/>
                      <w:szCs w:val="21"/>
                      <w:highlight w:val="none"/>
                      <w:lang w:val="en-GB"/>
                    </w:rPr>
                    <w:t>箱式变压器</w:t>
                  </w:r>
                  <w:r>
                    <w:rPr>
                      <w:rFonts w:hint="eastAsia" w:ascii="Times New Roman" w:hAnsi="Times New Roman" w:cs="Times New Roman"/>
                      <w:color w:val="auto"/>
                      <w:w w:val="90"/>
                      <w:sz w:val="21"/>
                      <w:szCs w:val="21"/>
                      <w:highlight w:val="none"/>
                      <w:lang w:val="en-GB" w:eastAsia="zh-CN"/>
                    </w:rPr>
                    <w:t>，箱式变压器内各设置一台干式变压器</w:t>
                  </w:r>
                  <w:r>
                    <w:rPr>
                      <w:rFonts w:hint="default" w:ascii="Times New Roman" w:hAnsi="Times New Roman" w:eastAsia="宋体" w:cs="Times New Roman"/>
                      <w:color w:val="auto"/>
                      <w:w w:val="90"/>
                      <w:sz w:val="21"/>
                      <w:szCs w:val="21"/>
                      <w:highlight w:val="none"/>
                      <w:lang w:val="en-GB" w:eastAsia="zh-CN"/>
                    </w:rPr>
                    <w:t>。</w:t>
                  </w:r>
                  <w:r>
                    <w:rPr>
                      <w:rFonts w:hint="default" w:ascii="Times New Roman" w:hAnsi="Times New Roman" w:eastAsia="宋体" w:cs="Times New Roman"/>
                      <w:color w:val="auto"/>
                      <w:w w:val="90"/>
                      <w:sz w:val="21"/>
                      <w:szCs w:val="21"/>
                      <w:highlight w:val="none"/>
                    </w:rPr>
                    <w:t>箱变基础采用混凝土框架结构，且箱变基础顶标高应高于防洪水位加0.5m。内部采用C20素砼硬化。同时，箱变周围设置围栏防护装置。</w:t>
                  </w:r>
                </w:p>
              </w:tc>
              <w:tc>
                <w:tcPr>
                  <w:tcW w:w="422" w:type="pct"/>
                  <w:vAlign w:val="center"/>
                </w:tcPr>
                <w:p w14:paraId="0ED34A64">
                  <w:pPr>
                    <w:pStyle w:val="28"/>
                    <w:bidi w:val="0"/>
                    <w:jc w:val="center"/>
                    <w:rPr>
                      <w:rFonts w:hint="default" w:ascii="Times New Roman" w:hAnsi="Times New Roman" w:eastAsia="宋体" w:cs="Times New Roman"/>
                      <w:color w:val="auto"/>
                      <w:w w:val="90"/>
                      <w:sz w:val="21"/>
                      <w:szCs w:val="21"/>
                      <w:highlight w:val="none"/>
                      <w:lang w:val="en-GB"/>
                    </w:rPr>
                  </w:pPr>
                  <w:r>
                    <w:rPr>
                      <w:rFonts w:hint="eastAsia" w:ascii="Times New Roman" w:hAnsi="Times New Roman" w:cs="Times New Roman"/>
                      <w:color w:val="auto"/>
                      <w:w w:val="90"/>
                      <w:sz w:val="21"/>
                      <w:szCs w:val="21"/>
                      <w:highlight w:val="none"/>
                      <w:lang w:eastAsia="zh-CN"/>
                    </w:rPr>
                    <w:t>新建</w:t>
                  </w:r>
                </w:p>
              </w:tc>
            </w:tr>
            <w:tr w14:paraId="7E3CB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499" w:hRule="atLeast"/>
              </w:trPr>
              <w:tc>
                <w:tcPr>
                  <w:tcW w:w="325" w:type="pct"/>
                  <w:vMerge w:val="continue"/>
                  <w:textDirection w:val="tbRlV"/>
                  <w:vAlign w:val="center"/>
                </w:tcPr>
                <w:p w14:paraId="75BFCE32">
                  <w:pPr>
                    <w:pStyle w:val="28"/>
                    <w:bidi w:val="0"/>
                    <w:jc w:val="center"/>
                    <w:rPr>
                      <w:rFonts w:hint="default" w:ascii="Times New Roman" w:hAnsi="Times New Roman" w:eastAsia="宋体" w:cs="Times New Roman"/>
                      <w:color w:val="auto"/>
                      <w:w w:val="90"/>
                      <w:sz w:val="21"/>
                      <w:szCs w:val="21"/>
                      <w:highlight w:val="none"/>
                    </w:rPr>
                  </w:pPr>
                </w:p>
              </w:tc>
              <w:tc>
                <w:tcPr>
                  <w:tcW w:w="277" w:type="pct"/>
                  <w:vMerge w:val="continue"/>
                  <w:tcBorders>
                    <w:top w:val="nil"/>
                  </w:tcBorders>
                  <w:vAlign w:val="center"/>
                </w:tcPr>
                <w:p w14:paraId="64E28969">
                  <w:pPr>
                    <w:pStyle w:val="28"/>
                    <w:bidi w:val="0"/>
                    <w:jc w:val="center"/>
                    <w:rPr>
                      <w:rFonts w:hint="default" w:ascii="Times New Roman" w:hAnsi="Times New Roman" w:eastAsia="宋体" w:cs="Times New Roman"/>
                      <w:color w:val="auto"/>
                      <w:w w:val="90"/>
                      <w:sz w:val="21"/>
                      <w:szCs w:val="21"/>
                      <w:highlight w:val="none"/>
                    </w:rPr>
                  </w:pPr>
                </w:p>
              </w:tc>
              <w:tc>
                <w:tcPr>
                  <w:tcW w:w="770" w:type="pct"/>
                  <w:vAlign w:val="center"/>
                </w:tcPr>
                <w:p w14:paraId="404093D9">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35kV集电线路</w:t>
                  </w:r>
                </w:p>
              </w:tc>
              <w:tc>
                <w:tcPr>
                  <w:tcW w:w="3188" w:type="pct"/>
                  <w:gridSpan w:val="2"/>
                  <w:vAlign w:val="top"/>
                </w:tcPr>
                <w:p w14:paraId="02C7E214">
                  <w:pPr>
                    <w:pStyle w:val="28"/>
                    <w:bidi w:val="0"/>
                    <w:jc w:val="both"/>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集电线路采用直埋方式接入至开关站</w:t>
                  </w:r>
                  <w:r>
                    <w:rPr>
                      <w:rFonts w:hint="default" w:ascii="Times New Roman" w:hAnsi="Times New Roman" w:eastAsia="宋体" w:cs="Times New Roman"/>
                      <w:color w:val="auto"/>
                      <w:kern w:val="0"/>
                      <w:sz w:val="24"/>
                      <w:highlight w:val="none"/>
                    </w:rPr>
                    <w:t>，</w:t>
                  </w:r>
                  <w:r>
                    <w:rPr>
                      <w:rFonts w:hint="default" w:ascii="Times New Roman" w:hAnsi="Times New Roman" w:eastAsia="宋体" w:cs="Times New Roman"/>
                      <w:color w:val="auto"/>
                      <w:w w:val="90"/>
                      <w:sz w:val="21"/>
                      <w:szCs w:val="21"/>
                      <w:highlight w:val="none"/>
                      <w:lang w:val="en-US" w:eastAsia="zh-CN"/>
                    </w:rPr>
                    <w:t>全站分为2路集电线路合并接入开关站35kV进线柜：1#集电线路采用ZC-YJV22-3×70mm²35kV铜芯电缆直埋敷设，由A1风机所发电能经箱变升压至35kV后再经电缆送至开关站35kV进线柜；2#集电线路采用ZC-YJV22-3×70/120mm²，35kV铜芯电缆直埋敷设，将A2、A3风机所发电能经箱变升压至35kV后再经电缆并联在一起送至开关站35kV进线柜。</w:t>
                  </w:r>
                </w:p>
              </w:tc>
              <w:tc>
                <w:tcPr>
                  <w:tcW w:w="422" w:type="pct"/>
                  <w:vAlign w:val="center"/>
                </w:tcPr>
                <w:p w14:paraId="5E45BDA3">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eastAsia" w:ascii="Times New Roman" w:hAnsi="Times New Roman" w:cs="Times New Roman"/>
                      <w:color w:val="auto"/>
                      <w:w w:val="90"/>
                      <w:sz w:val="21"/>
                      <w:szCs w:val="21"/>
                      <w:highlight w:val="none"/>
                      <w:lang w:eastAsia="zh-CN"/>
                    </w:rPr>
                    <w:t>新建</w:t>
                  </w:r>
                </w:p>
              </w:tc>
            </w:tr>
            <w:tr w14:paraId="377CC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804" w:hRule="atLeast"/>
              </w:trPr>
              <w:tc>
                <w:tcPr>
                  <w:tcW w:w="325" w:type="pct"/>
                  <w:vMerge w:val="continue"/>
                  <w:tcBorders>
                    <w:bottom w:val="single" w:color="auto" w:sz="4" w:space="0"/>
                  </w:tcBorders>
                  <w:textDirection w:val="tbRlV"/>
                  <w:vAlign w:val="center"/>
                </w:tcPr>
                <w:p w14:paraId="53705361">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vAlign w:val="center"/>
                </w:tcPr>
                <w:p w14:paraId="0EDFF304">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开关站</w:t>
                  </w:r>
                </w:p>
              </w:tc>
              <w:tc>
                <w:tcPr>
                  <w:tcW w:w="3188" w:type="pct"/>
                  <w:gridSpan w:val="2"/>
                  <w:vAlign w:val="top"/>
                </w:tcPr>
                <w:p w14:paraId="416CE48F">
                  <w:pPr>
                    <w:pStyle w:val="28"/>
                    <w:keepNext w:val="0"/>
                    <w:keepLines w:val="0"/>
                    <w:pageBreakBefore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kern w:val="0"/>
                      <w:sz w:val="21"/>
                      <w:szCs w:val="21"/>
                      <w:highlight w:val="none"/>
                      <w:lang w:val="en-US" w:eastAsia="zh-CN" w:bidi="ar-SA"/>
                    </w:rPr>
                    <w:t>本风电场在A2机位点南侧约0.2km处新建一座35kV开关站。</w:t>
                  </w:r>
                  <w:r>
                    <w:rPr>
                      <w:rFonts w:hint="default" w:ascii="Times New Roman" w:hAnsi="Times New Roman" w:eastAsia="宋体" w:cs="Times New Roman"/>
                      <w:color w:val="auto"/>
                      <w:w w:val="90"/>
                      <w:sz w:val="21"/>
                      <w:szCs w:val="21"/>
                      <w:highlight w:val="none"/>
                      <w:lang w:val="en-US" w:eastAsia="zh-CN"/>
                    </w:rPr>
                    <w:t>开关站配置一面进线柜，2回集电线路在进线柜处汇流。</w:t>
                  </w:r>
                  <w:r>
                    <w:rPr>
                      <w:rFonts w:hint="default" w:ascii="Times New Roman" w:hAnsi="Times New Roman" w:eastAsia="宋体" w:cs="Times New Roman"/>
                      <w:color w:val="auto"/>
                      <w:w w:val="90"/>
                      <w:kern w:val="0"/>
                      <w:sz w:val="21"/>
                      <w:szCs w:val="21"/>
                      <w:highlight w:val="none"/>
                      <w:lang w:val="en-US" w:eastAsia="zh-CN" w:bidi="ar-SA"/>
                    </w:rPr>
                    <w:t>开关站围墙中心线东西宽25m，南北长40m，围墙内占地面积为1000m</w:t>
                  </w:r>
                  <w:r>
                    <w:rPr>
                      <w:rFonts w:hint="default" w:ascii="Times New Roman" w:hAnsi="Times New Roman" w:eastAsia="宋体" w:cs="Times New Roman"/>
                      <w:color w:val="auto"/>
                      <w:w w:val="90"/>
                      <w:kern w:val="0"/>
                      <w:sz w:val="21"/>
                      <w:szCs w:val="21"/>
                      <w:highlight w:val="none"/>
                      <w:vertAlign w:val="superscript"/>
                      <w:lang w:val="en-US" w:eastAsia="zh-CN" w:bidi="ar-SA"/>
                    </w:rPr>
                    <w:t>2</w:t>
                  </w:r>
                  <w:r>
                    <w:rPr>
                      <w:rFonts w:hint="default" w:ascii="Times New Roman" w:hAnsi="Times New Roman" w:eastAsia="宋体" w:cs="Times New Roman"/>
                      <w:color w:val="auto"/>
                      <w:w w:val="90"/>
                      <w:kern w:val="0"/>
                      <w:sz w:val="21"/>
                      <w:szCs w:val="21"/>
                      <w:highlight w:val="none"/>
                      <w:lang w:val="en-US" w:eastAsia="zh-CN" w:bidi="ar-SA"/>
                    </w:rPr>
                    <w:t>，站区整体布置紧凑。站内布置了35kV预制舱、SVG预制舱、二次预制舱、辅助功能舱、固废舱等。</w:t>
                  </w:r>
                  <w:r>
                    <w:rPr>
                      <w:rFonts w:hint="eastAsia" w:ascii="Times New Roman" w:hAnsi="Times New Roman" w:cs="Times New Roman"/>
                      <w:color w:val="auto"/>
                      <w:w w:val="90"/>
                      <w:kern w:val="0"/>
                      <w:sz w:val="21"/>
                      <w:szCs w:val="21"/>
                      <w:highlight w:val="none"/>
                      <w:lang w:val="en-US" w:eastAsia="zh-CN" w:bidi="ar-SA"/>
                    </w:rPr>
                    <w:t>开关站内</w:t>
                  </w:r>
                  <w:r>
                    <w:rPr>
                      <w:rFonts w:hint="default" w:ascii="Times New Roman" w:hAnsi="Times New Roman" w:eastAsia="宋体" w:cs="Times New Roman"/>
                      <w:color w:val="auto"/>
                      <w:w w:val="90"/>
                      <w:kern w:val="0"/>
                      <w:sz w:val="21"/>
                      <w:szCs w:val="21"/>
                      <w:highlight w:val="none"/>
                      <w:lang w:val="en-US" w:eastAsia="zh-CN" w:bidi="ar-SA"/>
                    </w:rPr>
                    <w:t>不涉及储能和应急电源，采用电网10kV的电</w:t>
                  </w:r>
                  <w:r>
                    <w:rPr>
                      <w:rFonts w:hint="eastAsia" w:ascii="Times New Roman" w:hAnsi="Times New Roman" w:cs="Times New Roman"/>
                      <w:color w:val="auto"/>
                      <w:w w:val="90"/>
                      <w:kern w:val="0"/>
                      <w:sz w:val="21"/>
                      <w:szCs w:val="21"/>
                      <w:highlight w:val="none"/>
                      <w:lang w:val="en-US" w:eastAsia="zh-CN" w:bidi="ar-SA"/>
                    </w:rPr>
                    <w:t>。</w:t>
                  </w:r>
                </w:p>
              </w:tc>
              <w:tc>
                <w:tcPr>
                  <w:tcW w:w="422" w:type="pct"/>
                  <w:vAlign w:val="center"/>
                </w:tcPr>
                <w:p w14:paraId="3E6BED32">
                  <w:pPr>
                    <w:pStyle w:val="28"/>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w w:val="90"/>
                      <w:kern w:val="0"/>
                      <w:sz w:val="21"/>
                      <w:szCs w:val="21"/>
                      <w:highlight w:val="none"/>
                      <w:lang w:val="en-US" w:eastAsia="zh-CN" w:bidi="ar-SA"/>
                    </w:rPr>
                  </w:pPr>
                  <w:r>
                    <w:rPr>
                      <w:rFonts w:hint="eastAsia" w:ascii="Times New Roman" w:hAnsi="Times New Roman" w:cs="Times New Roman"/>
                      <w:color w:val="auto"/>
                      <w:w w:val="90"/>
                      <w:sz w:val="21"/>
                      <w:szCs w:val="21"/>
                      <w:highlight w:val="none"/>
                      <w:lang w:eastAsia="zh-CN"/>
                    </w:rPr>
                    <w:t>新建</w:t>
                  </w:r>
                </w:p>
              </w:tc>
            </w:tr>
            <w:tr w14:paraId="1D73D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522" w:hRule="atLeast"/>
              </w:trPr>
              <w:tc>
                <w:tcPr>
                  <w:tcW w:w="325" w:type="pct"/>
                  <w:vMerge w:val="restart"/>
                  <w:tcBorders>
                    <w:top w:val="single" w:color="auto" w:sz="4" w:space="0"/>
                  </w:tcBorders>
                  <w:textDirection w:val="tbRlV"/>
                  <w:vAlign w:val="center"/>
                </w:tcPr>
                <w:p w14:paraId="6D0750AD">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辅助工程</w:t>
                  </w:r>
                </w:p>
              </w:tc>
              <w:tc>
                <w:tcPr>
                  <w:tcW w:w="1048" w:type="pct"/>
                  <w:gridSpan w:val="2"/>
                  <w:vAlign w:val="center"/>
                </w:tcPr>
                <w:p w14:paraId="39C11AD9">
                  <w:pPr>
                    <w:pStyle w:val="28"/>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w w:val="90"/>
                      <w:sz w:val="21"/>
                      <w:szCs w:val="21"/>
                      <w:highlight w:val="none"/>
                      <w:lang w:val="en-US" w:eastAsia="zh-CN"/>
                    </w:rPr>
                  </w:pPr>
                  <w:r>
                    <w:rPr>
                      <w:rFonts w:hint="default" w:ascii="Times New Roman" w:hAnsi="Times New Roman" w:eastAsia="宋体" w:cs="Times New Roman"/>
                      <w:color w:val="auto"/>
                      <w:w w:val="90"/>
                      <w:sz w:val="21"/>
                      <w:szCs w:val="21"/>
                      <w:highlight w:val="none"/>
                      <w:lang w:val="en-US" w:eastAsia="zh-CN"/>
                    </w:rPr>
                    <w:t>进</w:t>
                  </w:r>
                  <w:r>
                    <w:rPr>
                      <w:rFonts w:hint="eastAsia" w:ascii="Times New Roman" w:hAnsi="Times New Roman" w:cs="Times New Roman"/>
                      <w:color w:val="auto"/>
                      <w:w w:val="90"/>
                      <w:sz w:val="21"/>
                      <w:szCs w:val="21"/>
                      <w:highlight w:val="none"/>
                      <w:lang w:val="en-US" w:eastAsia="zh-CN"/>
                    </w:rPr>
                    <w:t>场</w:t>
                  </w:r>
                  <w:r>
                    <w:rPr>
                      <w:rFonts w:hint="default" w:ascii="Times New Roman" w:hAnsi="Times New Roman" w:eastAsia="宋体" w:cs="Times New Roman"/>
                      <w:color w:val="auto"/>
                      <w:w w:val="90"/>
                      <w:sz w:val="21"/>
                      <w:szCs w:val="21"/>
                      <w:highlight w:val="none"/>
                      <w:lang w:val="en-US" w:eastAsia="zh-CN"/>
                    </w:rPr>
                    <w:t>道路</w:t>
                  </w:r>
                </w:p>
              </w:tc>
              <w:tc>
                <w:tcPr>
                  <w:tcW w:w="3188" w:type="pct"/>
                  <w:gridSpan w:val="2"/>
                  <w:vAlign w:val="center"/>
                </w:tcPr>
                <w:p w14:paraId="778018D3">
                  <w:pPr>
                    <w:pStyle w:val="28"/>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w w:val="90"/>
                      <w:sz w:val="21"/>
                      <w:szCs w:val="21"/>
                      <w:highlight w:val="none"/>
                      <w:lang w:val="en-US" w:eastAsia="zh-CN"/>
                    </w:rPr>
                  </w:pPr>
                  <w:r>
                    <w:rPr>
                      <w:rFonts w:hint="eastAsia" w:ascii="Times New Roman" w:hAnsi="Times New Roman" w:cs="Times New Roman"/>
                      <w:color w:val="auto"/>
                      <w:w w:val="90"/>
                      <w:sz w:val="21"/>
                      <w:szCs w:val="21"/>
                      <w:highlight w:val="none"/>
                      <w:lang w:val="en-US" w:eastAsia="zh-CN"/>
                    </w:rPr>
                    <w:t>依托原有农村生产生活道路，路面均为碎石铺装。</w:t>
                  </w:r>
                </w:p>
              </w:tc>
              <w:tc>
                <w:tcPr>
                  <w:tcW w:w="422" w:type="pct"/>
                  <w:vAlign w:val="center"/>
                </w:tcPr>
                <w:p w14:paraId="0A6AED1F">
                  <w:pPr>
                    <w:pStyle w:val="28"/>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w w:val="90"/>
                      <w:sz w:val="21"/>
                      <w:szCs w:val="21"/>
                      <w:highlight w:val="none"/>
                      <w:lang w:val="en-US" w:eastAsia="zh-CN"/>
                    </w:rPr>
                  </w:pPr>
                  <w:r>
                    <w:rPr>
                      <w:rFonts w:hint="eastAsia" w:ascii="Times New Roman" w:hAnsi="Times New Roman" w:cs="Times New Roman"/>
                      <w:color w:val="auto"/>
                      <w:w w:val="90"/>
                      <w:sz w:val="21"/>
                      <w:szCs w:val="21"/>
                      <w:highlight w:val="none"/>
                      <w:lang w:val="en-US" w:eastAsia="zh-CN"/>
                    </w:rPr>
                    <w:t>依托</w:t>
                  </w:r>
                </w:p>
              </w:tc>
            </w:tr>
            <w:tr w14:paraId="5EADE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271" w:hRule="atLeast"/>
              </w:trPr>
              <w:tc>
                <w:tcPr>
                  <w:tcW w:w="325" w:type="pct"/>
                  <w:vMerge w:val="continue"/>
                  <w:textDirection w:val="tbRlV"/>
                  <w:vAlign w:val="center"/>
                </w:tcPr>
                <w:p w14:paraId="42C48D0C">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vAlign w:val="center"/>
                </w:tcPr>
                <w:p w14:paraId="35C7FB27">
                  <w:pPr>
                    <w:pStyle w:val="28"/>
                    <w:bidi w:val="0"/>
                    <w:jc w:val="center"/>
                    <w:rPr>
                      <w:rFonts w:hint="default" w:ascii="Times New Roman" w:hAnsi="Times New Roman" w:eastAsia="宋体" w:cs="Times New Roman"/>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开关站</w:t>
                  </w:r>
                  <w:r>
                    <w:rPr>
                      <w:rFonts w:hint="default" w:ascii="Times New Roman" w:hAnsi="Times New Roman" w:eastAsia="宋体" w:cs="Times New Roman"/>
                      <w:color w:val="auto"/>
                      <w:w w:val="90"/>
                      <w:sz w:val="21"/>
                      <w:szCs w:val="21"/>
                      <w:highlight w:val="none"/>
                      <w:lang w:eastAsia="zh-CN"/>
                    </w:rPr>
                    <w:t>站</w:t>
                  </w:r>
                  <w:r>
                    <w:rPr>
                      <w:rFonts w:hint="eastAsia" w:ascii="Times New Roman" w:hAnsi="Times New Roman" w:cs="Times New Roman"/>
                      <w:color w:val="auto"/>
                      <w:w w:val="90"/>
                      <w:sz w:val="21"/>
                      <w:szCs w:val="21"/>
                      <w:highlight w:val="none"/>
                      <w:lang w:eastAsia="zh-CN"/>
                    </w:rPr>
                    <w:t>内</w:t>
                  </w:r>
                  <w:r>
                    <w:rPr>
                      <w:rFonts w:hint="default" w:ascii="Times New Roman" w:hAnsi="Times New Roman" w:eastAsia="宋体" w:cs="Times New Roman"/>
                      <w:color w:val="auto"/>
                      <w:w w:val="90"/>
                      <w:sz w:val="21"/>
                      <w:szCs w:val="21"/>
                      <w:highlight w:val="none"/>
                      <w:lang w:eastAsia="zh-CN"/>
                    </w:rPr>
                    <w:t>道路</w:t>
                  </w:r>
                </w:p>
              </w:tc>
              <w:tc>
                <w:tcPr>
                  <w:tcW w:w="3188" w:type="pct"/>
                  <w:gridSpan w:val="2"/>
                  <w:vAlign w:val="top"/>
                </w:tcPr>
                <w:p w14:paraId="7B6E35DD">
                  <w:pPr>
                    <w:pStyle w:val="28"/>
                    <w:bidi w:val="0"/>
                    <w:jc w:val="both"/>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采用郊区型，</w:t>
                  </w:r>
                  <w:r>
                    <w:rPr>
                      <w:rFonts w:hint="eastAsia" w:ascii="Times New Roman" w:hAnsi="Times New Roman" w:cs="Times New Roman"/>
                      <w:color w:val="auto"/>
                      <w:w w:val="90"/>
                      <w:sz w:val="21"/>
                      <w:szCs w:val="21"/>
                      <w:highlight w:val="none"/>
                      <w:lang w:eastAsia="zh-CN"/>
                    </w:rPr>
                    <w:t>新建长</w:t>
                  </w:r>
                  <w:r>
                    <w:rPr>
                      <w:rFonts w:hint="eastAsia" w:ascii="Times New Roman" w:hAnsi="Times New Roman" w:cs="Times New Roman"/>
                      <w:color w:val="auto"/>
                      <w:w w:val="90"/>
                      <w:sz w:val="21"/>
                      <w:szCs w:val="21"/>
                      <w:highlight w:val="none"/>
                      <w:lang w:val="en-US" w:eastAsia="zh-CN"/>
                    </w:rPr>
                    <w:t>40m，</w:t>
                  </w:r>
                  <w:r>
                    <w:rPr>
                      <w:rFonts w:hint="default" w:ascii="Times New Roman" w:hAnsi="Times New Roman" w:eastAsia="宋体" w:cs="Times New Roman"/>
                      <w:color w:val="auto"/>
                      <w:w w:val="90"/>
                      <w:sz w:val="21"/>
                      <w:szCs w:val="21"/>
                      <w:highlight w:val="none"/>
                    </w:rPr>
                    <w:t>道路宽度为4.0m，道路呈一字形布置，消防车可直达站内各构筑物。道路路面采用220mm厚C30混凝土面层，掺耐磨剂，边缘倒圆角处理。</w:t>
                  </w:r>
                </w:p>
              </w:tc>
              <w:tc>
                <w:tcPr>
                  <w:tcW w:w="422" w:type="pct"/>
                  <w:vAlign w:val="center"/>
                </w:tcPr>
                <w:p w14:paraId="5CD7FEC6">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eastAsia="zh-CN"/>
                    </w:rPr>
                    <w:t>新建</w:t>
                  </w:r>
                </w:p>
              </w:tc>
            </w:tr>
            <w:tr w14:paraId="596B6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346" w:hRule="atLeast"/>
              </w:trPr>
              <w:tc>
                <w:tcPr>
                  <w:tcW w:w="325" w:type="pct"/>
                  <w:vMerge w:val="continue"/>
                  <w:textDirection w:val="tbRlV"/>
                  <w:vAlign w:val="center"/>
                </w:tcPr>
                <w:p w14:paraId="16F65748">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vAlign w:val="center"/>
                </w:tcPr>
                <w:p w14:paraId="7163790F">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rPr>
                    <w:t>大门和围栏</w:t>
                  </w:r>
                </w:p>
              </w:tc>
              <w:tc>
                <w:tcPr>
                  <w:tcW w:w="3188" w:type="pct"/>
                  <w:gridSpan w:val="2"/>
                  <w:vAlign w:val="center"/>
                </w:tcPr>
                <w:p w14:paraId="5BA90BB5">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lang w:val="en-US" w:eastAsia="zh-CN"/>
                    </w:rPr>
                    <w:t>大门采用实体围墙，宽度为4m，围栏采用混凝土条形基础。</w:t>
                  </w:r>
                </w:p>
              </w:tc>
              <w:tc>
                <w:tcPr>
                  <w:tcW w:w="422" w:type="pct"/>
                  <w:vAlign w:val="center"/>
                </w:tcPr>
                <w:p w14:paraId="035F528F">
                  <w:pPr>
                    <w:widowControl/>
                    <w:spacing w:line="360" w:lineRule="auto"/>
                    <w:ind w:left="0" w:leftChars="0" w:firstLine="0" w:firstLineChars="0"/>
                    <w:jc w:val="center"/>
                    <w:rPr>
                      <w:rFonts w:hint="default" w:ascii="Times New Roman" w:hAnsi="Times New Roman" w:eastAsia="宋体" w:cs="Times New Roman"/>
                      <w:color w:val="auto"/>
                      <w:w w:val="90"/>
                      <w:kern w:val="0"/>
                      <w:sz w:val="21"/>
                      <w:szCs w:val="21"/>
                      <w:highlight w:val="none"/>
                      <w:lang w:val="en-US" w:eastAsia="zh-CN" w:bidi="ar-SA"/>
                    </w:rPr>
                  </w:pPr>
                  <w:r>
                    <w:rPr>
                      <w:rFonts w:hint="eastAsia" w:ascii="Times New Roman" w:hAnsi="Times New Roman" w:cs="Times New Roman"/>
                      <w:color w:val="auto"/>
                      <w:w w:val="90"/>
                      <w:sz w:val="21"/>
                      <w:szCs w:val="21"/>
                      <w:highlight w:val="none"/>
                      <w:lang w:eastAsia="zh-CN"/>
                    </w:rPr>
                    <w:t>新建</w:t>
                  </w:r>
                </w:p>
              </w:tc>
            </w:tr>
            <w:tr w14:paraId="56E5E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99" w:hRule="atLeast"/>
              </w:trPr>
              <w:tc>
                <w:tcPr>
                  <w:tcW w:w="325" w:type="pct"/>
                  <w:vMerge w:val="continue"/>
                  <w:textDirection w:val="tbRlV"/>
                  <w:vAlign w:val="center"/>
                </w:tcPr>
                <w:p w14:paraId="057E280A">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vAlign w:val="center"/>
                </w:tcPr>
                <w:p w14:paraId="630D049D">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管理用房</w:t>
                  </w:r>
                </w:p>
              </w:tc>
              <w:tc>
                <w:tcPr>
                  <w:tcW w:w="3188" w:type="pct"/>
                  <w:gridSpan w:val="2"/>
                  <w:vAlign w:val="top"/>
                </w:tcPr>
                <w:p w14:paraId="492B544E">
                  <w:pPr>
                    <w:pStyle w:val="28"/>
                    <w:bidi w:val="0"/>
                    <w:jc w:val="both"/>
                    <w:rPr>
                      <w:rFonts w:hint="default" w:ascii="Times New Roman" w:hAnsi="Times New Roman" w:eastAsia="宋体" w:cs="Times New Roman"/>
                      <w:color w:val="auto"/>
                      <w:w w:val="90"/>
                      <w:sz w:val="21"/>
                      <w:szCs w:val="21"/>
                      <w:highlight w:val="none"/>
                    </w:rPr>
                  </w:pPr>
                  <w:r>
                    <w:rPr>
                      <w:rFonts w:hint="eastAsia" w:ascii="Times New Roman" w:hAnsi="Times New Roman" w:eastAsia="宋体" w:cs="Times New Roman"/>
                      <w:color w:val="auto"/>
                      <w:w w:val="90"/>
                      <w:sz w:val="21"/>
                      <w:szCs w:val="21"/>
                      <w:highlight w:val="none"/>
                      <w:lang w:eastAsia="zh-CN"/>
                    </w:rPr>
                    <w:t>依托</w:t>
                  </w:r>
                  <w:r>
                    <w:rPr>
                      <w:rFonts w:hint="default" w:ascii="Times New Roman" w:hAnsi="Times New Roman" w:eastAsia="宋体" w:cs="Times New Roman"/>
                      <w:color w:val="auto"/>
                      <w:w w:val="90"/>
                      <w:sz w:val="21"/>
                      <w:szCs w:val="21"/>
                      <w:highlight w:val="none"/>
                      <w:lang w:eastAsia="zh-CN"/>
                    </w:rPr>
                    <w:t>热水光伏电站管理人员</w:t>
                  </w:r>
                  <w:r>
                    <w:rPr>
                      <w:rFonts w:hint="eastAsia" w:ascii="Times New Roman" w:hAnsi="Times New Roman" w:eastAsia="宋体" w:cs="Times New Roman"/>
                      <w:color w:val="auto"/>
                      <w:w w:val="90"/>
                      <w:sz w:val="21"/>
                      <w:szCs w:val="21"/>
                      <w:highlight w:val="none"/>
                      <w:lang w:eastAsia="zh-CN"/>
                    </w:rPr>
                    <w:t>，不设管理用房</w:t>
                  </w:r>
                </w:p>
              </w:tc>
              <w:tc>
                <w:tcPr>
                  <w:tcW w:w="422" w:type="pct"/>
                  <w:vAlign w:val="center"/>
                </w:tcPr>
                <w:p w14:paraId="5A979C57">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val="en-US" w:eastAsia="zh-CN"/>
                    </w:rPr>
                    <w:t>依托</w:t>
                  </w:r>
                </w:p>
              </w:tc>
            </w:tr>
            <w:tr w14:paraId="57552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1330" w:hRule="atLeast"/>
              </w:trPr>
              <w:tc>
                <w:tcPr>
                  <w:tcW w:w="325" w:type="pct"/>
                  <w:vMerge w:val="restart"/>
                  <w:tcBorders>
                    <w:top w:val="single" w:color="auto" w:sz="4" w:space="0"/>
                    <w:bottom w:val="single" w:color="auto" w:sz="4" w:space="0"/>
                  </w:tcBorders>
                  <w:textDirection w:val="tbRlV"/>
                  <w:vAlign w:val="center"/>
                </w:tcPr>
                <w:p w14:paraId="6F9FBFFA">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临时工程</w:t>
                  </w:r>
                </w:p>
              </w:tc>
              <w:tc>
                <w:tcPr>
                  <w:tcW w:w="1048" w:type="pct"/>
                  <w:gridSpan w:val="2"/>
                  <w:vAlign w:val="center"/>
                </w:tcPr>
                <w:p w14:paraId="165EAC69">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风电机组安装场地</w:t>
                  </w:r>
                </w:p>
              </w:tc>
              <w:tc>
                <w:tcPr>
                  <w:tcW w:w="3188" w:type="pct"/>
                  <w:gridSpan w:val="2"/>
                  <w:vAlign w:val="top"/>
                </w:tcPr>
                <w:p w14:paraId="55A84681">
                  <w:pPr>
                    <w:pStyle w:val="28"/>
                    <w:bidi w:val="0"/>
                    <w:jc w:val="both"/>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共三个安装场地，安装场地尺寸以满足风机设备拼接及吊装设备施工，由风机基础施工平台和吊装平台组成，风机基础施工平台尺寸为25m×40m，吊装平台尺寸为45m×40m。保留风机基础施工平台，吊装平台仅保留检修通道，连接至场内检修道路，检修通道路基路面宽4.5/3.5m，路面结构同场内检修道路；吊装平台除检修通道外的其余部分需重新绿化处理。</w:t>
                  </w:r>
                </w:p>
              </w:tc>
              <w:tc>
                <w:tcPr>
                  <w:tcW w:w="422" w:type="pct"/>
                  <w:vAlign w:val="center"/>
                </w:tcPr>
                <w:p w14:paraId="01982158">
                  <w:pPr>
                    <w:pStyle w:val="28"/>
                    <w:bidi w:val="0"/>
                    <w:jc w:val="center"/>
                    <w:rPr>
                      <w:rFonts w:hint="default" w:ascii="Times New Roman" w:hAnsi="Times New Roman" w:eastAsia="宋体" w:cs="Times New Roman"/>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新建</w:t>
                  </w:r>
                </w:p>
              </w:tc>
            </w:tr>
            <w:tr w14:paraId="5E3714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463" w:hRule="atLeast"/>
              </w:trPr>
              <w:tc>
                <w:tcPr>
                  <w:tcW w:w="325" w:type="pct"/>
                  <w:vMerge w:val="continue"/>
                  <w:tcBorders>
                    <w:top w:val="single" w:color="auto" w:sz="4" w:space="0"/>
                    <w:bottom w:val="single" w:color="auto" w:sz="4" w:space="0"/>
                  </w:tcBorders>
                  <w:textDirection w:val="tbRlV"/>
                  <w:vAlign w:val="center"/>
                </w:tcPr>
                <w:p w14:paraId="2008CECB">
                  <w:pPr>
                    <w:pStyle w:val="28"/>
                    <w:bidi w:val="0"/>
                    <w:jc w:val="center"/>
                    <w:rPr>
                      <w:rFonts w:hint="default" w:ascii="Times New Roman" w:hAnsi="Times New Roman" w:eastAsia="宋体" w:cs="Times New Roman"/>
                      <w:color w:val="auto"/>
                      <w:w w:val="90"/>
                      <w:sz w:val="21"/>
                      <w:szCs w:val="21"/>
                      <w:highlight w:val="none"/>
                      <w:lang w:eastAsia="zh-CN"/>
                    </w:rPr>
                  </w:pPr>
                </w:p>
              </w:tc>
              <w:tc>
                <w:tcPr>
                  <w:tcW w:w="1048" w:type="pct"/>
                  <w:gridSpan w:val="2"/>
                  <w:vAlign w:val="center"/>
                </w:tcPr>
                <w:p w14:paraId="0B849EDB">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直埋电缆沟</w:t>
                  </w:r>
                </w:p>
              </w:tc>
              <w:tc>
                <w:tcPr>
                  <w:tcW w:w="3188" w:type="pct"/>
                  <w:gridSpan w:val="2"/>
                  <w:vAlign w:val="top"/>
                </w:tcPr>
                <w:p w14:paraId="67D125AC">
                  <w:pPr>
                    <w:pStyle w:val="28"/>
                    <w:bidi w:val="0"/>
                    <w:jc w:val="both"/>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val="en-US" w:eastAsia="zh-CN"/>
                    </w:rPr>
                    <w:t>按路径长度×1.0m计算面积，</w:t>
                  </w:r>
                  <w:r>
                    <w:rPr>
                      <w:rFonts w:hint="default" w:ascii="Times New Roman" w:hAnsi="Times New Roman" w:eastAsia="宋体" w:cs="Times New Roman"/>
                      <w:color w:val="auto"/>
                      <w:w w:val="90"/>
                      <w:sz w:val="21"/>
                      <w:szCs w:val="21"/>
                      <w:highlight w:val="none"/>
                      <w:lang w:eastAsia="zh-CN"/>
                    </w:rPr>
                    <w:t>直埋电缆沟深≥900mm，宽度按设计（如10kV电缆间距≥100mm），转弯处挖成圆弧状。</w:t>
                  </w:r>
                </w:p>
              </w:tc>
              <w:tc>
                <w:tcPr>
                  <w:tcW w:w="422" w:type="pct"/>
                  <w:vAlign w:val="center"/>
                </w:tcPr>
                <w:p w14:paraId="5AB3EFE4">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eastAsia" w:ascii="Times New Roman" w:hAnsi="Times New Roman" w:cs="Times New Roman"/>
                      <w:color w:val="auto"/>
                      <w:w w:val="90"/>
                      <w:sz w:val="21"/>
                      <w:szCs w:val="21"/>
                      <w:highlight w:val="none"/>
                      <w:lang w:eastAsia="zh-CN"/>
                    </w:rPr>
                    <w:t>新建</w:t>
                  </w:r>
                </w:p>
              </w:tc>
            </w:tr>
            <w:tr w14:paraId="6C130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577" w:hRule="atLeast"/>
              </w:trPr>
              <w:tc>
                <w:tcPr>
                  <w:tcW w:w="325" w:type="pct"/>
                  <w:vMerge w:val="continue"/>
                  <w:tcBorders>
                    <w:top w:val="single" w:color="auto" w:sz="4" w:space="0"/>
                    <w:bottom w:val="single" w:color="auto" w:sz="4" w:space="0"/>
                  </w:tcBorders>
                  <w:textDirection w:val="tbRlV"/>
                  <w:vAlign w:val="center"/>
                </w:tcPr>
                <w:p w14:paraId="4A17F715">
                  <w:pPr>
                    <w:pStyle w:val="28"/>
                    <w:bidi w:val="0"/>
                    <w:jc w:val="center"/>
                    <w:rPr>
                      <w:rFonts w:hint="default" w:ascii="Times New Roman" w:hAnsi="Times New Roman" w:eastAsia="宋体" w:cs="Times New Roman"/>
                      <w:color w:val="auto"/>
                      <w:w w:val="90"/>
                      <w:sz w:val="21"/>
                      <w:szCs w:val="21"/>
                      <w:highlight w:val="none"/>
                      <w:lang w:eastAsia="zh-CN"/>
                    </w:rPr>
                  </w:pPr>
                </w:p>
              </w:tc>
              <w:tc>
                <w:tcPr>
                  <w:tcW w:w="1048" w:type="pct"/>
                  <w:gridSpan w:val="2"/>
                  <w:vAlign w:val="center"/>
                </w:tcPr>
                <w:p w14:paraId="24C1E095">
                  <w:pPr>
                    <w:pStyle w:val="28"/>
                    <w:bidi w:val="0"/>
                    <w:jc w:val="center"/>
                    <w:rPr>
                      <w:rFonts w:hint="default" w:ascii="Times New Roman" w:hAnsi="Times New Roman" w:eastAsia="宋体" w:cs="Times New Roman"/>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表土</w:t>
                  </w:r>
                  <w:r>
                    <w:rPr>
                      <w:rFonts w:hint="default" w:ascii="Times New Roman" w:hAnsi="Times New Roman" w:eastAsia="宋体" w:cs="Times New Roman"/>
                      <w:color w:val="auto"/>
                      <w:w w:val="90"/>
                      <w:sz w:val="21"/>
                      <w:szCs w:val="21"/>
                      <w:highlight w:val="none"/>
                      <w:lang w:eastAsia="zh-CN"/>
                    </w:rPr>
                    <w:t>堆场</w:t>
                  </w:r>
                </w:p>
              </w:tc>
              <w:tc>
                <w:tcPr>
                  <w:tcW w:w="3188" w:type="pct"/>
                  <w:gridSpan w:val="2"/>
                  <w:vAlign w:val="top"/>
                </w:tcPr>
                <w:p w14:paraId="53BBEB3F">
                  <w:pPr>
                    <w:pStyle w:val="28"/>
                    <w:bidi w:val="0"/>
                    <w:jc w:val="both"/>
                    <w:rPr>
                      <w:rFonts w:hint="default" w:ascii="Times New Roman" w:hAnsi="Times New Roman" w:eastAsia="宋体" w:cs="Times New Roman"/>
                      <w:color w:val="auto"/>
                      <w:w w:val="90"/>
                      <w:sz w:val="21"/>
                      <w:szCs w:val="21"/>
                      <w:highlight w:val="none"/>
                      <w:lang w:eastAsia="zh-CN"/>
                    </w:rPr>
                  </w:pPr>
                  <w:r>
                    <w:rPr>
                      <w:rFonts w:hint="eastAsia" w:ascii="Times New Roman" w:hAnsi="Times New Roman" w:eastAsia="宋体" w:cs="Times New Roman"/>
                      <w:color w:val="auto"/>
                      <w:w w:val="90"/>
                      <w:sz w:val="21"/>
                      <w:szCs w:val="21"/>
                      <w:highlight w:val="none"/>
                      <w:lang w:eastAsia="zh-CN"/>
                    </w:rPr>
                    <w:t>共设置</w:t>
                  </w:r>
                  <w:r>
                    <w:rPr>
                      <w:rFonts w:hint="eastAsia" w:ascii="Times New Roman" w:hAnsi="Times New Roman" w:cs="Times New Roman"/>
                      <w:color w:val="auto"/>
                      <w:w w:val="90"/>
                      <w:sz w:val="21"/>
                      <w:szCs w:val="21"/>
                      <w:highlight w:val="none"/>
                      <w:lang w:val="en-US" w:eastAsia="zh-CN"/>
                    </w:rPr>
                    <w:t>3</w:t>
                  </w:r>
                  <w:r>
                    <w:rPr>
                      <w:rFonts w:hint="eastAsia" w:ascii="Times New Roman" w:hAnsi="Times New Roman" w:eastAsia="宋体" w:cs="Times New Roman"/>
                      <w:color w:val="auto"/>
                      <w:w w:val="90"/>
                      <w:sz w:val="21"/>
                      <w:szCs w:val="21"/>
                      <w:highlight w:val="none"/>
                      <w:lang w:val="en-US" w:eastAsia="zh-CN"/>
                    </w:rPr>
                    <w:t>个</w:t>
                  </w:r>
                  <w:r>
                    <w:rPr>
                      <w:rFonts w:hint="default" w:ascii="Times New Roman" w:hAnsi="Times New Roman" w:eastAsia="宋体" w:cs="Times New Roman"/>
                      <w:color w:val="auto"/>
                      <w:w w:val="90"/>
                      <w:sz w:val="21"/>
                      <w:szCs w:val="21"/>
                      <w:highlight w:val="none"/>
                      <w:lang w:eastAsia="zh-CN"/>
                    </w:rPr>
                    <w:t>表土临时堆存点</w:t>
                  </w:r>
                  <w:r>
                    <w:rPr>
                      <w:rFonts w:hint="eastAsia" w:ascii="Times New Roman" w:hAnsi="Times New Roman" w:eastAsia="宋体" w:cs="Times New Roman"/>
                      <w:color w:val="auto"/>
                      <w:w w:val="90"/>
                      <w:sz w:val="21"/>
                      <w:szCs w:val="21"/>
                      <w:highlight w:val="none"/>
                      <w:lang w:eastAsia="zh-CN"/>
                    </w:rPr>
                    <w:t>，</w:t>
                  </w:r>
                  <w:r>
                    <w:rPr>
                      <w:rFonts w:hint="default" w:ascii="Times New Roman" w:hAnsi="Times New Roman" w:eastAsia="宋体" w:cs="Times New Roman"/>
                      <w:color w:val="auto"/>
                      <w:w w:val="90"/>
                      <w:sz w:val="21"/>
                      <w:szCs w:val="21"/>
                      <w:highlight w:val="none"/>
                      <w:lang w:eastAsia="zh-CN"/>
                    </w:rPr>
                    <w:t>设置于风机平台</w:t>
                  </w:r>
                  <w:r>
                    <w:rPr>
                      <w:rFonts w:hint="eastAsia" w:ascii="Times New Roman" w:hAnsi="Times New Roman" w:cs="Times New Roman"/>
                      <w:color w:val="auto"/>
                      <w:w w:val="90"/>
                      <w:sz w:val="21"/>
                      <w:szCs w:val="21"/>
                      <w:highlight w:val="none"/>
                      <w:lang w:eastAsia="zh-CN"/>
                    </w:rPr>
                    <w:t>上</w:t>
                  </w:r>
                  <w:r>
                    <w:rPr>
                      <w:rFonts w:hint="eastAsia" w:ascii="Times New Roman" w:hAnsi="Times New Roman" w:eastAsia="宋体" w:cs="Times New Roman"/>
                      <w:color w:val="auto"/>
                      <w:w w:val="90"/>
                      <w:sz w:val="21"/>
                      <w:szCs w:val="21"/>
                      <w:highlight w:val="none"/>
                      <w:lang w:eastAsia="zh-CN"/>
                    </w:rPr>
                    <w:t>，</w:t>
                  </w:r>
                  <w:r>
                    <w:rPr>
                      <w:rFonts w:hint="default" w:ascii="Times New Roman" w:hAnsi="Times New Roman" w:eastAsia="宋体" w:cs="Times New Roman"/>
                      <w:color w:val="auto"/>
                      <w:w w:val="90"/>
                      <w:sz w:val="21"/>
                      <w:szCs w:val="21"/>
                      <w:highlight w:val="none"/>
                      <w:lang w:eastAsia="zh-CN"/>
                    </w:rPr>
                    <w:t>施工结束后，采用撒播草籽的方式进行迹地恢复</w:t>
                  </w:r>
                  <w:r>
                    <w:rPr>
                      <w:rFonts w:hint="eastAsia" w:ascii="Times New Roman" w:hAnsi="Times New Roman" w:cs="Times New Roman"/>
                      <w:color w:val="auto"/>
                      <w:w w:val="90"/>
                      <w:sz w:val="21"/>
                      <w:szCs w:val="21"/>
                      <w:highlight w:val="none"/>
                      <w:lang w:eastAsia="zh-CN"/>
                    </w:rPr>
                    <w:t>，</w:t>
                  </w:r>
                  <w:r>
                    <w:rPr>
                      <w:rFonts w:hint="default" w:ascii="Times New Roman" w:hAnsi="Times New Roman" w:eastAsia="宋体" w:cs="Times New Roman"/>
                      <w:color w:val="auto"/>
                      <w:w w:val="90"/>
                      <w:sz w:val="21"/>
                      <w:szCs w:val="21"/>
                      <w:highlight w:val="none"/>
                      <w:lang w:eastAsia="zh-CN"/>
                    </w:rPr>
                    <w:t>植物措施后需实施抚育管理。</w:t>
                  </w:r>
                </w:p>
              </w:tc>
              <w:tc>
                <w:tcPr>
                  <w:tcW w:w="422" w:type="pct"/>
                  <w:vAlign w:val="center"/>
                </w:tcPr>
                <w:p w14:paraId="30969804">
                  <w:pPr>
                    <w:pStyle w:val="28"/>
                    <w:bidi w:val="0"/>
                    <w:jc w:val="center"/>
                    <w:rPr>
                      <w:rFonts w:hint="default" w:ascii="Times New Roman" w:hAnsi="Times New Roman" w:eastAsia="宋体" w:cs="Times New Roman"/>
                      <w:color w:val="auto"/>
                      <w:w w:val="90"/>
                      <w:sz w:val="21"/>
                      <w:szCs w:val="21"/>
                      <w:highlight w:val="none"/>
                      <w:lang w:val="en-US" w:eastAsia="zh-CN"/>
                    </w:rPr>
                  </w:pPr>
                  <w:r>
                    <w:rPr>
                      <w:rFonts w:hint="eastAsia" w:ascii="Times New Roman" w:hAnsi="Times New Roman" w:cs="Times New Roman"/>
                      <w:color w:val="auto"/>
                      <w:w w:val="90"/>
                      <w:sz w:val="21"/>
                      <w:szCs w:val="21"/>
                      <w:highlight w:val="none"/>
                      <w:lang w:val="en-US" w:eastAsia="zh-CN"/>
                    </w:rPr>
                    <w:t>/</w:t>
                  </w:r>
                </w:p>
              </w:tc>
            </w:tr>
            <w:tr w14:paraId="7BBF0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268" w:hRule="atLeast"/>
              </w:trPr>
              <w:tc>
                <w:tcPr>
                  <w:tcW w:w="325" w:type="pct"/>
                  <w:vMerge w:val="restart"/>
                  <w:tcBorders>
                    <w:top w:val="single" w:color="auto" w:sz="4" w:space="0"/>
                  </w:tcBorders>
                  <w:textDirection w:val="tbRlV"/>
                  <w:vAlign w:val="center"/>
                </w:tcPr>
                <w:p w14:paraId="41533443">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公用工程</w:t>
                  </w:r>
                </w:p>
              </w:tc>
              <w:tc>
                <w:tcPr>
                  <w:tcW w:w="1048" w:type="pct"/>
                  <w:gridSpan w:val="2"/>
                  <w:vAlign w:val="center"/>
                </w:tcPr>
                <w:p w14:paraId="21A25F04">
                  <w:pPr>
                    <w:pStyle w:val="28"/>
                    <w:bidi w:val="0"/>
                    <w:jc w:val="center"/>
                    <w:rPr>
                      <w:rFonts w:hint="default" w:ascii="Times New Roman" w:hAnsi="Times New Roman" w:eastAsia="宋体" w:cs="Times New Roman"/>
                      <w:color w:val="auto"/>
                      <w:w w:val="90"/>
                      <w:kern w:val="0"/>
                      <w:sz w:val="21"/>
                      <w:szCs w:val="21"/>
                      <w:highlight w:val="none"/>
                      <w:lang w:val="en-US" w:eastAsia="zh-CN" w:bidi="ar-SA"/>
                    </w:rPr>
                  </w:pPr>
                  <w:r>
                    <w:rPr>
                      <w:rFonts w:hint="default" w:ascii="Times New Roman" w:hAnsi="Times New Roman" w:eastAsia="宋体" w:cs="Times New Roman"/>
                      <w:color w:val="auto"/>
                      <w:w w:val="90"/>
                      <w:kern w:val="0"/>
                      <w:sz w:val="21"/>
                      <w:szCs w:val="21"/>
                      <w:highlight w:val="none"/>
                      <w:lang w:val="en-US" w:eastAsia="zh-CN" w:bidi="ar-SA"/>
                    </w:rPr>
                    <w:t>供水</w:t>
                  </w:r>
                </w:p>
              </w:tc>
              <w:tc>
                <w:tcPr>
                  <w:tcW w:w="3188" w:type="pct"/>
                  <w:gridSpan w:val="2"/>
                  <w:vAlign w:val="top"/>
                </w:tcPr>
                <w:p w14:paraId="0109C7FA">
                  <w:pPr>
                    <w:pStyle w:val="28"/>
                    <w:bidi w:val="0"/>
                    <w:jc w:val="both"/>
                    <w:rPr>
                      <w:rFonts w:hint="eastAsia" w:ascii="Times New Roman" w:hAnsi="Times New Roman" w:eastAsia="宋体" w:cs="Times New Roman"/>
                      <w:color w:val="auto"/>
                      <w:w w:val="90"/>
                      <w:kern w:val="0"/>
                      <w:sz w:val="21"/>
                      <w:szCs w:val="21"/>
                      <w:highlight w:val="none"/>
                      <w:lang w:val="en-US" w:eastAsia="zh-CN" w:bidi="ar-SA"/>
                    </w:rPr>
                  </w:pPr>
                  <w:r>
                    <w:rPr>
                      <w:rFonts w:hint="eastAsia" w:ascii="Times New Roman" w:hAnsi="Times New Roman" w:eastAsia="宋体" w:cs="Times New Roman"/>
                      <w:color w:val="auto"/>
                      <w:w w:val="90"/>
                      <w:kern w:val="0"/>
                      <w:sz w:val="21"/>
                      <w:szCs w:val="21"/>
                      <w:highlight w:val="none"/>
                      <w:lang w:val="en-US" w:eastAsia="zh-CN" w:bidi="ar-SA"/>
                    </w:rPr>
                    <w:t>施工期用水从附近村庄引接市政管网，引接距离约1km。风电场运行期为“无人值班、无人值守”模式，运营期依托热水光伏电站管理人员。</w:t>
                  </w:r>
                </w:p>
              </w:tc>
              <w:tc>
                <w:tcPr>
                  <w:tcW w:w="422" w:type="pct"/>
                  <w:vAlign w:val="center"/>
                </w:tcPr>
                <w:p w14:paraId="58DBDA2C">
                  <w:pPr>
                    <w:pStyle w:val="28"/>
                    <w:bidi w:val="0"/>
                    <w:jc w:val="center"/>
                    <w:rPr>
                      <w:rFonts w:hint="eastAsia" w:ascii="Times New Roman" w:hAnsi="Times New Roman" w:eastAsia="宋体" w:cs="Times New Roman"/>
                      <w:color w:val="auto"/>
                      <w:w w:val="90"/>
                      <w:kern w:val="0"/>
                      <w:sz w:val="21"/>
                      <w:szCs w:val="21"/>
                      <w:highlight w:val="none"/>
                      <w:lang w:val="en-US" w:eastAsia="zh-CN" w:bidi="ar-SA"/>
                    </w:rPr>
                  </w:pPr>
                  <w:r>
                    <w:rPr>
                      <w:rFonts w:hint="eastAsia" w:ascii="Times New Roman" w:hAnsi="Times New Roman" w:eastAsia="宋体" w:cs="Times New Roman"/>
                      <w:color w:val="auto"/>
                      <w:w w:val="90"/>
                      <w:kern w:val="0"/>
                      <w:sz w:val="21"/>
                      <w:szCs w:val="21"/>
                      <w:highlight w:val="none"/>
                      <w:lang w:val="en-US" w:eastAsia="zh-CN" w:bidi="ar-SA"/>
                    </w:rPr>
                    <w:t>依托</w:t>
                  </w:r>
                </w:p>
              </w:tc>
            </w:tr>
            <w:tr w14:paraId="270B8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514" w:hRule="atLeast"/>
              </w:trPr>
              <w:tc>
                <w:tcPr>
                  <w:tcW w:w="325" w:type="pct"/>
                  <w:vMerge w:val="continue"/>
                  <w:textDirection w:val="tbRlV"/>
                  <w:vAlign w:val="center"/>
                </w:tcPr>
                <w:p w14:paraId="33D10B18">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vAlign w:val="center"/>
                </w:tcPr>
                <w:p w14:paraId="45A4C2E0">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排水</w:t>
                  </w:r>
                </w:p>
              </w:tc>
              <w:tc>
                <w:tcPr>
                  <w:tcW w:w="3188" w:type="pct"/>
                  <w:gridSpan w:val="2"/>
                  <w:vAlign w:val="top"/>
                </w:tcPr>
                <w:p w14:paraId="5FE525CA">
                  <w:pPr>
                    <w:pStyle w:val="7"/>
                    <w:spacing w:line="240" w:lineRule="auto"/>
                    <w:ind w:firstLine="0" w:firstLineChars="0"/>
                    <w:rPr>
                      <w:rFonts w:hint="default" w:ascii="Times New Roman" w:hAnsi="Times New Roman" w:eastAsia="宋体" w:cs="Times New Roman"/>
                      <w:color w:val="auto"/>
                      <w:w w:val="90"/>
                      <w:sz w:val="21"/>
                      <w:szCs w:val="21"/>
                      <w:highlight w:val="none"/>
                    </w:rPr>
                  </w:pPr>
                  <w:r>
                    <w:rPr>
                      <w:rFonts w:hint="default"/>
                      <w:color w:val="auto"/>
                      <w:w w:val="90"/>
                      <w:sz w:val="21"/>
                      <w:szCs w:val="21"/>
                      <w:highlight w:val="none"/>
                    </w:rPr>
                    <w:t>开关站按“无人值班</w:t>
                  </w:r>
                  <w:r>
                    <w:rPr>
                      <w:color w:val="auto"/>
                      <w:w w:val="90"/>
                      <w:sz w:val="21"/>
                      <w:szCs w:val="21"/>
                      <w:highlight w:val="none"/>
                    </w:rPr>
                    <w:t>，</w:t>
                  </w:r>
                  <w:r>
                    <w:rPr>
                      <w:rFonts w:hint="default"/>
                      <w:color w:val="auto"/>
                      <w:w w:val="90"/>
                      <w:sz w:val="21"/>
                      <w:szCs w:val="21"/>
                      <w:highlight w:val="none"/>
                    </w:rPr>
                    <w:t>无人</w:t>
                  </w:r>
                  <w:r>
                    <w:rPr>
                      <w:color w:val="auto"/>
                      <w:w w:val="90"/>
                      <w:sz w:val="21"/>
                      <w:szCs w:val="21"/>
                      <w:highlight w:val="none"/>
                    </w:rPr>
                    <w:t>值守</w:t>
                  </w:r>
                  <w:r>
                    <w:rPr>
                      <w:rFonts w:hint="default"/>
                      <w:color w:val="auto"/>
                      <w:w w:val="90"/>
                      <w:sz w:val="21"/>
                      <w:szCs w:val="21"/>
                      <w:highlight w:val="none"/>
                    </w:rPr>
                    <w:t>”原则</w:t>
                  </w:r>
                  <w:r>
                    <w:rPr>
                      <w:color w:val="auto"/>
                      <w:w w:val="90"/>
                      <w:sz w:val="21"/>
                      <w:szCs w:val="21"/>
                      <w:highlight w:val="none"/>
                    </w:rPr>
                    <w:t>方式</w:t>
                  </w:r>
                  <w:r>
                    <w:rPr>
                      <w:rFonts w:hint="eastAsia"/>
                      <w:color w:val="auto"/>
                      <w:w w:val="90"/>
                      <w:sz w:val="21"/>
                      <w:szCs w:val="21"/>
                      <w:highlight w:val="none"/>
                      <w:lang w:eastAsia="zh-CN"/>
                    </w:rPr>
                    <w:t>，开关站四周设置雨水排放沟，</w:t>
                  </w:r>
                  <w:r>
                    <w:rPr>
                      <w:rFonts w:hint="default"/>
                      <w:color w:val="auto"/>
                      <w:w w:val="90"/>
                      <w:sz w:val="21"/>
                      <w:szCs w:val="21"/>
                      <w:highlight w:val="none"/>
                      <w:lang w:val="en-US" w:eastAsia="zh-CN"/>
                    </w:rPr>
                    <w:t>道路排水</w:t>
                  </w:r>
                  <w:r>
                    <w:rPr>
                      <w:rFonts w:hint="default" w:ascii="Times New Roman" w:hAnsi="Times New Roman" w:eastAsia="宋体" w:cs="Times New Roman"/>
                      <w:color w:val="auto"/>
                      <w:w w:val="90"/>
                      <w:sz w:val="21"/>
                      <w:szCs w:val="21"/>
                      <w:highlight w:val="none"/>
                    </w:rPr>
                    <w:t>在路基两侧设置了边沟、排水沟等排水设施，并与涵洞和现有排水沟渠形成完整的排水体系。路面排水采用分散排水方式。</w:t>
                  </w:r>
                </w:p>
              </w:tc>
              <w:tc>
                <w:tcPr>
                  <w:tcW w:w="422" w:type="pct"/>
                  <w:vAlign w:val="center"/>
                </w:tcPr>
                <w:p w14:paraId="60DD7A30">
                  <w:pPr>
                    <w:pStyle w:val="7"/>
                    <w:spacing w:line="240" w:lineRule="auto"/>
                    <w:ind w:firstLine="0" w:firstLineChars="0"/>
                    <w:jc w:val="center"/>
                    <w:rPr>
                      <w:rFonts w:hint="default"/>
                      <w:color w:val="auto"/>
                      <w:w w:val="90"/>
                      <w:sz w:val="21"/>
                      <w:szCs w:val="21"/>
                      <w:highlight w:val="none"/>
                    </w:rPr>
                  </w:pPr>
                  <w:r>
                    <w:rPr>
                      <w:rFonts w:hint="eastAsia" w:ascii="Times New Roman" w:hAnsi="Times New Roman" w:cs="Times New Roman"/>
                      <w:color w:val="auto"/>
                      <w:w w:val="90"/>
                      <w:sz w:val="21"/>
                      <w:szCs w:val="21"/>
                      <w:highlight w:val="none"/>
                      <w:lang w:eastAsia="zh-CN"/>
                    </w:rPr>
                    <w:t>新建</w:t>
                  </w:r>
                </w:p>
              </w:tc>
            </w:tr>
            <w:tr w14:paraId="2DD59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318" w:hRule="atLeast"/>
              </w:trPr>
              <w:tc>
                <w:tcPr>
                  <w:tcW w:w="325" w:type="pct"/>
                  <w:vMerge w:val="continue"/>
                  <w:textDirection w:val="tbRlV"/>
                  <w:vAlign w:val="center"/>
                </w:tcPr>
                <w:p w14:paraId="61881F4B">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tcBorders>
                    <w:bottom w:val="single" w:color="000000" w:sz="6" w:space="0"/>
                  </w:tcBorders>
                  <w:vAlign w:val="center"/>
                </w:tcPr>
                <w:p w14:paraId="7BAACE34">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供电</w:t>
                  </w:r>
                </w:p>
              </w:tc>
              <w:tc>
                <w:tcPr>
                  <w:tcW w:w="3188" w:type="pct"/>
                  <w:gridSpan w:val="2"/>
                  <w:tcBorders>
                    <w:bottom w:val="single" w:color="000000" w:sz="6" w:space="0"/>
                  </w:tcBorders>
                  <w:vAlign w:val="top"/>
                </w:tcPr>
                <w:p w14:paraId="776208C9">
                  <w:pPr>
                    <w:pStyle w:val="28"/>
                    <w:bidi w:val="0"/>
                    <w:jc w:val="both"/>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施工点较为分散，设置四台移动式柴油发电机作为风电机组施工电源</w:t>
                  </w:r>
                </w:p>
              </w:tc>
              <w:tc>
                <w:tcPr>
                  <w:tcW w:w="422" w:type="pct"/>
                  <w:tcBorders>
                    <w:bottom w:val="single" w:color="000000" w:sz="6" w:space="0"/>
                  </w:tcBorders>
                  <w:vAlign w:val="center"/>
                </w:tcPr>
                <w:p w14:paraId="11CB99C0">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eastAsia="zh-CN"/>
                    </w:rPr>
                    <w:t>新建</w:t>
                  </w:r>
                </w:p>
              </w:tc>
            </w:tr>
            <w:tr w14:paraId="5FE07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196" w:hRule="atLeast"/>
              </w:trPr>
              <w:tc>
                <w:tcPr>
                  <w:tcW w:w="325" w:type="pct"/>
                  <w:vMerge w:val="continue"/>
                  <w:vAlign w:val="center"/>
                </w:tcPr>
                <w:p w14:paraId="3FF1EB5A">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tcBorders>
                    <w:top w:val="single" w:color="000000" w:sz="6" w:space="0"/>
                  </w:tcBorders>
                  <w:vAlign w:val="center"/>
                </w:tcPr>
                <w:p w14:paraId="1814AD7E">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消防</w:t>
                  </w:r>
                </w:p>
              </w:tc>
              <w:tc>
                <w:tcPr>
                  <w:tcW w:w="3188" w:type="pct"/>
                  <w:gridSpan w:val="2"/>
                  <w:tcBorders>
                    <w:top w:val="single" w:color="000000" w:sz="6" w:space="0"/>
                  </w:tcBorders>
                  <w:vAlign w:val="top"/>
                </w:tcPr>
                <w:p w14:paraId="3BDB556D">
                  <w:pPr>
                    <w:pStyle w:val="28"/>
                    <w:bidi w:val="0"/>
                    <w:jc w:val="both"/>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val="en-GB" w:eastAsia="zh-CN"/>
                    </w:rPr>
                    <w:t>每个风</w:t>
                  </w:r>
                  <w:r>
                    <w:rPr>
                      <w:rFonts w:hint="eastAsia" w:ascii="Times New Roman" w:hAnsi="Times New Roman" w:eastAsia="宋体" w:cs="Times New Roman"/>
                      <w:color w:val="auto"/>
                      <w:w w:val="90"/>
                      <w:sz w:val="21"/>
                      <w:szCs w:val="21"/>
                      <w:highlight w:val="none"/>
                      <w:lang w:val="en-GB"/>
                    </w:rPr>
                    <w:t>电机组第一节塔筒内</w:t>
                  </w:r>
                  <w:r>
                    <w:rPr>
                      <w:rFonts w:hint="eastAsia" w:ascii="Times New Roman" w:hAnsi="Times New Roman" w:cs="Times New Roman"/>
                      <w:color w:val="auto"/>
                      <w:w w:val="90"/>
                      <w:sz w:val="21"/>
                      <w:szCs w:val="21"/>
                      <w:highlight w:val="none"/>
                      <w:lang w:val="en-GB" w:eastAsia="zh-CN"/>
                    </w:rPr>
                    <w:t>暂存</w:t>
                  </w:r>
                  <w:r>
                    <w:rPr>
                      <w:rFonts w:hint="eastAsia" w:ascii="Times New Roman" w:hAnsi="Times New Roman" w:eastAsia="宋体" w:cs="Times New Roman"/>
                      <w:color w:val="auto"/>
                      <w:w w:val="90"/>
                      <w:sz w:val="21"/>
                      <w:szCs w:val="21"/>
                      <w:highlight w:val="none"/>
                      <w:lang w:val="en-GB"/>
                    </w:rPr>
                    <w:t>2只</w:t>
                  </w:r>
                  <w:r>
                    <w:rPr>
                      <w:rFonts w:hint="default" w:ascii="Times New Roman" w:hAnsi="Times New Roman" w:eastAsia="宋体" w:cs="Times New Roman"/>
                      <w:color w:val="auto"/>
                      <w:w w:val="90"/>
                      <w:sz w:val="21"/>
                      <w:szCs w:val="21"/>
                      <w:highlight w:val="none"/>
                      <w:lang w:val="en-GB"/>
                    </w:rPr>
                    <w:t>MFA4手提式磷酸胺盐干粉灭火器</w:t>
                  </w:r>
                  <w:r>
                    <w:rPr>
                      <w:rFonts w:hint="eastAsia" w:ascii="Times New Roman" w:hAnsi="Times New Roman" w:cs="Times New Roman"/>
                      <w:color w:val="auto"/>
                      <w:w w:val="90"/>
                      <w:sz w:val="21"/>
                      <w:szCs w:val="21"/>
                      <w:highlight w:val="none"/>
                      <w:lang w:val="en-GB" w:eastAsia="zh-CN"/>
                    </w:rPr>
                    <w:t>，</w:t>
                  </w:r>
                  <w:r>
                    <w:rPr>
                      <w:rFonts w:hint="eastAsia" w:ascii="Times New Roman" w:hAnsi="Times New Roman" w:eastAsia="宋体" w:cs="Times New Roman"/>
                      <w:color w:val="auto"/>
                      <w:w w:val="90"/>
                      <w:sz w:val="21"/>
                      <w:szCs w:val="21"/>
                      <w:highlight w:val="none"/>
                      <w:lang w:val="en-GB"/>
                    </w:rPr>
                    <w:t>同时用于箱式变压器消防</w:t>
                  </w:r>
                  <w:r>
                    <w:rPr>
                      <w:rFonts w:hint="default" w:ascii="Times New Roman" w:hAnsi="Times New Roman" w:eastAsia="宋体" w:cs="Times New Roman"/>
                      <w:color w:val="auto"/>
                      <w:w w:val="90"/>
                      <w:sz w:val="21"/>
                      <w:szCs w:val="21"/>
                      <w:highlight w:val="none"/>
                      <w:lang w:val="en-GB"/>
                    </w:rPr>
                    <w:t>。</w:t>
                  </w:r>
                </w:p>
              </w:tc>
              <w:tc>
                <w:tcPr>
                  <w:tcW w:w="422" w:type="pct"/>
                  <w:tcBorders>
                    <w:top w:val="single" w:color="000000" w:sz="6" w:space="0"/>
                  </w:tcBorders>
                  <w:vAlign w:val="center"/>
                </w:tcPr>
                <w:p w14:paraId="1B8CF877">
                  <w:pPr>
                    <w:pStyle w:val="28"/>
                    <w:bidi w:val="0"/>
                    <w:jc w:val="center"/>
                    <w:rPr>
                      <w:rFonts w:hint="eastAsia" w:ascii="Times New Roman" w:hAnsi="Times New Roman" w:cs="Times New Roman"/>
                      <w:color w:val="auto"/>
                      <w:w w:val="90"/>
                      <w:sz w:val="21"/>
                      <w:szCs w:val="21"/>
                      <w:highlight w:val="none"/>
                      <w:lang w:val="en-GB" w:eastAsia="zh-CN"/>
                    </w:rPr>
                  </w:pPr>
                  <w:r>
                    <w:rPr>
                      <w:rFonts w:hint="eastAsia" w:ascii="Times New Roman" w:hAnsi="Times New Roman" w:cs="Times New Roman"/>
                      <w:color w:val="auto"/>
                      <w:w w:val="90"/>
                      <w:sz w:val="21"/>
                      <w:szCs w:val="21"/>
                      <w:highlight w:val="none"/>
                      <w:lang w:eastAsia="zh-CN"/>
                    </w:rPr>
                    <w:t>新建</w:t>
                  </w:r>
                </w:p>
              </w:tc>
            </w:tr>
            <w:tr w14:paraId="4EA12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228" w:hRule="atLeast"/>
              </w:trPr>
              <w:tc>
                <w:tcPr>
                  <w:tcW w:w="325" w:type="pct"/>
                  <w:vMerge w:val="restart"/>
                  <w:tcBorders>
                    <w:bottom w:val="nil"/>
                  </w:tcBorders>
                  <w:textDirection w:val="tbRlV"/>
                  <w:vAlign w:val="center"/>
                </w:tcPr>
                <w:p w14:paraId="1E1B133C">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环保工程</w:t>
                  </w:r>
                </w:p>
              </w:tc>
              <w:tc>
                <w:tcPr>
                  <w:tcW w:w="1048" w:type="pct"/>
                  <w:gridSpan w:val="2"/>
                  <w:vAlign w:val="center"/>
                </w:tcPr>
                <w:p w14:paraId="77EF56F5">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废气</w:t>
                  </w:r>
                </w:p>
              </w:tc>
              <w:tc>
                <w:tcPr>
                  <w:tcW w:w="3188" w:type="pct"/>
                  <w:gridSpan w:val="2"/>
                  <w:vAlign w:val="top"/>
                </w:tcPr>
                <w:p w14:paraId="13BCD8A8">
                  <w:pPr>
                    <w:pStyle w:val="28"/>
                    <w:bidi w:val="0"/>
                    <w:jc w:val="both"/>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工程营运期不产生空气污染物，对环境空气无影响。</w:t>
                  </w:r>
                </w:p>
              </w:tc>
              <w:tc>
                <w:tcPr>
                  <w:tcW w:w="422" w:type="pct"/>
                  <w:vAlign w:val="center"/>
                </w:tcPr>
                <w:p w14:paraId="7AFE253C">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eastAsia="zh-CN"/>
                    </w:rPr>
                    <w:t>新建</w:t>
                  </w:r>
                </w:p>
              </w:tc>
            </w:tr>
            <w:tr w14:paraId="641E1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325" w:type="pct"/>
                  <w:vMerge w:val="continue"/>
                  <w:tcBorders>
                    <w:top w:val="nil"/>
                    <w:bottom w:val="nil"/>
                  </w:tcBorders>
                  <w:textDirection w:val="tbRlV"/>
                  <w:vAlign w:val="center"/>
                </w:tcPr>
                <w:p w14:paraId="6A48C58E">
                  <w:pPr>
                    <w:pStyle w:val="28"/>
                    <w:bidi w:val="0"/>
                    <w:jc w:val="center"/>
                    <w:rPr>
                      <w:rFonts w:hint="default" w:ascii="Times New Roman" w:hAnsi="Times New Roman" w:eastAsia="宋体" w:cs="Times New Roman"/>
                      <w:color w:val="auto"/>
                      <w:w w:val="90"/>
                      <w:sz w:val="21"/>
                      <w:szCs w:val="21"/>
                      <w:highlight w:val="none"/>
                      <w:lang w:eastAsia="zh-CN"/>
                    </w:rPr>
                  </w:pPr>
                </w:p>
              </w:tc>
              <w:tc>
                <w:tcPr>
                  <w:tcW w:w="277" w:type="pct"/>
                  <w:vMerge w:val="restart"/>
                  <w:textDirection w:val="tbRlV"/>
                  <w:vAlign w:val="center"/>
                </w:tcPr>
                <w:p w14:paraId="340427F3">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固废</w:t>
                  </w:r>
                </w:p>
              </w:tc>
              <w:tc>
                <w:tcPr>
                  <w:tcW w:w="783" w:type="pct"/>
                  <w:gridSpan w:val="2"/>
                  <w:vAlign w:val="center"/>
                </w:tcPr>
                <w:p w14:paraId="501829E1">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生活垃圾桶</w:t>
                  </w:r>
                </w:p>
              </w:tc>
              <w:tc>
                <w:tcPr>
                  <w:tcW w:w="3175" w:type="pct"/>
                  <w:vAlign w:val="center"/>
                </w:tcPr>
                <w:p w14:paraId="200DA499">
                  <w:pPr>
                    <w:pStyle w:val="28"/>
                    <w:bidi w:val="0"/>
                    <w:jc w:val="both"/>
                    <w:rPr>
                      <w:rFonts w:hint="default" w:ascii="Times New Roman" w:hAnsi="Times New Roman" w:eastAsia="宋体" w:cs="Times New Roman"/>
                      <w:color w:val="auto"/>
                      <w:w w:val="90"/>
                      <w:sz w:val="21"/>
                      <w:szCs w:val="21"/>
                      <w:highlight w:val="none"/>
                    </w:rPr>
                  </w:pPr>
                  <w:r>
                    <w:rPr>
                      <w:rFonts w:hint="eastAsia"/>
                      <w:color w:val="auto"/>
                      <w:w w:val="90"/>
                      <w:sz w:val="21"/>
                      <w:szCs w:val="21"/>
                      <w:highlight w:val="none"/>
                      <w:lang w:eastAsia="zh-CN"/>
                    </w:rPr>
                    <w:t>项目建成后</w:t>
                  </w:r>
                  <w:r>
                    <w:rPr>
                      <w:rFonts w:hint="default"/>
                      <w:color w:val="auto"/>
                      <w:w w:val="90"/>
                      <w:sz w:val="21"/>
                      <w:szCs w:val="21"/>
                      <w:highlight w:val="none"/>
                    </w:rPr>
                    <w:t>按“无人值班</w:t>
                  </w:r>
                  <w:r>
                    <w:rPr>
                      <w:color w:val="auto"/>
                      <w:w w:val="90"/>
                      <w:sz w:val="21"/>
                      <w:szCs w:val="21"/>
                      <w:highlight w:val="none"/>
                    </w:rPr>
                    <w:t>，</w:t>
                  </w:r>
                  <w:r>
                    <w:rPr>
                      <w:rFonts w:hint="default"/>
                      <w:color w:val="auto"/>
                      <w:w w:val="90"/>
                      <w:sz w:val="21"/>
                      <w:szCs w:val="21"/>
                      <w:highlight w:val="none"/>
                    </w:rPr>
                    <w:t>无人</w:t>
                  </w:r>
                  <w:r>
                    <w:rPr>
                      <w:color w:val="auto"/>
                      <w:w w:val="90"/>
                      <w:sz w:val="21"/>
                      <w:szCs w:val="21"/>
                      <w:highlight w:val="none"/>
                    </w:rPr>
                    <w:t>值守</w:t>
                  </w:r>
                  <w:r>
                    <w:rPr>
                      <w:rFonts w:hint="default"/>
                      <w:color w:val="auto"/>
                      <w:w w:val="90"/>
                      <w:sz w:val="21"/>
                      <w:szCs w:val="21"/>
                      <w:highlight w:val="none"/>
                    </w:rPr>
                    <w:t>”原则</w:t>
                  </w:r>
                  <w:r>
                    <w:rPr>
                      <w:color w:val="auto"/>
                      <w:w w:val="90"/>
                      <w:sz w:val="21"/>
                      <w:szCs w:val="21"/>
                      <w:highlight w:val="none"/>
                    </w:rPr>
                    <w:t>方式</w:t>
                  </w:r>
                  <w:r>
                    <w:rPr>
                      <w:rFonts w:hint="eastAsia"/>
                      <w:color w:val="auto"/>
                      <w:w w:val="90"/>
                      <w:sz w:val="21"/>
                      <w:szCs w:val="21"/>
                      <w:highlight w:val="none"/>
                      <w:lang w:eastAsia="zh-CN"/>
                    </w:rPr>
                    <w:t>，运营期依托热水光伏电站管理人员，不在厂内设置垃圾桶。</w:t>
                  </w:r>
                </w:p>
              </w:tc>
              <w:tc>
                <w:tcPr>
                  <w:tcW w:w="437" w:type="pct"/>
                  <w:gridSpan w:val="2"/>
                  <w:vAlign w:val="center"/>
                </w:tcPr>
                <w:p w14:paraId="515E4B09">
                  <w:pPr>
                    <w:pStyle w:val="28"/>
                    <w:bidi w:val="0"/>
                    <w:jc w:val="center"/>
                    <w:rPr>
                      <w:rFonts w:hint="eastAsia"/>
                      <w:color w:val="auto"/>
                      <w:w w:val="90"/>
                      <w:sz w:val="21"/>
                      <w:szCs w:val="21"/>
                      <w:highlight w:val="none"/>
                      <w:lang w:eastAsia="zh-CN"/>
                    </w:rPr>
                  </w:pPr>
                  <w:r>
                    <w:rPr>
                      <w:rFonts w:hint="eastAsia" w:ascii="Times New Roman" w:hAnsi="Times New Roman" w:cs="Times New Roman"/>
                      <w:color w:val="auto"/>
                      <w:w w:val="90"/>
                      <w:sz w:val="21"/>
                      <w:szCs w:val="21"/>
                      <w:highlight w:val="none"/>
                      <w:lang w:val="en-US" w:eastAsia="zh-CN"/>
                    </w:rPr>
                    <w:t>依托</w:t>
                  </w:r>
                </w:p>
              </w:tc>
            </w:tr>
            <w:tr w14:paraId="396C33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 w:hRule="atLeast"/>
              </w:trPr>
              <w:tc>
                <w:tcPr>
                  <w:tcW w:w="325" w:type="pct"/>
                  <w:vMerge w:val="continue"/>
                  <w:tcBorders>
                    <w:top w:val="nil"/>
                    <w:bottom w:val="nil"/>
                  </w:tcBorders>
                  <w:textDirection w:val="tbRlV"/>
                  <w:vAlign w:val="center"/>
                </w:tcPr>
                <w:p w14:paraId="1AF846C6">
                  <w:pPr>
                    <w:pStyle w:val="28"/>
                    <w:bidi w:val="0"/>
                    <w:jc w:val="center"/>
                    <w:rPr>
                      <w:rFonts w:hint="default" w:ascii="Times New Roman" w:hAnsi="Times New Roman" w:eastAsia="宋体" w:cs="Times New Roman"/>
                      <w:color w:val="auto"/>
                      <w:w w:val="90"/>
                      <w:sz w:val="21"/>
                      <w:szCs w:val="21"/>
                      <w:highlight w:val="none"/>
                      <w:lang w:eastAsia="zh-CN"/>
                    </w:rPr>
                  </w:pPr>
                </w:p>
              </w:tc>
              <w:tc>
                <w:tcPr>
                  <w:tcW w:w="277" w:type="pct"/>
                  <w:vMerge w:val="continue"/>
                  <w:textDirection w:val="tbRlV"/>
                  <w:vAlign w:val="center"/>
                </w:tcPr>
                <w:p w14:paraId="00E97E49">
                  <w:pPr>
                    <w:pStyle w:val="28"/>
                    <w:bidi w:val="0"/>
                    <w:jc w:val="center"/>
                    <w:rPr>
                      <w:rFonts w:hint="default" w:ascii="Times New Roman" w:hAnsi="Times New Roman" w:eastAsia="宋体" w:cs="Times New Roman"/>
                      <w:color w:val="auto"/>
                      <w:w w:val="90"/>
                      <w:sz w:val="21"/>
                      <w:szCs w:val="21"/>
                      <w:highlight w:val="none"/>
                      <w:lang w:eastAsia="zh-CN"/>
                    </w:rPr>
                  </w:pPr>
                </w:p>
              </w:tc>
              <w:tc>
                <w:tcPr>
                  <w:tcW w:w="783" w:type="pct"/>
                  <w:gridSpan w:val="2"/>
                  <w:vAlign w:val="center"/>
                </w:tcPr>
                <w:p w14:paraId="068C978D">
                  <w:pPr>
                    <w:pStyle w:val="28"/>
                    <w:bidi w:val="0"/>
                    <w:jc w:val="center"/>
                    <w:rPr>
                      <w:rFonts w:hint="eastAsia" w:ascii="Times New Roman" w:hAnsi="Times New Roman" w:eastAsia="宋体" w:cs="Times New Roman"/>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固废舱</w:t>
                  </w:r>
                </w:p>
              </w:tc>
              <w:tc>
                <w:tcPr>
                  <w:tcW w:w="3175" w:type="pct"/>
                  <w:vAlign w:val="center"/>
                </w:tcPr>
                <w:p w14:paraId="0FD9CD21">
                  <w:pPr>
                    <w:pStyle w:val="28"/>
                    <w:bidi w:val="0"/>
                    <w:jc w:val="both"/>
                    <w:rPr>
                      <w:rFonts w:hint="eastAsia"/>
                      <w:color w:val="auto"/>
                      <w:w w:val="90"/>
                      <w:sz w:val="21"/>
                      <w:szCs w:val="21"/>
                      <w:highlight w:val="none"/>
                      <w:lang w:eastAsia="zh-CN"/>
                    </w:rPr>
                  </w:pPr>
                  <w:r>
                    <w:rPr>
                      <w:rFonts w:hint="eastAsia"/>
                      <w:color w:val="auto"/>
                      <w:w w:val="90"/>
                      <w:sz w:val="21"/>
                      <w:szCs w:val="21"/>
                      <w:highlight w:val="none"/>
                      <w:lang w:eastAsia="zh-CN"/>
                    </w:rPr>
                    <w:t>开关站内设置</w:t>
                  </w:r>
                  <w:r>
                    <w:rPr>
                      <w:rFonts w:hint="eastAsia"/>
                      <w:color w:val="auto"/>
                      <w:w w:val="90"/>
                      <w:sz w:val="21"/>
                      <w:szCs w:val="21"/>
                      <w:highlight w:val="none"/>
                      <w:lang w:val="en-US" w:eastAsia="zh-CN"/>
                    </w:rPr>
                    <w:t>1个固废间，占地面积6.25</w:t>
                  </w:r>
                  <w:r>
                    <w:rPr>
                      <w:rFonts w:hint="eastAsia" w:ascii="Times New Roman" w:hAnsi="Times New Roman" w:cs="Times New Roman"/>
                      <w:color w:val="auto"/>
                      <w:w w:val="90"/>
                      <w:sz w:val="21"/>
                      <w:szCs w:val="21"/>
                      <w:highlight w:val="none"/>
                      <w:lang w:val="en-US" w:eastAsia="zh-CN"/>
                    </w:rPr>
                    <w:t>㎡，</w:t>
                  </w:r>
                  <w:r>
                    <w:rPr>
                      <w:rFonts w:hint="eastAsia"/>
                      <w:color w:val="auto"/>
                      <w:w w:val="90"/>
                      <w:sz w:val="21"/>
                      <w:szCs w:val="21"/>
                      <w:highlight w:val="none"/>
                      <w:lang w:eastAsia="zh-CN"/>
                    </w:rPr>
                    <w:t>主要收集开关站内的一般固废，零部件等，收集后统一处置。</w:t>
                  </w:r>
                </w:p>
              </w:tc>
              <w:tc>
                <w:tcPr>
                  <w:tcW w:w="437" w:type="pct"/>
                  <w:gridSpan w:val="2"/>
                  <w:vAlign w:val="center"/>
                </w:tcPr>
                <w:p w14:paraId="679B494C">
                  <w:pPr>
                    <w:pStyle w:val="28"/>
                    <w:bidi w:val="0"/>
                    <w:jc w:val="center"/>
                    <w:rPr>
                      <w:rFonts w:hint="eastAsia"/>
                      <w:color w:val="auto"/>
                      <w:w w:val="90"/>
                      <w:sz w:val="21"/>
                      <w:szCs w:val="21"/>
                      <w:highlight w:val="none"/>
                      <w:lang w:eastAsia="zh-CN"/>
                    </w:rPr>
                  </w:pPr>
                  <w:r>
                    <w:rPr>
                      <w:rFonts w:hint="eastAsia" w:ascii="Times New Roman" w:hAnsi="Times New Roman" w:cs="Times New Roman"/>
                      <w:color w:val="auto"/>
                      <w:w w:val="90"/>
                      <w:sz w:val="21"/>
                      <w:szCs w:val="21"/>
                      <w:highlight w:val="none"/>
                      <w:lang w:eastAsia="zh-CN"/>
                    </w:rPr>
                    <w:t>新建</w:t>
                  </w:r>
                </w:p>
              </w:tc>
            </w:tr>
            <w:tr w14:paraId="2BB3D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546" w:hRule="atLeast"/>
              </w:trPr>
              <w:tc>
                <w:tcPr>
                  <w:tcW w:w="325" w:type="pct"/>
                  <w:vMerge w:val="continue"/>
                  <w:tcBorders>
                    <w:top w:val="nil"/>
                    <w:bottom w:val="nil"/>
                  </w:tcBorders>
                  <w:textDirection w:val="tbRlV"/>
                  <w:vAlign w:val="center"/>
                </w:tcPr>
                <w:p w14:paraId="14755A19">
                  <w:pPr>
                    <w:pStyle w:val="28"/>
                    <w:bidi w:val="0"/>
                    <w:jc w:val="center"/>
                    <w:rPr>
                      <w:rFonts w:hint="default" w:ascii="Times New Roman" w:hAnsi="Times New Roman" w:eastAsia="宋体" w:cs="Times New Roman"/>
                      <w:color w:val="auto"/>
                      <w:w w:val="90"/>
                      <w:sz w:val="21"/>
                      <w:szCs w:val="21"/>
                      <w:highlight w:val="none"/>
                      <w:lang w:eastAsia="zh-CN"/>
                    </w:rPr>
                  </w:pPr>
                </w:p>
              </w:tc>
              <w:tc>
                <w:tcPr>
                  <w:tcW w:w="277" w:type="pct"/>
                  <w:vMerge w:val="continue"/>
                  <w:textDirection w:val="tbRlV"/>
                  <w:vAlign w:val="center"/>
                </w:tcPr>
                <w:p w14:paraId="093FE01F">
                  <w:pPr>
                    <w:pStyle w:val="28"/>
                    <w:bidi w:val="0"/>
                    <w:jc w:val="center"/>
                    <w:rPr>
                      <w:rFonts w:hint="default" w:ascii="Times New Roman" w:hAnsi="Times New Roman" w:eastAsia="宋体" w:cs="Times New Roman"/>
                      <w:color w:val="auto"/>
                      <w:w w:val="90"/>
                      <w:sz w:val="21"/>
                      <w:szCs w:val="21"/>
                      <w:highlight w:val="none"/>
                      <w:lang w:eastAsia="zh-CN"/>
                    </w:rPr>
                  </w:pPr>
                </w:p>
              </w:tc>
              <w:tc>
                <w:tcPr>
                  <w:tcW w:w="770" w:type="pct"/>
                  <w:vAlign w:val="center"/>
                </w:tcPr>
                <w:p w14:paraId="784FBAFE">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lang w:eastAsia="zh-CN"/>
                    </w:rPr>
                    <w:t>危废</w:t>
                  </w:r>
                  <w:r>
                    <w:rPr>
                      <w:rFonts w:hint="eastAsia" w:ascii="Times New Roman" w:hAnsi="Times New Roman" w:cs="Times New Roman"/>
                      <w:color w:val="auto"/>
                      <w:w w:val="90"/>
                      <w:sz w:val="21"/>
                      <w:szCs w:val="21"/>
                      <w:highlight w:val="none"/>
                      <w:lang w:eastAsia="zh-CN"/>
                    </w:rPr>
                    <w:t>暂存点</w:t>
                  </w:r>
                </w:p>
              </w:tc>
              <w:tc>
                <w:tcPr>
                  <w:tcW w:w="3188" w:type="pct"/>
                  <w:gridSpan w:val="2"/>
                  <w:vAlign w:val="top"/>
                </w:tcPr>
                <w:p w14:paraId="54269DBD">
                  <w:pPr>
                    <w:pStyle w:val="28"/>
                    <w:bidi w:val="0"/>
                    <w:jc w:val="both"/>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eastAsia="zh-CN"/>
                    </w:rPr>
                    <w:t>开关站内共设置</w:t>
                  </w:r>
                  <w:r>
                    <w:rPr>
                      <w:rFonts w:hint="eastAsia" w:ascii="Times New Roman" w:hAnsi="Times New Roman" w:cs="Times New Roman"/>
                      <w:color w:val="auto"/>
                      <w:w w:val="90"/>
                      <w:sz w:val="21"/>
                      <w:szCs w:val="21"/>
                      <w:highlight w:val="none"/>
                      <w:lang w:val="en-US" w:eastAsia="zh-CN"/>
                    </w:rPr>
                    <w:t>1个</w:t>
                  </w:r>
                  <w:r>
                    <w:rPr>
                      <w:rFonts w:hint="eastAsia" w:ascii="Times New Roman" w:hAnsi="Times New Roman" w:cs="Times New Roman"/>
                      <w:color w:val="auto"/>
                      <w:w w:val="90"/>
                      <w:sz w:val="21"/>
                      <w:szCs w:val="21"/>
                      <w:highlight w:val="none"/>
                      <w:lang w:eastAsia="zh-CN"/>
                    </w:rPr>
                    <w:t>危废贮存间，占地面积</w:t>
                  </w:r>
                  <w:r>
                    <w:rPr>
                      <w:rFonts w:hint="eastAsia" w:ascii="Times New Roman" w:hAnsi="Times New Roman" w:cs="Times New Roman"/>
                      <w:color w:val="auto"/>
                      <w:w w:val="90"/>
                      <w:sz w:val="21"/>
                      <w:szCs w:val="21"/>
                      <w:highlight w:val="none"/>
                      <w:lang w:val="en-US" w:eastAsia="zh-CN"/>
                    </w:rPr>
                    <w:t>15.3㎡，</w:t>
                  </w:r>
                  <w:r>
                    <w:rPr>
                      <w:rFonts w:hint="default" w:ascii="Times New Roman" w:hAnsi="Times New Roman" w:eastAsia="宋体" w:cs="Times New Roman"/>
                      <w:color w:val="auto"/>
                      <w:w w:val="90"/>
                      <w:sz w:val="21"/>
                      <w:szCs w:val="21"/>
                      <w:highlight w:val="none"/>
                    </w:rPr>
                    <w:t>应严格按照《危险废物贮存污染控制标准》（GB18597-2023）要求进行建设，地面和四周墙体</w:t>
                  </w:r>
                  <w:r>
                    <w:rPr>
                      <w:rFonts w:hint="eastAsia" w:ascii="Times New Roman" w:hAnsi="Times New Roman" w:cs="Times New Roman"/>
                      <w:color w:val="auto"/>
                      <w:w w:val="90"/>
                      <w:sz w:val="21"/>
                      <w:szCs w:val="21"/>
                      <w:highlight w:val="none"/>
                      <w:lang w:eastAsia="zh-CN"/>
                    </w:rPr>
                    <w:t>需用</w:t>
                  </w:r>
                  <w:r>
                    <w:rPr>
                      <w:rFonts w:hint="default" w:ascii="Times New Roman" w:hAnsi="Times New Roman" w:eastAsia="宋体" w:cs="Times New Roman"/>
                      <w:color w:val="auto"/>
                      <w:w w:val="90"/>
                      <w:sz w:val="21"/>
                      <w:szCs w:val="21"/>
                      <w:highlight w:val="none"/>
                    </w:rPr>
                    <w:t>防渗材料进行处理，渗透系数≤10</w:t>
                  </w:r>
                  <w:r>
                    <w:rPr>
                      <w:rFonts w:hint="eastAsia" w:ascii="Times New Roman" w:hAnsi="Times New Roman" w:cs="Times New Roman"/>
                      <w:color w:val="auto"/>
                      <w:w w:val="90"/>
                      <w:sz w:val="21"/>
                      <w:szCs w:val="21"/>
                      <w:highlight w:val="none"/>
                      <w:vertAlign w:val="superscript"/>
                      <w:lang w:val="en-US" w:eastAsia="zh-CN"/>
                    </w:rPr>
                    <w:t>-</w:t>
                  </w:r>
                  <w:r>
                    <w:rPr>
                      <w:rFonts w:hint="default" w:ascii="Times New Roman" w:hAnsi="Times New Roman" w:eastAsia="宋体" w:cs="Times New Roman"/>
                      <w:color w:val="auto"/>
                      <w:w w:val="90"/>
                      <w:sz w:val="21"/>
                      <w:szCs w:val="21"/>
                      <w:highlight w:val="none"/>
                      <w:vertAlign w:val="superscript"/>
                    </w:rPr>
                    <w:t>10</w:t>
                  </w:r>
                  <w:r>
                    <w:rPr>
                      <w:rFonts w:hint="default" w:ascii="Times New Roman" w:hAnsi="Times New Roman" w:eastAsia="宋体" w:cs="Times New Roman"/>
                      <w:color w:val="auto"/>
                      <w:w w:val="90"/>
                      <w:sz w:val="21"/>
                      <w:szCs w:val="21"/>
                      <w:highlight w:val="none"/>
                    </w:rPr>
                    <w:t>cm/s，并设置危险废物识别标志。并与有危废处置资质单位签订危废处置协议，委托有资质的单位对危险废物进行处置。</w:t>
                  </w:r>
                </w:p>
              </w:tc>
              <w:tc>
                <w:tcPr>
                  <w:tcW w:w="422" w:type="pct"/>
                  <w:vAlign w:val="center"/>
                </w:tcPr>
                <w:p w14:paraId="21C07A70">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eastAsia="zh-CN"/>
                    </w:rPr>
                    <w:t>新建</w:t>
                  </w:r>
                </w:p>
              </w:tc>
            </w:tr>
            <w:tr w14:paraId="246487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216" w:hRule="atLeast"/>
              </w:trPr>
              <w:tc>
                <w:tcPr>
                  <w:tcW w:w="325" w:type="pct"/>
                  <w:vMerge w:val="continue"/>
                  <w:tcBorders>
                    <w:top w:val="nil"/>
                    <w:bottom w:val="nil"/>
                  </w:tcBorders>
                  <w:textDirection w:val="tbRlV"/>
                  <w:vAlign w:val="center"/>
                </w:tcPr>
                <w:p w14:paraId="2493C8AB">
                  <w:pPr>
                    <w:pStyle w:val="28"/>
                    <w:bidi w:val="0"/>
                    <w:jc w:val="center"/>
                    <w:rPr>
                      <w:rFonts w:hint="default" w:ascii="Times New Roman" w:hAnsi="Times New Roman" w:eastAsia="宋体" w:cs="Times New Roman"/>
                      <w:color w:val="auto"/>
                      <w:w w:val="90"/>
                      <w:sz w:val="21"/>
                      <w:szCs w:val="21"/>
                      <w:highlight w:val="none"/>
                      <w:lang w:eastAsia="zh-CN"/>
                    </w:rPr>
                  </w:pPr>
                </w:p>
              </w:tc>
              <w:tc>
                <w:tcPr>
                  <w:tcW w:w="277" w:type="pct"/>
                  <w:tcBorders>
                    <w:bottom w:val="single" w:color="auto" w:sz="4" w:space="0"/>
                  </w:tcBorders>
                  <w:textDirection w:val="tbRlV"/>
                  <w:vAlign w:val="center"/>
                </w:tcPr>
                <w:p w14:paraId="5AC8211A">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废水</w:t>
                  </w:r>
                </w:p>
              </w:tc>
              <w:tc>
                <w:tcPr>
                  <w:tcW w:w="770" w:type="pct"/>
                  <w:tcBorders>
                    <w:bottom w:val="single" w:color="auto" w:sz="4" w:space="0"/>
                  </w:tcBorders>
                  <w:vAlign w:val="center"/>
                </w:tcPr>
                <w:p w14:paraId="100F66B9">
                  <w:pPr>
                    <w:pStyle w:val="28"/>
                    <w:bidi w:val="0"/>
                    <w:jc w:val="center"/>
                    <w:rPr>
                      <w:rFonts w:hint="default" w:ascii="Times New Roman" w:hAnsi="Times New Roman" w:eastAsia="宋体" w:cs="Times New Roman"/>
                      <w:color w:val="auto"/>
                      <w:w w:val="90"/>
                      <w:sz w:val="21"/>
                      <w:szCs w:val="21"/>
                      <w:highlight w:val="none"/>
                      <w:lang w:eastAsia="zh-CN"/>
                    </w:rPr>
                  </w:pPr>
                  <w:r>
                    <w:rPr>
                      <w:rFonts w:hint="default" w:ascii="Times New Roman" w:hAnsi="Times New Roman" w:eastAsia="宋体" w:cs="Times New Roman"/>
                      <w:color w:val="auto"/>
                      <w:w w:val="90"/>
                      <w:sz w:val="21"/>
                      <w:szCs w:val="21"/>
                      <w:highlight w:val="none"/>
                      <w:lang w:eastAsia="zh-CN"/>
                    </w:rPr>
                    <w:t>生活废水</w:t>
                  </w:r>
                </w:p>
              </w:tc>
              <w:tc>
                <w:tcPr>
                  <w:tcW w:w="3188" w:type="pct"/>
                  <w:gridSpan w:val="2"/>
                  <w:vAlign w:val="top"/>
                </w:tcPr>
                <w:p w14:paraId="489395CE">
                  <w:pPr>
                    <w:pStyle w:val="28"/>
                    <w:bidi w:val="0"/>
                    <w:jc w:val="both"/>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运营期依托热水光伏电站管理人员，生活污水纳入当地污水处理系统。</w:t>
                  </w:r>
                </w:p>
              </w:tc>
              <w:tc>
                <w:tcPr>
                  <w:tcW w:w="422" w:type="pct"/>
                  <w:vAlign w:val="center"/>
                </w:tcPr>
                <w:p w14:paraId="3BB0D9D9">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val="en-US" w:eastAsia="zh-CN"/>
                    </w:rPr>
                    <w:t>依托</w:t>
                  </w:r>
                </w:p>
              </w:tc>
            </w:tr>
            <w:tr w14:paraId="3064F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4" w:type="pct"/>
                <w:trHeight w:val="292" w:hRule="atLeast"/>
              </w:trPr>
              <w:tc>
                <w:tcPr>
                  <w:tcW w:w="325" w:type="pct"/>
                  <w:vMerge w:val="continue"/>
                  <w:tcBorders>
                    <w:top w:val="nil"/>
                  </w:tcBorders>
                  <w:textDirection w:val="tbRlV"/>
                  <w:vAlign w:val="center"/>
                </w:tcPr>
                <w:p w14:paraId="7C33764F">
                  <w:pPr>
                    <w:pStyle w:val="28"/>
                    <w:bidi w:val="0"/>
                    <w:jc w:val="center"/>
                    <w:rPr>
                      <w:rFonts w:hint="default" w:ascii="Times New Roman" w:hAnsi="Times New Roman" w:eastAsia="宋体" w:cs="Times New Roman"/>
                      <w:color w:val="auto"/>
                      <w:w w:val="90"/>
                      <w:sz w:val="21"/>
                      <w:szCs w:val="21"/>
                      <w:highlight w:val="none"/>
                    </w:rPr>
                  </w:pPr>
                </w:p>
              </w:tc>
              <w:tc>
                <w:tcPr>
                  <w:tcW w:w="1048" w:type="pct"/>
                  <w:gridSpan w:val="2"/>
                  <w:vAlign w:val="center"/>
                </w:tcPr>
                <w:p w14:paraId="7247603B">
                  <w:pPr>
                    <w:pStyle w:val="28"/>
                    <w:bidi w:val="0"/>
                    <w:jc w:val="center"/>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绿化</w:t>
                  </w:r>
                </w:p>
              </w:tc>
              <w:tc>
                <w:tcPr>
                  <w:tcW w:w="3188" w:type="pct"/>
                  <w:gridSpan w:val="2"/>
                  <w:vAlign w:val="top"/>
                </w:tcPr>
                <w:p w14:paraId="0D6808E3">
                  <w:pPr>
                    <w:pStyle w:val="28"/>
                    <w:bidi w:val="0"/>
                    <w:jc w:val="both"/>
                    <w:rPr>
                      <w:rFonts w:hint="default" w:ascii="Times New Roman" w:hAnsi="Times New Roman" w:eastAsia="宋体" w:cs="Times New Roman"/>
                      <w:color w:val="auto"/>
                      <w:w w:val="90"/>
                      <w:sz w:val="21"/>
                      <w:szCs w:val="21"/>
                      <w:highlight w:val="none"/>
                    </w:rPr>
                  </w:pPr>
                  <w:r>
                    <w:rPr>
                      <w:rFonts w:hint="default" w:ascii="Times New Roman" w:hAnsi="Times New Roman" w:eastAsia="宋体" w:cs="Times New Roman"/>
                      <w:color w:val="auto"/>
                      <w:w w:val="90"/>
                      <w:sz w:val="21"/>
                      <w:szCs w:val="21"/>
                      <w:highlight w:val="none"/>
                    </w:rPr>
                    <w:t>对扰动的裸露场地撒播草籽进行植被恢复。</w:t>
                  </w:r>
                </w:p>
              </w:tc>
              <w:tc>
                <w:tcPr>
                  <w:tcW w:w="422" w:type="pct"/>
                  <w:vAlign w:val="center"/>
                </w:tcPr>
                <w:p w14:paraId="06852414">
                  <w:pPr>
                    <w:pStyle w:val="28"/>
                    <w:bidi w:val="0"/>
                    <w:jc w:val="center"/>
                    <w:rPr>
                      <w:rFonts w:hint="default" w:ascii="Times New Roman" w:hAnsi="Times New Roman" w:eastAsia="宋体" w:cs="Times New Roman"/>
                      <w:color w:val="auto"/>
                      <w:w w:val="90"/>
                      <w:sz w:val="21"/>
                      <w:szCs w:val="21"/>
                      <w:highlight w:val="none"/>
                    </w:rPr>
                  </w:pPr>
                  <w:r>
                    <w:rPr>
                      <w:rFonts w:hint="eastAsia" w:ascii="Times New Roman" w:hAnsi="Times New Roman" w:cs="Times New Roman"/>
                      <w:color w:val="auto"/>
                      <w:w w:val="90"/>
                      <w:sz w:val="21"/>
                      <w:szCs w:val="21"/>
                      <w:highlight w:val="none"/>
                      <w:lang w:eastAsia="zh-CN"/>
                    </w:rPr>
                    <w:t>新建</w:t>
                  </w:r>
                </w:p>
              </w:tc>
            </w:tr>
          </w:tbl>
          <w:p w14:paraId="2D882841">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cs="Times New Roman"/>
                <w:b/>
                <w:bCs/>
                <w:color w:val="auto"/>
                <w:spacing w:val="-3"/>
                <w:highlight w:val="none"/>
                <w:lang w:val="en-US" w:eastAsia="zh-CN"/>
              </w:rPr>
            </w:pPr>
            <w:r>
              <w:rPr>
                <w:rFonts w:hint="default" w:ascii="Times New Roman" w:hAnsi="Times New Roman" w:cs="Times New Roman"/>
                <w:b/>
                <w:bCs/>
                <w:color w:val="auto"/>
                <w:spacing w:val="-3"/>
                <w:highlight w:val="none"/>
                <w:lang w:val="en-US" w:eastAsia="zh-CN"/>
              </w:rPr>
              <w:t>2.2主体工程</w:t>
            </w:r>
          </w:p>
          <w:p w14:paraId="136355C2">
            <w:pPr>
              <w:numPr>
                <w:ilvl w:val="0"/>
                <w:numId w:val="2"/>
              </w:numPr>
              <w:bidi w:val="0"/>
              <w:rPr>
                <w:rFonts w:ascii="Times New Roman" w:hAnsi="Times New Roman" w:cs="Times New Roman"/>
                <w:b/>
                <w:bCs/>
                <w:color w:val="auto"/>
                <w:spacing w:val="-4"/>
                <w:sz w:val="24"/>
                <w:szCs w:val="24"/>
                <w:highlight w:val="none"/>
              </w:rPr>
            </w:pPr>
            <w:r>
              <w:rPr>
                <w:rFonts w:ascii="Times New Roman" w:hAnsi="Times New Roman" w:cs="Times New Roman"/>
                <w:b/>
                <w:bCs/>
                <w:color w:val="auto"/>
                <w:spacing w:val="-4"/>
                <w:sz w:val="24"/>
                <w:szCs w:val="24"/>
                <w:highlight w:val="none"/>
              </w:rPr>
              <w:t>风机机组</w:t>
            </w:r>
          </w:p>
          <w:p w14:paraId="38CCC207">
            <w:pPr>
              <w:spacing w:line="360" w:lineRule="auto"/>
              <w:ind w:firstLine="482"/>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工程建设规模为</w:t>
            </w:r>
            <w:r>
              <w:rPr>
                <w:rFonts w:hint="default" w:ascii="Times New Roman" w:hAnsi="Times New Roman" w:cs="Times New Roman"/>
                <w:color w:val="auto"/>
                <w:sz w:val="24"/>
                <w:highlight w:val="none"/>
                <w:lang w:val="en-US" w:eastAsia="zh-CN"/>
              </w:rPr>
              <w:t>20</w:t>
            </w:r>
            <w:r>
              <w:rPr>
                <w:rFonts w:hint="default" w:ascii="Times New Roman" w:hAnsi="Times New Roman" w:cs="Times New Roman"/>
                <w:color w:val="auto"/>
                <w:sz w:val="24"/>
                <w:highlight w:val="none"/>
              </w:rPr>
              <w:t>MW，安装7500kW1140V50Hz风电机组</w:t>
            </w:r>
            <w:r>
              <w:rPr>
                <w:rFonts w:hint="default" w:ascii="Times New Roman" w:hAnsi="Times New Roman" w:cs="Times New Roman"/>
                <w:color w:val="auto"/>
                <w:sz w:val="24"/>
                <w:highlight w:val="none"/>
                <w:lang w:val="en-US" w:eastAsia="zh-CN"/>
              </w:rPr>
              <w:t>2</w:t>
            </w:r>
            <w:r>
              <w:rPr>
                <w:rFonts w:hint="default" w:ascii="Times New Roman" w:hAnsi="Times New Roman" w:cs="Times New Roman"/>
                <w:color w:val="auto"/>
                <w:sz w:val="24"/>
                <w:highlight w:val="none"/>
              </w:rPr>
              <w:t>台和5000kW950V50Hz风电机组</w:t>
            </w:r>
            <w:r>
              <w:rPr>
                <w:rFonts w:hint="default"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rPr>
              <w:t>台，总</w:t>
            </w:r>
            <w:r>
              <w:rPr>
                <w:rFonts w:hint="default" w:ascii="Times New Roman" w:hAnsi="Times New Roman" w:cs="Times New Roman"/>
                <w:color w:val="auto"/>
                <w:sz w:val="24"/>
                <w:highlight w:val="none"/>
                <w:lang w:eastAsia="zh-CN"/>
              </w:rPr>
              <w:t>风电机组</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台。一台风机配备一套箱式变压器，共设</w:t>
            </w:r>
            <w:r>
              <w:rPr>
                <w:rFonts w:hint="default" w:ascii="Times New Roman" w:hAnsi="Times New Roman" w:cs="Times New Roman"/>
                <w:color w:val="auto"/>
                <w:sz w:val="24"/>
                <w:highlight w:val="none"/>
                <w:lang w:val="en-US" w:eastAsia="zh-CN"/>
              </w:rPr>
              <w:t>3</w:t>
            </w:r>
            <w:r>
              <w:rPr>
                <w:rFonts w:hint="default" w:ascii="Times New Roman" w:hAnsi="Times New Roman" w:cs="Times New Roman"/>
                <w:color w:val="auto"/>
                <w:sz w:val="24"/>
                <w:highlight w:val="none"/>
              </w:rPr>
              <w:t>台箱式变压器；箱变基础拟采用天然地基上的浅埋基础进行设计，平面上呈“长方形”布置，长6.5m，宽4.0m。</w:t>
            </w:r>
            <w:r>
              <w:rPr>
                <w:rFonts w:hint="default" w:ascii="Times New Roman" w:hAnsi="Times New Roman" w:cs="Times New Roman"/>
                <w:color w:val="auto"/>
                <w:kern w:val="0"/>
                <w:sz w:val="24"/>
                <w:szCs w:val="28"/>
                <w:highlight w:val="none"/>
              </w:rPr>
              <w:t>5.0MW</w:t>
            </w:r>
            <w:r>
              <w:rPr>
                <w:rFonts w:ascii="Times New Roman" w:hAnsi="Times New Roman" w:cs="Times New Roman"/>
                <w:color w:val="auto"/>
                <w:kern w:val="0"/>
                <w:sz w:val="24"/>
                <w:highlight w:val="none"/>
              </w:rPr>
              <w:t>的风电机组，风机轮毂高度1</w:t>
            </w:r>
            <w:r>
              <w:rPr>
                <w:rFonts w:hint="default" w:ascii="Times New Roman" w:hAnsi="Times New Roman" w:cs="Times New Roman"/>
                <w:color w:val="auto"/>
                <w:kern w:val="0"/>
                <w:sz w:val="24"/>
                <w:highlight w:val="none"/>
              </w:rPr>
              <w:t>15</w:t>
            </w:r>
            <w:r>
              <w:rPr>
                <w:rFonts w:ascii="Times New Roman" w:hAnsi="Times New Roman" w:cs="Times New Roman"/>
                <w:color w:val="auto"/>
                <w:kern w:val="0"/>
                <w:sz w:val="24"/>
                <w:highlight w:val="none"/>
              </w:rPr>
              <w:t>m，转轮直径</w:t>
            </w:r>
            <w:r>
              <w:rPr>
                <w:rFonts w:hint="default" w:ascii="Times New Roman" w:hAnsi="Times New Roman" w:cs="Times New Roman"/>
                <w:color w:val="auto"/>
                <w:kern w:val="0"/>
                <w:sz w:val="24"/>
                <w:highlight w:val="none"/>
              </w:rPr>
              <w:t>200</w:t>
            </w:r>
            <w:r>
              <w:rPr>
                <w:rFonts w:ascii="Times New Roman" w:hAnsi="Times New Roman" w:cs="Times New Roman"/>
                <w:color w:val="auto"/>
                <w:kern w:val="0"/>
                <w:sz w:val="24"/>
                <w:highlight w:val="none"/>
              </w:rPr>
              <w:t>m</w:t>
            </w:r>
            <w:r>
              <w:rPr>
                <w:rFonts w:hint="default" w:ascii="Times New Roman" w:hAnsi="Times New Roman" w:cs="Times New Roman"/>
                <w:color w:val="auto"/>
                <w:kern w:val="0"/>
                <w:sz w:val="24"/>
                <w:highlight w:val="none"/>
              </w:rPr>
              <w:t>，</w:t>
            </w:r>
            <w:r>
              <w:rPr>
                <w:rFonts w:ascii="Times New Roman" w:hAnsi="Times New Roman" w:cs="Times New Roman"/>
                <w:color w:val="auto"/>
                <w:kern w:val="0"/>
                <w:sz w:val="24"/>
                <w:highlight w:val="none"/>
              </w:rPr>
              <w:t>切入</w:t>
            </w:r>
            <w:r>
              <w:rPr>
                <w:rFonts w:hint="default" w:ascii="Times New Roman" w:hAnsi="Times New Roman" w:cs="Times New Roman"/>
                <w:color w:val="auto"/>
                <w:kern w:val="0"/>
                <w:sz w:val="24"/>
                <w:highlight w:val="none"/>
              </w:rPr>
              <w:t>风速</w:t>
            </w:r>
            <w:r>
              <w:rPr>
                <w:rFonts w:ascii="Times New Roman" w:hAnsi="Times New Roman" w:cs="Times New Roman"/>
                <w:color w:val="auto"/>
                <w:kern w:val="0"/>
                <w:sz w:val="24"/>
                <w:highlight w:val="none"/>
              </w:rPr>
              <w:t>3</w:t>
            </w:r>
            <w:r>
              <w:rPr>
                <w:rFonts w:hint="default" w:ascii="Times New Roman" w:hAnsi="Times New Roman" w:cs="Times New Roman"/>
                <w:color w:val="auto"/>
                <w:kern w:val="0"/>
                <w:sz w:val="24"/>
                <w:highlight w:val="none"/>
              </w:rPr>
              <w:t>m/s</w:t>
            </w:r>
            <w:r>
              <w:rPr>
                <w:rFonts w:ascii="Times New Roman" w:hAnsi="Times New Roman" w:cs="Times New Roman"/>
                <w:color w:val="auto"/>
                <w:kern w:val="0"/>
                <w:sz w:val="24"/>
                <w:highlight w:val="none"/>
              </w:rPr>
              <w:t>，切出风速2</w:t>
            </w:r>
            <w:r>
              <w:rPr>
                <w:rFonts w:hint="default" w:ascii="Times New Roman" w:hAnsi="Times New Roman" w:cs="Times New Roman"/>
                <w:color w:val="auto"/>
                <w:kern w:val="0"/>
                <w:sz w:val="24"/>
                <w:highlight w:val="none"/>
              </w:rPr>
              <w:t>5m/s，最大风速（10min平均）42.5m/s。</w:t>
            </w:r>
            <w:r>
              <w:rPr>
                <w:rFonts w:hint="default" w:ascii="Times New Roman" w:hAnsi="Times New Roman" w:cs="Times New Roman"/>
                <w:color w:val="auto"/>
                <w:kern w:val="0"/>
                <w:sz w:val="24"/>
                <w:szCs w:val="28"/>
                <w:highlight w:val="none"/>
              </w:rPr>
              <w:t>7.5MW</w:t>
            </w:r>
            <w:r>
              <w:rPr>
                <w:rFonts w:ascii="Times New Roman" w:hAnsi="Times New Roman" w:cs="Times New Roman"/>
                <w:color w:val="auto"/>
                <w:kern w:val="0"/>
                <w:sz w:val="24"/>
                <w:highlight w:val="none"/>
              </w:rPr>
              <w:t>的风电机组，风机轮毂高度1</w:t>
            </w:r>
            <w:r>
              <w:rPr>
                <w:rFonts w:hint="default" w:ascii="Times New Roman" w:hAnsi="Times New Roman" w:cs="Times New Roman"/>
                <w:color w:val="auto"/>
                <w:kern w:val="0"/>
                <w:sz w:val="24"/>
                <w:highlight w:val="none"/>
              </w:rPr>
              <w:t>25</w:t>
            </w:r>
            <w:r>
              <w:rPr>
                <w:rFonts w:ascii="Times New Roman" w:hAnsi="Times New Roman" w:cs="Times New Roman"/>
                <w:color w:val="auto"/>
                <w:kern w:val="0"/>
                <w:sz w:val="24"/>
                <w:highlight w:val="none"/>
              </w:rPr>
              <w:t>m，转轮直径</w:t>
            </w:r>
            <w:r>
              <w:rPr>
                <w:rFonts w:hint="default" w:ascii="Times New Roman" w:hAnsi="Times New Roman" w:cs="Times New Roman"/>
                <w:color w:val="auto"/>
                <w:kern w:val="0"/>
                <w:sz w:val="24"/>
                <w:highlight w:val="none"/>
              </w:rPr>
              <w:t>220</w:t>
            </w:r>
            <w:r>
              <w:rPr>
                <w:rFonts w:ascii="Times New Roman" w:hAnsi="Times New Roman" w:cs="Times New Roman"/>
                <w:color w:val="auto"/>
                <w:kern w:val="0"/>
                <w:sz w:val="24"/>
                <w:highlight w:val="none"/>
              </w:rPr>
              <w:t>m</w:t>
            </w:r>
            <w:r>
              <w:rPr>
                <w:rFonts w:hint="default" w:ascii="Times New Roman" w:hAnsi="Times New Roman" w:cs="Times New Roman"/>
                <w:color w:val="auto"/>
                <w:kern w:val="0"/>
                <w:sz w:val="24"/>
                <w:highlight w:val="none"/>
              </w:rPr>
              <w:t>，</w:t>
            </w:r>
            <w:r>
              <w:rPr>
                <w:rFonts w:ascii="Times New Roman" w:hAnsi="Times New Roman" w:cs="Times New Roman"/>
                <w:color w:val="auto"/>
                <w:kern w:val="0"/>
                <w:sz w:val="24"/>
                <w:highlight w:val="none"/>
              </w:rPr>
              <w:t>切入</w:t>
            </w:r>
            <w:r>
              <w:rPr>
                <w:rFonts w:hint="default" w:ascii="Times New Roman" w:hAnsi="Times New Roman" w:cs="Times New Roman"/>
                <w:color w:val="auto"/>
                <w:kern w:val="0"/>
                <w:sz w:val="24"/>
                <w:highlight w:val="none"/>
              </w:rPr>
              <w:t>风速</w:t>
            </w:r>
            <w:r>
              <w:rPr>
                <w:rFonts w:ascii="Times New Roman" w:hAnsi="Times New Roman" w:cs="Times New Roman"/>
                <w:color w:val="auto"/>
                <w:kern w:val="0"/>
                <w:sz w:val="24"/>
                <w:highlight w:val="none"/>
              </w:rPr>
              <w:t>3</w:t>
            </w:r>
            <w:r>
              <w:rPr>
                <w:rFonts w:hint="default" w:ascii="Times New Roman" w:hAnsi="Times New Roman" w:cs="Times New Roman"/>
                <w:color w:val="auto"/>
                <w:kern w:val="0"/>
                <w:sz w:val="24"/>
                <w:highlight w:val="none"/>
              </w:rPr>
              <w:t>m/s</w:t>
            </w:r>
            <w:r>
              <w:rPr>
                <w:rFonts w:ascii="Times New Roman" w:hAnsi="Times New Roman" w:cs="Times New Roman"/>
                <w:color w:val="auto"/>
                <w:kern w:val="0"/>
                <w:sz w:val="24"/>
                <w:highlight w:val="none"/>
              </w:rPr>
              <w:t>，切出风速2</w:t>
            </w:r>
            <w:r>
              <w:rPr>
                <w:rFonts w:hint="default" w:ascii="Times New Roman" w:hAnsi="Times New Roman" w:cs="Times New Roman"/>
                <w:color w:val="auto"/>
                <w:kern w:val="0"/>
                <w:sz w:val="24"/>
                <w:highlight w:val="none"/>
              </w:rPr>
              <w:t>5m/s，最大风速（10min平均）42.5m/s</w:t>
            </w:r>
            <w:r>
              <w:rPr>
                <w:rFonts w:ascii="Times New Roman" w:hAnsi="Times New Roman" w:cs="Times New Roman"/>
                <w:color w:val="auto"/>
                <w:kern w:val="0"/>
                <w:sz w:val="24"/>
                <w:highlight w:val="none"/>
              </w:rPr>
              <w:t>。</w:t>
            </w:r>
          </w:p>
          <w:p w14:paraId="16F7E765">
            <w:pPr>
              <w:spacing w:line="360" w:lineRule="auto"/>
              <w:ind w:firstLine="482"/>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按照风电场组网需求，风机之间铺设单模光缆或</w:t>
            </w:r>
            <w:r>
              <w:rPr>
                <w:rFonts w:ascii="Times New Roman" w:hAnsi="Times New Roman" w:cs="Times New Roman"/>
                <w:color w:val="auto"/>
                <w:sz w:val="24"/>
                <w:highlight w:val="none"/>
              </w:rPr>
              <w:t>架设单模</w:t>
            </w:r>
            <w:r>
              <w:rPr>
                <w:rFonts w:hint="default" w:ascii="Times New Roman" w:hAnsi="Times New Roman" w:cs="Times New Roman"/>
                <w:color w:val="auto"/>
                <w:sz w:val="24"/>
                <w:highlight w:val="none"/>
              </w:rPr>
              <w:t>OPGW（暂定24芯），并按照风机集电线路进行合理分组。每台风机内各配置一台光纤交换机，机组现地控制单元和</w:t>
            </w:r>
            <w:r>
              <w:rPr>
                <w:rFonts w:ascii="Times New Roman" w:hAnsi="Times New Roman" w:cs="Times New Roman"/>
                <w:color w:val="auto"/>
                <w:sz w:val="24"/>
                <w:highlight w:val="none"/>
              </w:rPr>
              <w:t>机组升压</w:t>
            </w:r>
            <w:r>
              <w:rPr>
                <w:rFonts w:hint="default" w:ascii="Times New Roman" w:hAnsi="Times New Roman" w:cs="Times New Roman"/>
                <w:color w:val="auto"/>
                <w:sz w:val="24"/>
                <w:highlight w:val="none"/>
              </w:rPr>
              <w:t>保护/</w:t>
            </w:r>
            <w:r>
              <w:rPr>
                <w:rFonts w:ascii="Times New Roman" w:hAnsi="Times New Roman" w:cs="Times New Roman"/>
                <w:color w:val="auto"/>
                <w:sz w:val="24"/>
                <w:highlight w:val="none"/>
              </w:rPr>
              <w:t>监控设备</w:t>
            </w:r>
            <w:r>
              <w:rPr>
                <w:rFonts w:hint="default" w:ascii="Times New Roman" w:hAnsi="Times New Roman" w:cs="Times New Roman"/>
                <w:color w:val="auto"/>
                <w:sz w:val="24"/>
                <w:highlight w:val="none"/>
              </w:rPr>
              <w:t>通过该交换机与站内风机机组中央监控系统的千兆管理型交换机组成光纤环网。风机现地控制单元和</w:t>
            </w:r>
            <w:r>
              <w:rPr>
                <w:rFonts w:ascii="Times New Roman" w:hAnsi="Times New Roman" w:cs="Times New Roman"/>
                <w:color w:val="auto"/>
                <w:sz w:val="24"/>
                <w:highlight w:val="none"/>
              </w:rPr>
              <w:t>机组升压</w:t>
            </w:r>
            <w:r>
              <w:rPr>
                <w:rFonts w:hint="default" w:ascii="Times New Roman" w:hAnsi="Times New Roman" w:cs="Times New Roman"/>
                <w:color w:val="auto"/>
                <w:sz w:val="24"/>
                <w:highlight w:val="none"/>
              </w:rPr>
              <w:t>监控</w:t>
            </w:r>
            <w:r>
              <w:rPr>
                <w:rFonts w:ascii="Times New Roman" w:hAnsi="Times New Roman" w:cs="Times New Roman"/>
                <w:color w:val="auto"/>
                <w:sz w:val="24"/>
                <w:highlight w:val="none"/>
              </w:rPr>
              <w:t>设备</w:t>
            </w:r>
            <w:r>
              <w:rPr>
                <w:rFonts w:hint="default" w:ascii="Times New Roman" w:hAnsi="Times New Roman" w:cs="Times New Roman"/>
                <w:color w:val="auto"/>
                <w:sz w:val="24"/>
                <w:highlight w:val="none"/>
              </w:rPr>
              <w:t>通过光纤环网将风机机组及</w:t>
            </w:r>
            <w:r>
              <w:rPr>
                <w:rFonts w:ascii="Times New Roman" w:hAnsi="Times New Roman" w:cs="Times New Roman"/>
                <w:color w:val="auto"/>
                <w:sz w:val="24"/>
                <w:highlight w:val="none"/>
              </w:rPr>
              <w:t>机组升压设备</w:t>
            </w:r>
            <w:r>
              <w:rPr>
                <w:rFonts w:hint="default" w:ascii="Times New Roman" w:hAnsi="Times New Roman" w:cs="Times New Roman"/>
                <w:color w:val="auto"/>
                <w:sz w:val="24"/>
                <w:highlight w:val="none"/>
              </w:rPr>
              <w:t>的信息上传给风电机组中央监控系统和开关站计算机</w:t>
            </w:r>
            <w:r>
              <w:rPr>
                <w:rFonts w:ascii="Times New Roman" w:hAnsi="Times New Roman" w:cs="Times New Roman"/>
                <w:color w:val="auto"/>
                <w:sz w:val="24"/>
                <w:highlight w:val="none"/>
              </w:rPr>
              <w:t>监控系统</w:t>
            </w:r>
            <w:r>
              <w:rPr>
                <w:rFonts w:hint="default" w:ascii="Times New Roman" w:hAnsi="Times New Roman" w:cs="Times New Roman"/>
                <w:color w:val="auto"/>
                <w:sz w:val="24"/>
                <w:highlight w:val="none"/>
              </w:rPr>
              <w:t>，实现风电机组及</w:t>
            </w:r>
            <w:r>
              <w:rPr>
                <w:rFonts w:ascii="Times New Roman" w:hAnsi="Times New Roman" w:cs="Times New Roman"/>
                <w:color w:val="auto"/>
                <w:sz w:val="24"/>
                <w:highlight w:val="none"/>
              </w:rPr>
              <w:t>机组升压设备</w:t>
            </w:r>
            <w:r>
              <w:rPr>
                <w:rFonts w:hint="default" w:ascii="Times New Roman" w:hAnsi="Times New Roman" w:cs="Times New Roman"/>
                <w:color w:val="auto"/>
                <w:sz w:val="24"/>
                <w:highlight w:val="none"/>
              </w:rPr>
              <w:t>的远程监控。</w:t>
            </w:r>
          </w:p>
          <w:p w14:paraId="7D187F78">
            <w:pPr>
              <w:spacing w:line="360" w:lineRule="auto"/>
              <w:ind w:firstLine="482"/>
              <w:rPr>
                <w:rFonts w:ascii="Times New Roman" w:hAnsi="Times New Roman" w:cs="Times New Roman"/>
                <w:color w:val="auto"/>
                <w:sz w:val="24"/>
                <w:szCs w:val="22"/>
                <w:highlight w:val="none"/>
              </w:rPr>
            </w:pPr>
            <w:r>
              <w:rPr>
                <w:rFonts w:ascii="Times New Roman" w:hAnsi="Times New Roman" w:cs="Times New Roman"/>
                <w:color w:val="auto"/>
                <w:sz w:val="24"/>
                <w:szCs w:val="22"/>
                <w:highlight w:val="none"/>
              </w:rPr>
              <w:t>风机接地扁钢截面为60×</w:t>
            </w:r>
            <w:r>
              <w:rPr>
                <w:rFonts w:hint="default" w:ascii="Times New Roman" w:hAnsi="Times New Roman" w:cs="Times New Roman"/>
                <w:color w:val="auto"/>
                <w:sz w:val="24"/>
                <w:szCs w:val="22"/>
                <w:highlight w:val="none"/>
              </w:rPr>
              <w:t>8</w:t>
            </w:r>
            <w:r>
              <w:rPr>
                <w:rFonts w:ascii="Times New Roman" w:hAnsi="Times New Roman" w:cs="Times New Roman"/>
                <w:color w:val="auto"/>
                <w:sz w:val="24"/>
                <w:szCs w:val="22"/>
                <w:highlight w:val="none"/>
              </w:rPr>
              <w:t>mm。采取以风机为中心做环形圆圈，并以风机中心向四个方向敷设扁钢，与环形圈可靠连接。</w:t>
            </w:r>
          </w:p>
          <w:p w14:paraId="69078F1D">
            <w:pPr>
              <w:spacing w:line="360" w:lineRule="auto"/>
              <w:ind w:firstLine="482"/>
              <w:rPr>
                <w:rFonts w:ascii="Times New Roman" w:hAnsi="Times New Roman" w:cs="Times New Roman"/>
                <w:color w:val="auto"/>
                <w:sz w:val="24"/>
                <w:szCs w:val="22"/>
                <w:highlight w:val="none"/>
              </w:rPr>
            </w:pPr>
            <w:r>
              <w:rPr>
                <w:rFonts w:ascii="Times New Roman" w:hAnsi="Times New Roman" w:cs="Times New Roman"/>
                <w:color w:val="auto"/>
                <w:sz w:val="24"/>
                <w:szCs w:val="22"/>
                <w:highlight w:val="none"/>
              </w:rPr>
              <w:t>每台风力发电机防雷引下线处的冲击接地电阻根据厂家要求确定，风电机组配套升压设备接地网工频接地电阻要求不大于4</w:t>
            </w:r>
            <w:r>
              <w:rPr>
                <w:rFonts w:ascii="Times New Roman" w:hAnsi="Times New Roman" w:cs="Times New Roman"/>
                <w:color w:val="auto"/>
                <w:sz w:val="24"/>
                <w:szCs w:val="22"/>
                <w:highlight w:val="none"/>
              </w:rPr>
              <w:sym w:font="Symbol" w:char="F057"/>
            </w:r>
            <w:r>
              <w:rPr>
                <w:rFonts w:ascii="Times New Roman" w:hAnsi="Times New Roman" w:cs="Times New Roman"/>
                <w:color w:val="auto"/>
                <w:sz w:val="24"/>
                <w:szCs w:val="22"/>
                <w:highlight w:val="none"/>
              </w:rPr>
              <w:t>。</w:t>
            </w:r>
          </w:p>
          <w:p w14:paraId="3CC0EC8E">
            <w:pPr>
              <w:bidi w:val="0"/>
              <w:rPr>
                <w:rFonts w:hint="default" w:ascii="Times New Roman" w:hAnsi="Times New Roman" w:eastAsia="宋体" w:cs="Times New Roman"/>
                <w:color w:val="auto"/>
                <w:highlight w:val="none"/>
                <w:lang w:eastAsia="zh-CN"/>
              </w:rPr>
            </w:pPr>
            <w:r>
              <w:rPr>
                <w:rFonts w:ascii="Times New Roman" w:hAnsi="Times New Roman" w:cs="Times New Roman"/>
                <w:color w:val="auto"/>
                <w:sz w:val="24"/>
                <w:szCs w:val="22"/>
                <w:highlight w:val="none"/>
              </w:rPr>
              <w:t>风电机配套的</w:t>
            </w:r>
            <w:r>
              <w:rPr>
                <w:rFonts w:hint="default" w:ascii="Times New Roman" w:hAnsi="Times New Roman" w:cs="Times New Roman"/>
                <w:color w:val="auto"/>
                <w:sz w:val="24"/>
                <w:szCs w:val="22"/>
                <w:highlight w:val="none"/>
              </w:rPr>
              <w:t>开关站</w:t>
            </w:r>
            <w:r>
              <w:rPr>
                <w:rFonts w:ascii="Times New Roman" w:hAnsi="Times New Roman" w:cs="Times New Roman"/>
                <w:color w:val="auto"/>
                <w:sz w:val="24"/>
                <w:szCs w:val="22"/>
                <w:highlight w:val="none"/>
              </w:rPr>
              <w:t>高压侧均采用氧化锌避雷器保护</w:t>
            </w:r>
            <w:r>
              <w:rPr>
                <w:rFonts w:hint="default" w:ascii="Times New Roman" w:hAnsi="Times New Roman" w:cs="Times New Roman"/>
                <w:color w:val="auto"/>
                <w:sz w:val="24"/>
                <w:szCs w:val="22"/>
                <w:highlight w:val="none"/>
                <w:lang w:eastAsia="zh-CN"/>
              </w:rPr>
              <w:t>。</w:t>
            </w:r>
          </w:p>
          <w:p w14:paraId="5EB5D9E7">
            <w:pPr>
              <w:bidi w:val="0"/>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eastAsia="zh-CN"/>
              </w:rPr>
              <w:t>（</w:t>
            </w: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eastAsia="zh-CN"/>
              </w:rPr>
              <w:t>）集电线路</w:t>
            </w:r>
          </w:p>
          <w:p w14:paraId="41AC3D12">
            <w:pPr>
              <w:spacing w:line="360" w:lineRule="auto"/>
              <w:ind w:firstLine="480" w:firstLineChars="200"/>
              <w:rPr>
                <w:rFonts w:ascii="Times New Roman" w:hAnsi="Times New Roman" w:cs="Times New Roman"/>
                <w:color w:val="auto"/>
                <w:kern w:val="0"/>
                <w:sz w:val="24"/>
                <w:highlight w:val="none"/>
              </w:rPr>
            </w:pPr>
            <w:r>
              <w:rPr>
                <w:rFonts w:ascii="Times New Roman" w:hAnsi="Times New Roman" w:cs="Times New Roman"/>
                <w:color w:val="auto"/>
                <w:kern w:val="0"/>
                <w:sz w:val="24"/>
                <w:highlight w:val="none"/>
              </w:rPr>
              <w:t>集电线路采用</w:t>
            </w:r>
            <w:r>
              <w:rPr>
                <w:rFonts w:hint="default" w:ascii="Times New Roman" w:hAnsi="Times New Roman" w:cs="Times New Roman"/>
                <w:color w:val="auto"/>
                <w:kern w:val="0"/>
                <w:sz w:val="24"/>
                <w:highlight w:val="none"/>
              </w:rPr>
              <w:t>直埋电缆</w:t>
            </w:r>
            <w:r>
              <w:rPr>
                <w:rFonts w:ascii="Times New Roman" w:hAnsi="Times New Roman" w:cs="Times New Roman"/>
                <w:color w:val="auto"/>
                <w:kern w:val="0"/>
                <w:sz w:val="24"/>
                <w:highlight w:val="none"/>
              </w:rPr>
              <w:t>方案</w:t>
            </w:r>
            <w:r>
              <w:rPr>
                <w:rFonts w:hint="default" w:ascii="Times New Roman" w:hAnsi="Times New Roman" w:cs="Times New Roman"/>
                <w:color w:val="auto"/>
                <w:kern w:val="0"/>
                <w:sz w:val="24"/>
                <w:highlight w:val="none"/>
                <w:lang w:eastAsia="zh-CN"/>
              </w:rPr>
              <w:t>，</w:t>
            </w:r>
            <w:r>
              <w:rPr>
                <w:rFonts w:ascii="Times New Roman" w:hAnsi="Times New Roman" w:cs="Times New Roman"/>
                <w:color w:val="auto"/>
                <w:sz w:val="24"/>
                <w:highlight w:val="none"/>
              </w:rPr>
              <w:t>直埋电缆基本沿道路埋设，沟槽（以宽</w:t>
            </w:r>
            <w:r>
              <w:rPr>
                <w:rFonts w:hint="default" w:ascii="Times New Roman" w:hAnsi="Times New Roman" w:cs="Times New Roman"/>
                <w:color w:val="auto"/>
                <w:sz w:val="24"/>
                <w:highlight w:val="none"/>
              </w:rPr>
              <w:t>2</w:t>
            </w:r>
            <w:r>
              <w:rPr>
                <w:rFonts w:ascii="Times New Roman" w:hAnsi="Times New Roman" w:cs="Times New Roman"/>
                <w:color w:val="auto"/>
                <w:sz w:val="24"/>
                <w:highlight w:val="none"/>
              </w:rPr>
              <w:t>m</w:t>
            </w:r>
            <w:r>
              <w:rPr>
                <w:rFonts w:hint="default" w:ascii="Times New Roman" w:hAnsi="Times New Roman" w:cs="Times New Roman"/>
                <w:color w:val="auto"/>
                <w:sz w:val="24"/>
                <w:highlight w:val="none"/>
              </w:rPr>
              <w:t>×</w:t>
            </w:r>
            <w:r>
              <w:rPr>
                <w:rFonts w:ascii="Times New Roman" w:hAnsi="Times New Roman" w:cs="Times New Roman"/>
                <w:color w:val="auto"/>
                <w:sz w:val="24"/>
                <w:highlight w:val="none"/>
              </w:rPr>
              <w:t>深</w:t>
            </w:r>
            <w:r>
              <w:rPr>
                <w:rFonts w:hint="default" w:ascii="Times New Roman" w:hAnsi="Times New Roman" w:cs="Times New Roman"/>
                <w:color w:val="auto"/>
                <w:sz w:val="24"/>
                <w:highlight w:val="none"/>
              </w:rPr>
              <w:t>1.5</w:t>
            </w:r>
            <w:r>
              <w:rPr>
                <w:rFonts w:ascii="Times New Roman" w:hAnsi="Times New Roman" w:cs="Times New Roman"/>
                <w:color w:val="auto"/>
                <w:sz w:val="24"/>
                <w:highlight w:val="none"/>
              </w:rPr>
              <w:t>m计）开挖后敷设电缆</w:t>
            </w:r>
            <w:r>
              <w:rPr>
                <w:rFonts w:hint="default" w:ascii="Times New Roman" w:hAnsi="Times New Roman" w:cs="Times New Roman"/>
                <w:color w:val="auto"/>
                <w:sz w:val="24"/>
                <w:highlight w:val="none"/>
              </w:rPr>
              <w:t>，</w:t>
            </w:r>
            <w:r>
              <w:rPr>
                <w:rFonts w:ascii="Times New Roman" w:hAnsi="Times New Roman" w:cs="Times New Roman"/>
                <w:color w:val="auto"/>
                <w:sz w:val="24"/>
                <w:highlight w:val="none"/>
              </w:rPr>
              <w:t>然后采取措施（铺砂、铺盖板等），最后回填压实即可</w:t>
            </w:r>
            <w:r>
              <w:rPr>
                <w:rFonts w:hint="default" w:ascii="Times New Roman" w:hAnsi="Times New Roman" w:cs="Times New Roman"/>
                <w:color w:val="auto"/>
                <w:kern w:val="0"/>
                <w:sz w:val="24"/>
                <w:highlight w:val="none"/>
              </w:rPr>
              <w:t>。</w:t>
            </w:r>
            <w:r>
              <w:rPr>
                <w:rFonts w:ascii="Times New Roman" w:hAnsi="Times New Roman" w:cs="Times New Roman"/>
                <w:color w:val="auto"/>
                <w:kern w:val="0"/>
                <w:sz w:val="24"/>
                <w:highlight w:val="none"/>
              </w:rPr>
              <w:t>35kV</w:t>
            </w:r>
            <w:r>
              <w:rPr>
                <w:rFonts w:hint="default" w:ascii="Times New Roman" w:hAnsi="Times New Roman" w:cs="Times New Roman"/>
                <w:color w:val="auto"/>
                <w:kern w:val="0"/>
                <w:sz w:val="24"/>
                <w:highlight w:val="none"/>
              </w:rPr>
              <w:t>开关站位于风电场中部，A2号</w:t>
            </w:r>
            <w:r>
              <w:rPr>
                <w:rFonts w:ascii="Times New Roman" w:hAnsi="Times New Roman" w:cs="Times New Roman"/>
                <w:color w:val="auto"/>
                <w:kern w:val="0"/>
                <w:sz w:val="24"/>
                <w:highlight w:val="none"/>
              </w:rPr>
              <w:t>风机</w:t>
            </w:r>
            <w:r>
              <w:rPr>
                <w:rFonts w:hint="default" w:ascii="Times New Roman" w:hAnsi="Times New Roman" w:cs="Times New Roman"/>
                <w:color w:val="auto"/>
                <w:kern w:val="0"/>
                <w:sz w:val="24"/>
                <w:highlight w:val="none"/>
              </w:rPr>
              <w:t>西</w:t>
            </w:r>
            <w:r>
              <w:rPr>
                <w:rFonts w:ascii="Times New Roman" w:hAnsi="Times New Roman" w:cs="Times New Roman"/>
                <w:color w:val="auto"/>
                <w:kern w:val="0"/>
                <w:sz w:val="24"/>
                <w:highlight w:val="none"/>
              </w:rPr>
              <w:t>南侧</w:t>
            </w:r>
            <w:r>
              <w:rPr>
                <w:rFonts w:hint="default" w:ascii="Times New Roman" w:hAnsi="Times New Roman" w:cs="Times New Roman"/>
                <w:color w:val="auto"/>
                <w:kern w:val="0"/>
                <w:sz w:val="24"/>
                <w:highlight w:val="none"/>
              </w:rPr>
              <w:t>0.2</w:t>
            </w:r>
            <w:r>
              <w:rPr>
                <w:rFonts w:ascii="Times New Roman" w:hAnsi="Times New Roman" w:cs="Times New Roman"/>
                <w:color w:val="auto"/>
                <w:kern w:val="0"/>
                <w:sz w:val="24"/>
                <w:highlight w:val="none"/>
              </w:rPr>
              <w:t>km处</w:t>
            </w:r>
            <w:r>
              <w:rPr>
                <w:rFonts w:hint="default" w:ascii="Times New Roman" w:hAnsi="Times New Roman" w:cs="Times New Roman"/>
                <w:color w:val="auto"/>
                <w:kern w:val="0"/>
                <w:sz w:val="24"/>
                <w:highlight w:val="none"/>
              </w:rPr>
              <w:t>。</w:t>
            </w:r>
            <w:r>
              <w:rPr>
                <w:rFonts w:ascii="Times New Roman" w:hAnsi="Times New Roman" w:cs="Times New Roman"/>
                <w:color w:val="auto"/>
                <w:kern w:val="0"/>
                <w:sz w:val="24"/>
                <w:highlight w:val="none"/>
              </w:rPr>
              <w:t>场区内集电线路采用直埋方式接入至</w:t>
            </w:r>
            <w:r>
              <w:rPr>
                <w:rFonts w:hint="default" w:ascii="Times New Roman" w:hAnsi="Times New Roman" w:cs="Times New Roman"/>
                <w:color w:val="auto"/>
                <w:kern w:val="0"/>
                <w:sz w:val="24"/>
                <w:highlight w:val="none"/>
              </w:rPr>
              <w:t>开关</w:t>
            </w:r>
            <w:r>
              <w:rPr>
                <w:rFonts w:ascii="Times New Roman" w:hAnsi="Times New Roman" w:cs="Times New Roman"/>
                <w:color w:val="auto"/>
                <w:kern w:val="0"/>
                <w:sz w:val="24"/>
                <w:highlight w:val="none"/>
              </w:rPr>
              <w:t>站，为了尽可能减少对环境的破坏，保持原生态不变，减少开挖量，考虑电缆沟开挖布置于道路两侧，开挖宽度2</w:t>
            </w:r>
            <w:r>
              <w:rPr>
                <w:rFonts w:hint="default" w:ascii="Times New Roman" w:hAnsi="Times New Roman" w:cs="Times New Roman"/>
                <w:color w:val="auto"/>
                <w:kern w:val="0"/>
                <w:sz w:val="24"/>
                <w:highlight w:val="none"/>
                <w:lang w:val="en-US" w:eastAsia="zh-CN"/>
              </w:rPr>
              <w:t>m</w:t>
            </w:r>
            <w:r>
              <w:rPr>
                <w:rFonts w:ascii="Times New Roman" w:hAnsi="Times New Roman" w:cs="Times New Roman"/>
                <w:color w:val="auto"/>
                <w:kern w:val="0"/>
                <w:sz w:val="24"/>
                <w:highlight w:val="none"/>
              </w:rPr>
              <w:t>，深度不低于0.8m。电缆直埋敷设时距地面不小于700mm，电缆上下均铺设细砂或细土，并设置电缆警示带，过路时设保护套管。</w:t>
            </w:r>
          </w:p>
          <w:p w14:paraId="13F3CD38">
            <w:pPr>
              <w:spacing w:line="360" w:lineRule="auto"/>
              <w:ind w:firstLine="482" w:firstLineChars="200"/>
              <w:rPr>
                <w:rFonts w:hint="default" w:ascii="Times New Roman" w:hAnsi="Times New Roman" w:cs="Times New Roman"/>
                <w:b/>
                <w:bCs/>
                <w:color w:val="auto"/>
                <w:kern w:val="0"/>
                <w:sz w:val="24"/>
                <w:highlight w:val="none"/>
                <w:lang w:val="en-US" w:eastAsia="zh-CN"/>
              </w:rPr>
            </w:pPr>
            <w:r>
              <w:rPr>
                <w:rFonts w:hint="default" w:ascii="Times New Roman" w:hAnsi="Times New Roman"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3</w:t>
            </w:r>
            <w:r>
              <w:rPr>
                <w:rFonts w:hint="default" w:ascii="Times New Roman" w:hAnsi="Times New Roman" w:cs="Times New Roman"/>
                <w:b/>
                <w:bCs/>
                <w:color w:val="auto"/>
                <w:kern w:val="0"/>
                <w:sz w:val="24"/>
                <w:highlight w:val="none"/>
                <w:lang w:val="en-US" w:eastAsia="zh-CN"/>
              </w:rPr>
              <w:t>）开关站</w:t>
            </w:r>
          </w:p>
          <w:p w14:paraId="74A55B23">
            <w:pPr>
              <w:spacing w:line="360" w:lineRule="auto"/>
              <w:ind w:firstLine="480" w:firstLineChars="200"/>
              <w:rPr>
                <w:rFonts w:ascii="Times New Roman" w:hAnsi="Times New Roman" w:cs="Times New Roman"/>
                <w:color w:val="auto"/>
                <w:kern w:val="0"/>
                <w:sz w:val="24"/>
                <w:highlight w:val="none"/>
              </w:rPr>
            </w:pPr>
            <w:r>
              <w:rPr>
                <w:rFonts w:hint="default" w:ascii="Times New Roman" w:hAnsi="Times New Roman" w:cs="Times New Roman"/>
                <w:color w:val="auto"/>
                <w:kern w:val="0"/>
                <w:sz w:val="24"/>
                <w:highlight w:val="none"/>
                <w:lang w:val="en-US" w:eastAsia="zh-CN"/>
              </w:rPr>
              <w:t>本风电场在A2机位点南侧约0.2km处新建一座35kV开关站。开关站配置一面进线柜，2回集电线路在进线柜处汇流。开关站围墙中心线东西宽25m，南北长40m，围墙内占地面积为1000m</w:t>
            </w:r>
            <w:r>
              <w:rPr>
                <w:rFonts w:hint="default" w:ascii="Times New Roman" w:hAnsi="Times New Roman" w:cs="Times New Roman"/>
                <w:color w:val="auto"/>
                <w:kern w:val="0"/>
                <w:sz w:val="24"/>
                <w:highlight w:val="none"/>
                <w:vertAlign w:val="superscript"/>
                <w:lang w:val="en-US" w:eastAsia="zh-CN"/>
              </w:rPr>
              <w:t>2</w:t>
            </w:r>
            <w:r>
              <w:rPr>
                <w:rFonts w:hint="default" w:ascii="Times New Roman" w:hAnsi="Times New Roman" w:cs="Times New Roman"/>
                <w:color w:val="auto"/>
                <w:kern w:val="0"/>
                <w:sz w:val="24"/>
                <w:highlight w:val="none"/>
                <w:lang w:val="en-US" w:eastAsia="zh-CN"/>
              </w:rPr>
              <w:t>，站区整体布置紧凑。站内布置了35kV预制舱、SVG预制舱、二次预制舱、辅助功能舱、固废舱等。</w:t>
            </w:r>
          </w:p>
          <w:p w14:paraId="7F7AA97C">
            <w:pPr>
              <w:bidi w:val="0"/>
              <w:rPr>
                <w:rFonts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w:t>
            </w:r>
            <w:r>
              <w:rPr>
                <w:rFonts w:hint="eastAsia" w:cs="Times New Roman"/>
                <w:b/>
                <w:bCs/>
                <w:color w:val="auto"/>
                <w:highlight w:val="none"/>
                <w:lang w:val="en-US" w:eastAsia="zh-CN"/>
              </w:rPr>
              <w:t>4</w:t>
            </w:r>
            <w:r>
              <w:rPr>
                <w:rFonts w:hint="default" w:ascii="Times New Roman" w:hAnsi="Times New Roman" w:cs="Times New Roman"/>
                <w:b/>
                <w:bCs/>
                <w:color w:val="auto"/>
                <w:highlight w:val="none"/>
                <w:lang w:eastAsia="zh-CN"/>
              </w:rPr>
              <w:t>）</w:t>
            </w:r>
            <w:r>
              <w:rPr>
                <w:rFonts w:ascii="Times New Roman" w:hAnsi="Times New Roman" w:cs="Times New Roman"/>
                <w:b/>
                <w:bCs/>
                <w:color w:val="auto"/>
                <w:highlight w:val="none"/>
              </w:rPr>
              <w:t>工程特性及经济技术指标</w:t>
            </w:r>
          </w:p>
          <w:p w14:paraId="7D716AC4">
            <w:pPr>
              <w:bidi w:val="0"/>
              <w:rPr>
                <w:rFonts w:ascii="Times New Roman" w:hAnsi="Times New Roman" w:cs="Times New Roman"/>
                <w:color w:val="auto"/>
                <w:highlight w:val="none"/>
              </w:rPr>
            </w:pPr>
            <w:r>
              <w:rPr>
                <w:rFonts w:ascii="Times New Roman" w:hAnsi="Times New Roman" w:cs="Times New Roman"/>
                <w:color w:val="auto"/>
                <w:highlight w:val="none"/>
              </w:rPr>
              <w:t>本工程开发任务为充分利用当地的风能资源发电，工程特性如下表所示。</w:t>
            </w:r>
          </w:p>
          <w:p w14:paraId="37AA5FD0">
            <w:pPr>
              <w:pStyle w:val="4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2-2主要经济指标一览表</w:t>
            </w:r>
          </w:p>
          <w:tbl>
            <w:tblPr>
              <w:tblStyle w:val="20"/>
              <w:tblW w:w="8128" w:type="dxa"/>
              <w:tblInd w:w="0" w:type="dxa"/>
              <w:tblLayout w:type="fixed"/>
              <w:tblCellMar>
                <w:top w:w="0" w:type="dxa"/>
                <w:left w:w="108" w:type="dxa"/>
                <w:bottom w:w="0" w:type="dxa"/>
                <w:right w:w="108" w:type="dxa"/>
              </w:tblCellMar>
            </w:tblPr>
            <w:tblGrid>
              <w:gridCol w:w="1130"/>
              <w:gridCol w:w="989"/>
              <w:gridCol w:w="1462"/>
              <w:gridCol w:w="934"/>
              <w:gridCol w:w="1482"/>
              <w:gridCol w:w="981"/>
              <w:gridCol w:w="1150"/>
            </w:tblGrid>
            <w:tr w14:paraId="4998253B">
              <w:tblPrEx>
                <w:tblCellMar>
                  <w:top w:w="0" w:type="dxa"/>
                  <w:left w:w="108" w:type="dxa"/>
                  <w:bottom w:w="0" w:type="dxa"/>
                  <w:right w:w="108" w:type="dxa"/>
                </w:tblCellMar>
              </w:tblPrEx>
              <w:trPr>
                <w:trHeight w:val="380" w:hRule="atLeast"/>
              </w:trPr>
              <w:tc>
                <w:tcPr>
                  <w:tcW w:w="1130" w:type="dxa"/>
                  <w:tcBorders>
                    <w:top w:val="single" w:color="auto" w:sz="4" w:space="0"/>
                    <w:left w:val="single" w:color="auto" w:sz="4" w:space="0"/>
                    <w:bottom w:val="single" w:color="auto" w:sz="4" w:space="0"/>
                    <w:right w:val="nil"/>
                  </w:tcBorders>
                  <w:noWrap/>
                  <w:vAlign w:val="center"/>
                </w:tcPr>
                <w:p w14:paraId="624468E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工程名称</w:t>
                  </w:r>
                </w:p>
              </w:tc>
              <w:tc>
                <w:tcPr>
                  <w:tcW w:w="2451" w:type="dxa"/>
                  <w:gridSpan w:val="2"/>
                  <w:tcBorders>
                    <w:top w:val="single" w:color="auto" w:sz="4" w:space="0"/>
                    <w:left w:val="single" w:color="auto" w:sz="4" w:space="0"/>
                    <w:bottom w:val="single" w:color="auto" w:sz="4" w:space="0"/>
                    <w:right w:val="single" w:color="000000" w:sz="4" w:space="0"/>
                  </w:tcBorders>
                  <w:noWrap w:val="0"/>
                  <w:vAlign w:val="center"/>
                </w:tcPr>
                <w:p w14:paraId="14A1A3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海德村项目</w:t>
                  </w:r>
                </w:p>
              </w:tc>
              <w:tc>
                <w:tcPr>
                  <w:tcW w:w="2416" w:type="dxa"/>
                  <w:gridSpan w:val="2"/>
                  <w:tcBorders>
                    <w:top w:val="single" w:color="auto" w:sz="4" w:space="0"/>
                    <w:left w:val="nil"/>
                    <w:bottom w:val="single" w:color="auto" w:sz="4" w:space="0"/>
                    <w:right w:val="single" w:color="000000" w:sz="4" w:space="0"/>
                  </w:tcBorders>
                  <w:noWrap w:val="0"/>
                  <w:vAlign w:val="center"/>
                </w:tcPr>
                <w:p w14:paraId="08EB53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风电机组设备价格</w:t>
                  </w:r>
                </w:p>
              </w:tc>
              <w:tc>
                <w:tcPr>
                  <w:tcW w:w="981" w:type="dxa"/>
                  <w:tcBorders>
                    <w:top w:val="single" w:color="auto" w:sz="4" w:space="0"/>
                    <w:left w:val="nil"/>
                    <w:bottom w:val="single" w:color="auto" w:sz="4" w:space="0"/>
                    <w:right w:val="single" w:color="auto" w:sz="4" w:space="0"/>
                  </w:tcBorders>
                  <w:noWrap/>
                  <w:vAlign w:val="center"/>
                </w:tcPr>
                <w:p w14:paraId="7A3D0B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元/kW</w:t>
                  </w:r>
                </w:p>
              </w:tc>
              <w:tc>
                <w:tcPr>
                  <w:tcW w:w="1150" w:type="dxa"/>
                  <w:tcBorders>
                    <w:top w:val="single" w:color="auto" w:sz="4" w:space="0"/>
                    <w:left w:val="nil"/>
                    <w:bottom w:val="single" w:color="auto" w:sz="4" w:space="0"/>
                    <w:right w:val="single" w:color="auto" w:sz="4" w:space="0"/>
                  </w:tcBorders>
                  <w:noWrap/>
                  <w:vAlign w:val="center"/>
                </w:tcPr>
                <w:p w14:paraId="074C8B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1400/1550</w:t>
                  </w:r>
                </w:p>
              </w:tc>
            </w:tr>
            <w:tr w14:paraId="54916E67">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nil"/>
                  </w:tcBorders>
                  <w:noWrap/>
                  <w:vAlign w:val="center"/>
                </w:tcPr>
                <w:p w14:paraId="3A977A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建设地点</w:t>
                  </w:r>
                </w:p>
              </w:tc>
              <w:tc>
                <w:tcPr>
                  <w:tcW w:w="2451" w:type="dxa"/>
                  <w:gridSpan w:val="2"/>
                  <w:tcBorders>
                    <w:top w:val="single" w:color="auto" w:sz="4" w:space="0"/>
                    <w:left w:val="single" w:color="auto" w:sz="4" w:space="0"/>
                    <w:bottom w:val="single" w:color="auto" w:sz="4" w:space="0"/>
                    <w:right w:val="single" w:color="000000" w:sz="4" w:space="0"/>
                  </w:tcBorders>
                  <w:noWrap/>
                  <w:vAlign w:val="center"/>
                </w:tcPr>
                <w:p w14:paraId="2ADA5E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云南省曲靖市宣威市</w:t>
                  </w:r>
                </w:p>
              </w:tc>
              <w:tc>
                <w:tcPr>
                  <w:tcW w:w="2416" w:type="dxa"/>
                  <w:gridSpan w:val="2"/>
                  <w:tcBorders>
                    <w:top w:val="single" w:color="auto" w:sz="4" w:space="0"/>
                    <w:left w:val="nil"/>
                    <w:bottom w:val="single" w:color="auto" w:sz="4" w:space="0"/>
                    <w:right w:val="single" w:color="000000" w:sz="4" w:space="0"/>
                  </w:tcBorders>
                  <w:noWrap/>
                  <w:vAlign w:val="center"/>
                </w:tcPr>
                <w:p w14:paraId="304195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塔筒（架）设备部分价格</w:t>
                  </w:r>
                </w:p>
              </w:tc>
              <w:tc>
                <w:tcPr>
                  <w:tcW w:w="981" w:type="dxa"/>
                  <w:tcBorders>
                    <w:top w:val="nil"/>
                    <w:left w:val="nil"/>
                    <w:bottom w:val="single" w:color="auto" w:sz="4" w:space="0"/>
                    <w:right w:val="single" w:color="auto" w:sz="4" w:space="0"/>
                  </w:tcBorders>
                  <w:noWrap/>
                  <w:vAlign w:val="center"/>
                </w:tcPr>
                <w:p w14:paraId="72ACB9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万元/台</w:t>
                  </w:r>
                </w:p>
              </w:tc>
              <w:tc>
                <w:tcPr>
                  <w:tcW w:w="1150" w:type="dxa"/>
                  <w:tcBorders>
                    <w:top w:val="nil"/>
                    <w:left w:val="nil"/>
                    <w:bottom w:val="single" w:color="auto" w:sz="4" w:space="0"/>
                    <w:right w:val="single" w:color="auto" w:sz="4" w:space="0"/>
                  </w:tcBorders>
                  <w:noWrap/>
                  <w:vAlign w:val="center"/>
                </w:tcPr>
                <w:p w14:paraId="3C84A5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314/228.98</w:t>
                  </w:r>
                </w:p>
              </w:tc>
            </w:tr>
            <w:tr w14:paraId="050BA949">
              <w:tblPrEx>
                <w:tblCellMar>
                  <w:top w:w="0" w:type="dxa"/>
                  <w:left w:w="108" w:type="dxa"/>
                  <w:bottom w:w="0" w:type="dxa"/>
                  <w:right w:w="108" w:type="dxa"/>
                </w:tblCellMar>
              </w:tblPrEx>
              <w:trPr>
                <w:trHeight w:val="766" w:hRule="atLeast"/>
              </w:trPr>
              <w:tc>
                <w:tcPr>
                  <w:tcW w:w="1130" w:type="dxa"/>
                  <w:tcBorders>
                    <w:top w:val="nil"/>
                    <w:left w:val="single" w:color="auto" w:sz="4" w:space="0"/>
                    <w:bottom w:val="single" w:color="auto" w:sz="4" w:space="0"/>
                    <w:right w:val="nil"/>
                  </w:tcBorders>
                  <w:noWrap/>
                  <w:vAlign w:val="center"/>
                </w:tcPr>
                <w:p w14:paraId="060D9C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设计单位</w:t>
                  </w:r>
                </w:p>
              </w:tc>
              <w:tc>
                <w:tcPr>
                  <w:tcW w:w="2451" w:type="dxa"/>
                  <w:gridSpan w:val="2"/>
                  <w:tcBorders>
                    <w:top w:val="single" w:color="auto" w:sz="4" w:space="0"/>
                    <w:left w:val="single" w:color="auto" w:sz="4" w:space="0"/>
                    <w:bottom w:val="single" w:color="auto" w:sz="4" w:space="0"/>
                    <w:right w:val="single" w:color="000000" w:sz="4" w:space="0"/>
                  </w:tcBorders>
                  <w:noWrap w:val="0"/>
                  <w:vAlign w:val="center"/>
                </w:tcPr>
                <w:p w14:paraId="7605E2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中国电建集团华东勘测设计研究院有限公司</w:t>
                  </w:r>
                </w:p>
              </w:tc>
              <w:tc>
                <w:tcPr>
                  <w:tcW w:w="2416" w:type="dxa"/>
                  <w:gridSpan w:val="2"/>
                  <w:tcBorders>
                    <w:top w:val="single" w:color="auto" w:sz="4" w:space="0"/>
                    <w:left w:val="nil"/>
                    <w:bottom w:val="single" w:color="auto" w:sz="4" w:space="0"/>
                    <w:right w:val="single" w:color="000000" w:sz="4" w:space="0"/>
                  </w:tcBorders>
                  <w:noWrap w:val="0"/>
                  <w:vAlign w:val="center"/>
                </w:tcPr>
                <w:p w14:paraId="4B342BF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风电机组基础造价</w:t>
                  </w:r>
                </w:p>
              </w:tc>
              <w:tc>
                <w:tcPr>
                  <w:tcW w:w="981" w:type="dxa"/>
                  <w:tcBorders>
                    <w:top w:val="nil"/>
                    <w:left w:val="nil"/>
                    <w:bottom w:val="single" w:color="auto" w:sz="4" w:space="0"/>
                    <w:right w:val="single" w:color="auto" w:sz="4" w:space="0"/>
                  </w:tcBorders>
                  <w:noWrap/>
                  <w:vAlign w:val="center"/>
                </w:tcPr>
                <w:p w14:paraId="5A4BE0C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万元/座</w:t>
                  </w:r>
                </w:p>
              </w:tc>
              <w:tc>
                <w:tcPr>
                  <w:tcW w:w="1150" w:type="dxa"/>
                  <w:tcBorders>
                    <w:top w:val="nil"/>
                    <w:left w:val="nil"/>
                    <w:bottom w:val="single" w:color="auto" w:sz="4" w:space="0"/>
                    <w:right w:val="single" w:color="auto" w:sz="4" w:space="0"/>
                  </w:tcBorders>
                  <w:noWrap/>
                  <w:vAlign w:val="center"/>
                </w:tcPr>
                <w:p w14:paraId="615ECE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eastAsia="zh-CN"/>
                    </w:rPr>
                  </w:pPr>
                  <w:r>
                    <w:rPr>
                      <w:rFonts w:ascii="Times New Roman" w:hAnsi="Times New Roman" w:cs="Times New Roman"/>
                      <w:color w:val="auto"/>
                      <w:kern w:val="0"/>
                      <w:sz w:val="20"/>
                      <w:highlight w:val="none"/>
                    </w:rPr>
                    <w:t>140.91</w:t>
                  </w:r>
                </w:p>
              </w:tc>
            </w:tr>
            <w:tr w14:paraId="57B590D9">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nil"/>
                  </w:tcBorders>
                  <w:noWrap/>
                  <w:vAlign w:val="center"/>
                </w:tcPr>
                <w:p w14:paraId="58F5B08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建设单位</w:t>
                  </w:r>
                </w:p>
              </w:tc>
              <w:tc>
                <w:tcPr>
                  <w:tcW w:w="2451" w:type="dxa"/>
                  <w:gridSpan w:val="2"/>
                  <w:tcBorders>
                    <w:top w:val="single" w:color="auto" w:sz="4" w:space="0"/>
                    <w:left w:val="single" w:color="auto" w:sz="4" w:space="0"/>
                    <w:bottom w:val="single" w:color="auto" w:sz="4" w:space="0"/>
                    <w:right w:val="single" w:color="000000" w:sz="4" w:space="0"/>
                  </w:tcBorders>
                  <w:noWrap w:val="0"/>
                  <w:vAlign w:val="center"/>
                </w:tcPr>
                <w:p w14:paraId="76756D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c>
                <w:tcPr>
                  <w:tcW w:w="2416" w:type="dxa"/>
                  <w:gridSpan w:val="2"/>
                  <w:tcBorders>
                    <w:top w:val="single" w:color="auto" w:sz="4" w:space="0"/>
                    <w:left w:val="nil"/>
                    <w:bottom w:val="single" w:color="auto" w:sz="4" w:space="0"/>
                    <w:right w:val="single" w:color="000000" w:sz="4" w:space="0"/>
                  </w:tcBorders>
                  <w:noWrap/>
                  <w:vAlign w:val="center"/>
                </w:tcPr>
                <w:p w14:paraId="29069D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color w:val="auto"/>
                      <w:kern w:val="0"/>
                      <w:sz w:val="20"/>
                      <w:highlight w:val="none"/>
                      <w:lang w:eastAsia="zh-CN"/>
                    </w:rPr>
                  </w:pPr>
                  <w:r>
                    <w:rPr>
                      <w:rFonts w:hint="eastAsia" w:cs="Times New Roman"/>
                      <w:color w:val="auto"/>
                      <w:kern w:val="0"/>
                      <w:sz w:val="20"/>
                      <w:highlight w:val="none"/>
                      <w:lang w:eastAsia="zh-CN"/>
                    </w:rPr>
                    <w:t>开关站</w:t>
                  </w:r>
                </w:p>
              </w:tc>
              <w:tc>
                <w:tcPr>
                  <w:tcW w:w="981" w:type="dxa"/>
                  <w:tcBorders>
                    <w:top w:val="nil"/>
                    <w:left w:val="nil"/>
                    <w:bottom w:val="single" w:color="auto" w:sz="4" w:space="0"/>
                    <w:right w:val="single" w:color="auto" w:sz="4" w:space="0"/>
                  </w:tcBorders>
                  <w:noWrap/>
                  <w:vAlign w:val="center"/>
                </w:tcPr>
                <w:p w14:paraId="6E3EF7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万元/座</w:t>
                  </w:r>
                </w:p>
              </w:tc>
              <w:tc>
                <w:tcPr>
                  <w:tcW w:w="1150" w:type="dxa"/>
                  <w:tcBorders>
                    <w:top w:val="nil"/>
                    <w:left w:val="nil"/>
                    <w:bottom w:val="single" w:color="auto" w:sz="4" w:space="0"/>
                    <w:right w:val="single" w:color="auto" w:sz="4" w:space="0"/>
                  </w:tcBorders>
                  <w:noWrap/>
                  <w:vAlign w:val="center"/>
                </w:tcPr>
                <w:p w14:paraId="506717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1212.</w:t>
                  </w:r>
                </w:p>
              </w:tc>
            </w:tr>
            <w:tr w14:paraId="05BDF06E">
              <w:tblPrEx>
                <w:tblCellMar>
                  <w:top w:w="0" w:type="dxa"/>
                  <w:left w:w="108" w:type="dxa"/>
                  <w:bottom w:w="0" w:type="dxa"/>
                  <w:right w:w="108" w:type="dxa"/>
                </w:tblCellMar>
              </w:tblPrEx>
              <w:trPr>
                <w:trHeight w:val="305" w:hRule="atLeast"/>
              </w:trPr>
              <w:tc>
                <w:tcPr>
                  <w:tcW w:w="1130" w:type="dxa"/>
                  <w:tcBorders>
                    <w:top w:val="nil"/>
                    <w:left w:val="single" w:color="auto" w:sz="4" w:space="0"/>
                    <w:bottom w:val="single" w:color="auto" w:sz="4" w:space="0"/>
                    <w:right w:val="single" w:color="auto" w:sz="4" w:space="0"/>
                  </w:tcBorders>
                  <w:noWrap/>
                  <w:vAlign w:val="center"/>
                </w:tcPr>
                <w:p w14:paraId="106CFB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装机规模</w:t>
                  </w:r>
                </w:p>
              </w:tc>
              <w:tc>
                <w:tcPr>
                  <w:tcW w:w="989" w:type="dxa"/>
                  <w:tcBorders>
                    <w:top w:val="nil"/>
                    <w:left w:val="nil"/>
                    <w:bottom w:val="single" w:color="auto" w:sz="4" w:space="0"/>
                    <w:right w:val="single" w:color="auto" w:sz="4" w:space="0"/>
                  </w:tcBorders>
                  <w:noWrap/>
                  <w:vAlign w:val="center"/>
                </w:tcPr>
                <w:p w14:paraId="35D6B2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MW</w:t>
                  </w:r>
                </w:p>
              </w:tc>
              <w:tc>
                <w:tcPr>
                  <w:tcW w:w="1462" w:type="dxa"/>
                  <w:tcBorders>
                    <w:top w:val="nil"/>
                    <w:left w:val="nil"/>
                    <w:bottom w:val="single" w:color="auto" w:sz="4" w:space="0"/>
                    <w:right w:val="single" w:color="auto" w:sz="4" w:space="0"/>
                  </w:tcBorders>
                  <w:noWrap/>
                  <w:vAlign w:val="center"/>
                </w:tcPr>
                <w:p w14:paraId="1F91B6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eastAsia="zh-CN"/>
                    </w:rPr>
                  </w:pPr>
                  <w:r>
                    <w:rPr>
                      <w:rFonts w:ascii="Times New Roman" w:hAnsi="Times New Roman" w:cs="Times New Roman"/>
                      <w:color w:val="auto"/>
                      <w:kern w:val="0"/>
                      <w:sz w:val="20"/>
                      <w:highlight w:val="none"/>
                    </w:rPr>
                    <w:t>20.00</w:t>
                  </w:r>
                </w:p>
              </w:tc>
              <w:tc>
                <w:tcPr>
                  <w:tcW w:w="934" w:type="dxa"/>
                  <w:vMerge w:val="restart"/>
                  <w:tcBorders>
                    <w:top w:val="nil"/>
                    <w:left w:val="single" w:color="auto" w:sz="4" w:space="0"/>
                    <w:bottom w:val="single" w:color="000000" w:sz="4" w:space="0"/>
                    <w:right w:val="single" w:color="auto" w:sz="4" w:space="0"/>
                  </w:tcBorders>
                  <w:noWrap w:val="0"/>
                  <w:vAlign w:val="center"/>
                </w:tcPr>
                <w:p w14:paraId="7A060D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主要</w:t>
                  </w:r>
                  <w:r>
                    <w:rPr>
                      <w:rFonts w:ascii="Times New Roman" w:hAnsi="Times New Roman" w:cs="Times New Roman"/>
                      <w:color w:val="auto"/>
                      <w:kern w:val="0"/>
                      <w:sz w:val="20"/>
                      <w:highlight w:val="none"/>
                    </w:rPr>
                    <w:br w:type="textWrapping"/>
                  </w:r>
                  <w:r>
                    <w:rPr>
                      <w:rFonts w:ascii="Times New Roman" w:hAnsi="Times New Roman" w:cs="Times New Roman"/>
                      <w:color w:val="auto"/>
                      <w:kern w:val="0"/>
                      <w:sz w:val="20"/>
                      <w:highlight w:val="none"/>
                    </w:rPr>
                    <w:t>工程量</w:t>
                  </w:r>
                </w:p>
              </w:tc>
              <w:tc>
                <w:tcPr>
                  <w:tcW w:w="1482" w:type="dxa"/>
                  <w:vMerge w:val="restart"/>
                  <w:tcBorders>
                    <w:top w:val="nil"/>
                    <w:left w:val="nil"/>
                    <w:right w:val="single" w:color="auto" w:sz="4" w:space="0"/>
                  </w:tcBorders>
                  <w:noWrap/>
                  <w:vAlign w:val="center"/>
                </w:tcPr>
                <w:p w14:paraId="7351C6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混凝土</w:t>
                  </w:r>
                </w:p>
              </w:tc>
              <w:tc>
                <w:tcPr>
                  <w:tcW w:w="981" w:type="dxa"/>
                  <w:vMerge w:val="restart"/>
                  <w:tcBorders>
                    <w:top w:val="nil"/>
                    <w:left w:val="nil"/>
                    <w:right w:val="single" w:color="auto" w:sz="4" w:space="0"/>
                  </w:tcBorders>
                  <w:noWrap/>
                  <w:vAlign w:val="center"/>
                </w:tcPr>
                <w:p w14:paraId="2F4D0D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m³</w:t>
                  </w:r>
                </w:p>
              </w:tc>
              <w:tc>
                <w:tcPr>
                  <w:tcW w:w="1150" w:type="dxa"/>
                  <w:vMerge w:val="restart"/>
                  <w:tcBorders>
                    <w:top w:val="nil"/>
                    <w:left w:val="nil"/>
                    <w:right w:val="single" w:color="auto" w:sz="4" w:space="0"/>
                  </w:tcBorders>
                  <w:noWrap/>
                  <w:vAlign w:val="center"/>
                </w:tcPr>
                <w:p w14:paraId="3B46E1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eastAsia="zh-CN"/>
                    </w:rPr>
                  </w:pPr>
                  <w:r>
                    <w:rPr>
                      <w:rFonts w:ascii="Times New Roman" w:hAnsi="Times New Roman" w:cs="Times New Roman"/>
                      <w:color w:val="auto"/>
                      <w:kern w:val="0"/>
                      <w:sz w:val="20"/>
                      <w:highlight w:val="none"/>
                    </w:rPr>
                    <w:t>3159.41</w:t>
                  </w:r>
                </w:p>
              </w:tc>
            </w:tr>
            <w:tr w14:paraId="4594AEC7">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single" w:color="auto" w:sz="4" w:space="0"/>
                  </w:tcBorders>
                  <w:noWrap/>
                  <w:vAlign w:val="center"/>
                </w:tcPr>
                <w:p w14:paraId="4749FA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单机容量</w:t>
                  </w:r>
                </w:p>
              </w:tc>
              <w:tc>
                <w:tcPr>
                  <w:tcW w:w="989" w:type="dxa"/>
                  <w:tcBorders>
                    <w:top w:val="nil"/>
                    <w:left w:val="nil"/>
                    <w:bottom w:val="single" w:color="auto" w:sz="4" w:space="0"/>
                    <w:right w:val="single" w:color="auto" w:sz="4" w:space="0"/>
                  </w:tcBorders>
                  <w:noWrap/>
                  <w:vAlign w:val="center"/>
                </w:tcPr>
                <w:p w14:paraId="6020F2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kW</w:t>
                  </w:r>
                </w:p>
              </w:tc>
              <w:tc>
                <w:tcPr>
                  <w:tcW w:w="1462" w:type="dxa"/>
                  <w:tcBorders>
                    <w:top w:val="nil"/>
                    <w:left w:val="nil"/>
                    <w:bottom w:val="single" w:color="auto" w:sz="4" w:space="0"/>
                    <w:right w:val="single" w:color="auto" w:sz="4" w:space="0"/>
                  </w:tcBorders>
                  <w:noWrap/>
                  <w:vAlign w:val="center"/>
                </w:tcPr>
                <w:p w14:paraId="204438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7500/5000</w:t>
                  </w:r>
                </w:p>
              </w:tc>
              <w:tc>
                <w:tcPr>
                  <w:tcW w:w="934" w:type="dxa"/>
                  <w:vMerge w:val="continue"/>
                  <w:tcBorders>
                    <w:top w:val="nil"/>
                    <w:left w:val="single" w:color="auto" w:sz="4" w:space="0"/>
                    <w:bottom w:val="single" w:color="000000" w:sz="4" w:space="0"/>
                    <w:right w:val="single" w:color="auto" w:sz="4" w:space="0"/>
                  </w:tcBorders>
                  <w:noWrap w:val="0"/>
                  <w:vAlign w:val="center"/>
                </w:tcPr>
                <w:p w14:paraId="4E3763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482" w:type="dxa"/>
                  <w:vMerge w:val="continue"/>
                  <w:tcBorders>
                    <w:left w:val="nil"/>
                    <w:right w:val="single" w:color="auto" w:sz="4" w:space="0"/>
                  </w:tcBorders>
                  <w:noWrap/>
                  <w:vAlign w:val="center"/>
                </w:tcPr>
                <w:p w14:paraId="3CBE57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981" w:type="dxa"/>
                  <w:vMerge w:val="continue"/>
                  <w:tcBorders>
                    <w:left w:val="nil"/>
                    <w:right w:val="single" w:color="auto" w:sz="4" w:space="0"/>
                  </w:tcBorders>
                  <w:noWrap/>
                  <w:vAlign w:val="center"/>
                </w:tcPr>
                <w:p w14:paraId="532FA9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150" w:type="dxa"/>
                  <w:vMerge w:val="continue"/>
                  <w:tcBorders>
                    <w:left w:val="nil"/>
                    <w:right w:val="single" w:color="auto" w:sz="4" w:space="0"/>
                  </w:tcBorders>
                  <w:noWrap/>
                  <w:vAlign w:val="center"/>
                </w:tcPr>
                <w:p w14:paraId="4BBAFB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eastAsia="zh-CN"/>
                    </w:rPr>
                  </w:pPr>
                </w:p>
              </w:tc>
            </w:tr>
            <w:tr w14:paraId="5C4A8422">
              <w:tblPrEx>
                <w:tblCellMar>
                  <w:top w:w="0" w:type="dxa"/>
                  <w:left w:w="108" w:type="dxa"/>
                  <w:bottom w:w="0" w:type="dxa"/>
                  <w:right w:w="108" w:type="dxa"/>
                </w:tblCellMar>
              </w:tblPrEx>
              <w:trPr>
                <w:trHeight w:val="305" w:hRule="atLeast"/>
              </w:trPr>
              <w:tc>
                <w:tcPr>
                  <w:tcW w:w="1130" w:type="dxa"/>
                  <w:tcBorders>
                    <w:top w:val="nil"/>
                    <w:left w:val="single" w:color="auto" w:sz="4" w:space="0"/>
                    <w:bottom w:val="single" w:color="auto" w:sz="4" w:space="0"/>
                    <w:right w:val="single" w:color="auto" w:sz="4" w:space="0"/>
                  </w:tcBorders>
                  <w:noWrap/>
                  <w:vAlign w:val="center"/>
                </w:tcPr>
                <w:p w14:paraId="05F7C8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年上网电量</w:t>
                  </w:r>
                </w:p>
              </w:tc>
              <w:tc>
                <w:tcPr>
                  <w:tcW w:w="989" w:type="dxa"/>
                  <w:tcBorders>
                    <w:top w:val="nil"/>
                    <w:left w:val="nil"/>
                    <w:bottom w:val="single" w:color="auto" w:sz="4" w:space="0"/>
                    <w:right w:val="single" w:color="auto" w:sz="4" w:space="0"/>
                  </w:tcBorders>
                  <w:noWrap/>
                  <w:vAlign w:val="center"/>
                </w:tcPr>
                <w:p w14:paraId="3A33E4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万kWh</w:t>
                  </w:r>
                </w:p>
              </w:tc>
              <w:tc>
                <w:tcPr>
                  <w:tcW w:w="1462" w:type="dxa"/>
                  <w:tcBorders>
                    <w:top w:val="nil"/>
                    <w:left w:val="nil"/>
                    <w:bottom w:val="single" w:color="auto" w:sz="4" w:space="0"/>
                    <w:right w:val="single" w:color="auto" w:sz="4" w:space="0"/>
                  </w:tcBorders>
                  <w:noWrap/>
                  <w:vAlign w:val="center"/>
                </w:tcPr>
                <w:p w14:paraId="6FB85D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c>
                <w:tcPr>
                  <w:tcW w:w="934" w:type="dxa"/>
                  <w:vMerge w:val="continue"/>
                  <w:tcBorders>
                    <w:top w:val="nil"/>
                    <w:left w:val="single" w:color="auto" w:sz="4" w:space="0"/>
                    <w:bottom w:val="single" w:color="000000" w:sz="4" w:space="0"/>
                    <w:right w:val="single" w:color="auto" w:sz="4" w:space="0"/>
                  </w:tcBorders>
                  <w:noWrap w:val="0"/>
                  <w:vAlign w:val="center"/>
                </w:tcPr>
                <w:p w14:paraId="18C3124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482" w:type="dxa"/>
                  <w:vMerge w:val="continue"/>
                  <w:tcBorders>
                    <w:left w:val="nil"/>
                    <w:bottom w:val="single" w:color="auto" w:sz="4" w:space="0"/>
                    <w:right w:val="single" w:color="auto" w:sz="4" w:space="0"/>
                  </w:tcBorders>
                  <w:noWrap/>
                  <w:vAlign w:val="center"/>
                </w:tcPr>
                <w:p w14:paraId="598EBA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981" w:type="dxa"/>
                  <w:vMerge w:val="continue"/>
                  <w:tcBorders>
                    <w:left w:val="nil"/>
                    <w:bottom w:val="single" w:color="auto" w:sz="4" w:space="0"/>
                    <w:right w:val="single" w:color="auto" w:sz="4" w:space="0"/>
                  </w:tcBorders>
                  <w:noWrap/>
                  <w:vAlign w:val="center"/>
                </w:tcPr>
                <w:p w14:paraId="603EC71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150" w:type="dxa"/>
                  <w:vMerge w:val="continue"/>
                  <w:tcBorders>
                    <w:left w:val="nil"/>
                    <w:bottom w:val="single" w:color="auto" w:sz="4" w:space="0"/>
                    <w:right w:val="single" w:color="auto" w:sz="4" w:space="0"/>
                  </w:tcBorders>
                  <w:noWrap/>
                  <w:vAlign w:val="center"/>
                </w:tcPr>
                <w:p w14:paraId="73DAEE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eastAsia="zh-CN"/>
                    </w:rPr>
                  </w:pPr>
                </w:p>
              </w:tc>
            </w:tr>
            <w:tr w14:paraId="5F817F8D">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single" w:color="auto" w:sz="4" w:space="0"/>
                  </w:tcBorders>
                  <w:noWrap/>
                  <w:vAlign w:val="center"/>
                </w:tcPr>
                <w:p w14:paraId="2BFD90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年等效满负荷小时数</w:t>
                  </w:r>
                </w:p>
              </w:tc>
              <w:tc>
                <w:tcPr>
                  <w:tcW w:w="989" w:type="dxa"/>
                  <w:tcBorders>
                    <w:top w:val="nil"/>
                    <w:left w:val="nil"/>
                    <w:bottom w:val="single" w:color="auto" w:sz="4" w:space="0"/>
                    <w:right w:val="single" w:color="auto" w:sz="4" w:space="0"/>
                  </w:tcBorders>
                  <w:noWrap/>
                  <w:vAlign w:val="center"/>
                </w:tcPr>
                <w:p w14:paraId="470086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h</w:t>
                  </w:r>
                </w:p>
              </w:tc>
              <w:tc>
                <w:tcPr>
                  <w:tcW w:w="1462" w:type="dxa"/>
                  <w:tcBorders>
                    <w:top w:val="nil"/>
                    <w:left w:val="nil"/>
                    <w:bottom w:val="single" w:color="auto" w:sz="4" w:space="0"/>
                    <w:right w:val="single" w:color="auto" w:sz="4" w:space="0"/>
                  </w:tcBorders>
                  <w:noWrap/>
                  <w:vAlign w:val="center"/>
                </w:tcPr>
                <w:p w14:paraId="624A08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c>
                <w:tcPr>
                  <w:tcW w:w="934" w:type="dxa"/>
                  <w:vMerge w:val="continue"/>
                  <w:tcBorders>
                    <w:top w:val="nil"/>
                    <w:left w:val="single" w:color="auto" w:sz="4" w:space="0"/>
                    <w:bottom w:val="single" w:color="000000" w:sz="4" w:space="0"/>
                    <w:right w:val="single" w:color="auto" w:sz="4" w:space="0"/>
                  </w:tcBorders>
                  <w:noWrap w:val="0"/>
                  <w:vAlign w:val="center"/>
                </w:tcPr>
                <w:p w14:paraId="4F40E2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482" w:type="dxa"/>
                  <w:tcBorders>
                    <w:top w:val="nil"/>
                    <w:left w:val="nil"/>
                    <w:bottom w:val="single" w:color="auto" w:sz="4" w:space="0"/>
                    <w:right w:val="single" w:color="auto" w:sz="4" w:space="0"/>
                  </w:tcBorders>
                  <w:noWrap/>
                  <w:vAlign w:val="center"/>
                </w:tcPr>
                <w:p w14:paraId="5171E0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钢筋</w:t>
                  </w:r>
                </w:p>
              </w:tc>
              <w:tc>
                <w:tcPr>
                  <w:tcW w:w="981" w:type="dxa"/>
                  <w:tcBorders>
                    <w:top w:val="nil"/>
                    <w:left w:val="nil"/>
                    <w:bottom w:val="single" w:color="auto" w:sz="4" w:space="0"/>
                    <w:right w:val="single" w:color="auto" w:sz="4" w:space="0"/>
                  </w:tcBorders>
                  <w:noWrap/>
                  <w:vAlign w:val="center"/>
                </w:tcPr>
                <w:p w14:paraId="17A0C0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t</w:t>
                  </w:r>
                </w:p>
              </w:tc>
              <w:tc>
                <w:tcPr>
                  <w:tcW w:w="1150" w:type="dxa"/>
                  <w:tcBorders>
                    <w:top w:val="nil"/>
                    <w:left w:val="nil"/>
                    <w:bottom w:val="single" w:color="auto" w:sz="4" w:space="0"/>
                    <w:right w:val="single" w:color="auto" w:sz="4" w:space="0"/>
                  </w:tcBorders>
                  <w:noWrap/>
                  <w:vAlign w:val="center"/>
                </w:tcPr>
                <w:p w14:paraId="706CFF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eastAsia="zh-CN"/>
                    </w:rPr>
                  </w:pPr>
                  <w:r>
                    <w:rPr>
                      <w:rFonts w:ascii="Times New Roman" w:hAnsi="Times New Roman" w:cs="Times New Roman"/>
                      <w:color w:val="auto"/>
                      <w:kern w:val="0"/>
                      <w:sz w:val="20"/>
                      <w:highlight w:val="none"/>
                    </w:rPr>
                    <w:t>272.31</w:t>
                  </w:r>
                </w:p>
              </w:tc>
            </w:tr>
            <w:tr w14:paraId="4C29D934">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single" w:color="auto" w:sz="4" w:space="0"/>
                  </w:tcBorders>
                  <w:noWrap/>
                  <w:vAlign w:val="center"/>
                </w:tcPr>
                <w:p w14:paraId="77FF0A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项目静态总投资</w:t>
                  </w:r>
                </w:p>
              </w:tc>
              <w:tc>
                <w:tcPr>
                  <w:tcW w:w="989" w:type="dxa"/>
                  <w:tcBorders>
                    <w:top w:val="nil"/>
                    <w:left w:val="nil"/>
                    <w:bottom w:val="single" w:color="auto" w:sz="4" w:space="0"/>
                    <w:right w:val="single" w:color="auto" w:sz="4" w:space="0"/>
                  </w:tcBorders>
                  <w:noWrap/>
                  <w:vAlign w:val="center"/>
                </w:tcPr>
                <w:p w14:paraId="47543A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万元</w:t>
                  </w:r>
                </w:p>
              </w:tc>
              <w:tc>
                <w:tcPr>
                  <w:tcW w:w="1462" w:type="dxa"/>
                  <w:tcBorders>
                    <w:top w:val="nil"/>
                    <w:left w:val="nil"/>
                    <w:bottom w:val="single" w:color="auto" w:sz="4" w:space="0"/>
                    <w:right w:val="single" w:color="auto" w:sz="4" w:space="0"/>
                  </w:tcBorders>
                  <w:noWrap/>
                  <w:vAlign w:val="center"/>
                </w:tcPr>
                <w:p w14:paraId="5ADBA3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9516.07</w:t>
                  </w:r>
                </w:p>
              </w:tc>
              <w:tc>
                <w:tcPr>
                  <w:tcW w:w="934" w:type="dxa"/>
                  <w:vMerge w:val="continue"/>
                  <w:tcBorders>
                    <w:top w:val="nil"/>
                    <w:left w:val="single" w:color="auto" w:sz="4" w:space="0"/>
                    <w:bottom w:val="single" w:color="000000" w:sz="4" w:space="0"/>
                    <w:right w:val="single" w:color="auto" w:sz="4" w:space="0"/>
                  </w:tcBorders>
                  <w:noWrap w:val="0"/>
                  <w:vAlign w:val="center"/>
                </w:tcPr>
                <w:p w14:paraId="2AF209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482" w:type="dxa"/>
                  <w:tcBorders>
                    <w:top w:val="nil"/>
                    <w:left w:val="nil"/>
                    <w:bottom w:val="single" w:color="auto" w:sz="4" w:space="0"/>
                    <w:right w:val="single" w:color="auto" w:sz="4" w:space="0"/>
                  </w:tcBorders>
                  <w:noWrap/>
                  <w:vAlign w:val="center"/>
                </w:tcPr>
                <w:p w14:paraId="11F41C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塔筒（混塔）</w:t>
                  </w:r>
                </w:p>
              </w:tc>
              <w:tc>
                <w:tcPr>
                  <w:tcW w:w="981" w:type="dxa"/>
                  <w:tcBorders>
                    <w:top w:val="nil"/>
                    <w:left w:val="nil"/>
                    <w:bottom w:val="single" w:color="auto" w:sz="4" w:space="0"/>
                    <w:right w:val="single" w:color="auto" w:sz="4" w:space="0"/>
                  </w:tcBorders>
                  <w:noWrap/>
                  <w:vAlign w:val="center"/>
                </w:tcPr>
                <w:p w14:paraId="54AA792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t</w:t>
                  </w:r>
                </w:p>
              </w:tc>
              <w:tc>
                <w:tcPr>
                  <w:tcW w:w="1150" w:type="dxa"/>
                  <w:tcBorders>
                    <w:top w:val="nil"/>
                    <w:left w:val="nil"/>
                    <w:bottom w:val="single" w:color="auto" w:sz="4" w:space="0"/>
                    <w:right w:val="single" w:color="auto" w:sz="4" w:space="0"/>
                  </w:tcBorders>
                  <w:noWrap/>
                  <w:vAlign w:val="center"/>
                </w:tcPr>
                <w:p w14:paraId="785D9F3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r>
            <w:tr w14:paraId="730B754E">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single" w:color="auto" w:sz="4" w:space="0"/>
                  </w:tcBorders>
                  <w:noWrap/>
                  <w:vAlign w:val="center"/>
                </w:tcPr>
                <w:p w14:paraId="4780DA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项目建设期利息</w:t>
                  </w:r>
                </w:p>
              </w:tc>
              <w:tc>
                <w:tcPr>
                  <w:tcW w:w="989" w:type="dxa"/>
                  <w:tcBorders>
                    <w:top w:val="nil"/>
                    <w:left w:val="nil"/>
                    <w:bottom w:val="single" w:color="auto" w:sz="4" w:space="0"/>
                    <w:right w:val="single" w:color="auto" w:sz="4" w:space="0"/>
                  </w:tcBorders>
                  <w:noWrap/>
                  <w:vAlign w:val="center"/>
                </w:tcPr>
                <w:p w14:paraId="2D7978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万元</w:t>
                  </w:r>
                </w:p>
              </w:tc>
              <w:tc>
                <w:tcPr>
                  <w:tcW w:w="1462" w:type="dxa"/>
                  <w:tcBorders>
                    <w:top w:val="nil"/>
                    <w:left w:val="nil"/>
                    <w:bottom w:val="single" w:color="auto" w:sz="4" w:space="0"/>
                    <w:right w:val="single" w:color="auto" w:sz="4" w:space="0"/>
                  </w:tcBorders>
                  <w:noWrap/>
                  <w:vAlign w:val="center"/>
                </w:tcPr>
                <w:p w14:paraId="6407BC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58.13</w:t>
                  </w:r>
                </w:p>
              </w:tc>
              <w:tc>
                <w:tcPr>
                  <w:tcW w:w="934" w:type="dxa"/>
                  <w:vMerge w:val="continue"/>
                  <w:tcBorders>
                    <w:top w:val="nil"/>
                    <w:left w:val="single" w:color="auto" w:sz="4" w:space="0"/>
                    <w:bottom w:val="single" w:color="000000" w:sz="4" w:space="0"/>
                    <w:right w:val="single" w:color="auto" w:sz="4" w:space="0"/>
                  </w:tcBorders>
                  <w:noWrap w:val="0"/>
                  <w:vAlign w:val="center"/>
                </w:tcPr>
                <w:p w14:paraId="03BAC6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482" w:type="dxa"/>
                  <w:tcBorders>
                    <w:top w:val="nil"/>
                    <w:left w:val="nil"/>
                    <w:bottom w:val="single" w:color="auto" w:sz="4" w:space="0"/>
                    <w:right w:val="single" w:color="auto" w:sz="4" w:space="0"/>
                  </w:tcBorders>
                  <w:noWrap/>
                  <w:vAlign w:val="center"/>
                </w:tcPr>
                <w:p w14:paraId="05B403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桩</w:t>
                  </w:r>
                </w:p>
              </w:tc>
              <w:tc>
                <w:tcPr>
                  <w:tcW w:w="981" w:type="dxa"/>
                  <w:tcBorders>
                    <w:top w:val="nil"/>
                    <w:left w:val="nil"/>
                    <w:bottom w:val="single" w:color="auto" w:sz="4" w:space="0"/>
                    <w:right w:val="single" w:color="auto" w:sz="4" w:space="0"/>
                  </w:tcBorders>
                  <w:noWrap/>
                  <w:vAlign w:val="center"/>
                </w:tcPr>
                <w:p w14:paraId="7FC2C4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m</w:t>
                  </w:r>
                </w:p>
              </w:tc>
              <w:tc>
                <w:tcPr>
                  <w:tcW w:w="1150" w:type="dxa"/>
                  <w:tcBorders>
                    <w:top w:val="nil"/>
                    <w:left w:val="nil"/>
                    <w:bottom w:val="single" w:color="auto" w:sz="4" w:space="0"/>
                    <w:right w:val="single" w:color="auto" w:sz="4" w:space="0"/>
                  </w:tcBorders>
                  <w:noWrap/>
                  <w:vAlign w:val="center"/>
                </w:tcPr>
                <w:p w14:paraId="77FCDA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r>
            <w:tr w14:paraId="12C2764B">
              <w:tblPrEx>
                <w:tblCellMar>
                  <w:top w:w="0" w:type="dxa"/>
                  <w:left w:w="108" w:type="dxa"/>
                  <w:bottom w:w="0" w:type="dxa"/>
                  <w:right w:w="108" w:type="dxa"/>
                </w:tblCellMar>
              </w:tblPrEx>
              <w:trPr>
                <w:trHeight w:val="313" w:hRule="atLeast"/>
              </w:trPr>
              <w:tc>
                <w:tcPr>
                  <w:tcW w:w="1130" w:type="dxa"/>
                  <w:tcBorders>
                    <w:top w:val="nil"/>
                    <w:left w:val="single" w:color="auto" w:sz="4" w:space="0"/>
                    <w:bottom w:val="single" w:color="auto" w:sz="4" w:space="0"/>
                    <w:right w:val="single" w:color="auto" w:sz="4" w:space="0"/>
                  </w:tcBorders>
                  <w:noWrap/>
                  <w:vAlign w:val="center"/>
                </w:tcPr>
                <w:p w14:paraId="40519B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项目动态总投资</w:t>
                  </w:r>
                </w:p>
              </w:tc>
              <w:tc>
                <w:tcPr>
                  <w:tcW w:w="989" w:type="dxa"/>
                  <w:tcBorders>
                    <w:top w:val="nil"/>
                    <w:left w:val="nil"/>
                    <w:bottom w:val="single" w:color="auto" w:sz="4" w:space="0"/>
                    <w:right w:val="single" w:color="auto" w:sz="4" w:space="0"/>
                  </w:tcBorders>
                  <w:noWrap/>
                  <w:vAlign w:val="center"/>
                </w:tcPr>
                <w:p w14:paraId="3BA79B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万元</w:t>
                  </w:r>
                </w:p>
              </w:tc>
              <w:tc>
                <w:tcPr>
                  <w:tcW w:w="1462" w:type="dxa"/>
                  <w:tcBorders>
                    <w:top w:val="nil"/>
                    <w:left w:val="nil"/>
                    <w:bottom w:val="single" w:color="auto" w:sz="4" w:space="0"/>
                    <w:right w:val="single" w:color="auto" w:sz="4" w:space="0"/>
                  </w:tcBorders>
                  <w:noWrap/>
                  <w:vAlign w:val="center"/>
                </w:tcPr>
                <w:p w14:paraId="730F54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9574.20</w:t>
                  </w:r>
                </w:p>
              </w:tc>
              <w:tc>
                <w:tcPr>
                  <w:tcW w:w="934" w:type="dxa"/>
                  <w:vMerge w:val="restart"/>
                  <w:tcBorders>
                    <w:top w:val="nil"/>
                    <w:left w:val="single" w:color="auto" w:sz="4" w:space="0"/>
                    <w:bottom w:val="single" w:color="000000" w:sz="4" w:space="0"/>
                    <w:right w:val="single" w:color="auto" w:sz="4" w:space="0"/>
                  </w:tcBorders>
                  <w:noWrap w:val="0"/>
                  <w:vAlign w:val="center"/>
                </w:tcPr>
                <w:p w14:paraId="47BA61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建设用地</w:t>
                  </w:r>
                  <w:r>
                    <w:rPr>
                      <w:rFonts w:ascii="Times New Roman" w:hAnsi="Times New Roman" w:cs="Times New Roman"/>
                      <w:color w:val="auto"/>
                      <w:kern w:val="0"/>
                      <w:sz w:val="20"/>
                      <w:highlight w:val="none"/>
                    </w:rPr>
                    <w:br w:type="textWrapping"/>
                  </w:r>
                  <w:r>
                    <w:rPr>
                      <w:rFonts w:ascii="Times New Roman" w:hAnsi="Times New Roman" w:cs="Times New Roman"/>
                      <w:color w:val="auto"/>
                      <w:kern w:val="0"/>
                      <w:sz w:val="20"/>
                      <w:highlight w:val="none"/>
                    </w:rPr>
                    <w:t>面积</w:t>
                  </w:r>
                </w:p>
              </w:tc>
              <w:tc>
                <w:tcPr>
                  <w:tcW w:w="1482" w:type="dxa"/>
                  <w:tcBorders>
                    <w:top w:val="nil"/>
                    <w:left w:val="nil"/>
                    <w:bottom w:val="single" w:color="auto" w:sz="4" w:space="0"/>
                    <w:right w:val="single" w:color="auto" w:sz="4" w:space="0"/>
                  </w:tcBorders>
                  <w:noWrap/>
                  <w:vAlign w:val="center"/>
                </w:tcPr>
                <w:p w14:paraId="0BBE3E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永久用地</w:t>
                  </w:r>
                </w:p>
              </w:tc>
              <w:tc>
                <w:tcPr>
                  <w:tcW w:w="981" w:type="dxa"/>
                  <w:tcBorders>
                    <w:top w:val="nil"/>
                    <w:left w:val="nil"/>
                    <w:bottom w:val="single" w:color="auto" w:sz="4" w:space="0"/>
                    <w:right w:val="single" w:color="auto" w:sz="4" w:space="0"/>
                  </w:tcBorders>
                  <w:noWrap/>
                  <w:vAlign w:val="center"/>
                </w:tcPr>
                <w:p w14:paraId="70D668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1"/>
                      <w:szCs w:val="21"/>
                      <w:highlight w:val="none"/>
                    </w:rPr>
                  </w:pP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c>
                <w:tcPr>
                  <w:tcW w:w="1150" w:type="dxa"/>
                  <w:tcBorders>
                    <w:top w:val="nil"/>
                    <w:left w:val="nil"/>
                    <w:bottom w:val="single" w:color="auto" w:sz="4" w:space="0"/>
                    <w:right w:val="single" w:color="auto" w:sz="4" w:space="0"/>
                  </w:tcBorders>
                  <w:noWrap/>
                  <w:vAlign w:val="center"/>
                </w:tcPr>
                <w:p w14:paraId="3F64D7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0.2408</w:t>
                  </w:r>
                </w:p>
              </w:tc>
            </w:tr>
            <w:tr w14:paraId="0ECF5C09">
              <w:tblPrEx>
                <w:tblCellMar>
                  <w:top w:w="0" w:type="dxa"/>
                  <w:left w:w="108" w:type="dxa"/>
                  <w:bottom w:w="0" w:type="dxa"/>
                  <w:right w:w="108" w:type="dxa"/>
                </w:tblCellMar>
              </w:tblPrEx>
              <w:trPr>
                <w:trHeight w:val="572" w:hRule="atLeast"/>
              </w:trPr>
              <w:tc>
                <w:tcPr>
                  <w:tcW w:w="1130" w:type="dxa"/>
                  <w:tcBorders>
                    <w:top w:val="nil"/>
                    <w:left w:val="single" w:color="auto" w:sz="4" w:space="0"/>
                    <w:bottom w:val="single" w:color="auto" w:sz="4" w:space="0"/>
                    <w:right w:val="single" w:color="auto" w:sz="4" w:space="0"/>
                  </w:tcBorders>
                  <w:noWrap/>
                  <w:vAlign w:val="center"/>
                </w:tcPr>
                <w:p w14:paraId="35D403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单位千瓦静态投资</w:t>
                  </w:r>
                </w:p>
              </w:tc>
              <w:tc>
                <w:tcPr>
                  <w:tcW w:w="989" w:type="dxa"/>
                  <w:tcBorders>
                    <w:top w:val="nil"/>
                    <w:left w:val="nil"/>
                    <w:bottom w:val="single" w:color="auto" w:sz="4" w:space="0"/>
                    <w:right w:val="single" w:color="auto" w:sz="4" w:space="0"/>
                  </w:tcBorders>
                  <w:noWrap/>
                  <w:vAlign w:val="center"/>
                </w:tcPr>
                <w:p w14:paraId="2BCAC1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元/kW</w:t>
                  </w:r>
                </w:p>
              </w:tc>
              <w:tc>
                <w:tcPr>
                  <w:tcW w:w="1462" w:type="dxa"/>
                  <w:tcBorders>
                    <w:top w:val="nil"/>
                    <w:left w:val="nil"/>
                    <w:bottom w:val="single" w:color="auto" w:sz="4" w:space="0"/>
                    <w:right w:val="single" w:color="auto" w:sz="4" w:space="0"/>
                  </w:tcBorders>
                  <w:noWrap/>
                  <w:vAlign w:val="center"/>
                </w:tcPr>
                <w:p w14:paraId="258E82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4758</w:t>
                  </w:r>
                </w:p>
              </w:tc>
              <w:tc>
                <w:tcPr>
                  <w:tcW w:w="934" w:type="dxa"/>
                  <w:vMerge w:val="continue"/>
                  <w:tcBorders>
                    <w:top w:val="nil"/>
                    <w:left w:val="single" w:color="auto" w:sz="4" w:space="0"/>
                    <w:bottom w:val="single" w:color="000000" w:sz="4" w:space="0"/>
                    <w:right w:val="single" w:color="auto" w:sz="4" w:space="0"/>
                  </w:tcBorders>
                  <w:noWrap w:val="0"/>
                  <w:vAlign w:val="center"/>
                </w:tcPr>
                <w:p w14:paraId="2C03FC3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p>
              </w:tc>
              <w:tc>
                <w:tcPr>
                  <w:tcW w:w="1482" w:type="dxa"/>
                  <w:tcBorders>
                    <w:top w:val="nil"/>
                    <w:left w:val="nil"/>
                    <w:bottom w:val="single" w:color="auto" w:sz="4" w:space="0"/>
                    <w:right w:val="single" w:color="auto" w:sz="4" w:space="0"/>
                  </w:tcBorders>
                  <w:noWrap/>
                  <w:vAlign w:val="center"/>
                </w:tcPr>
                <w:p w14:paraId="694B5E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临时用（租）地</w:t>
                  </w:r>
                </w:p>
              </w:tc>
              <w:tc>
                <w:tcPr>
                  <w:tcW w:w="981" w:type="dxa"/>
                  <w:tcBorders>
                    <w:top w:val="nil"/>
                    <w:left w:val="nil"/>
                    <w:bottom w:val="single" w:color="auto" w:sz="4" w:space="0"/>
                    <w:right w:val="single" w:color="auto" w:sz="4" w:space="0"/>
                  </w:tcBorders>
                  <w:noWrap/>
                  <w:vAlign w:val="center"/>
                </w:tcPr>
                <w:p w14:paraId="5B0A30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1"/>
                      <w:szCs w:val="21"/>
                      <w:highlight w:val="none"/>
                    </w:rPr>
                  </w:pP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c>
                <w:tcPr>
                  <w:tcW w:w="1150" w:type="dxa"/>
                  <w:tcBorders>
                    <w:top w:val="nil"/>
                    <w:left w:val="nil"/>
                    <w:bottom w:val="single" w:color="auto" w:sz="4" w:space="0"/>
                    <w:right w:val="single" w:color="auto" w:sz="4" w:space="0"/>
                  </w:tcBorders>
                  <w:noWrap/>
                  <w:vAlign w:val="center"/>
                </w:tcPr>
                <w:p w14:paraId="4F78BC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1.2935</w:t>
                  </w:r>
                </w:p>
              </w:tc>
            </w:tr>
            <w:tr w14:paraId="6B7DD482">
              <w:tblPrEx>
                <w:tblCellMar>
                  <w:top w:w="0" w:type="dxa"/>
                  <w:left w:w="108" w:type="dxa"/>
                  <w:bottom w:w="0" w:type="dxa"/>
                  <w:right w:w="108" w:type="dxa"/>
                </w:tblCellMar>
              </w:tblPrEx>
              <w:trPr>
                <w:trHeight w:val="368" w:hRule="atLeast"/>
              </w:trPr>
              <w:tc>
                <w:tcPr>
                  <w:tcW w:w="1130" w:type="dxa"/>
                  <w:tcBorders>
                    <w:top w:val="nil"/>
                    <w:left w:val="single" w:color="auto" w:sz="4" w:space="0"/>
                    <w:bottom w:val="single" w:color="auto" w:sz="4" w:space="0"/>
                    <w:right w:val="single" w:color="auto" w:sz="4" w:space="0"/>
                  </w:tcBorders>
                  <w:noWrap/>
                  <w:vAlign w:val="center"/>
                </w:tcPr>
                <w:p w14:paraId="4BDB41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单位千瓦投资</w:t>
                  </w:r>
                </w:p>
              </w:tc>
              <w:tc>
                <w:tcPr>
                  <w:tcW w:w="989" w:type="dxa"/>
                  <w:tcBorders>
                    <w:top w:val="nil"/>
                    <w:left w:val="nil"/>
                    <w:bottom w:val="single" w:color="auto" w:sz="4" w:space="0"/>
                    <w:right w:val="single" w:color="auto" w:sz="4" w:space="0"/>
                  </w:tcBorders>
                  <w:noWrap/>
                  <w:vAlign w:val="center"/>
                </w:tcPr>
                <w:p w14:paraId="2A0B7F1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元/kW</w:t>
                  </w:r>
                </w:p>
              </w:tc>
              <w:tc>
                <w:tcPr>
                  <w:tcW w:w="1462" w:type="dxa"/>
                  <w:tcBorders>
                    <w:top w:val="nil"/>
                    <w:left w:val="nil"/>
                    <w:bottom w:val="single" w:color="auto" w:sz="4" w:space="0"/>
                    <w:right w:val="single" w:color="auto" w:sz="4" w:space="0"/>
                  </w:tcBorders>
                  <w:noWrap/>
                  <w:vAlign w:val="center"/>
                </w:tcPr>
                <w:p w14:paraId="7B3F87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kern w:val="0"/>
                      <w:sz w:val="20"/>
                      <w:highlight w:val="none"/>
                      <w:lang w:val="en-US" w:eastAsia="zh-CN"/>
                    </w:rPr>
                  </w:pPr>
                  <w:r>
                    <w:rPr>
                      <w:rFonts w:hint="eastAsia" w:cs="Times New Roman"/>
                      <w:color w:val="auto"/>
                      <w:kern w:val="0"/>
                      <w:sz w:val="20"/>
                      <w:highlight w:val="none"/>
                      <w:lang w:val="en-US" w:eastAsia="zh-CN"/>
                    </w:rPr>
                    <w:t>4787</w:t>
                  </w:r>
                </w:p>
              </w:tc>
              <w:tc>
                <w:tcPr>
                  <w:tcW w:w="2416" w:type="dxa"/>
                  <w:gridSpan w:val="2"/>
                  <w:tcBorders>
                    <w:top w:val="single" w:color="auto" w:sz="4" w:space="0"/>
                    <w:left w:val="nil"/>
                    <w:bottom w:val="single" w:color="auto" w:sz="4" w:space="0"/>
                    <w:right w:val="single" w:color="auto" w:sz="4" w:space="0"/>
                  </w:tcBorders>
                  <w:noWrap w:val="0"/>
                  <w:vAlign w:val="center"/>
                </w:tcPr>
                <w:p w14:paraId="0253D7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总工期</w:t>
                  </w:r>
                </w:p>
              </w:tc>
              <w:tc>
                <w:tcPr>
                  <w:tcW w:w="981" w:type="dxa"/>
                  <w:tcBorders>
                    <w:top w:val="nil"/>
                    <w:left w:val="nil"/>
                    <w:bottom w:val="single" w:color="auto" w:sz="4" w:space="0"/>
                    <w:right w:val="single" w:color="auto" w:sz="4" w:space="0"/>
                  </w:tcBorders>
                  <w:noWrap/>
                  <w:vAlign w:val="center"/>
                </w:tcPr>
                <w:p w14:paraId="78B241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月</w:t>
                  </w:r>
                </w:p>
              </w:tc>
              <w:tc>
                <w:tcPr>
                  <w:tcW w:w="1150" w:type="dxa"/>
                  <w:tcBorders>
                    <w:top w:val="nil"/>
                    <w:left w:val="nil"/>
                    <w:bottom w:val="single" w:color="auto" w:sz="4" w:space="0"/>
                    <w:right w:val="single" w:color="auto" w:sz="4" w:space="0"/>
                  </w:tcBorders>
                  <w:noWrap/>
                  <w:vAlign w:val="center"/>
                </w:tcPr>
                <w:p w14:paraId="2E85D0BC">
                  <w:pPr>
                    <w:keepNext w:val="0"/>
                    <w:keepLines w:val="0"/>
                    <w:pageBreakBefore w:val="0"/>
                    <w:widowControl/>
                    <w:tabs>
                      <w:tab w:val="left" w:pos="575"/>
                    </w:tabs>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color w:val="auto"/>
                      <w:kern w:val="0"/>
                      <w:sz w:val="20"/>
                      <w:highlight w:val="none"/>
                      <w:lang w:eastAsia="zh-CN"/>
                    </w:rPr>
                  </w:pPr>
                  <w:r>
                    <w:rPr>
                      <w:rFonts w:ascii="Times New Roman" w:hAnsi="Times New Roman" w:cs="Times New Roman"/>
                      <w:color w:val="auto"/>
                      <w:kern w:val="0"/>
                      <w:sz w:val="20"/>
                      <w:highlight w:val="none"/>
                    </w:rPr>
                    <w:t>6</w:t>
                  </w:r>
                  <w:r>
                    <w:rPr>
                      <w:rFonts w:hint="eastAsia" w:cs="Times New Roman"/>
                      <w:color w:val="auto"/>
                      <w:kern w:val="0"/>
                      <w:sz w:val="20"/>
                      <w:highlight w:val="none"/>
                      <w:lang w:eastAsia="zh-CN"/>
                    </w:rPr>
                    <w:tab/>
                  </w:r>
                </w:p>
              </w:tc>
            </w:tr>
            <w:tr w14:paraId="0A4092C3">
              <w:tblPrEx>
                <w:tblCellMar>
                  <w:top w:w="0" w:type="dxa"/>
                  <w:left w:w="108" w:type="dxa"/>
                  <w:bottom w:w="0" w:type="dxa"/>
                  <w:right w:w="108" w:type="dxa"/>
                </w:tblCellMar>
              </w:tblPrEx>
              <w:trPr>
                <w:trHeight w:val="336" w:hRule="atLeast"/>
              </w:trPr>
              <w:tc>
                <w:tcPr>
                  <w:tcW w:w="1130" w:type="dxa"/>
                  <w:tcBorders>
                    <w:top w:val="nil"/>
                    <w:left w:val="single" w:color="auto" w:sz="4" w:space="0"/>
                    <w:bottom w:val="single" w:color="auto" w:sz="4" w:space="0"/>
                    <w:right w:val="single" w:color="auto" w:sz="4" w:space="0"/>
                  </w:tcBorders>
                  <w:noWrap/>
                  <w:vAlign w:val="center"/>
                </w:tcPr>
                <w:p w14:paraId="13D013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单位电量投资</w:t>
                  </w:r>
                </w:p>
              </w:tc>
              <w:tc>
                <w:tcPr>
                  <w:tcW w:w="989" w:type="dxa"/>
                  <w:tcBorders>
                    <w:top w:val="nil"/>
                    <w:left w:val="nil"/>
                    <w:bottom w:val="single" w:color="auto" w:sz="4" w:space="0"/>
                    <w:right w:val="single" w:color="auto" w:sz="4" w:space="0"/>
                  </w:tcBorders>
                  <w:noWrap/>
                  <w:vAlign w:val="center"/>
                </w:tcPr>
                <w:p w14:paraId="4B109B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元/kWh</w:t>
                  </w:r>
                </w:p>
              </w:tc>
              <w:tc>
                <w:tcPr>
                  <w:tcW w:w="1462" w:type="dxa"/>
                  <w:tcBorders>
                    <w:top w:val="nil"/>
                    <w:left w:val="nil"/>
                    <w:bottom w:val="single" w:color="auto" w:sz="4" w:space="0"/>
                    <w:right w:val="single" w:color="auto" w:sz="4" w:space="0"/>
                  </w:tcBorders>
                  <w:noWrap/>
                  <w:vAlign w:val="center"/>
                </w:tcPr>
                <w:p w14:paraId="1140CA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c>
                <w:tcPr>
                  <w:tcW w:w="2416" w:type="dxa"/>
                  <w:gridSpan w:val="2"/>
                  <w:tcBorders>
                    <w:top w:val="single" w:color="auto" w:sz="4" w:space="0"/>
                    <w:left w:val="nil"/>
                    <w:bottom w:val="single" w:color="auto" w:sz="4" w:space="0"/>
                    <w:right w:val="single" w:color="auto" w:sz="4" w:space="0"/>
                  </w:tcBorders>
                  <w:noWrap/>
                  <w:vAlign w:val="center"/>
                </w:tcPr>
                <w:p w14:paraId="2F5974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生产单位定员</w:t>
                  </w:r>
                </w:p>
              </w:tc>
              <w:tc>
                <w:tcPr>
                  <w:tcW w:w="981" w:type="dxa"/>
                  <w:tcBorders>
                    <w:top w:val="nil"/>
                    <w:left w:val="nil"/>
                    <w:bottom w:val="single" w:color="auto" w:sz="4" w:space="0"/>
                    <w:right w:val="single" w:color="auto" w:sz="4" w:space="0"/>
                  </w:tcBorders>
                  <w:noWrap/>
                  <w:vAlign w:val="center"/>
                </w:tcPr>
                <w:p w14:paraId="4070A1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人</w:t>
                  </w:r>
                </w:p>
              </w:tc>
              <w:tc>
                <w:tcPr>
                  <w:tcW w:w="1150" w:type="dxa"/>
                  <w:tcBorders>
                    <w:top w:val="nil"/>
                    <w:left w:val="nil"/>
                    <w:bottom w:val="single" w:color="auto" w:sz="4" w:space="0"/>
                    <w:right w:val="single" w:color="auto" w:sz="4" w:space="0"/>
                  </w:tcBorders>
                  <w:noWrap/>
                  <w:vAlign w:val="center"/>
                </w:tcPr>
                <w:p w14:paraId="287CFD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kern w:val="0"/>
                      <w:sz w:val="20"/>
                      <w:highlight w:val="none"/>
                    </w:rPr>
                  </w:pPr>
                  <w:r>
                    <w:rPr>
                      <w:rFonts w:ascii="Times New Roman" w:hAnsi="Times New Roman" w:cs="Times New Roman"/>
                      <w:color w:val="auto"/>
                      <w:kern w:val="0"/>
                      <w:sz w:val="20"/>
                      <w:highlight w:val="none"/>
                    </w:rPr>
                    <w:t>/</w:t>
                  </w:r>
                </w:p>
              </w:tc>
            </w:tr>
          </w:tbl>
          <w:p w14:paraId="02C4BC42">
            <w:pPr>
              <w:bidi w:val="0"/>
              <w:rPr>
                <w:rFonts w:hint="eastAsia" w:cs="Times New Roman"/>
                <w:color w:val="auto"/>
                <w:highlight w:val="none"/>
                <w:lang w:val="en-US" w:eastAsia="zh-CN"/>
              </w:rPr>
            </w:pPr>
          </w:p>
          <w:p w14:paraId="34D1267C">
            <w:pPr>
              <w:keepNext w:val="0"/>
              <w:keepLines w:val="0"/>
              <w:pageBreakBefore w:val="0"/>
              <w:widowControl w:val="0"/>
              <w:numPr>
                <w:ilvl w:val="0"/>
                <w:numId w:val="0"/>
              </w:numPr>
              <w:kinsoku/>
              <w:wordWrap/>
              <w:overflowPunct/>
              <w:topLinePunct w:val="0"/>
              <w:autoSpaceDE/>
              <w:autoSpaceDN/>
              <w:bidi w:val="0"/>
              <w:adjustRightInd w:val="0"/>
              <w:snapToGrid w:val="0"/>
              <w:ind w:firstLine="240" w:firstLineChars="1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（5）工程占地</w:t>
            </w:r>
          </w:p>
          <w:p w14:paraId="24BCD0BD">
            <w:pPr>
              <w:bidi w:val="0"/>
              <w:rPr>
                <w:rFonts w:hint="eastAsia" w:eastAsia="宋体"/>
                <w:color w:val="auto"/>
                <w:highlight w:val="none"/>
                <w:lang w:eastAsia="zh-CN"/>
              </w:rPr>
            </w:pPr>
            <w:r>
              <w:rPr>
                <w:rFonts w:hint="eastAsia" w:ascii="Times New Roman" w:hAnsi="Times New Roman" w:eastAsia="宋体" w:cs="Times New Roman"/>
                <w:color w:val="auto"/>
                <w:sz w:val="24"/>
                <w:szCs w:val="24"/>
                <w:highlight w:val="none"/>
                <w:lang w:val="en-US" w:eastAsia="zh-CN"/>
              </w:rPr>
              <w:t>本工程建设用地包括风机</w:t>
            </w:r>
            <w:r>
              <w:rPr>
                <w:rFonts w:hint="eastAsia" w:cs="Times New Roman"/>
                <w:color w:val="auto"/>
                <w:sz w:val="24"/>
                <w:szCs w:val="24"/>
                <w:highlight w:val="none"/>
                <w:lang w:val="en-US" w:eastAsia="zh-CN"/>
              </w:rPr>
              <w:t>基础、</w:t>
            </w:r>
            <w:r>
              <w:rPr>
                <w:rFonts w:hint="eastAsia" w:ascii="Times New Roman" w:hAnsi="Times New Roman" w:eastAsia="宋体" w:cs="Times New Roman"/>
                <w:color w:val="auto"/>
                <w:sz w:val="24"/>
                <w:szCs w:val="24"/>
                <w:highlight w:val="none"/>
                <w:lang w:val="en-US" w:eastAsia="zh-CN"/>
              </w:rPr>
              <w:t>箱变基础、开关站、集电线路、风机安装场地和施工临时设施等，其中风机</w:t>
            </w:r>
            <w:r>
              <w:rPr>
                <w:rFonts w:hint="eastAsia" w:cs="Times New Roman"/>
                <w:color w:val="auto"/>
                <w:sz w:val="24"/>
                <w:szCs w:val="24"/>
                <w:highlight w:val="none"/>
                <w:lang w:val="en-US" w:eastAsia="zh-CN"/>
              </w:rPr>
              <w:t>基础、</w:t>
            </w:r>
            <w:r>
              <w:rPr>
                <w:rFonts w:hint="eastAsia" w:ascii="Times New Roman" w:hAnsi="Times New Roman" w:eastAsia="宋体" w:cs="Times New Roman"/>
                <w:color w:val="auto"/>
                <w:sz w:val="24"/>
                <w:szCs w:val="24"/>
                <w:highlight w:val="none"/>
                <w:lang w:val="en-US" w:eastAsia="zh-CN"/>
              </w:rPr>
              <w:t>箱变基础、开关站为永久用地，风机安装场地、施工临时设施、施工道路、直埋电缆、堆土场为临时用地。根据施工方案，本项目总用地面积</w:t>
            </w:r>
            <w:r>
              <w:rPr>
                <w:rFonts w:hint="eastAsia" w:cs="Times New Roman"/>
                <w:color w:val="auto"/>
                <w:sz w:val="24"/>
                <w:szCs w:val="24"/>
                <w:highlight w:val="none"/>
                <w:lang w:val="en-US" w:eastAsia="zh-CN"/>
              </w:rPr>
              <w:t>1.5343</w:t>
            </w:r>
            <w:r>
              <w:rPr>
                <w:rFonts w:hint="eastAsia" w:ascii="Times New Roman" w:hAnsi="Times New Roman" w:eastAsia="宋体" w:cs="Times New Roman"/>
                <w:color w:val="auto"/>
                <w:sz w:val="24"/>
                <w:szCs w:val="24"/>
                <w:highlight w:val="none"/>
                <w:lang w:val="en-US" w:eastAsia="zh-CN"/>
              </w:rPr>
              <w:t>hm²，其中永久用地0.2408hm²，临时用地</w:t>
            </w:r>
            <w:r>
              <w:rPr>
                <w:rFonts w:hint="eastAsia" w:cs="Times New Roman"/>
                <w:color w:val="auto"/>
                <w:sz w:val="24"/>
                <w:szCs w:val="24"/>
                <w:highlight w:val="none"/>
                <w:lang w:val="en-US" w:eastAsia="zh-CN"/>
              </w:rPr>
              <w:t>1.2935</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eastAsia="宋体" w:cs="Times New Roman"/>
                <w:color w:val="auto"/>
                <w:sz w:val="24"/>
                <w:szCs w:val="24"/>
                <w:highlight w:val="none"/>
                <w:vertAlign w:val="baseline"/>
                <w:lang w:val="en-US" w:eastAsia="zh-CN"/>
              </w:rPr>
              <w:t>²。永久占地涉及林地0.0848hm²（含乔木林地0.0424hm²，灌木林地0.0424</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eastAsia="宋体" w:cs="Times New Roman"/>
                <w:color w:val="auto"/>
                <w:sz w:val="24"/>
                <w:szCs w:val="24"/>
                <w:highlight w:val="none"/>
                <w:vertAlign w:val="baseline"/>
                <w:lang w:val="en-US" w:eastAsia="zh-CN"/>
              </w:rPr>
              <w:t>²）、草地0.156hm²；临时占地涉及耕地（水浇地）0.0609hm²、林地</w:t>
            </w:r>
            <w:r>
              <w:rPr>
                <w:rFonts w:hint="eastAsia" w:cs="Times New Roman"/>
                <w:color w:val="auto"/>
                <w:sz w:val="24"/>
                <w:szCs w:val="24"/>
                <w:highlight w:val="none"/>
                <w:vertAlign w:val="baseline"/>
                <w:lang w:val="en-US" w:eastAsia="zh-CN"/>
              </w:rPr>
              <w:t>0.9644</w:t>
            </w:r>
            <w:r>
              <w:rPr>
                <w:rFonts w:hint="eastAsia" w:ascii="Times New Roman" w:hAnsi="Times New Roman" w:eastAsia="宋体" w:cs="Times New Roman"/>
                <w:color w:val="auto"/>
                <w:sz w:val="24"/>
                <w:szCs w:val="24"/>
                <w:highlight w:val="none"/>
                <w:lang w:val="en-US" w:eastAsia="zh-CN"/>
              </w:rPr>
              <w:t>h</w:t>
            </w:r>
            <w:r>
              <w:rPr>
                <w:rFonts w:hint="eastAsia" w:ascii="Times New Roman" w:hAnsi="Times New Roman" w:eastAsia="宋体" w:cs="Times New Roman"/>
                <w:color w:val="auto"/>
                <w:sz w:val="24"/>
                <w:szCs w:val="24"/>
                <w:highlight w:val="none"/>
                <w:vertAlign w:val="baseline"/>
                <w:lang w:val="en-US" w:eastAsia="zh-CN"/>
              </w:rPr>
              <w:t>m²（含乔木林地0.3490</w:t>
            </w:r>
            <w:r>
              <w:rPr>
                <w:rFonts w:hint="eastAsia" w:ascii="Times New Roman" w:hAnsi="Times New Roman" w:eastAsia="宋体" w:cs="Times New Roman"/>
                <w:color w:val="auto"/>
                <w:sz w:val="24"/>
                <w:szCs w:val="24"/>
                <w:highlight w:val="none"/>
                <w:lang w:val="en-US" w:eastAsia="zh-CN"/>
              </w:rPr>
              <w:t>h</w:t>
            </w:r>
            <w:r>
              <w:rPr>
                <w:rFonts w:hint="eastAsia" w:ascii="Times New Roman" w:hAnsi="Times New Roman" w:eastAsia="宋体" w:cs="Times New Roman"/>
                <w:color w:val="auto"/>
                <w:sz w:val="24"/>
                <w:szCs w:val="24"/>
                <w:highlight w:val="none"/>
                <w:vertAlign w:val="baseline"/>
                <w:lang w:val="en-US" w:eastAsia="zh-CN"/>
              </w:rPr>
              <w:t>m²，灌木林地</w:t>
            </w:r>
            <w:r>
              <w:rPr>
                <w:rFonts w:hint="eastAsia" w:cs="Times New Roman"/>
                <w:color w:val="auto"/>
                <w:sz w:val="24"/>
                <w:szCs w:val="24"/>
                <w:highlight w:val="none"/>
                <w:vertAlign w:val="baseline"/>
                <w:lang w:val="en-US" w:eastAsia="zh-CN"/>
              </w:rPr>
              <w:t>0.6155</w:t>
            </w:r>
            <w:r>
              <w:rPr>
                <w:rFonts w:hint="eastAsia" w:ascii="Times New Roman" w:hAnsi="Times New Roman" w:eastAsia="宋体" w:cs="Times New Roman"/>
                <w:color w:val="auto"/>
                <w:sz w:val="24"/>
                <w:szCs w:val="24"/>
                <w:highlight w:val="none"/>
                <w:vertAlign w:val="baseline"/>
                <w:lang w:val="en-US" w:eastAsia="zh-CN"/>
              </w:rPr>
              <w:t>hm²）、草地0.2588hm²、其他土地0.0093</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cs="Times New Roman"/>
                <w:color w:val="auto"/>
                <w:highlight w:val="none"/>
                <w:lang w:val="en-US" w:eastAsia="zh-CN"/>
              </w:rPr>
              <w:t>²。工程占地情况如下表所示。</w:t>
            </w:r>
          </w:p>
          <w:p w14:paraId="2B980B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bCs/>
                <w:color w:val="auto"/>
                <w:spacing w:val="-3"/>
                <w:sz w:val="21"/>
                <w:szCs w:val="21"/>
                <w:highlight w:val="none"/>
              </w:rPr>
            </w:pPr>
            <w:r>
              <w:rPr>
                <w:rFonts w:ascii="Times New Roman" w:hAnsi="Times New Roman" w:cs="Times New Roman"/>
                <w:b/>
                <w:bCs/>
                <w:color w:val="auto"/>
                <w:spacing w:val="-3"/>
                <w:sz w:val="21"/>
                <w:szCs w:val="21"/>
                <w:highlight w:val="none"/>
              </w:rPr>
              <w:t>表</w:t>
            </w:r>
            <w:r>
              <w:rPr>
                <w:rFonts w:hint="eastAsia" w:cs="Times New Roman"/>
                <w:b/>
                <w:bCs/>
                <w:color w:val="auto"/>
                <w:spacing w:val="-3"/>
                <w:sz w:val="21"/>
                <w:szCs w:val="21"/>
                <w:highlight w:val="none"/>
                <w:lang w:val="en-US" w:eastAsia="zh-CN"/>
              </w:rPr>
              <w:t>2-3</w:t>
            </w:r>
            <w:r>
              <w:rPr>
                <w:rFonts w:ascii="Times New Roman" w:hAnsi="Times New Roman" w:cs="Times New Roman"/>
                <w:b/>
                <w:bCs/>
                <w:color w:val="auto"/>
                <w:spacing w:val="-3"/>
                <w:sz w:val="21"/>
                <w:szCs w:val="21"/>
                <w:highlight w:val="none"/>
              </w:rPr>
              <w:t>工程占地情况一览表</w:t>
            </w:r>
          </w:p>
          <w:tbl>
            <w:tblPr>
              <w:tblStyle w:val="46"/>
              <w:tblW w:w="497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99"/>
              <w:gridCol w:w="1043"/>
              <w:gridCol w:w="978"/>
              <w:gridCol w:w="947"/>
              <w:gridCol w:w="643"/>
              <w:gridCol w:w="895"/>
              <w:gridCol w:w="1279"/>
              <w:gridCol w:w="10"/>
            </w:tblGrid>
            <w:tr w14:paraId="12E995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20" w:type="pct"/>
                  <w:vMerge w:val="restart"/>
                  <w:vAlign w:val="center"/>
                </w:tcPr>
                <w:p w14:paraId="345569ED">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项目名称</w:t>
                  </w:r>
                </w:p>
              </w:tc>
              <w:tc>
                <w:tcPr>
                  <w:tcW w:w="2783" w:type="pct"/>
                  <w:gridSpan w:val="5"/>
                  <w:tcBorders>
                    <w:bottom w:val="single" w:color="000000" w:sz="6" w:space="0"/>
                    <w:right w:val="single" w:color="auto" w:sz="4" w:space="0"/>
                  </w:tcBorders>
                  <w:vAlign w:val="center"/>
                </w:tcPr>
                <w:p w14:paraId="77BB616F">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占地类型（hm</w:t>
                  </w:r>
                  <w:r>
                    <w:rPr>
                      <w:rFonts w:ascii="Times New Roman" w:hAnsi="Times New Roman" w:cs="Times New Roman"/>
                      <w:color w:val="auto"/>
                      <w:highlight w:val="none"/>
                      <w:vertAlign w:val="superscript"/>
                    </w:rPr>
                    <w:t>2</w:t>
                  </w:r>
                  <w:r>
                    <w:rPr>
                      <w:rFonts w:ascii="Times New Roman" w:hAnsi="Times New Roman" w:cs="Times New Roman"/>
                      <w:color w:val="auto"/>
                      <w:highlight w:val="none"/>
                    </w:rPr>
                    <w:t>）</w:t>
                  </w:r>
                </w:p>
              </w:tc>
              <w:tc>
                <w:tcPr>
                  <w:tcW w:w="796" w:type="pct"/>
                  <w:gridSpan w:val="2"/>
                  <w:tcBorders>
                    <w:bottom w:val="single" w:color="000000" w:sz="6" w:space="0"/>
                  </w:tcBorders>
                  <w:vAlign w:val="center"/>
                </w:tcPr>
                <w:p w14:paraId="092A791B">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占地性质</w:t>
                  </w:r>
                </w:p>
              </w:tc>
            </w:tr>
            <w:tr w14:paraId="670B5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98" w:hRule="atLeast"/>
              </w:trPr>
              <w:tc>
                <w:tcPr>
                  <w:tcW w:w="1420" w:type="pct"/>
                  <w:vMerge w:val="continue"/>
                  <w:vAlign w:val="center"/>
                </w:tcPr>
                <w:p w14:paraId="136CAA10">
                  <w:pPr>
                    <w:pStyle w:val="28"/>
                    <w:bidi w:val="0"/>
                    <w:jc w:val="center"/>
                    <w:rPr>
                      <w:rFonts w:ascii="Times New Roman" w:hAnsi="Times New Roman" w:cs="Times New Roman"/>
                      <w:color w:val="auto"/>
                      <w:highlight w:val="none"/>
                    </w:rPr>
                  </w:pPr>
                </w:p>
              </w:tc>
              <w:tc>
                <w:tcPr>
                  <w:tcW w:w="644" w:type="pct"/>
                  <w:vMerge w:val="restart"/>
                  <w:tcBorders>
                    <w:top w:val="single" w:color="000000" w:sz="6" w:space="0"/>
                  </w:tcBorders>
                  <w:vAlign w:val="center"/>
                </w:tcPr>
                <w:p w14:paraId="215F6247">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草地</w:t>
                  </w:r>
                </w:p>
              </w:tc>
              <w:tc>
                <w:tcPr>
                  <w:tcW w:w="1189" w:type="pct"/>
                  <w:gridSpan w:val="2"/>
                  <w:tcBorders>
                    <w:top w:val="single" w:color="000000" w:sz="6" w:space="0"/>
                    <w:bottom w:val="single" w:color="auto" w:sz="4" w:space="0"/>
                  </w:tcBorders>
                  <w:vAlign w:val="center"/>
                </w:tcPr>
                <w:p w14:paraId="7CB7FA1D">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林地</w:t>
                  </w:r>
                </w:p>
              </w:tc>
              <w:tc>
                <w:tcPr>
                  <w:tcW w:w="397" w:type="pct"/>
                  <w:vMerge w:val="restart"/>
                  <w:tcBorders>
                    <w:top w:val="single" w:color="000000" w:sz="6" w:space="0"/>
                  </w:tcBorders>
                  <w:vAlign w:val="center"/>
                </w:tcPr>
                <w:p w14:paraId="22469787">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耕地</w:t>
                  </w:r>
                </w:p>
              </w:tc>
              <w:tc>
                <w:tcPr>
                  <w:tcW w:w="552" w:type="pct"/>
                  <w:vMerge w:val="restart"/>
                  <w:tcBorders>
                    <w:top w:val="single" w:color="000000" w:sz="6" w:space="0"/>
                    <w:right w:val="single" w:color="auto" w:sz="4" w:space="0"/>
                  </w:tcBorders>
                  <w:vAlign w:val="center"/>
                </w:tcPr>
                <w:p w14:paraId="6A549A65">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其他土</w:t>
                  </w:r>
                </w:p>
                <w:p w14:paraId="6C166C34">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地</w:t>
                  </w:r>
                </w:p>
              </w:tc>
              <w:tc>
                <w:tcPr>
                  <w:tcW w:w="790" w:type="pct"/>
                  <w:vMerge w:val="restart"/>
                  <w:tcBorders>
                    <w:top w:val="single" w:color="000000" w:sz="6" w:space="0"/>
                  </w:tcBorders>
                  <w:vAlign w:val="center"/>
                </w:tcPr>
                <w:p w14:paraId="2F3905D8">
                  <w:pPr>
                    <w:pStyle w:val="28"/>
                    <w:bidi w:val="0"/>
                    <w:jc w:val="center"/>
                    <w:rPr>
                      <w:rFonts w:ascii="Times New Roman" w:hAnsi="Times New Roman" w:cs="Times New Roman"/>
                      <w:color w:val="auto"/>
                      <w:highlight w:val="none"/>
                    </w:rPr>
                  </w:pPr>
                </w:p>
              </w:tc>
            </w:tr>
            <w:tr w14:paraId="6EBB55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64" w:hRule="atLeast"/>
              </w:trPr>
              <w:tc>
                <w:tcPr>
                  <w:tcW w:w="1420" w:type="pct"/>
                  <w:vMerge w:val="continue"/>
                  <w:vAlign w:val="center"/>
                </w:tcPr>
                <w:p w14:paraId="28917DD4">
                  <w:pPr>
                    <w:pStyle w:val="28"/>
                    <w:bidi w:val="0"/>
                    <w:jc w:val="center"/>
                    <w:rPr>
                      <w:rFonts w:ascii="Times New Roman" w:hAnsi="Times New Roman" w:cs="Times New Roman"/>
                      <w:color w:val="auto"/>
                      <w:highlight w:val="none"/>
                    </w:rPr>
                  </w:pPr>
                </w:p>
              </w:tc>
              <w:tc>
                <w:tcPr>
                  <w:tcW w:w="644" w:type="pct"/>
                  <w:vMerge w:val="continue"/>
                  <w:vAlign w:val="center"/>
                </w:tcPr>
                <w:p w14:paraId="78DF8DBD">
                  <w:pPr>
                    <w:pStyle w:val="28"/>
                    <w:bidi w:val="0"/>
                    <w:jc w:val="center"/>
                    <w:rPr>
                      <w:rFonts w:ascii="Times New Roman" w:hAnsi="Times New Roman" w:cs="Times New Roman"/>
                      <w:color w:val="auto"/>
                      <w:highlight w:val="none"/>
                    </w:rPr>
                  </w:pPr>
                </w:p>
              </w:tc>
              <w:tc>
                <w:tcPr>
                  <w:tcW w:w="604" w:type="pct"/>
                  <w:tcBorders>
                    <w:top w:val="single" w:color="auto" w:sz="4" w:space="0"/>
                    <w:right w:val="single" w:color="auto" w:sz="4" w:space="0"/>
                  </w:tcBorders>
                  <w:vAlign w:val="center"/>
                </w:tcPr>
                <w:p w14:paraId="54C2FC3F">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乔木林地</w:t>
                  </w:r>
                </w:p>
              </w:tc>
              <w:tc>
                <w:tcPr>
                  <w:tcW w:w="585" w:type="pct"/>
                  <w:tcBorders>
                    <w:top w:val="single" w:color="auto" w:sz="4" w:space="0"/>
                    <w:left w:val="single" w:color="auto" w:sz="4" w:space="0"/>
                  </w:tcBorders>
                  <w:vAlign w:val="center"/>
                </w:tcPr>
                <w:p w14:paraId="18BDBB2A">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灌木林地</w:t>
                  </w:r>
                </w:p>
              </w:tc>
              <w:tc>
                <w:tcPr>
                  <w:tcW w:w="397" w:type="pct"/>
                  <w:vMerge w:val="continue"/>
                  <w:vAlign w:val="center"/>
                </w:tcPr>
                <w:p w14:paraId="08CF64A6">
                  <w:pPr>
                    <w:pStyle w:val="28"/>
                    <w:bidi w:val="0"/>
                    <w:jc w:val="center"/>
                    <w:rPr>
                      <w:rFonts w:hint="eastAsia" w:ascii="Times New Roman" w:hAnsi="Times New Roman" w:cs="Times New Roman"/>
                      <w:color w:val="auto"/>
                      <w:highlight w:val="none"/>
                      <w:lang w:eastAsia="zh-CN"/>
                    </w:rPr>
                  </w:pPr>
                </w:p>
              </w:tc>
              <w:tc>
                <w:tcPr>
                  <w:tcW w:w="552" w:type="pct"/>
                  <w:vMerge w:val="continue"/>
                  <w:tcBorders>
                    <w:right w:val="single" w:color="auto" w:sz="4" w:space="0"/>
                  </w:tcBorders>
                  <w:vAlign w:val="center"/>
                </w:tcPr>
                <w:p w14:paraId="0BDDB638">
                  <w:pPr>
                    <w:pStyle w:val="28"/>
                    <w:bidi w:val="0"/>
                    <w:jc w:val="center"/>
                    <w:rPr>
                      <w:rFonts w:ascii="Times New Roman" w:hAnsi="Times New Roman" w:cs="Times New Roman"/>
                      <w:color w:val="auto"/>
                      <w:highlight w:val="none"/>
                    </w:rPr>
                  </w:pPr>
                </w:p>
              </w:tc>
              <w:tc>
                <w:tcPr>
                  <w:tcW w:w="790" w:type="pct"/>
                  <w:vMerge w:val="continue"/>
                  <w:vAlign w:val="center"/>
                </w:tcPr>
                <w:p w14:paraId="1CAB2961">
                  <w:pPr>
                    <w:pStyle w:val="28"/>
                    <w:bidi w:val="0"/>
                    <w:jc w:val="center"/>
                    <w:rPr>
                      <w:rFonts w:ascii="Times New Roman" w:hAnsi="Times New Roman" w:cs="Times New Roman"/>
                      <w:color w:val="auto"/>
                      <w:highlight w:val="none"/>
                    </w:rPr>
                  </w:pPr>
                </w:p>
              </w:tc>
            </w:tr>
            <w:tr w14:paraId="0185F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435" w:hRule="atLeast"/>
              </w:trPr>
              <w:tc>
                <w:tcPr>
                  <w:tcW w:w="1420" w:type="pct"/>
                  <w:tcBorders>
                    <w:bottom w:val="single" w:color="auto" w:sz="4" w:space="0"/>
                  </w:tcBorders>
                  <w:vAlign w:val="center"/>
                </w:tcPr>
                <w:p w14:paraId="1A6CDB72">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风机机组区</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风机基础</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箱变基础</w:t>
                  </w:r>
                  <w:r>
                    <w:rPr>
                      <w:rFonts w:hint="eastAsia" w:ascii="Times New Roman" w:hAnsi="Times New Roman" w:cs="Times New Roman"/>
                      <w:color w:val="auto"/>
                      <w:highlight w:val="none"/>
                      <w:lang w:eastAsia="zh-CN"/>
                    </w:rPr>
                    <w:t>、开关站）</w:t>
                  </w:r>
                </w:p>
              </w:tc>
              <w:tc>
                <w:tcPr>
                  <w:tcW w:w="644" w:type="pct"/>
                  <w:tcBorders>
                    <w:bottom w:val="single" w:color="auto" w:sz="4" w:space="0"/>
                  </w:tcBorders>
                  <w:vAlign w:val="center"/>
                </w:tcPr>
                <w:p w14:paraId="27AC6AD9">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0.156</w:t>
                  </w:r>
                </w:p>
              </w:tc>
              <w:tc>
                <w:tcPr>
                  <w:tcW w:w="604" w:type="pct"/>
                  <w:tcBorders>
                    <w:right w:val="single" w:color="auto" w:sz="4" w:space="0"/>
                  </w:tcBorders>
                  <w:vAlign w:val="center"/>
                </w:tcPr>
                <w:p w14:paraId="69B947E2">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585" w:type="pct"/>
                  <w:tcBorders>
                    <w:left w:val="single" w:color="auto" w:sz="4" w:space="0"/>
                  </w:tcBorders>
                  <w:vAlign w:val="center"/>
                </w:tcPr>
                <w:p w14:paraId="576A2FA2">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0.0374</w:t>
                  </w:r>
                </w:p>
              </w:tc>
              <w:tc>
                <w:tcPr>
                  <w:tcW w:w="397" w:type="pct"/>
                  <w:vAlign w:val="center"/>
                </w:tcPr>
                <w:p w14:paraId="456CE856">
                  <w:pPr>
                    <w:pStyle w:val="28"/>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3E6FB442">
                  <w:pPr>
                    <w:pStyle w:val="28"/>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790" w:type="pct"/>
                  <w:vAlign w:val="center"/>
                </w:tcPr>
                <w:p w14:paraId="090A7FFC">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永久占地</w:t>
                  </w:r>
                </w:p>
              </w:tc>
            </w:tr>
            <w:tr w14:paraId="0052C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298" w:hRule="atLeast"/>
              </w:trPr>
              <w:tc>
                <w:tcPr>
                  <w:tcW w:w="1420" w:type="pct"/>
                  <w:tcBorders>
                    <w:bottom w:val="single" w:color="auto" w:sz="4" w:space="0"/>
                  </w:tcBorders>
                  <w:vAlign w:val="center"/>
                </w:tcPr>
                <w:p w14:paraId="7640DFC3">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进站道路</w:t>
                  </w:r>
                </w:p>
              </w:tc>
              <w:tc>
                <w:tcPr>
                  <w:tcW w:w="644" w:type="pct"/>
                  <w:tcBorders>
                    <w:bottom w:val="single" w:color="auto" w:sz="4" w:space="0"/>
                  </w:tcBorders>
                  <w:vAlign w:val="center"/>
                </w:tcPr>
                <w:p w14:paraId="1CA86D53">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0058FA67">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0BBBDF48">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0.005</w:t>
                  </w:r>
                </w:p>
              </w:tc>
              <w:tc>
                <w:tcPr>
                  <w:tcW w:w="397" w:type="pct"/>
                  <w:vAlign w:val="center"/>
                </w:tcPr>
                <w:p w14:paraId="2FD81774">
                  <w:pPr>
                    <w:pStyle w:val="28"/>
                    <w:bidi w:val="0"/>
                    <w:jc w:val="center"/>
                    <w:rPr>
                      <w:rFonts w:hint="eastAsia" w:ascii="Times New Roman" w:hAnsi="Times New Roman" w:cs="Times New Roman"/>
                      <w:color w:val="auto"/>
                      <w:highlight w:val="none"/>
                      <w:lang w:val="en-US" w:eastAsia="zh-CN"/>
                    </w:rPr>
                  </w:pPr>
                </w:p>
              </w:tc>
              <w:tc>
                <w:tcPr>
                  <w:tcW w:w="552" w:type="pct"/>
                  <w:vAlign w:val="center"/>
                </w:tcPr>
                <w:p w14:paraId="7463A768">
                  <w:pPr>
                    <w:pStyle w:val="28"/>
                    <w:bidi w:val="0"/>
                    <w:jc w:val="center"/>
                    <w:rPr>
                      <w:rFonts w:hint="eastAsia" w:ascii="Times New Roman" w:hAnsi="Times New Roman" w:cs="Times New Roman"/>
                      <w:color w:val="auto"/>
                      <w:highlight w:val="none"/>
                      <w:lang w:val="en-US" w:eastAsia="zh-CN"/>
                    </w:rPr>
                  </w:pPr>
                </w:p>
              </w:tc>
              <w:tc>
                <w:tcPr>
                  <w:tcW w:w="790" w:type="pct"/>
                  <w:vAlign w:val="center"/>
                </w:tcPr>
                <w:p w14:paraId="7E24D9E9">
                  <w:pPr>
                    <w:pStyle w:val="28"/>
                    <w:bidi w:val="0"/>
                    <w:jc w:val="center"/>
                    <w:rPr>
                      <w:rFonts w:ascii="Times New Roman" w:hAnsi="Times New Roman" w:cs="Times New Roman"/>
                      <w:color w:val="auto"/>
                      <w:highlight w:val="none"/>
                    </w:rPr>
                  </w:pPr>
                </w:p>
              </w:tc>
            </w:tr>
            <w:tr w14:paraId="535A7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18" w:hRule="atLeast"/>
              </w:trPr>
              <w:tc>
                <w:tcPr>
                  <w:tcW w:w="1420" w:type="pct"/>
                  <w:tcBorders>
                    <w:top w:val="single" w:color="auto" w:sz="4" w:space="0"/>
                  </w:tcBorders>
                  <w:vAlign w:val="center"/>
                </w:tcPr>
                <w:p w14:paraId="39F82FFC">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小计</w:t>
                  </w:r>
                </w:p>
              </w:tc>
              <w:tc>
                <w:tcPr>
                  <w:tcW w:w="644" w:type="pct"/>
                  <w:vAlign w:val="center"/>
                </w:tcPr>
                <w:p w14:paraId="39A9F11C">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0.156</w:t>
                  </w:r>
                </w:p>
              </w:tc>
              <w:tc>
                <w:tcPr>
                  <w:tcW w:w="604" w:type="pct"/>
                  <w:tcBorders>
                    <w:right w:val="single" w:color="auto" w:sz="4" w:space="0"/>
                  </w:tcBorders>
                  <w:vAlign w:val="center"/>
                </w:tcPr>
                <w:p w14:paraId="0AB64350">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585" w:type="pct"/>
                  <w:tcBorders>
                    <w:left w:val="single" w:color="auto" w:sz="4" w:space="0"/>
                  </w:tcBorders>
                  <w:vAlign w:val="center"/>
                </w:tcPr>
                <w:p w14:paraId="49B7B930">
                  <w:pPr>
                    <w:pStyle w:val="28"/>
                    <w:bidi w:val="0"/>
                    <w:ind w:firstLine="0" w:firstLineChars="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397" w:type="pct"/>
                  <w:vAlign w:val="center"/>
                </w:tcPr>
                <w:p w14:paraId="0CCCB07C">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4543F79C">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790" w:type="pct"/>
                  <w:vAlign w:val="center"/>
                </w:tcPr>
                <w:p w14:paraId="3DCC21B3">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eastAsia="zh-CN"/>
                    </w:rPr>
                    <w:t>永久占地合计</w:t>
                  </w:r>
                  <w:r>
                    <w:rPr>
                      <w:rFonts w:hint="eastAsia" w:ascii="Times New Roman" w:hAnsi="Times New Roman" w:cs="Times New Roman"/>
                      <w:color w:val="auto"/>
                      <w:highlight w:val="none"/>
                      <w:lang w:val="en-US" w:eastAsia="zh-CN"/>
                    </w:rPr>
                    <w:t>0.2408</w:t>
                  </w: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r>
            <w:tr w14:paraId="6C965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02" w:hRule="atLeast"/>
              </w:trPr>
              <w:tc>
                <w:tcPr>
                  <w:tcW w:w="1420" w:type="pct"/>
                  <w:tcBorders>
                    <w:bottom w:val="single" w:color="auto" w:sz="4" w:space="0"/>
                  </w:tcBorders>
                  <w:shd w:val="clear" w:color="auto" w:fill="auto"/>
                  <w:vAlign w:val="center"/>
                </w:tcPr>
                <w:p w14:paraId="52DC0619">
                  <w:pPr>
                    <w:bidi w:val="0"/>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w:t>
                  </w:r>
                  <w:r>
                    <w:rPr>
                      <w:rFonts w:hint="eastAsia"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（吊装平台</w:t>
                  </w:r>
                  <w:r>
                    <w:rPr>
                      <w:rFonts w:hint="eastAsia"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w:t>
                  </w:r>
                </w:p>
              </w:tc>
              <w:tc>
                <w:tcPr>
                  <w:tcW w:w="644" w:type="pct"/>
                  <w:shd w:val="clear" w:color="auto" w:fill="auto"/>
                  <w:vAlign w:val="center"/>
                </w:tcPr>
                <w:p w14:paraId="6620B125">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shd w:val="clear" w:color="auto" w:fill="auto"/>
                  <w:vAlign w:val="center"/>
                </w:tcPr>
                <w:p w14:paraId="07734A02">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0.3353</w:t>
                  </w:r>
                </w:p>
              </w:tc>
              <w:tc>
                <w:tcPr>
                  <w:tcW w:w="585" w:type="pct"/>
                  <w:tcBorders>
                    <w:left w:val="single" w:color="auto" w:sz="4" w:space="0"/>
                  </w:tcBorders>
                  <w:shd w:val="clear" w:color="auto" w:fill="auto"/>
                  <w:vAlign w:val="center"/>
                </w:tcPr>
                <w:p w14:paraId="3F4FB8AA">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p>
              </w:tc>
              <w:tc>
                <w:tcPr>
                  <w:tcW w:w="397" w:type="pct"/>
                  <w:shd w:val="clear" w:color="auto" w:fill="auto"/>
                  <w:vAlign w:val="center"/>
                </w:tcPr>
                <w:p w14:paraId="504DECDB">
                  <w:pPr>
                    <w:pStyle w:val="28"/>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0.0609</w:t>
                  </w:r>
                </w:p>
              </w:tc>
              <w:tc>
                <w:tcPr>
                  <w:tcW w:w="552" w:type="pct"/>
                  <w:shd w:val="clear" w:color="auto" w:fill="auto"/>
                  <w:vAlign w:val="center"/>
                </w:tcPr>
                <w:p w14:paraId="6C9AE52F">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0.0093</w:t>
                  </w:r>
                </w:p>
              </w:tc>
              <w:tc>
                <w:tcPr>
                  <w:tcW w:w="790" w:type="pct"/>
                  <w:shd w:val="clear" w:color="auto" w:fill="auto"/>
                  <w:vAlign w:val="center"/>
                </w:tcPr>
                <w:p w14:paraId="6A751E5A">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26D83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98" w:hRule="atLeast"/>
              </w:trPr>
              <w:tc>
                <w:tcPr>
                  <w:tcW w:w="1420" w:type="pct"/>
                  <w:tcBorders>
                    <w:top w:val="single" w:color="auto" w:sz="4" w:space="0"/>
                    <w:bottom w:val="single" w:color="auto" w:sz="4" w:space="0"/>
                  </w:tcBorders>
                  <w:vAlign w:val="center"/>
                </w:tcPr>
                <w:p w14:paraId="63045C84">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地块2（吊装平台</w:t>
                  </w:r>
                  <w:r>
                    <w:rPr>
                      <w:rFonts w:hint="eastAsia"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w:t>
                  </w:r>
                </w:p>
              </w:tc>
              <w:tc>
                <w:tcPr>
                  <w:tcW w:w="644" w:type="pct"/>
                  <w:vAlign w:val="center"/>
                </w:tcPr>
                <w:p w14:paraId="0A50DB83">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0.2588</w:t>
                  </w:r>
                </w:p>
              </w:tc>
              <w:tc>
                <w:tcPr>
                  <w:tcW w:w="604" w:type="pct"/>
                  <w:tcBorders>
                    <w:right w:val="single" w:color="auto" w:sz="4" w:space="0"/>
                  </w:tcBorders>
                  <w:vAlign w:val="center"/>
                </w:tcPr>
                <w:p w14:paraId="645535E7">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0.0137</w:t>
                  </w:r>
                </w:p>
              </w:tc>
              <w:tc>
                <w:tcPr>
                  <w:tcW w:w="585" w:type="pct"/>
                  <w:tcBorders>
                    <w:left w:val="single" w:color="auto" w:sz="4" w:space="0"/>
                  </w:tcBorders>
                  <w:vAlign w:val="center"/>
                </w:tcPr>
                <w:p w14:paraId="3EF71CA3">
                  <w:pPr>
                    <w:pStyle w:val="28"/>
                    <w:bidi w:val="0"/>
                    <w:jc w:val="center"/>
                    <w:rPr>
                      <w:rFonts w:hint="eastAsia" w:ascii="Times New Roman" w:hAnsi="Times New Roman" w:cs="Times New Roman"/>
                      <w:color w:val="auto"/>
                      <w:highlight w:val="none"/>
                      <w:lang w:val="en-US" w:eastAsia="zh-CN"/>
                    </w:rPr>
                  </w:pPr>
                </w:p>
              </w:tc>
              <w:tc>
                <w:tcPr>
                  <w:tcW w:w="397" w:type="pct"/>
                  <w:vAlign w:val="center"/>
                </w:tcPr>
                <w:p w14:paraId="2D866EBC">
                  <w:pPr>
                    <w:pStyle w:val="28"/>
                    <w:bidi w:val="0"/>
                    <w:jc w:val="center"/>
                    <w:rPr>
                      <w:rFonts w:ascii="Times New Roman" w:hAnsi="Times New Roman" w:cs="Times New Roman"/>
                      <w:color w:val="auto"/>
                      <w:highlight w:val="none"/>
                    </w:rPr>
                  </w:pPr>
                </w:p>
              </w:tc>
              <w:tc>
                <w:tcPr>
                  <w:tcW w:w="552" w:type="pct"/>
                  <w:vAlign w:val="center"/>
                </w:tcPr>
                <w:p w14:paraId="292B5F7F">
                  <w:pPr>
                    <w:pStyle w:val="28"/>
                    <w:bidi w:val="0"/>
                    <w:jc w:val="center"/>
                    <w:rPr>
                      <w:rFonts w:ascii="Times New Roman" w:hAnsi="Times New Roman" w:cs="Times New Roman"/>
                      <w:color w:val="auto"/>
                      <w:highlight w:val="none"/>
                    </w:rPr>
                  </w:pPr>
                </w:p>
              </w:tc>
              <w:tc>
                <w:tcPr>
                  <w:tcW w:w="790" w:type="pct"/>
                  <w:vAlign w:val="center"/>
                </w:tcPr>
                <w:p w14:paraId="3E8D056C">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5A2A0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16" w:hRule="atLeast"/>
              </w:trPr>
              <w:tc>
                <w:tcPr>
                  <w:tcW w:w="1420" w:type="pct"/>
                  <w:tcBorders>
                    <w:top w:val="single" w:color="auto" w:sz="4" w:space="0"/>
                    <w:bottom w:val="single" w:color="auto" w:sz="4" w:space="0"/>
                  </w:tcBorders>
                  <w:vAlign w:val="center"/>
                </w:tcPr>
                <w:p w14:paraId="214B27EE">
                  <w:pPr>
                    <w:pStyle w:val="28"/>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w:t>
                  </w:r>
                  <w:r>
                    <w:rPr>
                      <w:rFonts w:hint="eastAsia" w:ascii="Times New Roman" w:hAnsi="Times New Roman"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（吊装平台</w:t>
                  </w:r>
                  <w:r>
                    <w:rPr>
                      <w:rFonts w:hint="eastAsia" w:ascii="Times New Roman" w:hAnsi="Times New Roman"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w:t>
                  </w:r>
                </w:p>
              </w:tc>
              <w:tc>
                <w:tcPr>
                  <w:tcW w:w="644" w:type="pct"/>
                  <w:vAlign w:val="center"/>
                </w:tcPr>
                <w:p w14:paraId="68DE4B5D">
                  <w:pPr>
                    <w:pStyle w:val="28"/>
                    <w:bidi w:val="0"/>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15CE87B3">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541DCBD1">
                  <w:pPr>
                    <w:pStyle w:val="28"/>
                    <w:bidi w:val="0"/>
                    <w:ind w:firstLine="0" w:firstLineChars="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0.2995</w:t>
                  </w:r>
                </w:p>
              </w:tc>
              <w:tc>
                <w:tcPr>
                  <w:tcW w:w="397" w:type="pct"/>
                  <w:vAlign w:val="center"/>
                </w:tcPr>
                <w:p w14:paraId="6B3C96B3">
                  <w:pPr>
                    <w:pStyle w:val="28"/>
                    <w:bidi w:val="0"/>
                    <w:ind w:firstLine="0" w:firstLineChars="0"/>
                    <w:jc w:val="center"/>
                    <w:rPr>
                      <w:rFonts w:ascii="Times New Roman" w:hAnsi="Times New Roman" w:cs="Times New Roman"/>
                      <w:color w:val="auto"/>
                      <w:highlight w:val="none"/>
                    </w:rPr>
                  </w:pPr>
                </w:p>
              </w:tc>
              <w:tc>
                <w:tcPr>
                  <w:tcW w:w="552" w:type="pct"/>
                  <w:vAlign w:val="center"/>
                </w:tcPr>
                <w:p w14:paraId="6E290267">
                  <w:pPr>
                    <w:pStyle w:val="28"/>
                    <w:bidi w:val="0"/>
                    <w:ind w:firstLine="0" w:firstLineChars="0"/>
                    <w:jc w:val="center"/>
                    <w:rPr>
                      <w:rFonts w:hint="default" w:ascii="Times New Roman" w:hAnsi="Times New Roman" w:eastAsia="宋体" w:cs="Times New Roman"/>
                      <w:color w:val="auto"/>
                      <w:highlight w:val="none"/>
                      <w:lang w:val="en-US" w:eastAsia="zh-CN"/>
                    </w:rPr>
                  </w:pPr>
                </w:p>
              </w:tc>
              <w:tc>
                <w:tcPr>
                  <w:tcW w:w="790" w:type="pct"/>
                  <w:vAlign w:val="center"/>
                </w:tcPr>
                <w:p w14:paraId="13B00770">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33A77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16" w:hRule="atLeast"/>
              </w:trPr>
              <w:tc>
                <w:tcPr>
                  <w:tcW w:w="1420" w:type="pct"/>
                  <w:tcBorders>
                    <w:top w:val="single" w:color="auto" w:sz="4" w:space="0"/>
                    <w:bottom w:val="single" w:color="auto" w:sz="4" w:space="0"/>
                  </w:tcBorders>
                  <w:vAlign w:val="center"/>
                </w:tcPr>
                <w:p w14:paraId="6BA0621F">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集电线路</w:t>
                  </w:r>
                </w:p>
              </w:tc>
              <w:tc>
                <w:tcPr>
                  <w:tcW w:w="644" w:type="pct"/>
                  <w:vAlign w:val="center"/>
                </w:tcPr>
                <w:p w14:paraId="054B48FF">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230D4F4D">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437F6A56">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397" w:type="pct"/>
                  <w:vAlign w:val="center"/>
                </w:tcPr>
                <w:p w14:paraId="2E4723E7">
                  <w:pPr>
                    <w:pStyle w:val="28"/>
                    <w:bidi w:val="0"/>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2D1B5887">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0.316（交通运输用地）</w:t>
                  </w:r>
                </w:p>
              </w:tc>
              <w:tc>
                <w:tcPr>
                  <w:tcW w:w="790" w:type="pct"/>
                  <w:vAlign w:val="center"/>
                </w:tcPr>
                <w:p w14:paraId="320777DE">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63CFE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09" w:hRule="atLeast"/>
              </w:trPr>
              <w:tc>
                <w:tcPr>
                  <w:tcW w:w="1420" w:type="pct"/>
                  <w:tcBorders>
                    <w:top w:val="single" w:color="auto" w:sz="4" w:space="0"/>
                    <w:bottom w:val="single" w:color="auto" w:sz="4" w:space="0"/>
                  </w:tcBorders>
                  <w:vAlign w:val="center"/>
                </w:tcPr>
                <w:p w14:paraId="76D7419B">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小计</w:t>
                  </w:r>
                </w:p>
              </w:tc>
              <w:tc>
                <w:tcPr>
                  <w:tcW w:w="644" w:type="pct"/>
                  <w:vAlign w:val="center"/>
                </w:tcPr>
                <w:p w14:paraId="45EF4BBA">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0.2588</w:t>
                  </w:r>
                </w:p>
              </w:tc>
              <w:tc>
                <w:tcPr>
                  <w:tcW w:w="1189" w:type="pct"/>
                  <w:gridSpan w:val="2"/>
                  <w:vAlign w:val="center"/>
                </w:tcPr>
                <w:p w14:paraId="2984C652">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0.6485</w:t>
                  </w:r>
                </w:p>
              </w:tc>
              <w:tc>
                <w:tcPr>
                  <w:tcW w:w="397" w:type="pct"/>
                  <w:vAlign w:val="center"/>
                </w:tcPr>
                <w:p w14:paraId="07852980">
                  <w:pPr>
                    <w:pStyle w:val="28"/>
                    <w:bidi w:val="0"/>
                    <w:jc w:val="center"/>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0.0609</w:t>
                  </w:r>
                </w:p>
              </w:tc>
              <w:tc>
                <w:tcPr>
                  <w:tcW w:w="552" w:type="pct"/>
                  <w:vAlign w:val="center"/>
                </w:tcPr>
                <w:p w14:paraId="7B578A3D">
                  <w:pPr>
                    <w:pStyle w:val="28"/>
                    <w:bidi w:val="0"/>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0.3253</w:t>
                  </w:r>
                </w:p>
              </w:tc>
              <w:tc>
                <w:tcPr>
                  <w:tcW w:w="790" w:type="pct"/>
                  <w:vAlign w:val="center"/>
                </w:tcPr>
                <w:p w14:paraId="191D878C">
                  <w:pPr>
                    <w:pStyle w:val="28"/>
                    <w:bidi w:val="0"/>
                    <w:jc w:val="center"/>
                    <w:rPr>
                      <w:rFonts w:ascii="Times New Roman" w:hAnsi="Times New Roman" w:cs="Times New Roman"/>
                      <w:color w:val="auto"/>
                      <w:highlight w:val="none"/>
                    </w:rPr>
                  </w:pPr>
                  <w:r>
                    <w:rPr>
                      <w:rFonts w:ascii="Times New Roman" w:hAnsi="Times New Roman" w:eastAsia="宋体" w:cs="Times New Roman"/>
                      <w:color w:val="auto"/>
                      <w:kern w:val="0"/>
                      <w:sz w:val="21"/>
                      <w:szCs w:val="21"/>
                      <w:highlight w:val="none"/>
                      <w:lang w:val="en-US" w:eastAsia="zh-CN" w:bidi="ar-SA"/>
                    </w:rPr>
                    <w:t>临时占地</w:t>
                  </w:r>
                  <w:r>
                    <w:rPr>
                      <w:rFonts w:hint="eastAsia" w:ascii="Times New Roman" w:hAnsi="Times New Roman" w:cs="Times New Roman"/>
                      <w:color w:val="auto"/>
                      <w:highlight w:val="none"/>
                      <w:lang w:eastAsia="zh-CN"/>
                    </w:rPr>
                    <w:t>合计</w:t>
                  </w:r>
                  <w:r>
                    <w:rPr>
                      <w:rFonts w:hint="eastAsia" w:ascii="Times New Roman" w:hAnsi="Times New Roman" w:cs="Times New Roman"/>
                      <w:color w:val="auto"/>
                      <w:highlight w:val="none"/>
                      <w:lang w:val="en-US" w:eastAsia="zh-CN"/>
                    </w:rPr>
                    <w:t>1.2935</w:t>
                  </w: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r>
          </w:tbl>
          <w:p w14:paraId="5ACA4F12">
            <w:pPr>
              <w:bidi w:val="0"/>
              <w:rPr>
                <w:rFonts w:hint="eastAsia" w:cs="Times New Roman"/>
                <w:color w:val="auto"/>
                <w:highlight w:val="none"/>
                <w:lang w:val="en-US" w:eastAsia="zh-CN"/>
              </w:rPr>
            </w:pPr>
          </w:p>
          <w:p w14:paraId="458AD3FE">
            <w:pPr>
              <w:bidi w:val="0"/>
              <w:rPr>
                <w:rFonts w:ascii="Times New Roman" w:hAnsi="Times New Roman" w:cs="Times New Roman"/>
                <w:color w:val="auto"/>
                <w:highlight w:val="none"/>
              </w:rPr>
            </w:pPr>
            <w:r>
              <w:rPr>
                <w:rFonts w:hint="eastAsia" w:cs="Times New Roman"/>
                <w:color w:val="auto"/>
                <w:highlight w:val="none"/>
                <w:lang w:val="en-US" w:eastAsia="zh-CN"/>
              </w:rPr>
              <w:t>6</w:t>
            </w:r>
            <w:r>
              <w:rPr>
                <w:rFonts w:hint="eastAsia" w:cs="Times New Roman"/>
                <w:color w:val="auto"/>
                <w:highlight w:val="none"/>
                <w:lang w:eastAsia="zh-CN"/>
              </w:rPr>
              <w:t>.</w:t>
            </w:r>
            <w:r>
              <w:rPr>
                <w:rFonts w:ascii="Times New Roman" w:hAnsi="Times New Roman" w:cs="Times New Roman"/>
                <w:color w:val="auto"/>
                <w:highlight w:val="none"/>
              </w:rPr>
              <w:t>劳动定员</w:t>
            </w:r>
          </w:p>
          <w:p w14:paraId="659F9B8E">
            <w:pPr>
              <w:bidi w:val="0"/>
              <w:rPr>
                <w:rFonts w:hint="eastAsia" w:eastAsia="宋体"/>
                <w:color w:val="auto"/>
                <w:lang w:eastAsia="zh-CN"/>
              </w:rPr>
            </w:pPr>
            <w:r>
              <w:rPr>
                <w:rFonts w:hint="eastAsia" w:ascii="Times New Roman" w:hAnsi="Times New Roman" w:cs="Times New Roman"/>
                <w:color w:val="auto"/>
                <w:highlight w:val="none"/>
                <w:lang w:eastAsia="zh-CN"/>
              </w:rPr>
              <w:t>项目建成后</w:t>
            </w:r>
            <w:r>
              <w:rPr>
                <w:rFonts w:hint="eastAsia" w:cs="Times New Roman"/>
                <w:color w:val="auto"/>
                <w:highlight w:val="none"/>
                <w:lang w:eastAsia="zh-CN"/>
              </w:rPr>
              <w:t>，场地内</w:t>
            </w:r>
            <w:r>
              <w:rPr>
                <w:rFonts w:hint="eastAsia" w:ascii="Times New Roman" w:hAnsi="Times New Roman" w:cs="Times New Roman"/>
                <w:color w:val="auto"/>
                <w:highlight w:val="none"/>
                <w:lang w:eastAsia="zh-CN"/>
              </w:rPr>
              <w:t>按“无人值班、无人值守”原则管理。运营期依托热水光伏电站管理人员</w:t>
            </w:r>
            <w:r>
              <w:rPr>
                <w:rFonts w:hint="eastAsia" w:cs="Times New Roman"/>
                <w:color w:val="auto"/>
                <w:highlight w:val="none"/>
                <w:lang w:eastAsia="zh-CN"/>
              </w:rPr>
              <w:t>进行管理</w:t>
            </w:r>
            <w:r>
              <w:rPr>
                <w:rFonts w:hint="eastAsia" w:cs="Times New Roman"/>
                <w:color w:val="auto"/>
                <w:highlight w:val="none"/>
                <w:lang w:val="en-US" w:eastAsia="zh-CN"/>
              </w:rPr>
              <w:t>。</w:t>
            </w:r>
          </w:p>
          <w:p w14:paraId="03E8B021">
            <w:pPr>
              <w:bidi w:val="0"/>
              <w:rPr>
                <w:rFonts w:ascii="Times New Roman" w:hAnsi="Times New Roman" w:cs="Times New Roman"/>
                <w:color w:val="auto"/>
                <w:highlight w:val="none"/>
              </w:rPr>
            </w:pPr>
            <w:r>
              <w:rPr>
                <w:rFonts w:hint="eastAsia" w:cs="Times New Roman"/>
                <w:color w:val="auto"/>
                <w:highlight w:val="none"/>
                <w:lang w:val="en-US" w:eastAsia="zh-CN"/>
              </w:rPr>
              <w:t>7</w:t>
            </w:r>
            <w:r>
              <w:rPr>
                <w:rFonts w:hint="eastAsia" w:cs="Times New Roman"/>
                <w:color w:val="auto"/>
                <w:highlight w:val="none"/>
                <w:lang w:eastAsia="zh-CN"/>
              </w:rPr>
              <w:t>.</w:t>
            </w:r>
            <w:r>
              <w:rPr>
                <w:rFonts w:ascii="Times New Roman" w:hAnsi="Times New Roman" w:cs="Times New Roman"/>
                <w:color w:val="auto"/>
                <w:highlight w:val="none"/>
              </w:rPr>
              <w:t>施工生产生活区</w:t>
            </w:r>
          </w:p>
          <w:p w14:paraId="60D01084">
            <w:pPr>
              <w:bidi w:val="0"/>
              <w:rPr>
                <w:rFonts w:ascii="Times New Roman" w:hAnsi="Times New Roman" w:cs="Times New Roman"/>
                <w:color w:val="auto"/>
                <w:highlight w:val="none"/>
              </w:rPr>
            </w:pPr>
            <w:r>
              <w:rPr>
                <w:rFonts w:ascii="Times New Roman" w:hAnsi="Times New Roman" w:cs="Times New Roman"/>
                <w:color w:val="auto"/>
                <w:highlight w:val="none"/>
              </w:rPr>
              <w:t>项目不设施工生产生活区，施工人员住宿依托附近民房，项目外购商品混凝土，施工现场及材料堆存依托风机平台及</w:t>
            </w:r>
            <w:r>
              <w:rPr>
                <w:rFonts w:hint="eastAsia" w:cs="Times New Roman"/>
                <w:color w:val="auto"/>
                <w:highlight w:val="none"/>
                <w:lang w:eastAsia="zh-CN"/>
              </w:rPr>
              <w:t>开关站</w:t>
            </w:r>
            <w:r>
              <w:rPr>
                <w:rFonts w:ascii="Times New Roman" w:hAnsi="Times New Roman" w:cs="Times New Roman"/>
                <w:color w:val="auto"/>
                <w:highlight w:val="none"/>
              </w:rPr>
              <w:t>征地范围，不单独设置堆场及施工场地。</w:t>
            </w:r>
          </w:p>
          <w:p w14:paraId="2632D95A">
            <w:pPr>
              <w:bidi w:val="0"/>
              <w:rPr>
                <w:rFonts w:ascii="Times New Roman" w:hAnsi="Times New Roman" w:cs="Times New Roman"/>
                <w:color w:val="auto"/>
                <w:highlight w:val="none"/>
              </w:rPr>
            </w:pPr>
            <w:r>
              <w:rPr>
                <w:rFonts w:hint="eastAsia" w:cs="Times New Roman"/>
                <w:color w:val="auto"/>
                <w:highlight w:val="none"/>
                <w:lang w:val="en-US" w:eastAsia="zh-CN"/>
              </w:rPr>
              <w:t>8</w:t>
            </w:r>
            <w:r>
              <w:rPr>
                <w:rFonts w:hint="eastAsia" w:cs="Times New Roman"/>
                <w:color w:val="auto"/>
                <w:highlight w:val="none"/>
                <w:lang w:eastAsia="zh-CN"/>
              </w:rPr>
              <w:t>.</w:t>
            </w:r>
            <w:r>
              <w:rPr>
                <w:rFonts w:ascii="Times New Roman" w:hAnsi="Times New Roman" w:cs="Times New Roman"/>
                <w:color w:val="auto"/>
                <w:highlight w:val="none"/>
              </w:rPr>
              <w:t>公用工程</w:t>
            </w:r>
          </w:p>
          <w:p w14:paraId="61F20869">
            <w:pPr>
              <w:bidi w:val="0"/>
              <w:rPr>
                <w:rFonts w:ascii="Times New Roman" w:hAnsi="Times New Roman" w:cs="Times New Roman"/>
                <w:color w:val="auto"/>
                <w:highlight w:val="none"/>
              </w:rPr>
            </w:pPr>
            <w:r>
              <w:rPr>
                <w:rFonts w:ascii="Times New Roman" w:hAnsi="Times New Roman" w:cs="Times New Roman"/>
                <w:color w:val="auto"/>
                <w:highlight w:val="none"/>
              </w:rPr>
              <w:t>（1）供水</w:t>
            </w:r>
          </w:p>
          <w:p w14:paraId="3097A1F8">
            <w:pPr>
              <w:spacing w:line="360" w:lineRule="auto"/>
              <w:ind w:firstLine="480" w:firstLineChars="200"/>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本工程施工用水从附近村庄引接市政管网，引接距离约1km。风电场运行期为“无人值班、无人值守”模式，可不考虑运行期生活用水。</w:t>
            </w:r>
          </w:p>
          <w:p w14:paraId="086DCBE3">
            <w:pPr>
              <w:bidi w:val="0"/>
              <w:rPr>
                <w:rFonts w:ascii="Times New Roman" w:hAnsi="Times New Roman" w:cs="Times New Roman"/>
                <w:color w:val="auto"/>
                <w:highlight w:val="none"/>
              </w:rPr>
            </w:pPr>
            <w:r>
              <w:rPr>
                <w:rFonts w:ascii="Times New Roman" w:hAnsi="Times New Roman" w:cs="Times New Roman"/>
                <w:color w:val="auto"/>
                <w:highlight w:val="none"/>
              </w:rPr>
              <w:t>（2）供电</w:t>
            </w:r>
          </w:p>
          <w:p w14:paraId="6AFF91C0">
            <w:pPr>
              <w:bidi w:val="0"/>
              <w:rPr>
                <w:rFonts w:ascii="Times New Roman" w:hAnsi="Times New Roman" w:cs="Times New Roman"/>
                <w:color w:val="auto"/>
                <w:highlight w:val="none"/>
              </w:rPr>
            </w:pPr>
            <w:r>
              <w:rPr>
                <w:rFonts w:hint="default" w:ascii="Times New Roman" w:hAnsi="Times New Roman" w:cs="Times New Roman"/>
                <w:color w:val="auto"/>
                <w:sz w:val="24"/>
                <w:szCs w:val="24"/>
                <w:highlight w:val="none"/>
              </w:rPr>
              <w:t>施工点较为分散，设置四台移动式柴油发电机作为风电机组施工电源</w:t>
            </w:r>
          </w:p>
          <w:p w14:paraId="08E911B3">
            <w:pPr>
              <w:bidi w:val="0"/>
              <w:rPr>
                <w:rFonts w:ascii="Times New Roman" w:hAnsi="Times New Roman" w:cs="Times New Roman"/>
                <w:color w:val="auto"/>
                <w:highlight w:val="none"/>
              </w:rPr>
            </w:pPr>
            <w:r>
              <w:rPr>
                <w:rFonts w:ascii="Times New Roman" w:hAnsi="Times New Roman" w:cs="Times New Roman"/>
                <w:color w:val="auto"/>
                <w:highlight w:val="none"/>
              </w:rPr>
              <w:t>（3）排水</w:t>
            </w:r>
          </w:p>
          <w:p w14:paraId="43AFC993">
            <w:pPr>
              <w:spacing w:line="360" w:lineRule="auto"/>
              <w:ind w:firstLine="480" w:firstLineChars="200"/>
              <w:rPr>
                <w:rFonts w:hint="default" w:ascii="Times New Roman" w:hAnsi="Times New Roman" w:eastAsia="宋体" w:cs="Times New Roman"/>
                <w:color w:val="auto"/>
                <w:w w:val="100"/>
                <w:sz w:val="24"/>
                <w:szCs w:val="24"/>
                <w:highlight w:val="none"/>
              </w:rPr>
            </w:pPr>
            <w:r>
              <w:rPr>
                <w:rFonts w:hint="default"/>
                <w:color w:val="auto"/>
                <w:w w:val="100"/>
                <w:sz w:val="24"/>
                <w:szCs w:val="24"/>
                <w:highlight w:val="none"/>
              </w:rPr>
              <w:t>开关站按“无人值班</w:t>
            </w:r>
            <w:r>
              <w:rPr>
                <w:color w:val="auto"/>
                <w:w w:val="100"/>
                <w:sz w:val="24"/>
                <w:szCs w:val="24"/>
                <w:highlight w:val="none"/>
              </w:rPr>
              <w:t>，</w:t>
            </w:r>
            <w:r>
              <w:rPr>
                <w:rFonts w:hint="default"/>
                <w:color w:val="auto"/>
                <w:w w:val="100"/>
                <w:sz w:val="24"/>
                <w:szCs w:val="24"/>
                <w:highlight w:val="none"/>
              </w:rPr>
              <w:t>无人</w:t>
            </w:r>
            <w:r>
              <w:rPr>
                <w:color w:val="auto"/>
                <w:w w:val="100"/>
                <w:sz w:val="24"/>
                <w:szCs w:val="24"/>
                <w:highlight w:val="none"/>
              </w:rPr>
              <w:t>值守</w:t>
            </w:r>
            <w:r>
              <w:rPr>
                <w:rFonts w:hint="default"/>
                <w:color w:val="auto"/>
                <w:w w:val="100"/>
                <w:sz w:val="24"/>
                <w:szCs w:val="24"/>
                <w:highlight w:val="none"/>
              </w:rPr>
              <w:t>”原则</w:t>
            </w:r>
            <w:r>
              <w:rPr>
                <w:color w:val="auto"/>
                <w:w w:val="100"/>
                <w:sz w:val="24"/>
                <w:szCs w:val="24"/>
                <w:highlight w:val="none"/>
              </w:rPr>
              <w:t>方式</w:t>
            </w:r>
            <w:r>
              <w:rPr>
                <w:rFonts w:hint="default"/>
                <w:color w:val="auto"/>
                <w:w w:val="100"/>
                <w:sz w:val="24"/>
                <w:szCs w:val="24"/>
                <w:highlight w:val="none"/>
                <w:lang w:eastAsia="zh-CN"/>
              </w:rPr>
              <w:t>，开关站四周设置雨水排放沟，</w:t>
            </w:r>
            <w:r>
              <w:rPr>
                <w:rFonts w:hint="default"/>
                <w:color w:val="auto"/>
                <w:w w:val="100"/>
                <w:sz w:val="24"/>
                <w:szCs w:val="24"/>
                <w:highlight w:val="none"/>
                <w:lang w:val="en-US" w:eastAsia="zh-CN"/>
              </w:rPr>
              <w:t>道路排水</w:t>
            </w:r>
            <w:r>
              <w:rPr>
                <w:rFonts w:hint="default" w:ascii="Times New Roman" w:hAnsi="Times New Roman" w:eastAsia="宋体" w:cs="Times New Roman"/>
                <w:color w:val="auto"/>
                <w:w w:val="100"/>
                <w:sz w:val="24"/>
                <w:szCs w:val="24"/>
                <w:highlight w:val="none"/>
              </w:rPr>
              <w:t>在路基两侧设置了边沟、排水沟等排水设施，并与涵洞和现有排水沟渠形成完整的排水体系。路面排水采用分散排水方式。</w:t>
            </w:r>
          </w:p>
          <w:p w14:paraId="5F88F904">
            <w:pPr>
              <w:bidi w:val="0"/>
              <w:rPr>
                <w:rFonts w:hint="eastAsia" w:cs="Times New Roman"/>
                <w:b/>
                <w:bCs/>
                <w:color w:val="auto"/>
                <w:lang w:val="en-US" w:eastAsia="zh-CN"/>
              </w:rPr>
            </w:pPr>
            <w:r>
              <w:rPr>
                <w:rFonts w:hint="eastAsia" w:ascii="Times New Roman" w:hAnsi="Times New Roman" w:cs="Times New Roman"/>
                <w:b/>
                <w:bCs/>
                <w:color w:val="auto"/>
                <w:w w:val="100"/>
                <w:sz w:val="24"/>
                <w:szCs w:val="24"/>
                <w:highlight w:val="none"/>
                <w:lang w:val="en-US" w:eastAsia="zh-CN"/>
              </w:rPr>
              <w:t>9、</w:t>
            </w:r>
            <w:r>
              <w:rPr>
                <w:rFonts w:hint="eastAsia" w:cs="Times New Roman"/>
                <w:b/>
                <w:bCs/>
                <w:color w:val="auto"/>
                <w:lang w:val="en-US" w:eastAsia="zh-CN"/>
              </w:rPr>
              <w:t>区域风资源</w:t>
            </w:r>
          </w:p>
          <w:p w14:paraId="2C438C87">
            <w:pPr>
              <w:bidi w:val="0"/>
              <w:rPr>
                <w:rFonts w:hint="eastAsia" w:eastAsia="宋体" w:cs="Times New Roman"/>
                <w:bCs/>
                <w:color w:val="auto"/>
                <w:lang w:val="en-US" w:eastAsia="zh-CN" w:bidi="ar"/>
              </w:rPr>
            </w:pPr>
            <w:r>
              <w:rPr>
                <w:rFonts w:hint="default" w:ascii="Times New Roman" w:hAnsi="Times New Roman" w:cs="Times New Roman"/>
                <w:color w:val="auto"/>
                <w:lang w:val="en-US" w:eastAsia="zh-CN"/>
              </w:rPr>
              <w:t>本项目位于云南省曲靖市宣威市热水镇海德村，场址海拔在2370~2409m之间。根据项目可行性研究报告，</w:t>
            </w:r>
            <w:r>
              <w:rPr>
                <w:rFonts w:hint="eastAsia" w:eastAsia="宋体" w:cs="Times New Roman"/>
                <w:bCs/>
                <w:color w:val="auto"/>
                <w:lang w:eastAsia="zh-CN" w:bidi="ar"/>
              </w:rPr>
              <w:t>海德村项目</w:t>
            </w:r>
            <w:r>
              <w:rPr>
                <w:rFonts w:hint="eastAsia" w:ascii="Times New Roman" w:hAnsi="Times New Roman" w:eastAsia="宋体" w:cs="Times New Roman"/>
                <w:bCs/>
                <w:color w:val="auto"/>
                <w:lang w:val="en-US" w:eastAsia="zh-CN" w:bidi="ar"/>
              </w:rPr>
              <w:t>风电场</w:t>
            </w:r>
            <w:r>
              <w:rPr>
                <w:rFonts w:hint="eastAsia" w:eastAsia="宋体" w:cs="Times New Roman"/>
                <w:bCs/>
                <w:color w:val="auto"/>
                <w:lang w:val="en-US" w:eastAsia="zh-CN" w:bidi="ar"/>
              </w:rPr>
              <w:t>1#号风机东南侧300m的位置</w:t>
            </w:r>
            <w:r>
              <w:rPr>
                <w:rFonts w:hint="eastAsia" w:ascii="Times New Roman" w:hAnsi="Times New Roman" w:eastAsia="宋体" w:cs="Times New Roman"/>
                <w:bCs/>
                <w:color w:val="auto"/>
                <w:lang w:val="en-US" w:eastAsia="zh-CN" w:bidi="ar"/>
              </w:rPr>
              <w:t>设</w:t>
            </w:r>
            <w:r>
              <w:rPr>
                <w:rFonts w:hint="eastAsia" w:eastAsia="宋体" w:cs="Times New Roman"/>
                <w:bCs/>
                <w:color w:val="auto"/>
                <w:lang w:val="en-US" w:eastAsia="zh-CN" w:bidi="ar"/>
              </w:rPr>
              <w:t>有</w:t>
            </w:r>
            <w:r>
              <w:rPr>
                <w:rFonts w:hint="default" w:ascii="Times New Roman" w:hAnsi="Times New Roman" w:eastAsia="宋体" w:cs="Times New Roman"/>
                <w:bCs/>
                <w:color w:val="auto"/>
                <w:lang w:val="en-US" w:eastAsia="zh-CN" w:bidi="ar"/>
              </w:rPr>
              <w:t>1</w:t>
            </w:r>
            <w:r>
              <w:rPr>
                <w:rFonts w:hint="eastAsia" w:ascii="Times New Roman" w:hAnsi="Times New Roman" w:eastAsia="宋体" w:cs="Times New Roman"/>
                <w:bCs/>
                <w:color w:val="auto"/>
                <w:lang w:val="en-US" w:eastAsia="zh-CN" w:bidi="ar"/>
              </w:rPr>
              <w:t>座测风塔，编号为</w:t>
            </w:r>
            <w:r>
              <w:rPr>
                <w:rFonts w:hint="eastAsia" w:eastAsia="宋体" w:cs="Times New Roman"/>
                <w:bCs/>
                <w:color w:val="auto"/>
                <w:lang w:val="en-US" w:eastAsia="zh-CN" w:bidi="ar"/>
              </w:rPr>
              <w:t>7150</w:t>
            </w:r>
            <w:r>
              <w:rPr>
                <w:rFonts w:hint="default" w:ascii="Times New Roman" w:hAnsi="Times New Roman" w:eastAsia="宋体" w:cs="Times New Roman"/>
                <w:bCs/>
                <w:color w:val="auto"/>
                <w:lang w:val="en-US" w:eastAsia="zh-CN" w:bidi="ar"/>
              </w:rPr>
              <w:t>#</w:t>
            </w:r>
            <w:r>
              <w:rPr>
                <w:rFonts w:hint="eastAsia" w:ascii="Times New Roman" w:hAnsi="Times New Roman" w:eastAsia="宋体" w:cs="Times New Roman"/>
                <w:bCs/>
                <w:color w:val="auto"/>
                <w:lang w:val="en-US" w:eastAsia="zh-CN" w:bidi="ar"/>
              </w:rPr>
              <w:t>，测风塔</w:t>
            </w:r>
            <w:r>
              <w:rPr>
                <w:rFonts w:hint="eastAsia" w:eastAsia="宋体" w:cs="Times New Roman"/>
                <w:bCs/>
                <w:color w:val="auto"/>
                <w:lang w:val="en-US" w:eastAsia="zh-CN" w:bidi="ar"/>
              </w:rPr>
              <w:t>7</w:t>
            </w:r>
            <w:r>
              <w:rPr>
                <w:rFonts w:hint="default" w:ascii="Times New Roman" w:hAnsi="Times New Roman" w:eastAsia="宋体" w:cs="Times New Roman"/>
                <w:bCs/>
                <w:color w:val="auto"/>
                <w:lang w:val="en-US" w:eastAsia="zh-CN" w:bidi="ar"/>
              </w:rPr>
              <w:t>0m</w:t>
            </w:r>
            <w:r>
              <w:rPr>
                <w:rFonts w:hint="eastAsia" w:eastAsia="宋体" w:cs="Times New Roman"/>
                <w:bCs/>
                <w:color w:val="auto"/>
                <w:lang w:val="en-US" w:eastAsia="zh-CN" w:bidi="ar"/>
              </w:rPr>
              <w:t>。</w:t>
            </w:r>
          </w:p>
          <w:p w14:paraId="7B4B6DF5">
            <w:pPr>
              <w:bidi w:val="0"/>
              <w:rPr>
                <w:rFonts w:hint="default" w:ascii="Times New Roman" w:hAnsi="Times New Roman" w:cs="Times New Roman"/>
                <w:color w:val="auto"/>
                <w:lang w:val="en-US" w:eastAsia="zh-CN"/>
              </w:rPr>
            </w:pPr>
            <w:r>
              <w:rPr>
                <w:rFonts w:hint="eastAsia" w:cs="Times New Roman"/>
                <w:color w:val="auto"/>
                <w:lang w:val="en-US" w:eastAsia="zh-CN"/>
              </w:rPr>
              <w:t>（1）</w:t>
            </w:r>
            <w:r>
              <w:rPr>
                <w:rFonts w:hint="default" w:ascii="Times New Roman" w:hAnsi="Times New Roman" w:cs="Times New Roman"/>
                <w:color w:val="auto"/>
                <w:lang w:val="en-US" w:eastAsia="zh-CN"/>
              </w:rPr>
              <w:t>风速特征</w:t>
            </w:r>
          </w:p>
          <w:p w14:paraId="7115DF94">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根据测风塔观测数据，测风塔70m高度处年均风速为7.75m/s</w:t>
            </w:r>
            <w:r>
              <w:rPr>
                <w:rFonts w:hint="eastAsia" w:cs="Times New Roman"/>
                <w:color w:val="auto"/>
                <w:lang w:val="en-US" w:eastAsia="zh-CN"/>
              </w:rPr>
              <w:t>，</w:t>
            </w:r>
            <w:r>
              <w:rPr>
                <w:rFonts w:hint="default" w:ascii="Times New Roman" w:hAnsi="Times New Roman" w:cs="Times New Roman"/>
                <w:color w:val="auto"/>
                <w:lang w:val="en-US" w:eastAsia="zh-CN"/>
              </w:rPr>
              <w:t>30m高度处年均风速为5.52m/s。在有效风速段内，30m高度上风速基本</w:t>
            </w:r>
            <w:r>
              <w:rPr>
                <w:rFonts w:hint="default" w:ascii="Times New Roman" w:hAnsi="Times New Roman" w:eastAsia="宋体" w:cs="Times New Roman"/>
                <w:color w:val="auto"/>
                <w:lang w:val="en-US" w:eastAsia="zh-CN"/>
              </w:rPr>
              <w:t>集中在6.90m/s~</w:t>
            </w:r>
            <w:r>
              <w:rPr>
                <w:rFonts w:hint="default" w:ascii="Times New Roman" w:hAnsi="Times New Roman" w:cs="Times New Roman"/>
                <w:color w:val="auto"/>
                <w:lang w:val="en-US" w:eastAsia="zh-CN"/>
              </w:rPr>
              <w:t>7.56m/s之间，风能集中在4.6m/s~10.1m/s风速段内。项目场址区域风能资源较为丰富，具备开发价值。</w:t>
            </w:r>
          </w:p>
          <w:p w14:paraId="2F802A3E">
            <w:pPr>
              <w:bidi w:val="0"/>
              <w:rPr>
                <w:rFonts w:hint="default" w:ascii="Times New Roman" w:hAnsi="Times New Roman" w:cs="Times New Roman"/>
                <w:color w:val="auto"/>
                <w:lang w:val="en-US" w:eastAsia="zh-CN"/>
              </w:rPr>
            </w:pPr>
            <w:r>
              <w:rPr>
                <w:rFonts w:hint="eastAsia" w:cs="Times New Roman"/>
                <w:color w:val="auto"/>
                <w:lang w:val="en-US" w:eastAsia="zh-CN"/>
              </w:rPr>
              <w:t>（2）</w:t>
            </w:r>
            <w:r>
              <w:rPr>
                <w:rFonts w:hint="default" w:ascii="Times New Roman" w:hAnsi="Times New Roman" w:cs="Times New Roman"/>
                <w:color w:val="auto"/>
                <w:lang w:val="en-US" w:eastAsia="zh-CN"/>
              </w:rPr>
              <w:t>风功率密度</w:t>
            </w:r>
          </w:p>
          <w:p w14:paraId="164B6C06">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根据测风数据推算，测风塔70m高度处年平均风功率密度约为350~400W/m</w:t>
            </w:r>
            <w:r>
              <w:rPr>
                <w:rFonts w:hint="eastAsia" w:cs="Times New Roman"/>
                <w:color w:val="auto"/>
                <w:vertAlign w:val="superscript"/>
                <w:lang w:val="en-US" w:eastAsia="zh-CN"/>
              </w:rPr>
              <w:t>2</w:t>
            </w:r>
            <w:r>
              <w:rPr>
                <w:rFonts w:hint="default" w:ascii="Times New Roman" w:hAnsi="Times New Roman" w:cs="Times New Roman"/>
                <w:color w:val="auto"/>
                <w:lang w:val="en-US" w:eastAsia="zh-CN"/>
              </w:rPr>
              <w:t>，根据《风电场风能资源评估方法》(GB/ 18710-2002)的风功率密度等级划分标准，项目所在区域风功率密度等级为3级，属于“风能资源较丰富”区域，适合建设风电场。</w:t>
            </w:r>
          </w:p>
          <w:p w14:paraId="2950B917">
            <w:pPr>
              <w:bidi w:val="0"/>
              <w:rPr>
                <w:rFonts w:hint="default" w:ascii="Times New Roman" w:hAnsi="Times New Roman" w:cs="Times New Roman"/>
                <w:color w:val="auto"/>
                <w:lang w:val="en-US" w:eastAsia="zh-CN"/>
              </w:rPr>
            </w:pPr>
            <w:r>
              <w:rPr>
                <w:rFonts w:hint="eastAsia" w:cs="Times New Roman"/>
                <w:color w:val="auto"/>
                <w:lang w:val="en-US" w:eastAsia="zh-CN"/>
              </w:rPr>
              <w:t>（3）</w:t>
            </w:r>
            <w:r>
              <w:rPr>
                <w:rFonts w:hint="default" w:ascii="Times New Roman" w:hAnsi="Times New Roman" w:cs="Times New Roman"/>
                <w:color w:val="auto"/>
                <w:lang w:val="en-US" w:eastAsia="zh-CN"/>
              </w:rPr>
              <w:t>风向与风能方向</w:t>
            </w:r>
          </w:p>
          <w:p w14:paraId="24BC9883">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场址区主导风向为西南风(SW)，次主导风向为南风(S)。风能方向与主导风向基本一致，主风能方向为SW~S扇区，有利于风机排布，减少尾流影响。</w:t>
            </w:r>
          </w:p>
          <w:p w14:paraId="37796A7E">
            <w:pPr>
              <w:bidi w:val="0"/>
              <w:rPr>
                <w:rFonts w:hint="default" w:ascii="Times New Roman" w:hAnsi="Times New Roman" w:cs="Times New Roman"/>
                <w:color w:val="auto"/>
                <w:lang w:val="en-US" w:eastAsia="zh-CN"/>
              </w:rPr>
            </w:pPr>
            <w:r>
              <w:rPr>
                <w:rFonts w:hint="eastAsia" w:cs="Times New Roman"/>
                <w:color w:val="auto"/>
                <w:lang w:val="en-US" w:eastAsia="zh-CN"/>
              </w:rPr>
              <w:t>（4）</w:t>
            </w:r>
            <w:r>
              <w:rPr>
                <w:rFonts w:hint="default" w:ascii="Times New Roman" w:hAnsi="Times New Roman" w:cs="Times New Roman"/>
                <w:color w:val="auto"/>
                <w:lang w:val="en-US" w:eastAsia="zh-CN"/>
              </w:rPr>
              <w:t>湍流强度</w:t>
            </w:r>
          </w:p>
          <w:p w14:paraId="425A6A3F">
            <w:pPr>
              <w:bidi w:val="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测风塔70m高度处15m/s风速段的满流强度约为0.12~0.15，属于中等满流强度，符合IEC标准中C类滿流等级要求，对风机选型无明显限制。</w:t>
            </w:r>
          </w:p>
          <w:p w14:paraId="52387815">
            <w:pPr>
              <w:pStyle w:val="11"/>
              <w:rPr>
                <w:rFonts w:hint="eastAsia" w:ascii="Times New Roman" w:hAnsi="Times New Roman" w:cs="Times New Roman"/>
                <w:color w:val="auto"/>
                <w:w w:val="100"/>
                <w:sz w:val="24"/>
                <w:szCs w:val="24"/>
                <w:highlight w:val="none"/>
                <w:lang w:val="en-US" w:eastAsia="zh-CN"/>
              </w:rPr>
            </w:pPr>
            <w:r>
              <w:rPr>
                <w:rFonts w:hint="eastAsia" w:ascii="Times New Roman" w:hAnsi="Times New Roman" w:cs="Times New Roman"/>
                <w:color w:val="auto"/>
                <w:w w:val="100"/>
                <w:sz w:val="24"/>
                <w:szCs w:val="24"/>
                <w:highlight w:val="none"/>
                <w:lang w:val="en-US" w:eastAsia="zh-CN"/>
              </w:rPr>
              <w:t>10、土石方平衡</w:t>
            </w:r>
          </w:p>
          <w:p w14:paraId="1FDF075A">
            <w:pPr>
              <w:spacing w:line="360" w:lineRule="auto"/>
              <w:ind w:firstLine="480" w:firstLineChars="200"/>
              <w:rPr>
                <w:rFonts w:hint="eastAsia" w:ascii="Times New Roman" w:hAnsi="Times New Roman" w:eastAsia="宋体" w:cs="Times New Roman"/>
                <w:color w:val="auto"/>
                <w:w w:val="100"/>
                <w:sz w:val="24"/>
                <w:szCs w:val="24"/>
                <w:highlight w:val="none"/>
                <w:lang w:val="en-US" w:eastAsia="zh-CN"/>
              </w:rPr>
            </w:pPr>
            <w:r>
              <w:rPr>
                <w:rFonts w:hint="default" w:ascii="Times New Roman" w:hAnsi="Times New Roman" w:eastAsia="宋体" w:cs="Times New Roman"/>
                <w:color w:val="auto"/>
                <w:w w:val="100"/>
                <w:sz w:val="24"/>
                <w:szCs w:val="24"/>
                <w:highlight w:val="none"/>
                <w:lang w:val="en-US" w:eastAsia="zh-CN"/>
              </w:rPr>
              <w:t>本项目施工共开挖土石方</w:t>
            </w:r>
            <w:r>
              <w:rPr>
                <w:rFonts w:hint="eastAsia" w:ascii="Times New Roman" w:hAnsi="Times New Roman" w:eastAsia="宋体" w:cs="Times New Roman"/>
                <w:color w:val="auto"/>
                <w:w w:val="100"/>
                <w:sz w:val="24"/>
                <w:szCs w:val="24"/>
                <w:highlight w:val="none"/>
                <w:lang w:val="en-US" w:eastAsia="zh-CN"/>
              </w:rPr>
              <w:t>26040.42</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（其中场平开挖</w:t>
            </w:r>
            <w:r>
              <w:rPr>
                <w:rFonts w:hint="eastAsia" w:ascii="Times New Roman" w:hAnsi="Times New Roman" w:eastAsia="宋体" w:cs="Times New Roman"/>
                <w:color w:val="auto"/>
                <w:w w:val="100"/>
                <w:sz w:val="24"/>
                <w:szCs w:val="24"/>
                <w:highlight w:val="none"/>
                <w:lang w:val="en-US" w:eastAsia="zh-CN"/>
              </w:rPr>
              <w:t>12934.42</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，基础开挖</w:t>
            </w:r>
            <w:r>
              <w:rPr>
                <w:rFonts w:hint="eastAsia" w:ascii="Times New Roman" w:hAnsi="Times New Roman" w:eastAsia="宋体" w:cs="Times New Roman"/>
                <w:color w:val="auto"/>
                <w:w w:val="100"/>
                <w:sz w:val="24"/>
                <w:szCs w:val="24"/>
                <w:highlight w:val="none"/>
                <w:lang w:val="en-US" w:eastAsia="zh-CN"/>
              </w:rPr>
              <w:t>13106.00</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）；回填</w:t>
            </w:r>
            <w:r>
              <w:rPr>
                <w:rFonts w:hint="eastAsia" w:ascii="Times New Roman" w:hAnsi="Times New Roman" w:eastAsia="宋体" w:cs="Times New Roman"/>
                <w:color w:val="auto"/>
                <w:w w:val="100"/>
                <w:sz w:val="24"/>
                <w:szCs w:val="24"/>
                <w:highlight w:val="none"/>
                <w:lang w:val="en-US" w:eastAsia="zh-CN"/>
              </w:rPr>
              <w:t>26040.42</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（其中场平回填</w:t>
            </w:r>
            <w:r>
              <w:rPr>
                <w:rFonts w:hint="eastAsia" w:ascii="Times New Roman" w:hAnsi="Times New Roman" w:eastAsia="宋体" w:cs="Times New Roman"/>
                <w:color w:val="auto"/>
                <w:w w:val="100"/>
                <w:sz w:val="24"/>
                <w:szCs w:val="24"/>
                <w:highlight w:val="none"/>
                <w:lang w:val="en-US" w:eastAsia="zh-CN"/>
              </w:rPr>
              <w:t>19455.53</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，用作建筑材料石方</w:t>
            </w:r>
            <w:r>
              <w:rPr>
                <w:rFonts w:hint="eastAsia" w:ascii="Times New Roman" w:hAnsi="Times New Roman" w:eastAsia="宋体" w:cs="Times New Roman"/>
                <w:color w:val="auto"/>
                <w:w w:val="100"/>
                <w:sz w:val="24"/>
                <w:szCs w:val="24"/>
                <w:highlight w:val="none"/>
                <w:lang w:val="en-US" w:eastAsia="zh-CN"/>
              </w:rPr>
              <w:t>442.25</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，基础回填</w:t>
            </w:r>
            <w:r>
              <w:rPr>
                <w:rFonts w:hint="eastAsia" w:ascii="Times New Roman" w:hAnsi="Times New Roman" w:eastAsia="宋体" w:cs="Times New Roman"/>
                <w:color w:val="auto"/>
                <w:w w:val="100"/>
                <w:sz w:val="24"/>
                <w:szCs w:val="24"/>
                <w:highlight w:val="none"/>
                <w:lang w:val="en-US" w:eastAsia="zh-CN"/>
              </w:rPr>
              <w:t>6142.64</w:t>
            </w:r>
            <w:r>
              <w:rPr>
                <w:rFonts w:hint="default" w:ascii="Times New Roman" w:hAnsi="Times New Roman" w:eastAsia="宋体" w:cs="Times New Roman"/>
                <w:color w:val="auto"/>
                <w:w w:val="100"/>
                <w:sz w:val="24"/>
                <w:szCs w:val="24"/>
                <w:highlight w:val="none"/>
                <w:lang w:val="en-US" w:eastAsia="zh-CN"/>
              </w:rPr>
              <w:t>m</w:t>
            </w:r>
            <w:r>
              <w:rPr>
                <w:rFonts w:hint="default" w:ascii="Times New Roman" w:hAnsi="Times New Roman" w:eastAsia="宋体" w:cs="Times New Roman"/>
                <w:color w:val="auto"/>
                <w:w w:val="100"/>
                <w:sz w:val="24"/>
                <w:szCs w:val="24"/>
                <w:highlight w:val="none"/>
                <w:vertAlign w:val="superscript"/>
                <w:lang w:val="en-US" w:eastAsia="zh-CN"/>
              </w:rPr>
              <w:t>3</w:t>
            </w:r>
            <w:r>
              <w:rPr>
                <w:rFonts w:hint="default" w:ascii="Times New Roman" w:hAnsi="Times New Roman" w:eastAsia="宋体" w:cs="Times New Roman"/>
                <w:color w:val="auto"/>
                <w:w w:val="100"/>
                <w:sz w:val="24"/>
                <w:szCs w:val="24"/>
                <w:highlight w:val="none"/>
                <w:lang w:val="en-US" w:eastAsia="zh-CN"/>
              </w:rPr>
              <w:t>），</w:t>
            </w:r>
            <w:r>
              <w:rPr>
                <w:rFonts w:hint="eastAsia" w:ascii="Times New Roman" w:hAnsi="Times New Roman" w:eastAsia="宋体" w:cs="Times New Roman"/>
                <w:color w:val="auto"/>
                <w:w w:val="100"/>
                <w:sz w:val="24"/>
                <w:szCs w:val="24"/>
                <w:highlight w:val="none"/>
                <w:lang w:val="en-US" w:eastAsia="zh-CN"/>
              </w:rPr>
              <w:t>无弃渣产生</w:t>
            </w:r>
            <w:r>
              <w:rPr>
                <w:rFonts w:hint="eastAsia" w:cs="Times New Roman"/>
                <w:color w:val="auto"/>
                <w:w w:val="100"/>
                <w:sz w:val="24"/>
                <w:szCs w:val="24"/>
                <w:highlight w:val="none"/>
                <w:lang w:val="en-US" w:eastAsia="zh-CN"/>
              </w:rPr>
              <w:t>，因此本项目不设置弃渣场</w:t>
            </w:r>
            <w:r>
              <w:rPr>
                <w:rFonts w:hint="eastAsia" w:ascii="Times New Roman" w:hAnsi="Times New Roman" w:eastAsia="宋体" w:cs="Times New Roman"/>
                <w:color w:val="auto"/>
                <w:w w:val="100"/>
                <w:sz w:val="24"/>
                <w:szCs w:val="24"/>
                <w:highlight w:val="none"/>
                <w:lang w:val="en-US" w:eastAsia="zh-CN"/>
              </w:rPr>
              <w:t>。</w:t>
            </w:r>
          </w:p>
          <w:p w14:paraId="32BA8BF5">
            <w:pPr>
              <w:pStyle w:val="49"/>
              <w:bidi w:val="0"/>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表2-3 项目区土石方情况一览表</w:t>
            </w:r>
          </w:p>
          <w:tbl>
            <w:tblPr>
              <w:tblStyle w:val="20"/>
              <w:tblW w:w="4998"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613"/>
              <w:gridCol w:w="514"/>
              <w:gridCol w:w="515"/>
              <w:gridCol w:w="515"/>
              <w:gridCol w:w="690"/>
              <w:gridCol w:w="594"/>
              <w:gridCol w:w="435"/>
              <w:gridCol w:w="515"/>
              <w:gridCol w:w="492"/>
              <w:gridCol w:w="490"/>
              <w:gridCol w:w="613"/>
              <w:gridCol w:w="441"/>
              <w:gridCol w:w="710"/>
              <w:gridCol w:w="318"/>
              <w:gridCol w:w="318"/>
              <w:gridCol w:w="328"/>
            </w:tblGrid>
            <w:tr w14:paraId="0104470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695" w:type="pct"/>
                  <w:gridSpan w:val="2"/>
                  <w:vMerge w:val="restart"/>
                  <w:tcBorders>
                    <w:tl2br w:val="nil"/>
                    <w:tr2bl w:val="nil"/>
                  </w:tcBorders>
                  <w:shd w:val="clear" w:color="auto" w:fill="auto"/>
                  <w:noWrap/>
                  <w:vAlign w:val="center"/>
                </w:tcPr>
                <w:p w14:paraId="77DA05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分区</w:t>
                  </w:r>
                </w:p>
              </w:tc>
              <w:tc>
                <w:tcPr>
                  <w:tcW w:w="1061" w:type="pct"/>
                  <w:gridSpan w:val="3"/>
                  <w:tcBorders>
                    <w:tl2br w:val="nil"/>
                    <w:tr2bl w:val="nil"/>
                  </w:tcBorders>
                  <w:shd w:val="clear" w:color="auto" w:fill="auto"/>
                  <w:noWrap/>
                  <w:vAlign w:val="center"/>
                </w:tcPr>
                <w:p w14:paraId="30045A1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仿宋_GB2312" w:hAnsi="等线" w:eastAsia="仿宋_GB2312" w:cs="仿宋_GB2312"/>
                      <w:b/>
                      <w:bCs/>
                      <w:i w:val="0"/>
                      <w:iCs w:val="0"/>
                      <w:color w:val="auto"/>
                      <w:sz w:val="18"/>
                      <w:szCs w:val="18"/>
                      <w:u w:val="none"/>
                      <w:lang w:eastAsia="zh-CN"/>
                    </w:rPr>
                  </w:pPr>
                  <w:r>
                    <w:rPr>
                      <w:rFonts w:hint="eastAsia" w:ascii="仿宋_GB2312" w:hAnsi="等线" w:eastAsia="仿宋_GB2312" w:cs="仿宋_GB2312"/>
                      <w:b/>
                      <w:bCs/>
                      <w:i w:val="0"/>
                      <w:iCs w:val="0"/>
                      <w:color w:val="auto"/>
                      <w:sz w:val="18"/>
                      <w:szCs w:val="18"/>
                      <w:u w:val="none"/>
                      <w:lang w:eastAsia="zh-CN"/>
                    </w:rPr>
                    <w:t>开挖</w:t>
                  </w:r>
                </w:p>
              </w:tc>
              <w:tc>
                <w:tcPr>
                  <w:tcW w:w="1256" w:type="pct"/>
                  <w:gridSpan w:val="4"/>
                  <w:tcBorders>
                    <w:tl2br w:val="nil"/>
                    <w:tr2bl w:val="nil"/>
                  </w:tcBorders>
                  <w:shd w:val="clear" w:color="auto" w:fill="auto"/>
                  <w:noWrap/>
                  <w:vAlign w:val="center"/>
                </w:tcPr>
                <w:p w14:paraId="1E48250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仿宋_GB2312" w:hAnsi="等线" w:eastAsia="仿宋_GB2312" w:cs="仿宋_GB2312"/>
                      <w:b/>
                      <w:bCs/>
                      <w:i w:val="0"/>
                      <w:iCs w:val="0"/>
                      <w:color w:val="auto"/>
                      <w:sz w:val="18"/>
                      <w:szCs w:val="18"/>
                      <w:u w:val="none"/>
                      <w:lang w:eastAsia="zh-CN"/>
                    </w:rPr>
                  </w:pPr>
                  <w:r>
                    <w:rPr>
                      <w:rFonts w:hint="eastAsia" w:ascii="仿宋_GB2312" w:hAnsi="等线" w:eastAsia="仿宋_GB2312" w:cs="仿宋_GB2312"/>
                      <w:b/>
                      <w:bCs/>
                      <w:i w:val="0"/>
                      <w:iCs w:val="0"/>
                      <w:color w:val="auto"/>
                      <w:sz w:val="18"/>
                      <w:szCs w:val="18"/>
                      <w:u w:val="none"/>
                      <w:lang w:eastAsia="zh-CN"/>
                    </w:rPr>
                    <w:t>回填</w:t>
                  </w:r>
                </w:p>
              </w:tc>
              <w:tc>
                <w:tcPr>
                  <w:tcW w:w="680" w:type="pct"/>
                  <w:gridSpan w:val="2"/>
                  <w:tcBorders>
                    <w:tl2br w:val="nil"/>
                    <w:tr2bl w:val="nil"/>
                  </w:tcBorders>
                  <w:shd w:val="clear" w:color="auto" w:fill="auto"/>
                  <w:noWrap/>
                  <w:vAlign w:val="center"/>
                </w:tcPr>
                <w:p w14:paraId="2593450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调入</w:t>
                  </w:r>
                </w:p>
              </w:tc>
              <w:tc>
                <w:tcPr>
                  <w:tcW w:w="710" w:type="pct"/>
                  <w:gridSpan w:val="2"/>
                  <w:tcBorders>
                    <w:tl2br w:val="nil"/>
                    <w:tr2bl w:val="nil"/>
                  </w:tcBorders>
                  <w:shd w:val="clear" w:color="auto" w:fill="auto"/>
                  <w:noWrap/>
                  <w:vAlign w:val="center"/>
                </w:tcPr>
                <w:p w14:paraId="31E3513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调出</w:t>
                  </w:r>
                </w:p>
              </w:tc>
              <w:tc>
                <w:tcPr>
                  <w:tcW w:w="196" w:type="pct"/>
                  <w:vMerge w:val="restart"/>
                  <w:tcBorders>
                    <w:tl2br w:val="nil"/>
                    <w:tr2bl w:val="nil"/>
                  </w:tcBorders>
                  <w:shd w:val="clear" w:color="auto" w:fill="auto"/>
                  <w:noWrap/>
                  <w:vAlign w:val="center"/>
                </w:tcPr>
                <w:p w14:paraId="747D17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外借</w:t>
                  </w:r>
                </w:p>
              </w:tc>
              <w:tc>
                <w:tcPr>
                  <w:tcW w:w="398" w:type="pct"/>
                  <w:gridSpan w:val="2"/>
                  <w:tcBorders>
                    <w:tl2br w:val="nil"/>
                    <w:tr2bl w:val="nil"/>
                  </w:tcBorders>
                  <w:shd w:val="clear" w:color="auto" w:fill="auto"/>
                  <w:noWrap/>
                  <w:vAlign w:val="center"/>
                </w:tcPr>
                <w:p w14:paraId="0C088E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余方</w:t>
                  </w:r>
                </w:p>
              </w:tc>
            </w:tr>
            <w:tr w14:paraId="00BF68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695" w:type="pct"/>
                  <w:gridSpan w:val="2"/>
                  <w:vMerge w:val="continue"/>
                  <w:tcBorders>
                    <w:tl2br w:val="nil"/>
                    <w:tr2bl w:val="nil"/>
                  </w:tcBorders>
                  <w:shd w:val="clear" w:color="auto" w:fill="auto"/>
                  <w:noWrap/>
                  <w:vAlign w:val="center"/>
                </w:tcPr>
                <w:p w14:paraId="65B70D3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b/>
                      <w:bCs/>
                      <w:i w:val="0"/>
                      <w:iCs w:val="0"/>
                      <w:color w:val="auto"/>
                      <w:sz w:val="18"/>
                      <w:szCs w:val="18"/>
                      <w:u w:val="none"/>
                    </w:rPr>
                  </w:pPr>
                </w:p>
              </w:tc>
              <w:tc>
                <w:tcPr>
                  <w:tcW w:w="317" w:type="pct"/>
                  <w:tcBorders>
                    <w:tl2br w:val="nil"/>
                    <w:tr2bl w:val="nil"/>
                  </w:tcBorders>
                  <w:shd w:val="clear" w:color="auto" w:fill="auto"/>
                  <w:noWrap/>
                  <w:vAlign w:val="center"/>
                </w:tcPr>
                <w:p w14:paraId="1AAD7D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场地平整</w:t>
                  </w:r>
                </w:p>
              </w:tc>
              <w:tc>
                <w:tcPr>
                  <w:tcW w:w="317" w:type="pct"/>
                  <w:tcBorders>
                    <w:tl2br w:val="nil"/>
                    <w:tr2bl w:val="nil"/>
                  </w:tcBorders>
                  <w:shd w:val="clear" w:color="auto" w:fill="auto"/>
                  <w:noWrap/>
                  <w:vAlign w:val="center"/>
                </w:tcPr>
                <w:p w14:paraId="2A803B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基础开挖</w:t>
                  </w:r>
                </w:p>
              </w:tc>
              <w:tc>
                <w:tcPr>
                  <w:tcW w:w="425" w:type="pct"/>
                  <w:tcBorders>
                    <w:tl2br w:val="nil"/>
                    <w:tr2bl w:val="nil"/>
                  </w:tcBorders>
                  <w:shd w:val="clear" w:color="auto" w:fill="auto"/>
                  <w:noWrap/>
                  <w:vAlign w:val="center"/>
                </w:tcPr>
                <w:p w14:paraId="551940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小计</w:t>
                  </w:r>
                </w:p>
              </w:tc>
              <w:tc>
                <w:tcPr>
                  <w:tcW w:w="366" w:type="pct"/>
                  <w:tcBorders>
                    <w:tl2br w:val="nil"/>
                    <w:tr2bl w:val="nil"/>
                  </w:tcBorders>
                  <w:shd w:val="clear" w:color="auto" w:fill="auto"/>
                  <w:noWrap/>
                  <w:vAlign w:val="center"/>
                </w:tcPr>
                <w:p w14:paraId="23860A8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场地回填</w:t>
                  </w:r>
                </w:p>
              </w:tc>
              <w:tc>
                <w:tcPr>
                  <w:tcW w:w="268" w:type="pct"/>
                  <w:tcBorders>
                    <w:tl2br w:val="nil"/>
                    <w:tr2bl w:val="nil"/>
                  </w:tcBorders>
                  <w:shd w:val="clear" w:color="auto" w:fill="auto"/>
                  <w:noWrap/>
                  <w:vAlign w:val="center"/>
                </w:tcPr>
                <w:p w14:paraId="38159B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建筑材料利用</w:t>
                  </w:r>
                </w:p>
              </w:tc>
              <w:tc>
                <w:tcPr>
                  <w:tcW w:w="317" w:type="pct"/>
                  <w:tcBorders>
                    <w:tl2br w:val="nil"/>
                    <w:tr2bl w:val="nil"/>
                  </w:tcBorders>
                  <w:shd w:val="clear" w:color="auto" w:fill="auto"/>
                  <w:noWrap/>
                  <w:vAlign w:val="center"/>
                </w:tcPr>
                <w:p w14:paraId="6B26CA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基础回填</w:t>
                  </w:r>
                </w:p>
              </w:tc>
              <w:tc>
                <w:tcPr>
                  <w:tcW w:w="303" w:type="pct"/>
                  <w:tcBorders>
                    <w:tl2br w:val="nil"/>
                    <w:tr2bl w:val="nil"/>
                  </w:tcBorders>
                  <w:shd w:val="clear" w:color="auto" w:fill="auto"/>
                  <w:noWrap/>
                  <w:vAlign w:val="center"/>
                </w:tcPr>
                <w:p w14:paraId="3C847ED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小计</w:t>
                  </w:r>
                </w:p>
              </w:tc>
              <w:tc>
                <w:tcPr>
                  <w:tcW w:w="302" w:type="pct"/>
                  <w:tcBorders>
                    <w:tl2br w:val="nil"/>
                    <w:tr2bl w:val="nil"/>
                  </w:tcBorders>
                  <w:shd w:val="clear" w:color="auto" w:fill="auto"/>
                  <w:noWrap/>
                  <w:vAlign w:val="center"/>
                </w:tcPr>
                <w:p w14:paraId="5AE755A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数量</w:t>
                  </w:r>
                </w:p>
              </w:tc>
              <w:tc>
                <w:tcPr>
                  <w:tcW w:w="378" w:type="pct"/>
                  <w:tcBorders>
                    <w:tl2br w:val="nil"/>
                    <w:tr2bl w:val="nil"/>
                  </w:tcBorders>
                  <w:shd w:val="clear" w:color="auto" w:fill="auto"/>
                  <w:noWrap/>
                  <w:vAlign w:val="center"/>
                </w:tcPr>
                <w:p w14:paraId="5A8B66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来源</w:t>
                  </w:r>
                </w:p>
              </w:tc>
              <w:tc>
                <w:tcPr>
                  <w:tcW w:w="272" w:type="pct"/>
                  <w:tcBorders>
                    <w:tl2br w:val="nil"/>
                    <w:tr2bl w:val="nil"/>
                  </w:tcBorders>
                  <w:shd w:val="clear" w:color="auto" w:fill="auto"/>
                  <w:noWrap/>
                  <w:vAlign w:val="center"/>
                </w:tcPr>
                <w:p w14:paraId="7A8889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数量</w:t>
                  </w:r>
                </w:p>
              </w:tc>
              <w:tc>
                <w:tcPr>
                  <w:tcW w:w="438" w:type="pct"/>
                  <w:tcBorders>
                    <w:tl2br w:val="nil"/>
                    <w:tr2bl w:val="nil"/>
                  </w:tcBorders>
                  <w:shd w:val="clear" w:color="auto" w:fill="auto"/>
                  <w:noWrap/>
                  <w:vAlign w:val="center"/>
                </w:tcPr>
                <w:p w14:paraId="3D67860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去向</w:t>
                  </w:r>
                </w:p>
              </w:tc>
              <w:tc>
                <w:tcPr>
                  <w:tcW w:w="196" w:type="pct"/>
                  <w:vMerge w:val="continue"/>
                  <w:tcBorders>
                    <w:tl2br w:val="nil"/>
                    <w:tr2bl w:val="nil"/>
                  </w:tcBorders>
                  <w:shd w:val="clear" w:color="auto" w:fill="auto"/>
                  <w:noWrap/>
                  <w:vAlign w:val="center"/>
                </w:tcPr>
                <w:p w14:paraId="7C9D995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b/>
                      <w:bCs/>
                      <w:i w:val="0"/>
                      <w:iCs w:val="0"/>
                      <w:color w:val="auto"/>
                      <w:sz w:val="18"/>
                      <w:szCs w:val="18"/>
                      <w:u w:val="none"/>
                    </w:rPr>
                  </w:pPr>
                </w:p>
              </w:tc>
              <w:tc>
                <w:tcPr>
                  <w:tcW w:w="196" w:type="pct"/>
                  <w:tcBorders>
                    <w:tl2br w:val="nil"/>
                    <w:tr2bl w:val="nil"/>
                  </w:tcBorders>
                  <w:shd w:val="clear" w:color="auto" w:fill="auto"/>
                  <w:noWrap/>
                  <w:vAlign w:val="center"/>
                </w:tcPr>
                <w:p w14:paraId="59510BB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数量</w:t>
                  </w:r>
                </w:p>
              </w:tc>
              <w:tc>
                <w:tcPr>
                  <w:tcW w:w="202" w:type="pct"/>
                  <w:tcBorders>
                    <w:tl2br w:val="nil"/>
                    <w:tr2bl w:val="nil"/>
                  </w:tcBorders>
                  <w:shd w:val="clear" w:color="auto" w:fill="auto"/>
                  <w:noWrap/>
                  <w:vAlign w:val="center"/>
                </w:tcPr>
                <w:p w14:paraId="33A0B0F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去向</w:t>
                  </w:r>
                </w:p>
              </w:tc>
            </w:tr>
            <w:tr w14:paraId="793E71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378" w:type="pct"/>
                  <w:vMerge w:val="restart"/>
                  <w:tcBorders>
                    <w:tl2br w:val="nil"/>
                    <w:tr2bl w:val="nil"/>
                  </w:tcBorders>
                  <w:shd w:val="clear" w:color="auto" w:fill="auto"/>
                  <w:vAlign w:val="center"/>
                </w:tcPr>
                <w:p w14:paraId="4B5464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8"/>
                      <w:szCs w:val="18"/>
                      <w:u w:val="none"/>
                    </w:rPr>
                  </w:pPr>
                  <w:r>
                    <w:rPr>
                      <w:rFonts w:hint="default" w:ascii="仿宋_GB2312" w:hAnsi="等线" w:eastAsia="仿宋_GB2312" w:cs="仿宋_GB2312"/>
                      <w:i w:val="0"/>
                      <w:iCs w:val="0"/>
                      <w:color w:val="auto"/>
                      <w:kern w:val="0"/>
                      <w:sz w:val="18"/>
                      <w:szCs w:val="18"/>
                      <w:u w:val="none"/>
                      <w:lang w:val="en-US" w:eastAsia="zh-CN" w:bidi="ar"/>
                    </w:rPr>
                    <w:t>风机机组区</w:t>
                  </w:r>
                </w:p>
              </w:tc>
              <w:tc>
                <w:tcPr>
                  <w:tcW w:w="317" w:type="pct"/>
                  <w:tcBorders>
                    <w:tl2br w:val="nil"/>
                    <w:tr2bl w:val="nil"/>
                  </w:tcBorders>
                  <w:shd w:val="clear" w:color="auto" w:fill="auto"/>
                  <w:vAlign w:val="center"/>
                </w:tcPr>
                <w:p w14:paraId="2F4BCFC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8"/>
                      <w:szCs w:val="18"/>
                      <w:u w:val="none"/>
                    </w:rPr>
                  </w:pPr>
                  <w:r>
                    <w:rPr>
                      <w:rFonts w:hint="default" w:ascii="仿宋_GB2312" w:hAnsi="等线" w:eastAsia="仿宋_GB2312" w:cs="仿宋_GB2312"/>
                      <w:i w:val="0"/>
                      <w:iCs w:val="0"/>
                      <w:color w:val="auto"/>
                      <w:kern w:val="0"/>
                      <w:sz w:val="18"/>
                      <w:szCs w:val="18"/>
                      <w:u w:val="none"/>
                      <w:lang w:val="en-US" w:eastAsia="zh-CN" w:bidi="ar"/>
                    </w:rPr>
                    <w:t>风机基础</w:t>
                  </w:r>
                </w:p>
              </w:tc>
              <w:tc>
                <w:tcPr>
                  <w:tcW w:w="317" w:type="pct"/>
                  <w:tcBorders>
                    <w:tl2br w:val="nil"/>
                    <w:tr2bl w:val="nil"/>
                  </w:tcBorders>
                  <w:shd w:val="clear" w:color="auto" w:fill="auto"/>
                  <w:noWrap/>
                  <w:vAlign w:val="center"/>
                </w:tcPr>
                <w:p w14:paraId="5C4D8E5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3B322D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7844.10 </w:t>
                  </w:r>
                </w:p>
              </w:tc>
              <w:tc>
                <w:tcPr>
                  <w:tcW w:w="425" w:type="pct"/>
                  <w:tcBorders>
                    <w:tl2br w:val="nil"/>
                    <w:tr2bl w:val="nil"/>
                  </w:tcBorders>
                  <w:shd w:val="clear" w:color="auto" w:fill="auto"/>
                  <w:noWrap/>
                  <w:vAlign w:val="center"/>
                </w:tcPr>
                <w:p w14:paraId="1AC1830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7844.10 </w:t>
                  </w:r>
                </w:p>
              </w:tc>
              <w:tc>
                <w:tcPr>
                  <w:tcW w:w="366" w:type="pct"/>
                  <w:tcBorders>
                    <w:tl2br w:val="nil"/>
                    <w:tr2bl w:val="nil"/>
                  </w:tcBorders>
                  <w:shd w:val="clear" w:color="auto" w:fill="auto"/>
                  <w:noWrap/>
                  <w:vAlign w:val="center"/>
                </w:tcPr>
                <w:p w14:paraId="4E6F347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268" w:type="pct"/>
                  <w:tcBorders>
                    <w:tl2br w:val="nil"/>
                    <w:tr2bl w:val="nil"/>
                  </w:tcBorders>
                  <w:shd w:val="clear" w:color="auto" w:fill="auto"/>
                  <w:noWrap/>
                  <w:vAlign w:val="center"/>
                </w:tcPr>
                <w:p w14:paraId="2C05E94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5CF3F36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5666.10 </w:t>
                  </w:r>
                </w:p>
              </w:tc>
              <w:tc>
                <w:tcPr>
                  <w:tcW w:w="303" w:type="pct"/>
                  <w:tcBorders>
                    <w:tl2br w:val="nil"/>
                    <w:tr2bl w:val="nil"/>
                  </w:tcBorders>
                  <w:shd w:val="clear" w:color="auto" w:fill="auto"/>
                  <w:noWrap/>
                  <w:vAlign w:val="center"/>
                </w:tcPr>
                <w:p w14:paraId="61C2BC9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5666.10 </w:t>
                  </w:r>
                </w:p>
              </w:tc>
              <w:tc>
                <w:tcPr>
                  <w:tcW w:w="302" w:type="pct"/>
                  <w:tcBorders>
                    <w:tl2br w:val="nil"/>
                    <w:tr2bl w:val="nil"/>
                  </w:tcBorders>
                  <w:shd w:val="clear" w:color="auto" w:fill="auto"/>
                  <w:noWrap/>
                  <w:vAlign w:val="center"/>
                </w:tcPr>
                <w:p w14:paraId="78BAE80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78" w:type="pct"/>
                  <w:tcBorders>
                    <w:tl2br w:val="nil"/>
                    <w:tr2bl w:val="nil"/>
                  </w:tcBorders>
                  <w:shd w:val="clear" w:color="auto" w:fill="auto"/>
                  <w:noWrap/>
                  <w:vAlign w:val="center"/>
                </w:tcPr>
                <w:p w14:paraId="3A4A09F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272" w:type="pct"/>
                  <w:tcBorders>
                    <w:tl2br w:val="nil"/>
                    <w:tr2bl w:val="nil"/>
                  </w:tcBorders>
                  <w:shd w:val="clear" w:color="auto" w:fill="auto"/>
                  <w:noWrap/>
                  <w:vAlign w:val="center"/>
                </w:tcPr>
                <w:p w14:paraId="77D5DB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2178.00 </w:t>
                  </w:r>
                </w:p>
              </w:tc>
              <w:tc>
                <w:tcPr>
                  <w:tcW w:w="438" w:type="pct"/>
                  <w:vMerge w:val="restart"/>
                  <w:tcBorders>
                    <w:tl2br w:val="nil"/>
                    <w:tr2bl w:val="nil"/>
                  </w:tcBorders>
                  <w:shd w:val="clear" w:color="auto" w:fill="auto"/>
                  <w:noWrap/>
                  <w:vAlign w:val="center"/>
                </w:tcPr>
                <w:p w14:paraId="4C954F5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8"/>
                      <w:szCs w:val="18"/>
                      <w:u w:val="none"/>
                    </w:rPr>
                  </w:pPr>
                  <w:r>
                    <w:rPr>
                      <w:rFonts w:hint="default" w:ascii="仿宋_GB2312" w:hAnsi="等线" w:eastAsia="仿宋_GB2312" w:cs="仿宋_GB2312"/>
                      <w:i w:val="0"/>
                      <w:iCs w:val="0"/>
                      <w:color w:val="auto"/>
                      <w:kern w:val="0"/>
                      <w:sz w:val="18"/>
                      <w:szCs w:val="18"/>
                      <w:u w:val="none"/>
                      <w:lang w:val="en-US" w:eastAsia="zh-CN" w:bidi="ar"/>
                    </w:rPr>
                    <w:t>风机平台回填</w:t>
                  </w:r>
                </w:p>
              </w:tc>
              <w:tc>
                <w:tcPr>
                  <w:tcW w:w="196" w:type="pct"/>
                  <w:tcBorders>
                    <w:tl2br w:val="nil"/>
                    <w:tr2bl w:val="nil"/>
                  </w:tcBorders>
                  <w:shd w:val="clear" w:color="auto" w:fill="auto"/>
                  <w:noWrap/>
                  <w:vAlign w:val="center"/>
                </w:tcPr>
                <w:p w14:paraId="5DB9AAB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noWrap/>
                  <w:vAlign w:val="center"/>
                </w:tcPr>
                <w:p w14:paraId="1D923C8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noWrap/>
                  <w:vAlign w:val="center"/>
                </w:tcPr>
                <w:p w14:paraId="39E08D5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r>
            <w:tr w14:paraId="3E954F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378" w:type="pct"/>
                  <w:vMerge w:val="continue"/>
                  <w:tcBorders>
                    <w:tl2br w:val="nil"/>
                    <w:tr2bl w:val="nil"/>
                  </w:tcBorders>
                  <w:shd w:val="clear" w:color="auto" w:fill="auto"/>
                  <w:vAlign w:val="center"/>
                </w:tcPr>
                <w:p w14:paraId="1F28718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317" w:type="pct"/>
                  <w:tcBorders>
                    <w:tl2br w:val="nil"/>
                    <w:tr2bl w:val="nil"/>
                  </w:tcBorders>
                  <w:shd w:val="clear" w:color="auto" w:fill="auto"/>
                  <w:vAlign w:val="center"/>
                </w:tcPr>
                <w:p w14:paraId="283A501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8"/>
                      <w:szCs w:val="18"/>
                      <w:u w:val="none"/>
                    </w:rPr>
                  </w:pPr>
                  <w:r>
                    <w:rPr>
                      <w:rFonts w:hint="default" w:ascii="仿宋_GB2312" w:hAnsi="等线" w:eastAsia="仿宋_GB2312" w:cs="仿宋_GB2312"/>
                      <w:i w:val="0"/>
                      <w:iCs w:val="0"/>
                      <w:color w:val="auto"/>
                      <w:kern w:val="0"/>
                      <w:sz w:val="18"/>
                      <w:szCs w:val="18"/>
                      <w:u w:val="none"/>
                      <w:lang w:val="en-US" w:eastAsia="zh-CN" w:bidi="ar"/>
                    </w:rPr>
                    <w:t>箱变基础</w:t>
                  </w:r>
                </w:p>
              </w:tc>
              <w:tc>
                <w:tcPr>
                  <w:tcW w:w="317" w:type="pct"/>
                  <w:tcBorders>
                    <w:tl2br w:val="nil"/>
                    <w:tr2bl w:val="nil"/>
                  </w:tcBorders>
                  <w:shd w:val="clear" w:color="auto" w:fill="auto"/>
                  <w:noWrap/>
                  <w:vAlign w:val="center"/>
                </w:tcPr>
                <w:p w14:paraId="74DD2DE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4B52B7A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242.55 </w:t>
                  </w:r>
                </w:p>
              </w:tc>
              <w:tc>
                <w:tcPr>
                  <w:tcW w:w="425" w:type="pct"/>
                  <w:tcBorders>
                    <w:tl2br w:val="nil"/>
                    <w:tr2bl w:val="nil"/>
                  </w:tcBorders>
                  <w:shd w:val="clear" w:color="auto" w:fill="auto"/>
                  <w:noWrap/>
                  <w:vAlign w:val="center"/>
                </w:tcPr>
                <w:p w14:paraId="39639AD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242.55 </w:t>
                  </w:r>
                </w:p>
              </w:tc>
              <w:tc>
                <w:tcPr>
                  <w:tcW w:w="366" w:type="pct"/>
                  <w:tcBorders>
                    <w:tl2br w:val="nil"/>
                    <w:tr2bl w:val="nil"/>
                  </w:tcBorders>
                  <w:shd w:val="clear" w:color="auto" w:fill="auto"/>
                  <w:noWrap/>
                  <w:vAlign w:val="center"/>
                </w:tcPr>
                <w:p w14:paraId="5B77559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268" w:type="pct"/>
                  <w:tcBorders>
                    <w:tl2br w:val="nil"/>
                    <w:tr2bl w:val="nil"/>
                  </w:tcBorders>
                  <w:shd w:val="clear" w:color="auto" w:fill="auto"/>
                  <w:noWrap/>
                  <w:vAlign w:val="center"/>
                </w:tcPr>
                <w:p w14:paraId="42474DB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7A2BEEC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97.02 </w:t>
                  </w:r>
                </w:p>
              </w:tc>
              <w:tc>
                <w:tcPr>
                  <w:tcW w:w="303" w:type="pct"/>
                  <w:tcBorders>
                    <w:tl2br w:val="nil"/>
                    <w:tr2bl w:val="nil"/>
                  </w:tcBorders>
                  <w:shd w:val="clear" w:color="auto" w:fill="auto"/>
                  <w:noWrap/>
                  <w:vAlign w:val="center"/>
                </w:tcPr>
                <w:p w14:paraId="6935CD1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97.02 </w:t>
                  </w:r>
                </w:p>
              </w:tc>
              <w:tc>
                <w:tcPr>
                  <w:tcW w:w="302" w:type="pct"/>
                  <w:tcBorders>
                    <w:tl2br w:val="nil"/>
                    <w:tr2bl w:val="nil"/>
                  </w:tcBorders>
                  <w:shd w:val="clear" w:color="auto" w:fill="auto"/>
                  <w:noWrap/>
                  <w:vAlign w:val="center"/>
                </w:tcPr>
                <w:p w14:paraId="1CFF263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78" w:type="pct"/>
                  <w:tcBorders>
                    <w:tl2br w:val="nil"/>
                    <w:tr2bl w:val="nil"/>
                  </w:tcBorders>
                  <w:shd w:val="clear" w:color="auto" w:fill="auto"/>
                  <w:noWrap/>
                  <w:vAlign w:val="center"/>
                </w:tcPr>
                <w:p w14:paraId="22D5E8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272" w:type="pct"/>
                  <w:tcBorders>
                    <w:tl2br w:val="nil"/>
                    <w:tr2bl w:val="nil"/>
                  </w:tcBorders>
                  <w:shd w:val="clear" w:color="auto" w:fill="auto"/>
                  <w:noWrap/>
                  <w:vAlign w:val="center"/>
                </w:tcPr>
                <w:p w14:paraId="14F261D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145.53 </w:t>
                  </w:r>
                </w:p>
              </w:tc>
              <w:tc>
                <w:tcPr>
                  <w:tcW w:w="438" w:type="pct"/>
                  <w:vMerge w:val="continue"/>
                  <w:tcBorders>
                    <w:tl2br w:val="nil"/>
                    <w:tr2bl w:val="nil"/>
                  </w:tcBorders>
                  <w:shd w:val="clear" w:color="auto" w:fill="auto"/>
                  <w:noWrap/>
                  <w:vAlign w:val="center"/>
                </w:tcPr>
                <w:p w14:paraId="18102A1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196" w:type="pct"/>
                  <w:tcBorders>
                    <w:tl2br w:val="nil"/>
                    <w:tr2bl w:val="nil"/>
                  </w:tcBorders>
                  <w:shd w:val="clear" w:color="auto" w:fill="auto"/>
                  <w:noWrap/>
                  <w:vAlign w:val="center"/>
                </w:tcPr>
                <w:p w14:paraId="2C9BFF5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noWrap/>
                  <w:vAlign w:val="center"/>
                </w:tcPr>
                <w:p w14:paraId="0099F45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noWrap/>
                  <w:vAlign w:val="center"/>
                </w:tcPr>
                <w:p w14:paraId="2F7DB61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r>
            <w:tr w14:paraId="51A49D7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378" w:type="pct"/>
                  <w:vMerge w:val="continue"/>
                  <w:tcBorders>
                    <w:tl2br w:val="nil"/>
                    <w:tr2bl w:val="nil"/>
                  </w:tcBorders>
                  <w:shd w:val="clear" w:color="auto" w:fill="auto"/>
                  <w:vAlign w:val="center"/>
                </w:tcPr>
                <w:p w14:paraId="1AF49F5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317" w:type="pct"/>
                  <w:tcBorders>
                    <w:tl2br w:val="nil"/>
                    <w:tr2bl w:val="nil"/>
                  </w:tcBorders>
                  <w:shd w:val="clear" w:color="auto" w:fill="auto"/>
                  <w:vAlign w:val="center"/>
                </w:tcPr>
                <w:p w14:paraId="7F54C4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8"/>
                      <w:szCs w:val="18"/>
                      <w:u w:val="none"/>
                    </w:rPr>
                  </w:pPr>
                  <w:r>
                    <w:rPr>
                      <w:rFonts w:hint="default" w:ascii="仿宋_GB2312" w:hAnsi="等线" w:eastAsia="仿宋_GB2312" w:cs="仿宋_GB2312"/>
                      <w:i w:val="0"/>
                      <w:iCs w:val="0"/>
                      <w:color w:val="auto"/>
                      <w:kern w:val="0"/>
                      <w:sz w:val="18"/>
                      <w:szCs w:val="18"/>
                      <w:u w:val="none"/>
                      <w:lang w:val="en-US" w:eastAsia="zh-CN" w:bidi="ar"/>
                    </w:rPr>
                    <w:t>风机安装平台</w:t>
                  </w:r>
                </w:p>
              </w:tc>
              <w:tc>
                <w:tcPr>
                  <w:tcW w:w="317" w:type="pct"/>
                  <w:tcBorders>
                    <w:tl2br w:val="nil"/>
                    <w:tr2bl w:val="nil"/>
                  </w:tcBorders>
                  <w:shd w:val="clear" w:color="auto" w:fill="auto"/>
                  <w:noWrap/>
                  <w:vAlign w:val="center"/>
                </w:tcPr>
                <w:p w14:paraId="235B812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12307.45 </w:t>
                  </w:r>
                </w:p>
              </w:tc>
              <w:tc>
                <w:tcPr>
                  <w:tcW w:w="317" w:type="pct"/>
                  <w:tcBorders>
                    <w:tl2br w:val="nil"/>
                    <w:tr2bl w:val="nil"/>
                  </w:tcBorders>
                  <w:shd w:val="clear" w:color="auto" w:fill="auto"/>
                  <w:noWrap/>
                  <w:vAlign w:val="center"/>
                </w:tcPr>
                <w:p w14:paraId="001099E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425" w:type="pct"/>
                  <w:tcBorders>
                    <w:tl2br w:val="nil"/>
                    <w:tr2bl w:val="nil"/>
                  </w:tcBorders>
                  <w:shd w:val="clear" w:color="auto" w:fill="auto"/>
                  <w:noWrap/>
                  <w:vAlign w:val="center"/>
                </w:tcPr>
                <w:p w14:paraId="6AECF04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12307.45 </w:t>
                  </w:r>
                </w:p>
              </w:tc>
              <w:tc>
                <w:tcPr>
                  <w:tcW w:w="366" w:type="pct"/>
                  <w:tcBorders>
                    <w:tl2br w:val="nil"/>
                    <w:tr2bl w:val="nil"/>
                  </w:tcBorders>
                  <w:shd w:val="clear" w:color="auto" w:fill="auto"/>
                  <w:noWrap/>
                  <w:vAlign w:val="center"/>
                </w:tcPr>
                <w:p w14:paraId="3B77607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17609.60 </w:t>
                  </w:r>
                </w:p>
              </w:tc>
              <w:tc>
                <w:tcPr>
                  <w:tcW w:w="268" w:type="pct"/>
                  <w:tcBorders>
                    <w:tl2br w:val="nil"/>
                    <w:tr2bl w:val="nil"/>
                  </w:tcBorders>
                  <w:shd w:val="clear" w:color="auto" w:fill="auto"/>
                  <w:noWrap/>
                  <w:vAlign w:val="center"/>
                </w:tcPr>
                <w:p w14:paraId="1BAE6AA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442.25 </w:t>
                  </w:r>
                </w:p>
              </w:tc>
              <w:tc>
                <w:tcPr>
                  <w:tcW w:w="317" w:type="pct"/>
                  <w:tcBorders>
                    <w:tl2br w:val="nil"/>
                    <w:tr2bl w:val="nil"/>
                  </w:tcBorders>
                  <w:shd w:val="clear" w:color="auto" w:fill="auto"/>
                  <w:noWrap/>
                  <w:vAlign w:val="center"/>
                </w:tcPr>
                <w:p w14:paraId="6CFB10A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03" w:type="pct"/>
                  <w:tcBorders>
                    <w:tl2br w:val="nil"/>
                    <w:tr2bl w:val="nil"/>
                  </w:tcBorders>
                  <w:shd w:val="clear" w:color="auto" w:fill="auto"/>
                  <w:noWrap/>
                  <w:vAlign w:val="center"/>
                </w:tcPr>
                <w:p w14:paraId="2E57CFA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18051.85 </w:t>
                  </w:r>
                </w:p>
              </w:tc>
              <w:tc>
                <w:tcPr>
                  <w:tcW w:w="302" w:type="pct"/>
                  <w:tcBorders>
                    <w:tl2br w:val="nil"/>
                    <w:tr2bl w:val="nil"/>
                  </w:tcBorders>
                  <w:shd w:val="clear" w:color="auto" w:fill="auto"/>
                  <w:noWrap/>
                  <w:vAlign w:val="center"/>
                </w:tcPr>
                <w:p w14:paraId="7D93363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11865.20 </w:t>
                  </w:r>
                </w:p>
              </w:tc>
              <w:tc>
                <w:tcPr>
                  <w:tcW w:w="378" w:type="pct"/>
                  <w:tcBorders>
                    <w:tl2br w:val="nil"/>
                    <w:tr2bl w:val="nil"/>
                  </w:tcBorders>
                  <w:shd w:val="clear" w:color="auto" w:fill="auto"/>
                  <w:noWrap/>
                  <w:vAlign w:val="center"/>
                </w:tcPr>
                <w:p w14:paraId="5F3237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3"/>
                      <w:szCs w:val="13"/>
                      <w:u w:val="none"/>
                    </w:rPr>
                  </w:pPr>
                  <w:r>
                    <w:rPr>
                      <w:rFonts w:hint="default" w:ascii="仿宋_GB2312" w:hAnsi="等线" w:eastAsia="仿宋_GB2312" w:cs="仿宋_GB2312"/>
                      <w:i w:val="0"/>
                      <w:iCs w:val="0"/>
                      <w:color w:val="auto"/>
                      <w:kern w:val="0"/>
                      <w:sz w:val="13"/>
                      <w:szCs w:val="13"/>
                      <w:u w:val="none"/>
                      <w:lang w:val="en-US" w:eastAsia="zh-CN" w:bidi="ar"/>
                    </w:rPr>
                    <w:t>其余各分区</w:t>
                  </w:r>
                </w:p>
              </w:tc>
              <w:tc>
                <w:tcPr>
                  <w:tcW w:w="272" w:type="pct"/>
                  <w:tcBorders>
                    <w:tl2br w:val="nil"/>
                    <w:tr2bl w:val="nil"/>
                  </w:tcBorders>
                  <w:shd w:val="clear" w:color="auto" w:fill="auto"/>
                  <w:noWrap/>
                  <w:vAlign w:val="center"/>
                </w:tcPr>
                <w:p w14:paraId="7C4F2D8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438" w:type="pct"/>
                  <w:vMerge w:val="continue"/>
                  <w:tcBorders>
                    <w:tl2br w:val="nil"/>
                    <w:tr2bl w:val="nil"/>
                  </w:tcBorders>
                  <w:shd w:val="clear" w:color="auto" w:fill="auto"/>
                  <w:noWrap/>
                  <w:vAlign w:val="center"/>
                </w:tcPr>
                <w:p w14:paraId="7492B6F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196" w:type="pct"/>
                  <w:tcBorders>
                    <w:tl2br w:val="nil"/>
                    <w:tr2bl w:val="nil"/>
                  </w:tcBorders>
                  <w:shd w:val="clear" w:color="auto" w:fill="auto"/>
                  <w:noWrap/>
                  <w:vAlign w:val="center"/>
                </w:tcPr>
                <w:p w14:paraId="478811B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noWrap/>
                  <w:vAlign w:val="center"/>
                </w:tcPr>
                <w:p w14:paraId="60F48F3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noWrap/>
                  <w:vAlign w:val="center"/>
                </w:tcPr>
                <w:p w14:paraId="5124691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r>
            <w:tr w14:paraId="0FD3D64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695" w:type="pct"/>
                  <w:gridSpan w:val="2"/>
                  <w:tcBorders>
                    <w:tl2br w:val="nil"/>
                    <w:tr2bl w:val="nil"/>
                  </w:tcBorders>
                  <w:shd w:val="clear" w:color="auto" w:fill="auto"/>
                  <w:vAlign w:val="center"/>
                </w:tcPr>
                <w:p w14:paraId="2469432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sz w:val="18"/>
                      <w:szCs w:val="18"/>
                      <w:u w:val="none"/>
                    </w:rPr>
                  </w:pPr>
                  <w:r>
                    <w:rPr>
                      <w:rFonts w:hint="default" w:ascii="仿宋_GB2312" w:hAnsi="等线" w:eastAsia="仿宋_GB2312" w:cs="仿宋_GB2312"/>
                      <w:i w:val="0"/>
                      <w:iCs w:val="0"/>
                      <w:color w:val="auto"/>
                      <w:kern w:val="0"/>
                      <w:sz w:val="18"/>
                      <w:szCs w:val="18"/>
                      <w:u w:val="none"/>
                      <w:lang w:val="en-US" w:eastAsia="zh-CN" w:bidi="ar"/>
                    </w:rPr>
                    <w:t>集电线路区</w:t>
                  </w:r>
                </w:p>
              </w:tc>
              <w:tc>
                <w:tcPr>
                  <w:tcW w:w="317" w:type="pct"/>
                  <w:tcBorders>
                    <w:tl2br w:val="nil"/>
                    <w:tr2bl w:val="nil"/>
                  </w:tcBorders>
                  <w:shd w:val="clear" w:color="auto" w:fill="auto"/>
                  <w:noWrap/>
                  <w:vAlign w:val="center"/>
                </w:tcPr>
                <w:p w14:paraId="364A79B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610F188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4200.00 </w:t>
                  </w:r>
                </w:p>
              </w:tc>
              <w:tc>
                <w:tcPr>
                  <w:tcW w:w="425" w:type="pct"/>
                  <w:tcBorders>
                    <w:tl2br w:val="nil"/>
                    <w:tr2bl w:val="nil"/>
                  </w:tcBorders>
                  <w:shd w:val="clear" w:color="auto" w:fill="auto"/>
                  <w:noWrap/>
                  <w:vAlign w:val="center"/>
                </w:tcPr>
                <w:p w14:paraId="4BB27B0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4200.00 </w:t>
                  </w:r>
                </w:p>
              </w:tc>
              <w:tc>
                <w:tcPr>
                  <w:tcW w:w="366" w:type="pct"/>
                  <w:tcBorders>
                    <w:tl2br w:val="nil"/>
                    <w:tr2bl w:val="nil"/>
                  </w:tcBorders>
                  <w:shd w:val="clear" w:color="auto" w:fill="auto"/>
                  <w:noWrap/>
                  <w:vAlign w:val="center"/>
                </w:tcPr>
                <w:p w14:paraId="61DFA0F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1680.00 </w:t>
                  </w:r>
                </w:p>
              </w:tc>
              <w:tc>
                <w:tcPr>
                  <w:tcW w:w="268" w:type="pct"/>
                  <w:tcBorders>
                    <w:tl2br w:val="nil"/>
                    <w:tr2bl w:val="nil"/>
                  </w:tcBorders>
                  <w:shd w:val="clear" w:color="auto" w:fill="auto"/>
                  <w:noWrap/>
                  <w:vAlign w:val="center"/>
                </w:tcPr>
                <w:p w14:paraId="6BBC1F8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49069EA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03" w:type="pct"/>
                  <w:tcBorders>
                    <w:tl2br w:val="nil"/>
                    <w:tr2bl w:val="nil"/>
                  </w:tcBorders>
                  <w:shd w:val="clear" w:color="auto" w:fill="auto"/>
                  <w:noWrap/>
                  <w:vAlign w:val="center"/>
                </w:tcPr>
                <w:p w14:paraId="36C2E87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1680.00 </w:t>
                  </w:r>
                </w:p>
              </w:tc>
              <w:tc>
                <w:tcPr>
                  <w:tcW w:w="302" w:type="pct"/>
                  <w:tcBorders>
                    <w:tl2br w:val="nil"/>
                    <w:tr2bl w:val="nil"/>
                  </w:tcBorders>
                  <w:shd w:val="clear" w:color="auto" w:fill="auto"/>
                  <w:noWrap/>
                  <w:vAlign w:val="center"/>
                </w:tcPr>
                <w:p w14:paraId="63BD449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78" w:type="pct"/>
                  <w:tcBorders>
                    <w:tl2br w:val="nil"/>
                    <w:tr2bl w:val="nil"/>
                  </w:tcBorders>
                  <w:shd w:val="clear" w:color="auto" w:fill="auto"/>
                  <w:noWrap/>
                  <w:vAlign w:val="center"/>
                </w:tcPr>
                <w:p w14:paraId="17AF3B2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3"/>
                      <w:szCs w:val="13"/>
                      <w:u w:val="none"/>
                    </w:rPr>
                  </w:pPr>
                </w:p>
              </w:tc>
              <w:tc>
                <w:tcPr>
                  <w:tcW w:w="272" w:type="pct"/>
                  <w:tcBorders>
                    <w:tl2br w:val="nil"/>
                    <w:tr2bl w:val="nil"/>
                  </w:tcBorders>
                  <w:shd w:val="clear" w:color="auto" w:fill="auto"/>
                  <w:noWrap/>
                  <w:vAlign w:val="center"/>
                </w:tcPr>
                <w:p w14:paraId="4E84493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2520.00 </w:t>
                  </w:r>
                </w:p>
              </w:tc>
              <w:tc>
                <w:tcPr>
                  <w:tcW w:w="438" w:type="pct"/>
                  <w:vMerge w:val="continue"/>
                  <w:tcBorders>
                    <w:tl2br w:val="nil"/>
                    <w:tr2bl w:val="nil"/>
                  </w:tcBorders>
                  <w:shd w:val="clear" w:color="auto" w:fill="auto"/>
                  <w:noWrap/>
                  <w:vAlign w:val="center"/>
                </w:tcPr>
                <w:p w14:paraId="73FE727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196" w:type="pct"/>
                  <w:tcBorders>
                    <w:tl2br w:val="nil"/>
                    <w:tr2bl w:val="nil"/>
                  </w:tcBorders>
                  <w:shd w:val="clear" w:color="auto" w:fill="auto"/>
                  <w:noWrap/>
                  <w:vAlign w:val="center"/>
                </w:tcPr>
                <w:p w14:paraId="0723F6F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noWrap/>
                  <w:vAlign w:val="center"/>
                </w:tcPr>
                <w:p w14:paraId="3B5616D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noWrap/>
                  <w:vAlign w:val="center"/>
                </w:tcPr>
                <w:p w14:paraId="1E8E24C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r>
            <w:tr w14:paraId="1943E1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695" w:type="pct"/>
                  <w:gridSpan w:val="2"/>
                  <w:vMerge w:val="restart"/>
                  <w:tcBorders>
                    <w:tl2br w:val="nil"/>
                    <w:tr2bl w:val="nil"/>
                  </w:tcBorders>
                  <w:shd w:val="clear" w:color="auto" w:fill="auto"/>
                  <w:noWrap/>
                  <w:vAlign w:val="center"/>
                </w:tcPr>
                <w:p w14:paraId="127E959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kern w:val="0"/>
                      <w:sz w:val="18"/>
                      <w:szCs w:val="18"/>
                      <w:u w:val="none"/>
                      <w:lang w:val="en-US" w:eastAsia="zh-CN" w:bidi="ar"/>
                    </w:rPr>
                  </w:pPr>
                  <w:r>
                    <w:rPr>
                      <w:rFonts w:hint="default" w:ascii="仿宋_GB2312" w:hAnsi="等线" w:eastAsia="仿宋_GB2312" w:cs="仿宋_GB2312"/>
                      <w:i w:val="0"/>
                      <w:iCs w:val="0"/>
                      <w:color w:val="auto"/>
                      <w:kern w:val="0"/>
                      <w:sz w:val="18"/>
                      <w:szCs w:val="18"/>
                      <w:u w:val="none"/>
                      <w:lang w:val="en-US" w:eastAsia="zh-CN" w:bidi="ar"/>
                    </w:rPr>
                    <w:t>开关站</w:t>
                  </w:r>
                  <w:r>
                    <w:rPr>
                      <w:rFonts w:hint="eastAsia" w:ascii="仿宋_GB2312" w:hAnsi="等线" w:eastAsia="仿宋_GB2312" w:cs="仿宋_GB2312"/>
                      <w:i w:val="0"/>
                      <w:iCs w:val="0"/>
                      <w:color w:val="auto"/>
                      <w:kern w:val="0"/>
                      <w:sz w:val="18"/>
                      <w:szCs w:val="18"/>
                      <w:u w:val="none"/>
                      <w:lang w:val="en-US" w:eastAsia="zh-CN" w:bidi="ar"/>
                    </w:rPr>
                    <w:t>区域</w:t>
                  </w:r>
                </w:p>
              </w:tc>
              <w:tc>
                <w:tcPr>
                  <w:tcW w:w="317" w:type="pct"/>
                  <w:tcBorders>
                    <w:tl2br w:val="nil"/>
                    <w:tr2bl w:val="nil"/>
                  </w:tcBorders>
                  <w:shd w:val="clear" w:color="auto" w:fill="auto"/>
                  <w:noWrap/>
                  <w:vAlign w:val="center"/>
                </w:tcPr>
                <w:p w14:paraId="132D756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等线" w:cs="Times New Roman"/>
                      <w:i w:val="0"/>
                      <w:iCs w:val="0"/>
                      <w:color w:val="auto"/>
                      <w:sz w:val="13"/>
                      <w:szCs w:val="13"/>
                      <w:u w:val="none"/>
                      <w:lang w:val="en-US" w:eastAsia="zh-CN"/>
                    </w:rPr>
                  </w:pPr>
                  <w:r>
                    <w:rPr>
                      <w:rFonts w:hint="eastAsia" w:eastAsia="等线" w:cs="Times New Roman"/>
                      <w:i w:val="0"/>
                      <w:iCs w:val="0"/>
                      <w:color w:val="auto"/>
                      <w:sz w:val="13"/>
                      <w:szCs w:val="13"/>
                      <w:u w:val="none"/>
                      <w:lang w:val="en-US" w:eastAsia="zh-CN"/>
                    </w:rPr>
                    <w:t>/</w:t>
                  </w:r>
                </w:p>
              </w:tc>
              <w:tc>
                <w:tcPr>
                  <w:tcW w:w="317" w:type="pct"/>
                  <w:tcBorders>
                    <w:tl2br w:val="nil"/>
                    <w:tr2bl w:val="nil"/>
                  </w:tcBorders>
                  <w:shd w:val="clear" w:color="auto" w:fill="auto"/>
                  <w:noWrap/>
                  <w:vAlign w:val="center"/>
                </w:tcPr>
                <w:p w14:paraId="5E8093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100.00 </w:t>
                  </w:r>
                </w:p>
              </w:tc>
              <w:tc>
                <w:tcPr>
                  <w:tcW w:w="425" w:type="pct"/>
                  <w:tcBorders>
                    <w:tl2br w:val="nil"/>
                    <w:tr2bl w:val="nil"/>
                  </w:tcBorders>
                  <w:shd w:val="clear" w:color="auto" w:fill="auto"/>
                  <w:noWrap/>
                  <w:vAlign w:val="center"/>
                </w:tcPr>
                <w:p w14:paraId="519F08C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100.00 </w:t>
                  </w:r>
                </w:p>
              </w:tc>
              <w:tc>
                <w:tcPr>
                  <w:tcW w:w="366" w:type="pct"/>
                  <w:tcBorders>
                    <w:tl2br w:val="nil"/>
                    <w:tr2bl w:val="nil"/>
                  </w:tcBorders>
                  <w:shd w:val="clear" w:color="auto" w:fill="auto"/>
                  <w:noWrap/>
                  <w:vAlign w:val="center"/>
                </w:tcPr>
                <w:p w14:paraId="62FB716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268" w:type="pct"/>
                  <w:tcBorders>
                    <w:tl2br w:val="nil"/>
                    <w:tr2bl w:val="nil"/>
                  </w:tcBorders>
                  <w:shd w:val="clear" w:color="auto" w:fill="auto"/>
                  <w:noWrap/>
                  <w:vAlign w:val="center"/>
                </w:tcPr>
                <w:p w14:paraId="5F186C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4EA68C8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100.00 </w:t>
                  </w:r>
                </w:p>
              </w:tc>
              <w:tc>
                <w:tcPr>
                  <w:tcW w:w="303" w:type="pct"/>
                  <w:tcBorders>
                    <w:tl2br w:val="nil"/>
                    <w:tr2bl w:val="nil"/>
                  </w:tcBorders>
                  <w:shd w:val="clear" w:color="auto" w:fill="auto"/>
                  <w:noWrap/>
                  <w:vAlign w:val="center"/>
                </w:tcPr>
                <w:p w14:paraId="3465B06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100.00 </w:t>
                  </w:r>
                </w:p>
              </w:tc>
              <w:tc>
                <w:tcPr>
                  <w:tcW w:w="302" w:type="pct"/>
                  <w:tcBorders>
                    <w:tl2br w:val="nil"/>
                    <w:tr2bl w:val="nil"/>
                  </w:tcBorders>
                  <w:shd w:val="clear" w:color="auto" w:fill="auto"/>
                  <w:noWrap/>
                  <w:vAlign w:val="center"/>
                </w:tcPr>
                <w:p w14:paraId="4F327F1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78" w:type="pct"/>
                  <w:tcBorders>
                    <w:tl2br w:val="nil"/>
                    <w:tr2bl w:val="nil"/>
                  </w:tcBorders>
                  <w:shd w:val="clear" w:color="auto" w:fill="auto"/>
                  <w:noWrap/>
                  <w:vAlign w:val="center"/>
                </w:tcPr>
                <w:p w14:paraId="5A3E8FC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3"/>
                      <w:szCs w:val="13"/>
                      <w:u w:val="none"/>
                    </w:rPr>
                  </w:pPr>
                </w:p>
              </w:tc>
              <w:tc>
                <w:tcPr>
                  <w:tcW w:w="272" w:type="pct"/>
                  <w:tcBorders>
                    <w:tl2br w:val="nil"/>
                    <w:tr2bl w:val="nil"/>
                  </w:tcBorders>
                  <w:shd w:val="clear" w:color="auto" w:fill="auto"/>
                  <w:noWrap/>
                  <w:vAlign w:val="center"/>
                </w:tcPr>
                <w:p w14:paraId="7AFF398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0.00 </w:t>
                  </w:r>
                </w:p>
              </w:tc>
              <w:tc>
                <w:tcPr>
                  <w:tcW w:w="438" w:type="pct"/>
                  <w:vMerge w:val="continue"/>
                  <w:tcBorders>
                    <w:tl2br w:val="nil"/>
                    <w:tr2bl w:val="nil"/>
                  </w:tcBorders>
                  <w:shd w:val="clear" w:color="auto" w:fill="auto"/>
                  <w:noWrap/>
                  <w:vAlign w:val="center"/>
                </w:tcPr>
                <w:p w14:paraId="1A74045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196" w:type="pct"/>
                  <w:tcBorders>
                    <w:tl2br w:val="nil"/>
                    <w:tr2bl w:val="nil"/>
                  </w:tcBorders>
                  <w:shd w:val="clear" w:color="auto" w:fill="auto"/>
                  <w:noWrap/>
                  <w:vAlign w:val="center"/>
                </w:tcPr>
                <w:p w14:paraId="4041D36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noWrap/>
                  <w:vAlign w:val="center"/>
                </w:tcPr>
                <w:p w14:paraId="4A86AF5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noWrap/>
                  <w:vAlign w:val="center"/>
                </w:tcPr>
                <w:p w14:paraId="31F7A92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r>
            <w:tr w14:paraId="6DDAB54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695" w:type="pct"/>
                  <w:gridSpan w:val="2"/>
                  <w:vMerge w:val="continue"/>
                  <w:tcBorders>
                    <w:tl2br w:val="nil"/>
                    <w:tr2bl w:val="nil"/>
                  </w:tcBorders>
                  <w:shd w:val="clear" w:color="auto" w:fill="auto"/>
                  <w:noWrap/>
                  <w:vAlign w:val="center"/>
                </w:tcPr>
                <w:p w14:paraId="47A6391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i w:val="0"/>
                      <w:iCs w:val="0"/>
                      <w:color w:val="auto"/>
                      <w:kern w:val="0"/>
                      <w:sz w:val="18"/>
                      <w:szCs w:val="18"/>
                      <w:u w:val="none"/>
                      <w:lang w:val="en-US" w:eastAsia="zh-CN" w:bidi="ar"/>
                    </w:rPr>
                  </w:pPr>
                </w:p>
              </w:tc>
              <w:tc>
                <w:tcPr>
                  <w:tcW w:w="317" w:type="pct"/>
                  <w:tcBorders>
                    <w:tl2br w:val="nil"/>
                    <w:tr2bl w:val="nil"/>
                  </w:tcBorders>
                  <w:shd w:val="clear" w:color="auto" w:fill="auto"/>
                  <w:noWrap/>
                  <w:vAlign w:val="center"/>
                </w:tcPr>
                <w:p w14:paraId="4CDECF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626.97 </w:t>
                  </w:r>
                </w:p>
              </w:tc>
              <w:tc>
                <w:tcPr>
                  <w:tcW w:w="317" w:type="pct"/>
                  <w:tcBorders>
                    <w:tl2br w:val="nil"/>
                    <w:tr2bl w:val="nil"/>
                  </w:tcBorders>
                  <w:shd w:val="clear" w:color="auto" w:fill="auto"/>
                  <w:noWrap/>
                  <w:vAlign w:val="center"/>
                </w:tcPr>
                <w:p w14:paraId="72C75B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719.35 </w:t>
                  </w:r>
                </w:p>
              </w:tc>
              <w:tc>
                <w:tcPr>
                  <w:tcW w:w="425" w:type="pct"/>
                  <w:tcBorders>
                    <w:tl2br w:val="nil"/>
                    <w:tr2bl w:val="nil"/>
                  </w:tcBorders>
                  <w:shd w:val="clear" w:color="auto" w:fill="auto"/>
                  <w:noWrap/>
                  <w:vAlign w:val="center"/>
                </w:tcPr>
                <w:p w14:paraId="6376B65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1346.32 </w:t>
                  </w:r>
                </w:p>
              </w:tc>
              <w:tc>
                <w:tcPr>
                  <w:tcW w:w="366" w:type="pct"/>
                  <w:tcBorders>
                    <w:tl2br w:val="nil"/>
                    <w:tr2bl w:val="nil"/>
                  </w:tcBorders>
                  <w:shd w:val="clear" w:color="auto" w:fill="auto"/>
                  <w:noWrap/>
                  <w:vAlign w:val="center"/>
                </w:tcPr>
                <w:p w14:paraId="3BABD8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165.93 </w:t>
                  </w:r>
                </w:p>
              </w:tc>
              <w:tc>
                <w:tcPr>
                  <w:tcW w:w="268" w:type="pct"/>
                  <w:tcBorders>
                    <w:tl2br w:val="nil"/>
                    <w:tr2bl w:val="nil"/>
                  </w:tcBorders>
                  <w:shd w:val="clear" w:color="auto" w:fill="auto"/>
                  <w:noWrap/>
                  <w:vAlign w:val="center"/>
                </w:tcPr>
                <w:p w14:paraId="59BB7D9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17" w:type="pct"/>
                  <w:tcBorders>
                    <w:tl2br w:val="nil"/>
                    <w:tr2bl w:val="nil"/>
                  </w:tcBorders>
                  <w:shd w:val="clear" w:color="auto" w:fill="auto"/>
                  <w:noWrap/>
                  <w:vAlign w:val="center"/>
                </w:tcPr>
                <w:p w14:paraId="57305F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279.52 </w:t>
                  </w:r>
                </w:p>
              </w:tc>
              <w:tc>
                <w:tcPr>
                  <w:tcW w:w="303" w:type="pct"/>
                  <w:tcBorders>
                    <w:tl2br w:val="nil"/>
                    <w:tr2bl w:val="nil"/>
                  </w:tcBorders>
                  <w:shd w:val="clear" w:color="auto" w:fill="auto"/>
                  <w:noWrap/>
                  <w:vAlign w:val="center"/>
                </w:tcPr>
                <w:p w14:paraId="36DB29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445.45 </w:t>
                  </w:r>
                </w:p>
              </w:tc>
              <w:tc>
                <w:tcPr>
                  <w:tcW w:w="302" w:type="pct"/>
                  <w:tcBorders>
                    <w:tl2br w:val="nil"/>
                    <w:tr2bl w:val="nil"/>
                  </w:tcBorders>
                  <w:shd w:val="clear" w:color="auto" w:fill="auto"/>
                  <w:noWrap/>
                  <w:vAlign w:val="center"/>
                </w:tcPr>
                <w:p w14:paraId="666BA3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378" w:type="pct"/>
                  <w:tcBorders>
                    <w:tl2br w:val="nil"/>
                    <w:tr2bl w:val="nil"/>
                  </w:tcBorders>
                  <w:shd w:val="clear" w:color="auto" w:fill="auto"/>
                  <w:noWrap/>
                  <w:vAlign w:val="center"/>
                </w:tcPr>
                <w:p w14:paraId="2B23E7E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3"/>
                      <w:szCs w:val="13"/>
                      <w:u w:val="none"/>
                    </w:rPr>
                  </w:pPr>
                </w:p>
              </w:tc>
              <w:tc>
                <w:tcPr>
                  <w:tcW w:w="272" w:type="pct"/>
                  <w:tcBorders>
                    <w:tl2br w:val="nil"/>
                    <w:tr2bl w:val="nil"/>
                  </w:tcBorders>
                  <w:shd w:val="clear" w:color="auto" w:fill="auto"/>
                  <w:noWrap/>
                  <w:vAlign w:val="center"/>
                </w:tcPr>
                <w:p w14:paraId="1F4022C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900.87 </w:t>
                  </w:r>
                </w:p>
              </w:tc>
              <w:tc>
                <w:tcPr>
                  <w:tcW w:w="438" w:type="pct"/>
                  <w:vMerge w:val="continue"/>
                  <w:tcBorders>
                    <w:tl2br w:val="nil"/>
                    <w:tr2bl w:val="nil"/>
                  </w:tcBorders>
                  <w:shd w:val="clear" w:color="auto" w:fill="auto"/>
                  <w:noWrap/>
                  <w:vAlign w:val="center"/>
                </w:tcPr>
                <w:p w14:paraId="3111810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仿宋_GB2312" w:hAnsi="等线" w:eastAsia="仿宋_GB2312" w:cs="仿宋_GB2312"/>
                      <w:i w:val="0"/>
                      <w:iCs w:val="0"/>
                      <w:color w:val="auto"/>
                      <w:sz w:val="18"/>
                      <w:szCs w:val="18"/>
                      <w:u w:val="none"/>
                    </w:rPr>
                  </w:pPr>
                </w:p>
              </w:tc>
              <w:tc>
                <w:tcPr>
                  <w:tcW w:w="196" w:type="pct"/>
                  <w:tcBorders>
                    <w:tl2br w:val="nil"/>
                    <w:tr2bl w:val="nil"/>
                  </w:tcBorders>
                  <w:shd w:val="clear" w:color="auto" w:fill="auto"/>
                  <w:noWrap/>
                  <w:vAlign w:val="center"/>
                </w:tcPr>
                <w:p w14:paraId="03736A4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noWrap/>
                  <w:vAlign w:val="center"/>
                </w:tcPr>
                <w:p w14:paraId="6F5EE05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noWrap/>
                  <w:vAlign w:val="center"/>
                </w:tcPr>
                <w:p w14:paraId="3195740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r>
            <w:tr w14:paraId="5A654C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40" w:hRule="atLeast"/>
                <w:jc w:val="center"/>
              </w:trPr>
              <w:tc>
                <w:tcPr>
                  <w:tcW w:w="695" w:type="pct"/>
                  <w:gridSpan w:val="2"/>
                  <w:tcBorders>
                    <w:tl2br w:val="nil"/>
                    <w:tr2bl w:val="nil"/>
                  </w:tcBorders>
                  <w:shd w:val="clear" w:color="auto" w:fill="auto"/>
                  <w:noWrap/>
                  <w:vAlign w:val="center"/>
                </w:tcPr>
                <w:p w14:paraId="4D467F6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仿宋_GB2312" w:hAnsi="等线" w:eastAsia="仿宋_GB2312" w:cs="仿宋_GB2312"/>
                      <w:b/>
                      <w:bCs/>
                      <w:i w:val="0"/>
                      <w:iCs w:val="0"/>
                      <w:color w:val="auto"/>
                      <w:sz w:val="18"/>
                      <w:szCs w:val="18"/>
                      <w:u w:val="none"/>
                    </w:rPr>
                  </w:pPr>
                  <w:r>
                    <w:rPr>
                      <w:rFonts w:hint="default" w:ascii="仿宋_GB2312" w:hAnsi="等线" w:eastAsia="仿宋_GB2312" w:cs="仿宋_GB2312"/>
                      <w:b/>
                      <w:bCs/>
                      <w:i w:val="0"/>
                      <w:iCs w:val="0"/>
                      <w:color w:val="auto"/>
                      <w:kern w:val="0"/>
                      <w:sz w:val="18"/>
                      <w:szCs w:val="18"/>
                      <w:u w:val="none"/>
                      <w:lang w:val="en-US" w:eastAsia="zh-CN" w:bidi="ar"/>
                    </w:rPr>
                    <w:t>合计</w:t>
                  </w:r>
                </w:p>
              </w:tc>
              <w:tc>
                <w:tcPr>
                  <w:tcW w:w="317" w:type="pct"/>
                  <w:tcBorders>
                    <w:tl2br w:val="nil"/>
                    <w:tr2bl w:val="nil"/>
                  </w:tcBorders>
                  <w:shd w:val="clear" w:color="auto" w:fill="auto"/>
                  <w:vAlign w:val="center"/>
                </w:tcPr>
                <w:p w14:paraId="11C1C9E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12934.42 </w:t>
                  </w:r>
                </w:p>
              </w:tc>
              <w:tc>
                <w:tcPr>
                  <w:tcW w:w="317" w:type="pct"/>
                  <w:tcBorders>
                    <w:tl2br w:val="nil"/>
                    <w:tr2bl w:val="nil"/>
                  </w:tcBorders>
                  <w:shd w:val="clear" w:color="auto" w:fill="auto"/>
                  <w:vAlign w:val="center"/>
                </w:tcPr>
                <w:p w14:paraId="2C23256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13106.00 </w:t>
                  </w:r>
                </w:p>
              </w:tc>
              <w:tc>
                <w:tcPr>
                  <w:tcW w:w="425" w:type="pct"/>
                  <w:tcBorders>
                    <w:tl2br w:val="nil"/>
                    <w:tr2bl w:val="nil"/>
                  </w:tcBorders>
                  <w:shd w:val="clear" w:color="auto" w:fill="auto"/>
                  <w:vAlign w:val="center"/>
                </w:tcPr>
                <w:p w14:paraId="2D96293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26040.42 </w:t>
                  </w:r>
                </w:p>
              </w:tc>
              <w:tc>
                <w:tcPr>
                  <w:tcW w:w="366" w:type="pct"/>
                  <w:tcBorders>
                    <w:tl2br w:val="nil"/>
                    <w:tr2bl w:val="nil"/>
                  </w:tcBorders>
                  <w:shd w:val="clear" w:color="auto" w:fill="auto"/>
                  <w:vAlign w:val="center"/>
                </w:tcPr>
                <w:p w14:paraId="155579F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19455.53 </w:t>
                  </w:r>
                </w:p>
              </w:tc>
              <w:tc>
                <w:tcPr>
                  <w:tcW w:w="268" w:type="pct"/>
                  <w:tcBorders>
                    <w:tl2br w:val="nil"/>
                    <w:tr2bl w:val="nil"/>
                  </w:tcBorders>
                  <w:shd w:val="clear" w:color="auto" w:fill="auto"/>
                  <w:vAlign w:val="center"/>
                </w:tcPr>
                <w:p w14:paraId="4915C1D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442.25 </w:t>
                  </w:r>
                </w:p>
              </w:tc>
              <w:tc>
                <w:tcPr>
                  <w:tcW w:w="317" w:type="pct"/>
                  <w:tcBorders>
                    <w:tl2br w:val="nil"/>
                    <w:tr2bl w:val="nil"/>
                  </w:tcBorders>
                  <w:shd w:val="clear" w:color="auto" w:fill="auto"/>
                  <w:vAlign w:val="center"/>
                </w:tcPr>
                <w:p w14:paraId="1B6F9ED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6142.64 </w:t>
                  </w:r>
                </w:p>
              </w:tc>
              <w:tc>
                <w:tcPr>
                  <w:tcW w:w="303" w:type="pct"/>
                  <w:tcBorders>
                    <w:tl2br w:val="nil"/>
                    <w:tr2bl w:val="nil"/>
                  </w:tcBorders>
                  <w:shd w:val="clear" w:color="auto" w:fill="auto"/>
                  <w:noWrap/>
                  <w:vAlign w:val="center"/>
                </w:tcPr>
                <w:p w14:paraId="687ABBA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26040.42 </w:t>
                  </w:r>
                </w:p>
              </w:tc>
              <w:tc>
                <w:tcPr>
                  <w:tcW w:w="302" w:type="pct"/>
                  <w:tcBorders>
                    <w:tl2br w:val="nil"/>
                    <w:tr2bl w:val="nil"/>
                  </w:tcBorders>
                  <w:shd w:val="clear" w:color="auto" w:fill="auto"/>
                  <w:vAlign w:val="center"/>
                </w:tcPr>
                <w:p w14:paraId="092BA25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等线" w:cs="Times New Roman"/>
                      <w:i w:val="0"/>
                      <w:iCs w:val="0"/>
                      <w:color w:val="auto"/>
                      <w:sz w:val="13"/>
                      <w:szCs w:val="13"/>
                      <w:u w:val="none"/>
                    </w:rPr>
                  </w:pPr>
                  <w:r>
                    <w:rPr>
                      <w:rFonts w:hint="default" w:ascii="Times New Roman" w:hAnsi="Times New Roman" w:eastAsia="等线" w:cs="Times New Roman"/>
                      <w:i w:val="0"/>
                      <w:iCs w:val="0"/>
                      <w:color w:val="auto"/>
                      <w:kern w:val="0"/>
                      <w:sz w:val="13"/>
                      <w:szCs w:val="13"/>
                      <w:u w:val="none"/>
                      <w:lang w:val="en-US" w:eastAsia="zh-CN" w:bidi="ar"/>
                    </w:rPr>
                    <w:t xml:space="preserve">11865.20 </w:t>
                  </w:r>
                </w:p>
              </w:tc>
              <w:tc>
                <w:tcPr>
                  <w:tcW w:w="378" w:type="pct"/>
                  <w:tcBorders>
                    <w:tl2br w:val="nil"/>
                    <w:tr2bl w:val="nil"/>
                  </w:tcBorders>
                  <w:shd w:val="clear" w:color="auto" w:fill="auto"/>
                  <w:vAlign w:val="center"/>
                </w:tcPr>
                <w:p w14:paraId="7DF15A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272" w:type="pct"/>
                  <w:tcBorders>
                    <w:tl2br w:val="nil"/>
                    <w:tr2bl w:val="nil"/>
                  </w:tcBorders>
                  <w:shd w:val="clear" w:color="auto" w:fill="auto"/>
                  <w:vAlign w:val="center"/>
                </w:tcPr>
                <w:p w14:paraId="37CF1A9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3"/>
                      <w:szCs w:val="13"/>
                      <w:u w:val="none"/>
                    </w:rPr>
                  </w:pPr>
                </w:p>
              </w:tc>
              <w:tc>
                <w:tcPr>
                  <w:tcW w:w="438" w:type="pct"/>
                  <w:tcBorders>
                    <w:tl2br w:val="nil"/>
                    <w:tr2bl w:val="nil"/>
                  </w:tcBorders>
                  <w:shd w:val="clear" w:color="auto" w:fill="auto"/>
                  <w:vAlign w:val="center"/>
                </w:tcPr>
                <w:p w14:paraId="6B04E35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vAlign w:val="center"/>
                </w:tcPr>
                <w:p w14:paraId="07BBEA4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196" w:type="pct"/>
                  <w:tcBorders>
                    <w:tl2br w:val="nil"/>
                    <w:tr2bl w:val="nil"/>
                  </w:tcBorders>
                  <w:shd w:val="clear" w:color="auto" w:fill="auto"/>
                  <w:vAlign w:val="center"/>
                </w:tcPr>
                <w:p w14:paraId="22E368F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c>
                <w:tcPr>
                  <w:tcW w:w="202" w:type="pct"/>
                  <w:tcBorders>
                    <w:tl2br w:val="nil"/>
                    <w:tr2bl w:val="nil"/>
                  </w:tcBorders>
                  <w:shd w:val="clear" w:color="auto" w:fill="auto"/>
                  <w:vAlign w:val="center"/>
                </w:tcPr>
                <w:p w14:paraId="5413488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等线" w:cs="Times New Roman"/>
                      <w:i w:val="0"/>
                      <w:iCs w:val="0"/>
                      <w:color w:val="auto"/>
                      <w:sz w:val="18"/>
                      <w:szCs w:val="18"/>
                      <w:u w:val="none"/>
                    </w:rPr>
                  </w:pPr>
                </w:p>
              </w:tc>
            </w:tr>
          </w:tbl>
          <w:p w14:paraId="62161167">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仿宋_GB2312" w:hAnsi="等线" w:eastAsia="仿宋_GB2312" w:cs="仿宋_GB2312"/>
                <w:i w:val="0"/>
                <w:iCs w:val="0"/>
                <w:color w:val="auto"/>
                <w:kern w:val="0"/>
                <w:sz w:val="24"/>
                <w:szCs w:val="24"/>
                <w:u w:val="none"/>
                <w:lang w:val="en-US" w:eastAsia="zh-CN" w:bidi="ar"/>
              </w:rPr>
            </w:pPr>
          </w:p>
        </w:tc>
      </w:tr>
      <w:tr w14:paraId="50CF22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24CAE3C6">
            <w:pPr>
              <w:adjustRightInd w:val="0"/>
              <w:snapToGrid w:val="0"/>
              <w:ind w:left="0" w:leftChars="0" w:firstLine="0" w:firstLineChars="0"/>
              <w:jc w:val="both"/>
              <w:rPr>
                <w:rFonts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总平面及现场布置</w:t>
            </w:r>
          </w:p>
        </w:tc>
        <w:tc>
          <w:tcPr>
            <w:tcW w:w="8349" w:type="dxa"/>
            <w:noWrap w:val="0"/>
            <w:vAlign w:val="center"/>
          </w:tcPr>
          <w:p w14:paraId="4D780E36">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bCs/>
                <w:color w:val="auto"/>
                <w:spacing w:val="-7"/>
                <w:highlight w:val="none"/>
                <w:lang w:val="en-US" w:eastAsia="zh-CN"/>
              </w:rPr>
            </w:pPr>
            <w:r>
              <w:rPr>
                <w:rFonts w:ascii="Times New Roman" w:hAnsi="Times New Roman" w:eastAsia="Times New Roman" w:cs="Times New Roman"/>
                <w:b/>
                <w:bCs/>
                <w:color w:val="auto"/>
                <w:spacing w:val="-2"/>
                <w:sz w:val="24"/>
                <w:szCs w:val="24"/>
                <w:highlight w:val="none"/>
              </w:rPr>
              <w:t>2.3</w:t>
            </w:r>
            <w:r>
              <w:rPr>
                <w:rFonts w:ascii="Times New Roman" w:hAnsi="Times New Roman" w:cs="Times New Roman"/>
                <w:b/>
                <w:bCs/>
                <w:color w:val="auto"/>
                <w:spacing w:val="-2"/>
                <w:sz w:val="24"/>
                <w:szCs w:val="24"/>
                <w:highlight w:val="none"/>
              </w:rPr>
              <w:t>风电场场地布置</w:t>
            </w:r>
          </w:p>
          <w:p w14:paraId="13033165">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hint="default" w:ascii="Times New Roman" w:hAnsi="Times New Roman" w:eastAsia="宋体" w:cs="Times New Roman"/>
                <w:b/>
                <w:bCs/>
                <w:color w:val="auto"/>
                <w:spacing w:val="-7"/>
                <w:highlight w:val="none"/>
                <w:lang w:val="en-US" w:eastAsia="zh-CN"/>
              </w:rPr>
              <w:t>2.3.1</w:t>
            </w:r>
            <w:r>
              <w:rPr>
                <w:rFonts w:ascii="Times New Roman" w:hAnsi="Times New Roman" w:cs="Times New Roman"/>
                <w:b/>
                <w:bCs/>
                <w:color w:val="auto"/>
                <w:spacing w:val="-7"/>
                <w:highlight w:val="none"/>
              </w:rPr>
              <w:t>风机总平面布置</w:t>
            </w:r>
          </w:p>
          <w:p w14:paraId="36F7BA28">
            <w:pPr>
              <w:pStyle w:val="45"/>
              <w:spacing w:before="0" w:line="360" w:lineRule="auto"/>
              <w:ind w:left="0" w:right="0" w:firstLine="483"/>
              <w:jc w:val="both"/>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Cs w:val="24"/>
                <w:highlight w:val="none"/>
                <w:lang w:bidi="ar"/>
              </w:rPr>
              <w:t>海德村项目位于云南省宣威市西南部的热水镇海德村</w:t>
            </w:r>
            <w:r>
              <w:rPr>
                <w:rFonts w:hint="default" w:ascii="Times New Roman" w:hAnsi="Times New Roman" w:eastAsia="宋体" w:cs="Times New Roman"/>
                <w:color w:val="auto"/>
                <w:spacing w:val="-2"/>
                <w:highlight w:val="none"/>
              </w:rPr>
              <w:t>，场址内海拔高程</w:t>
            </w:r>
            <w:r>
              <w:rPr>
                <w:rFonts w:hint="default" w:ascii="Times New Roman" w:hAnsi="Times New Roman" w:eastAsia="宋体" w:cs="Times New Roman"/>
                <w:color w:val="auto"/>
                <w:kern w:val="0"/>
                <w:szCs w:val="24"/>
                <w:highlight w:val="none"/>
                <w:lang w:bidi="ar"/>
              </w:rPr>
              <w:t>在2370～2409m之间</w:t>
            </w:r>
            <w:r>
              <w:rPr>
                <w:rFonts w:hint="default" w:ascii="Times New Roman" w:hAnsi="Times New Roman" w:eastAsia="宋体" w:cs="Times New Roman"/>
                <w:color w:val="auto"/>
                <w:spacing w:val="-4"/>
                <w:highlight w:val="none"/>
              </w:rPr>
              <w:t>。规划装机容量为</w:t>
            </w:r>
            <w:r>
              <w:rPr>
                <w:rFonts w:hint="default" w:ascii="Times New Roman" w:hAnsi="Times New Roman" w:eastAsia="宋体" w:cs="Times New Roman"/>
                <w:color w:val="auto"/>
                <w:spacing w:val="-4"/>
                <w:highlight w:val="none"/>
                <w:lang w:val="en-US" w:eastAsia="zh-CN"/>
              </w:rPr>
              <w:t>20</w:t>
            </w:r>
            <w:r>
              <w:rPr>
                <w:rFonts w:hint="default" w:ascii="Times New Roman" w:hAnsi="Times New Roman" w:eastAsia="宋体" w:cs="Times New Roman"/>
                <w:color w:val="auto"/>
                <w:spacing w:val="-4"/>
                <w:highlight w:val="none"/>
              </w:rPr>
              <w:t>MW，安装</w:t>
            </w:r>
            <w:r>
              <w:rPr>
                <w:rFonts w:hint="eastAsia" w:ascii="Times New Roman" w:hAnsi="Times New Roman" w:cs="Times New Roman"/>
                <w:color w:val="auto"/>
                <w:spacing w:val="-4"/>
                <w:highlight w:val="none"/>
                <w:lang w:val="en-US" w:eastAsia="zh-CN"/>
              </w:rPr>
              <w:t>7.5MW</w:t>
            </w:r>
            <w:r>
              <w:rPr>
                <w:rFonts w:hint="default" w:ascii="Times New Roman" w:hAnsi="Times New Roman" w:eastAsia="宋体" w:cs="Times New Roman"/>
                <w:color w:val="auto"/>
                <w:spacing w:val="-4"/>
                <w:highlight w:val="none"/>
              </w:rPr>
              <w:t>风电机组</w:t>
            </w:r>
            <w:r>
              <w:rPr>
                <w:rFonts w:hint="default" w:ascii="Times New Roman" w:hAnsi="Times New Roman" w:eastAsia="宋体" w:cs="Times New Roman"/>
                <w:color w:val="auto"/>
                <w:spacing w:val="-5"/>
                <w:highlight w:val="none"/>
                <w:lang w:val="en-US" w:eastAsia="zh-CN"/>
              </w:rPr>
              <w:t>2</w:t>
            </w:r>
            <w:r>
              <w:rPr>
                <w:rFonts w:hint="default" w:ascii="Times New Roman" w:hAnsi="Times New Roman" w:eastAsia="宋体" w:cs="Times New Roman"/>
                <w:color w:val="auto"/>
                <w:spacing w:val="-5"/>
                <w:highlight w:val="none"/>
              </w:rPr>
              <w:t>台和</w:t>
            </w:r>
            <w:r>
              <w:rPr>
                <w:rFonts w:hint="eastAsia" w:ascii="Times New Roman" w:hAnsi="Times New Roman" w:cs="Times New Roman"/>
                <w:color w:val="auto"/>
                <w:spacing w:val="-2"/>
                <w:highlight w:val="none"/>
                <w:lang w:val="en-US" w:eastAsia="zh-CN"/>
              </w:rPr>
              <w:t>5MW</w:t>
            </w:r>
            <w:r>
              <w:rPr>
                <w:rFonts w:hint="default" w:ascii="Times New Roman" w:hAnsi="Times New Roman" w:eastAsia="宋体" w:cs="Times New Roman"/>
                <w:color w:val="auto"/>
                <w:spacing w:val="-2"/>
                <w:highlight w:val="none"/>
              </w:rPr>
              <w:t>风电机组</w:t>
            </w:r>
            <w:r>
              <w:rPr>
                <w:rFonts w:hint="default" w:ascii="Times New Roman" w:hAnsi="Times New Roman" w:eastAsia="宋体" w:cs="Times New Roman"/>
                <w:color w:val="auto"/>
                <w:spacing w:val="-30"/>
                <w:highlight w:val="none"/>
                <w:lang w:val="en-US" w:eastAsia="zh-CN"/>
              </w:rPr>
              <w:t>1</w:t>
            </w:r>
            <w:r>
              <w:rPr>
                <w:rFonts w:hint="default" w:ascii="Times New Roman" w:hAnsi="Times New Roman" w:eastAsia="宋体" w:cs="Times New Roman"/>
                <w:color w:val="auto"/>
                <w:spacing w:val="-2"/>
                <w:highlight w:val="none"/>
              </w:rPr>
              <w:t>台，总装机</w:t>
            </w:r>
            <w:r>
              <w:rPr>
                <w:rFonts w:hint="default" w:ascii="Times New Roman" w:hAnsi="Times New Roman" w:eastAsia="宋体" w:cs="Times New Roman"/>
                <w:color w:val="auto"/>
                <w:spacing w:val="-50"/>
                <w:highlight w:val="none"/>
                <w:lang w:val="en-US" w:eastAsia="zh-CN"/>
              </w:rPr>
              <w:t>3</w:t>
            </w:r>
            <w:r>
              <w:rPr>
                <w:rFonts w:hint="default" w:ascii="Times New Roman" w:hAnsi="Times New Roman" w:eastAsia="宋体" w:cs="Times New Roman"/>
                <w:color w:val="auto"/>
                <w:spacing w:val="-2"/>
                <w:highlight w:val="none"/>
              </w:rPr>
              <w:t>台。</w:t>
            </w:r>
            <w:r>
              <w:rPr>
                <w:rFonts w:hint="default" w:ascii="Times New Roman" w:hAnsi="Times New Roman" w:eastAsia="宋体" w:cs="Times New Roman"/>
                <w:color w:val="auto"/>
                <w:kern w:val="2"/>
                <w:sz w:val="24"/>
                <w:szCs w:val="24"/>
                <w:highlight w:val="none"/>
                <w:lang w:val="en-US" w:eastAsia="zh-CN" w:bidi="ar-SA"/>
              </w:rPr>
              <w:t>风机布置情况如下表所示。</w:t>
            </w:r>
          </w:p>
          <w:p w14:paraId="6E89CEA5">
            <w:pPr>
              <w:pStyle w:val="45"/>
              <w:spacing w:before="1" w:line="211" w:lineRule="auto"/>
              <w:ind w:left="2013"/>
              <w:rPr>
                <w:rFonts w:ascii="Times New Roman" w:hAnsi="Times New Roman" w:cs="Times New Roman"/>
                <w:color w:val="auto"/>
                <w:highlight w:val="none"/>
              </w:rPr>
            </w:pPr>
            <w:r>
              <w:rPr>
                <w:rFonts w:ascii="Times New Roman" w:hAnsi="Times New Roman" w:cs="Times New Roman"/>
                <w:b/>
                <w:bCs/>
                <w:color w:val="auto"/>
                <w:spacing w:val="-3"/>
                <w:highlight w:val="none"/>
              </w:rPr>
              <w:t>表</w:t>
            </w:r>
            <w:r>
              <w:rPr>
                <w:rFonts w:ascii="Times New Roman" w:hAnsi="Times New Roman" w:eastAsia="Times New Roman" w:cs="Times New Roman"/>
                <w:b/>
                <w:bCs/>
                <w:color w:val="auto"/>
                <w:spacing w:val="-3"/>
                <w:highlight w:val="none"/>
              </w:rPr>
              <w:t>2-</w:t>
            </w:r>
            <w:r>
              <w:rPr>
                <w:rFonts w:hint="eastAsia" w:ascii="Times New Roman" w:hAnsi="Times New Roman" w:eastAsia="宋体" w:cs="Times New Roman"/>
                <w:b/>
                <w:bCs/>
                <w:color w:val="auto"/>
                <w:spacing w:val="-3"/>
                <w:highlight w:val="none"/>
                <w:lang w:val="en-US" w:eastAsia="zh-CN"/>
              </w:rPr>
              <w:t>4</w:t>
            </w:r>
            <w:r>
              <w:rPr>
                <w:rFonts w:ascii="Times New Roman" w:hAnsi="Times New Roman" w:cs="Times New Roman"/>
                <w:b/>
                <w:bCs/>
                <w:color w:val="auto"/>
                <w:spacing w:val="-3"/>
                <w:highlight w:val="none"/>
              </w:rPr>
              <w:t>电场风机机位布置一览表</w:t>
            </w:r>
          </w:p>
          <w:tbl>
            <w:tblPr>
              <w:tblStyle w:val="46"/>
              <w:tblW w:w="7860"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3"/>
              <w:gridCol w:w="1395"/>
              <w:gridCol w:w="2516"/>
              <w:gridCol w:w="2866"/>
            </w:tblGrid>
            <w:tr w14:paraId="43182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083" w:type="dxa"/>
                  <w:vMerge w:val="restart"/>
                  <w:tcBorders>
                    <w:bottom w:val="nil"/>
                    <w:right w:val="single" w:color="auto" w:sz="4" w:space="0"/>
                  </w:tcBorders>
                  <w:vAlign w:val="top"/>
                </w:tcPr>
                <w:p w14:paraId="523892F7">
                  <w:pPr>
                    <w:pStyle w:val="28"/>
                    <w:bidi w:val="0"/>
                    <w:rPr>
                      <w:rFonts w:ascii="Times New Roman" w:hAnsi="Times New Roman" w:cs="Times New Roman"/>
                      <w:color w:val="auto"/>
                      <w:highlight w:val="none"/>
                    </w:rPr>
                  </w:pPr>
                  <w:r>
                    <w:rPr>
                      <w:rFonts w:ascii="Times New Roman" w:hAnsi="Times New Roman" w:cs="Times New Roman"/>
                      <w:color w:val="auto"/>
                      <w:highlight w:val="none"/>
                    </w:rPr>
                    <w:t>风机编号</w:t>
                  </w:r>
                </w:p>
              </w:tc>
              <w:tc>
                <w:tcPr>
                  <w:tcW w:w="1395" w:type="dxa"/>
                  <w:vMerge w:val="restart"/>
                  <w:tcBorders>
                    <w:left w:val="single" w:color="auto" w:sz="4" w:space="0"/>
                    <w:bottom w:val="nil"/>
                  </w:tcBorders>
                  <w:vAlign w:val="top"/>
                </w:tcPr>
                <w:p w14:paraId="7D235E2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单机容量（MW）</w:t>
                  </w:r>
                </w:p>
              </w:tc>
              <w:tc>
                <w:tcPr>
                  <w:tcW w:w="5382" w:type="dxa"/>
                  <w:gridSpan w:val="2"/>
                  <w:vAlign w:val="top"/>
                </w:tcPr>
                <w:p w14:paraId="793EE63D">
                  <w:pPr>
                    <w:pStyle w:val="28"/>
                    <w:bidi w:val="0"/>
                    <w:rPr>
                      <w:rFonts w:ascii="Times New Roman" w:hAnsi="Times New Roman" w:cs="Times New Roman"/>
                      <w:color w:val="auto"/>
                      <w:highlight w:val="none"/>
                    </w:rPr>
                  </w:pPr>
                  <w:r>
                    <w:rPr>
                      <w:rFonts w:ascii="Times New Roman" w:hAnsi="Times New Roman" w:cs="Times New Roman"/>
                      <w:color w:val="auto"/>
                      <w:highlight w:val="none"/>
                    </w:rPr>
                    <w:t>坐标</w:t>
                  </w:r>
                </w:p>
              </w:tc>
            </w:tr>
            <w:tr w14:paraId="775AB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083" w:type="dxa"/>
                  <w:vMerge w:val="continue"/>
                  <w:tcBorders>
                    <w:top w:val="nil"/>
                    <w:right w:val="single" w:color="auto" w:sz="4" w:space="0"/>
                  </w:tcBorders>
                  <w:vAlign w:val="top"/>
                </w:tcPr>
                <w:p w14:paraId="5FFFBD11">
                  <w:pPr>
                    <w:pStyle w:val="28"/>
                    <w:bidi w:val="0"/>
                    <w:rPr>
                      <w:rFonts w:ascii="Times New Roman" w:hAnsi="Times New Roman" w:cs="Times New Roman"/>
                      <w:color w:val="auto"/>
                      <w:highlight w:val="none"/>
                    </w:rPr>
                  </w:pPr>
                </w:p>
              </w:tc>
              <w:tc>
                <w:tcPr>
                  <w:tcW w:w="1395" w:type="dxa"/>
                  <w:vMerge w:val="continue"/>
                  <w:tcBorders>
                    <w:top w:val="nil"/>
                    <w:left w:val="single" w:color="auto" w:sz="4" w:space="0"/>
                  </w:tcBorders>
                  <w:vAlign w:val="top"/>
                </w:tcPr>
                <w:p w14:paraId="18E0F834">
                  <w:pPr>
                    <w:pStyle w:val="28"/>
                    <w:bidi w:val="0"/>
                    <w:rPr>
                      <w:rFonts w:ascii="Times New Roman" w:hAnsi="Times New Roman" w:cs="Times New Roman"/>
                      <w:color w:val="auto"/>
                      <w:highlight w:val="none"/>
                    </w:rPr>
                  </w:pPr>
                </w:p>
              </w:tc>
              <w:tc>
                <w:tcPr>
                  <w:tcW w:w="2516" w:type="dxa"/>
                  <w:vAlign w:val="top"/>
                </w:tcPr>
                <w:p w14:paraId="49F41C02">
                  <w:pPr>
                    <w:pStyle w:val="28"/>
                    <w:bidi w:val="0"/>
                    <w:rPr>
                      <w:rFonts w:ascii="Times New Roman" w:hAnsi="Times New Roman" w:cs="Times New Roman"/>
                      <w:color w:val="auto"/>
                      <w:highlight w:val="none"/>
                    </w:rPr>
                  </w:pPr>
                  <w:r>
                    <w:rPr>
                      <w:rFonts w:ascii="Times New Roman" w:hAnsi="Times New Roman" w:cs="Times New Roman"/>
                      <w:color w:val="auto"/>
                      <w:highlight w:val="none"/>
                    </w:rPr>
                    <w:t>东（m）</w:t>
                  </w:r>
                </w:p>
              </w:tc>
              <w:tc>
                <w:tcPr>
                  <w:tcW w:w="2866" w:type="dxa"/>
                  <w:vAlign w:val="top"/>
                </w:tcPr>
                <w:p w14:paraId="238A879B">
                  <w:pPr>
                    <w:pStyle w:val="28"/>
                    <w:bidi w:val="0"/>
                    <w:rPr>
                      <w:rFonts w:ascii="Times New Roman" w:hAnsi="Times New Roman" w:cs="Times New Roman"/>
                      <w:color w:val="auto"/>
                      <w:highlight w:val="none"/>
                    </w:rPr>
                  </w:pPr>
                  <w:r>
                    <w:rPr>
                      <w:rFonts w:ascii="Times New Roman" w:hAnsi="Times New Roman" w:cs="Times New Roman"/>
                      <w:color w:val="auto"/>
                      <w:highlight w:val="none"/>
                    </w:rPr>
                    <w:t>北（m）</w:t>
                  </w:r>
                </w:p>
              </w:tc>
            </w:tr>
            <w:tr w14:paraId="6D2C51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083" w:type="dxa"/>
                  <w:tcBorders>
                    <w:right w:val="single" w:color="auto" w:sz="4" w:space="0"/>
                  </w:tcBorders>
                  <w:vAlign w:val="center"/>
                </w:tcPr>
                <w:p w14:paraId="64E4E262">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A1</w:t>
                  </w:r>
                </w:p>
              </w:tc>
              <w:tc>
                <w:tcPr>
                  <w:tcW w:w="1395" w:type="dxa"/>
                  <w:tcBorders>
                    <w:left w:val="single" w:color="auto" w:sz="4" w:space="0"/>
                  </w:tcBorders>
                  <w:vAlign w:val="center"/>
                </w:tcPr>
                <w:p w14:paraId="3D0543F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7.5</w:t>
                  </w:r>
                </w:p>
              </w:tc>
              <w:tc>
                <w:tcPr>
                  <w:tcW w:w="2516" w:type="dxa"/>
                  <w:vAlign w:val="center"/>
                </w:tcPr>
                <w:p w14:paraId="52FA5B97">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37561988.521</w:t>
                  </w:r>
                </w:p>
              </w:tc>
              <w:tc>
                <w:tcPr>
                  <w:tcW w:w="2866" w:type="dxa"/>
                  <w:vAlign w:val="center"/>
                </w:tcPr>
                <w:p w14:paraId="7401DBB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2678060.017</w:t>
                  </w:r>
                </w:p>
              </w:tc>
            </w:tr>
            <w:tr w14:paraId="54E15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1083" w:type="dxa"/>
                  <w:tcBorders>
                    <w:right w:val="single" w:color="auto" w:sz="4" w:space="0"/>
                  </w:tcBorders>
                  <w:vAlign w:val="center"/>
                </w:tcPr>
                <w:p w14:paraId="0ADAA373">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A2</w:t>
                  </w:r>
                </w:p>
              </w:tc>
              <w:tc>
                <w:tcPr>
                  <w:tcW w:w="1395" w:type="dxa"/>
                  <w:tcBorders>
                    <w:left w:val="single" w:color="auto" w:sz="4" w:space="0"/>
                  </w:tcBorders>
                  <w:vAlign w:val="center"/>
                </w:tcPr>
                <w:p w14:paraId="0D9935C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5.0</w:t>
                  </w:r>
                </w:p>
              </w:tc>
              <w:tc>
                <w:tcPr>
                  <w:tcW w:w="2516" w:type="dxa"/>
                  <w:vAlign w:val="center"/>
                </w:tcPr>
                <w:p w14:paraId="0D9C124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37562604.673</w:t>
                  </w:r>
                </w:p>
              </w:tc>
              <w:tc>
                <w:tcPr>
                  <w:tcW w:w="2866" w:type="dxa"/>
                  <w:vAlign w:val="center"/>
                </w:tcPr>
                <w:p w14:paraId="1387A7D7">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2677685.466</w:t>
                  </w:r>
                </w:p>
              </w:tc>
            </w:tr>
            <w:tr w14:paraId="1728E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1083" w:type="dxa"/>
                  <w:tcBorders>
                    <w:right w:val="single" w:color="auto" w:sz="4" w:space="0"/>
                  </w:tcBorders>
                  <w:vAlign w:val="center"/>
                </w:tcPr>
                <w:p w14:paraId="0F74E71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A3</w:t>
                  </w:r>
                </w:p>
              </w:tc>
              <w:tc>
                <w:tcPr>
                  <w:tcW w:w="1395" w:type="dxa"/>
                  <w:tcBorders>
                    <w:left w:val="single" w:color="auto" w:sz="4" w:space="0"/>
                  </w:tcBorders>
                  <w:vAlign w:val="center"/>
                </w:tcPr>
                <w:p w14:paraId="1360BF8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7.5</w:t>
                  </w:r>
                </w:p>
              </w:tc>
              <w:tc>
                <w:tcPr>
                  <w:tcW w:w="2516" w:type="dxa"/>
                  <w:vAlign w:val="center"/>
                </w:tcPr>
                <w:p w14:paraId="4A8A7BEF">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37562593.195</w:t>
                  </w:r>
                </w:p>
              </w:tc>
              <w:tc>
                <w:tcPr>
                  <w:tcW w:w="2866" w:type="dxa"/>
                  <w:vAlign w:val="center"/>
                </w:tcPr>
                <w:p w14:paraId="21B0FA9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2675719.569</w:t>
                  </w:r>
                </w:p>
              </w:tc>
            </w:tr>
          </w:tbl>
          <w:p w14:paraId="45BF6B1A">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2.3.2</w:t>
            </w:r>
            <w:r>
              <w:rPr>
                <w:rFonts w:hint="default" w:ascii="Times New Roman" w:hAnsi="Times New Roman" w:cs="Times New Roman"/>
                <w:b/>
                <w:bCs/>
                <w:color w:val="auto"/>
                <w:highlight w:val="none"/>
              </w:rPr>
              <w:t>开关</w:t>
            </w:r>
            <w:r>
              <w:rPr>
                <w:rFonts w:ascii="Times New Roman" w:hAnsi="Times New Roman" w:cs="Times New Roman"/>
                <w:b/>
                <w:bCs/>
                <w:color w:val="auto"/>
                <w:highlight w:val="none"/>
              </w:rPr>
              <w:t>站总平面布置</w:t>
            </w:r>
          </w:p>
          <w:p w14:paraId="2630CB9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hint="default" w:ascii="Times New Roman" w:hAnsi="Times New Roman" w:cs="Times New Roman"/>
                <w:color w:val="auto"/>
                <w:highlight w:val="none"/>
              </w:rPr>
              <w:t>本风电场拟在A2机位点南侧约0.2km处新建一座35kV开关站。开关站按“无人值班</w:t>
            </w:r>
            <w:r>
              <w:rPr>
                <w:rFonts w:ascii="Times New Roman" w:hAnsi="Times New Roman" w:cs="Times New Roman"/>
                <w:color w:val="auto"/>
                <w:highlight w:val="none"/>
              </w:rPr>
              <w:t>，</w:t>
            </w:r>
            <w:r>
              <w:rPr>
                <w:rFonts w:hint="default" w:ascii="Times New Roman" w:hAnsi="Times New Roman" w:cs="Times New Roman"/>
                <w:color w:val="auto"/>
                <w:highlight w:val="none"/>
              </w:rPr>
              <w:t>无人</w:t>
            </w:r>
            <w:r>
              <w:rPr>
                <w:rFonts w:ascii="Times New Roman" w:hAnsi="Times New Roman" w:cs="Times New Roman"/>
                <w:color w:val="auto"/>
                <w:highlight w:val="none"/>
              </w:rPr>
              <w:t>值守</w:t>
            </w:r>
            <w:r>
              <w:rPr>
                <w:rFonts w:hint="default" w:ascii="Times New Roman" w:hAnsi="Times New Roman" w:cs="Times New Roman"/>
                <w:color w:val="auto"/>
                <w:highlight w:val="none"/>
              </w:rPr>
              <w:t>”原则</w:t>
            </w:r>
            <w:r>
              <w:rPr>
                <w:rFonts w:ascii="Times New Roman" w:hAnsi="Times New Roman" w:cs="Times New Roman"/>
                <w:color w:val="auto"/>
                <w:highlight w:val="none"/>
              </w:rPr>
              <w:t>方式</w:t>
            </w:r>
            <w:r>
              <w:rPr>
                <w:rFonts w:hint="default" w:ascii="Times New Roman" w:hAnsi="Times New Roman" w:cs="Times New Roman"/>
                <w:color w:val="auto"/>
                <w:highlight w:val="none"/>
              </w:rPr>
              <w:t>。综合考虑</w:t>
            </w:r>
            <w:r>
              <w:rPr>
                <w:rFonts w:ascii="Times New Roman" w:hAnsi="Times New Roman" w:cs="Times New Roman"/>
                <w:color w:val="auto"/>
                <w:highlight w:val="none"/>
              </w:rPr>
              <w:t>工期</w:t>
            </w:r>
            <w:r>
              <w:rPr>
                <w:rFonts w:hint="default" w:ascii="Times New Roman" w:hAnsi="Times New Roman" w:cs="Times New Roman"/>
                <w:color w:val="auto"/>
                <w:highlight w:val="none"/>
              </w:rPr>
              <w:t>、</w:t>
            </w:r>
            <w:r>
              <w:rPr>
                <w:rFonts w:ascii="Times New Roman" w:hAnsi="Times New Roman" w:cs="Times New Roman"/>
                <w:color w:val="auto"/>
                <w:highlight w:val="none"/>
              </w:rPr>
              <w:t>占地</w:t>
            </w:r>
            <w:r>
              <w:rPr>
                <w:rFonts w:hint="default" w:ascii="Times New Roman" w:hAnsi="Times New Roman" w:cs="Times New Roman"/>
                <w:color w:val="auto"/>
                <w:highlight w:val="none"/>
              </w:rPr>
              <w:t>等</w:t>
            </w:r>
            <w:r>
              <w:rPr>
                <w:rFonts w:ascii="Times New Roman" w:hAnsi="Times New Roman" w:cs="Times New Roman"/>
                <w:color w:val="auto"/>
                <w:highlight w:val="none"/>
              </w:rPr>
              <w:t>因素，</w:t>
            </w:r>
            <w:r>
              <w:rPr>
                <w:rFonts w:hint="default" w:ascii="Times New Roman" w:hAnsi="Times New Roman" w:cs="Times New Roman"/>
                <w:color w:val="auto"/>
                <w:highlight w:val="none"/>
              </w:rPr>
              <w:t>开关站按预制舱方案设计。开关站围墙中心线东西宽25m，南北长40m，围墙内占地面积为1000m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，站区整体布置紧凑。站内布置了35</w:t>
            </w:r>
            <w:r>
              <w:rPr>
                <w:rFonts w:ascii="Times New Roman" w:hAnsi="Times New Roman" w:cs="Times New Roman"/>
                <w:color w:val="auto"/>
                <w:highlight w:val="none"/>
              </w:rPr>
              <w:t>kV</w:t>
            </w:r>
            <w:r>
              <w:rPr>
                <w:rFonts w:hint="default" w:ascii="Times New Roman" w:hAnsi="Times New Roman" w:cs="Times New Roman"/>
                <w:color w:val="auto"/>
                <w:highlight w:val="none"/>
              </w:rPr>
              <w:t>预制舱、S</w:t>
            </w:r>
            <w:r>
              <w:rPr>
                <w:rFonts w:ascii="Times New Roman" w:hAnsi="Times New Roman" w:cs="Times New Roman"/>
                <w:color w:val="auto"/>
                <w:highlight w:val="none"/>
              </w:rPr>
              <w:t>VG预制舱</w:t>
            </w:r>
            <w:r>
              <w:rPr>
                <w:rFonts w:hint="default" w:ascii="Times New Roman" w:hAnsi="Times New Roman" w:cs="Times New Roman"/>
                <w:color w:val="auto"/>
                <w:highlight w:val="none"/>
              </w:rPr>
              <w:t>、二次预制舱、辅助功能舱、固废舱等。</w:t>
            </w:r>
            <w:bookmarkStart w:id="20" w:name="OLE_LINK2"/>
          </w:p>
          <w:p w14:paraId="0FE26598">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hint="default" w:ascii="Times New Roman" w:hAnsi="Times New Roman" w:cs="Times New Roman"/>
                <w:color w:val="auto"/>
                <w:highlight w:val="none"/>
              </w:rPr>
              <w:t>根据开关站站址所处的地理位置、电网规划要求及站区周围的出线条件，本工程</w:t>
            </w:r>
            <w:r>
              <w:rPr>
                <w:rFonts w:ascii="Times New Roman" w:hAnsi="Times New Roman" w:cs="Times New Roman"/>
                <w:color w:val="auto"/>
                <w:highlight w:val="none"/>
              </w:rPr>
              <w:t>35</w:t>
            </w:r>
            <w:r>
              <w:rPr>
                <w:rFonts w:hint="default" w:ascii="Times New Roman" w:hAnsi="Times New Roman" w:cs="Times New Roman"/>
                <w:color w:val="auto"/>
                <w:highlight w:val="none"/>
              </w:rPr>
              <w:t>k</w:t>
            </w:r>
            <w:r>
              <w:rPr>
                <w:rFonts w:ascii="Times New Roman" w:hAnsi="Times New Roman" w:cs="Times New Roman"/>
                <w:color w:val="auto"/>
                <w:highlight w:val="none"/>
              </w:rPr>
              <w:t>V</w:t>
            </w:r>
            <w:r>
              <w:rPr>
                <w:rFonts w:hint="default" w:ascii="Times New Roman" w:hAnsi="Times New Roman" w:cs="Times New Roman"/>
                <w:color w:val="auto"/>
                <w:highlight w:val="none"/>
              </w:rPr>
              <w:t>向西</w:t>
            </w:r>
            <w:r>
              <w:rPr>
                <w:rFonts w:ascii="Times New Roman" w:hAnsi="Times New Roman" w:cs="Times New Roman"/>
                <w:color w:val="auto"/>
                <w:highlight w:val="none"/>
              </w:rPr>
              <w:t>南</w:t>
            </w:r>
            <w:r>
              <w:rPr>
                <w:rFonts w:hint="default" w:ascii="Times New Roman" w:hAnsi="Times New Roman" w:cs="Times New Roman"/>
                <w:color w:val="auto"/>
                <w:highlight w:val="none"/>
              </w:rPr>
              <w:t>出线，</w:t>
            </w:r>
            <w:r>
              <w:rPr>
                <w:rFonts w:hint="eastAsia" w:cs="Times New Roman"/>
                <w:color w:val="auto"/>
                <w:highlight w:val="none"/>
                <w:lang w:eastAsia="zh-CN"/>
              </w:rPr>
              <w:t>依托原有已建</w:t>
            </w:r>
            <w:r>
              <w:rPr>
                <w:rFonts w:hint="default" w:ascii="Times New Roman" w:hAnsi="Times New Roman" w:cs="Times New Roman"/>
                <w:color w:val="auto"/>
                <w:highlight w:val="none"/>
              </w:rPr>
              <w:t>进站道路接站址东南侧的水泥路，进站口布置在站区东南侧，大门宽度为</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m。</w:t>
            </w:r>
            <w:bookmarkEnd w:id="20"/>
          </w:p>
          <w:p w14:paraId="79561464">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hint="default" w:ascii="Times New Roman" w:hAnsi="Times New Roman" w:eastAsia="宋体" w:cs="Times New Roman"/>
                <w:b/>
                <w:bCs/>
                <w:color w:val="auto"/>
                <w:spacing w:val="-7"/>
                <w:highlight w:val="none"/>
                <w:lang w:val="en-US" w:eastAsia="zh-CN"/>
              </w:rPr>
              <w:t>2.3.3</w:t>
            </w:r>
            <w:r>
              <w:rPr>
                <w:rFonts w:ascii="Times New Roman" w:hAnsi="Times New Roman" w:cs="Times New Roman"/>
                <w:b/>
                <w:bCs/>
                <w:color w:val="auto"/>
                <w:spacing w:val="-7"/>
                <w:highlight w:val="none"/>
              </w:rPr>
              <w:t>集电线路</w:t>
            </w:r>
          </w:p>
          <w:p w14:paraId="7A752A70">
            <w:pPr>
              <w:keepNext w:val="0"/>
              <w:keepLines w:val="0"/>
              <w:pageBreakBefore w:val="0"/>
              <w:widowControl w:val="0"/>
              <w:kinsoku/>
              <w:wordWrap/>
              <w:overflowPunct/>
              <w:topLinePunct w:val="0"/>
              <w:autoSpaceDE/>
              <w:autoSpaceDN/>
              <w:bidi w:val="0"/>
              <w:adjustRightInd w:val="0"/>
              <w:snapToGrid w:val="0"/>
              <w:spacing w:line="360" w:lineRule="auto"/>
              <w:ind w:left="0" w:firstLine="482"/>
              <w:textAlignment w:val="auto"/>
              <w:rPr>
                <w:rFonts w:ascii="Times New Roman" w:hAnsi="Times New Roman" w:cs="Times New Roman"/>
                <w:color w:val="auto"/>
                <w:kern w:val="0"/>
                <w:szCs w:val="21"/>
                <w:highlight w:val="none"/>
              </w:rPr>
            </w:pPr>
            <w:r>
              <w:rPr>
                <w:rFonts w:hint="default" w:ascii="Times New Roman" w:hAnsi="Times New Roman" w:cs="Times New Roman"/>
                <w:color w:val="auto"/>
                <w:sz w:val="24"/>
                <w:szCs w:val="22"/>
                <w:highlight w:val="none"/>
              </w:rPr>
              <w:t>海德村项目</w:t>
            </w:r>
            <w:r>
              <w:rPr>
                <w:rFonts w:ascii="Times New Roman" w:hAnsi="Times New Roman" w:cs="Times New Roman"/>
                <w:color w:val="auto"/>
                <w:sz w:val="24"/>
                <w:szCs w:val="22"/>
                <w:highlight w:val="none"/>
              </w:rPr>
              <w:t>位于</w:t>
            </w:r>
            <w:r>
              <w:rPr>
                <w:rFonts w:hint="default" w:ascii="Times New Roman" w:hAnsi="Times New Roman" w:cs="Times New Roman"/>
                <w:color w:val="auto"/>
                <w:sz w:val="24"/>
                <w:szCs w:val="22"/>
                <w:highlight w:val="none"/>
              </w:rPr>
              <w:t>云南</w:t>
            </w:r>
            <w:r>
              <w:rPr>
                <w:rFonts w:ascii="Times New Roman" w:hAnsi="Times New Roman" w:cs="Times New Roman"/>
                <w:color w:val="auto"/>
                <w:sz w:val="24"/>
                <w:szCs w:val="22"/>
                <w:highlight w:val="none"/>
              </w:rPr>
              <w:t>省</w:t>
            </w:r>
            <w:r>
              <w:rPr>
                <w:rFonts w:hint="default" w:ascii="Times New Roman" w:hAnsi="Times New Roman" w:cs="Times New Roman"/>
                <w:color w:val="auto"/>
                <w:sz w:val="24"/>
                <w:szCs w:val="22"/>
                <w:highlight w:val="none"/>
              </w:rPr>
              <w:t>宣威</w:t>
            </w:r>
            <w:r>
              <w:rPr>
                <w:rFonts w:ascii="Times New Roman" w:hAnsi="Times New Roman" w:cs="Times New Roman"/>
                <w:color w:val="auto"/>
                <w:sz w:val="24"/>
                <w:szCs w:val="22"/>
                <w:highlight w:val="none"/>
              </w:rPr>
              <w:t>市</w:t>
            </w:r>
            <w:r>
              <w:rPr>
                <w:rFonts w:hint="default" w:ascii="Times New Roman" w:hAnsi="Times New Roman" w:cs="Times New Roman"/>
                <w:color w:val="auto"/>
                <w:sz w:val="24"/>
                <w:szCs w:val="22"/>
                <w:highlight w:val="none"/>
              </w:rPr>
              <w:t>热水镇海德村</w:t>
            </w:r>
            <w:r>
              <w:rPr>
                <w:rFonts w:ascii="Times New Roman" w:hAnsi="Times New Roman" w:cs="Times New Roman"/>
                <w:color w:val="auto"/>
                <w:sz w:val="24"/>
                <w:szCs w:val="22"/>
                <w:highlight w:val="none"/>
              </w:rPr>
              <w:t>。风电场拟安装</w:t>
            </w:r>
            <w:r>
              <w:rPr>
                <w:rFonts w:hint="default" w:ascii="Times New Roman" w:hAnsi="Times New Roman" w:cs="Times New Roman"/>
                <w:color w:val="auto"/>
                <w:sz w:val="24"/>
                <w:szCs w:val="22"/>
                <w:highlight w:val="none"/>
              </w:rPr>
              <w:t>2</w:t>
            </w:r>
            <w:r>
              <w:rPr>
                <w:rFonts w:ascii="Times New Roman" w:hAnsi="Times New Roman" w:cs="Times New Roman"/>
                <w:color w:val="auto"/>
                <w:sz w:val="24"/>
                <w:szCs w:val="22"/>
                <w:highlight w:val="none"/>
              </w:rPr>
              <w:t>台单机容量为</w:t>
            </w:r>
            <w:r>
              <w:rPr>
                <w:rFonts w:hint="default" w:ascii="Times New Roman" w:hAnsi="Times New Roman" w:cs="Times New Roman"/>
                <w:color w:val="auto"/>
                <w:sz w:val="24"/>
                <w:szCs w:val="22"/>
                <w:highlight w:val="none"/>
              </w:rPr>
              <w:t>7</w:t>
            </w:r>
            <w:r>
              <w:rPr>
                <w:rFonts w:ascii="Times New Roman" w:hAnsi="Times New Roman" w:cs="Times New Roman"/>
                <w:color w:val="auto"/>
                <w:sz w:val="24"/>
                <w:szCs w:val="22"/>
                <w:highlight w:val="none"/>
              </w:rPr>
              <w:t>.5MW的风电机组，1台单机容量为</w:t>
            </w:r>
            <w:r>
              <w:rPr>
                <w:rFonts w:hint="default" w:ascii="Times New Roman" w:hAnsi="Times New Roman" w:cs="Times New Roman"/>
                <w:color w:val="auto"/>
                <w:sz w:val="24"/>
                <w:szCs w:val="22"/>
                <w:highlight w:val="none"/>
              </w:rPr>
              <w:t>5</w:t>
            </w:r>
            <w:r>
              <w:rPr>
                <w:rFonts w:ascii="Times New Roman" w:hAnsi="Times New Roman" w:cs="Times New Roman"/>
                <w:color w:val="auto"/>
                <w:sz w:val="24"/>
                <w:szCs w:val="22"/>
                <w:highlight w:val="none"/>
              </w:rPr>
              <w:t>MW的风电机组，总装机容量</w:t>
            </w:r>
            <w:r>
              <w:rPr>
                <w:rFonts w:hint="default" w:ascii="Times New Roman" w:hAnsi="Times New Roman" w:cs="Times New Roman"/>
                <w:color w:val="auto"/>
                <w:sz w:val="24"/>
                <w:szCs w:val="22"/>
                <w:highlight w:val="none"/>
              </w:rPr>
              <w:t>20</w:t>
            </w:r>
            <w:r>
              <w:rPr>
                <w:rFonts w:ascii="Times New Roman" w:hAnsi="Times New Roman" w:cs="Times New Roman"/>
                <w:color w:val="auto"/>
                <w:sz w:val="24"/>
                <w:szCs w:val="22"/>
                <w:highlight w:val="none"/>
              </w:rPr>
              <w:t>MW。</w:t>
            </w:r>
            <w:r>
              <w:rPr>
                <w:rFonts w:hint="default" w:ascii="Times New Roman" w:hAnsi="Times New Roman" w:cs="Times New Roman"/>
                <w:color w:val="auto"/>
                <w:sz w:val="24"/>
                <w:szCs w:val="22"/>
                <w:highlight w:val="none"/>
              </w:rPr>
              <w:t>全站分为2路集电线路合并接入开关站35kV进线柜</w:t>
            </w:r>
            <w:r>
              <w:rPr>
                <w:rFonts w:ascii="Times New Roman" w:hAnsi="Times New Roman" w:cs="Times New Roman"/>
                <w:color w:val="auto"/>
                <w:sz w:val="24"/>
                <w:szCs w:val="22"/>
                <w:highlight w:val="none"/>
              </w:rPr>
              <w:t>。</w:t>
            </w:r>
            <w:r>
              <w:rPr>
                <w:rFonts w:hint="default" w:ascii="Times New Roman" w:hAnsi="Times New Roman" w:cs="Times New Roman"/>
                <w:color w:val="auto"/>
                <w:sz w:val="24"/>
                <w:szCs w:val="22"/>
                <w:highlight w:val="none"/>
              </w:rPr>
              <w:t>根据风电场装机规模及风电场机组位置分布，</w:t>
            </w:r>
            <w:r>
              <w:rPr>
                <w:rFonts w:ascii="Times New Roman" w:hAnsi="Times New Roman" w:cs="Times New Roman"/>
                <w:color w:val="auto"/>
                <w:sz w:val="24"/>
                <w:szCs w:val="22"/>
                <w:highlight w:val="none"/>
              </w:rPr>
              <w:t>35kV</w:t>
            </w:r>
            <w:r>
              <w:rPr>
                <w:rFonts w:hint="default" w:ascii="Times New Roman" w:hAnsi="Times New Roman" w:cs="Times New Roman"/>
                <w:color w:val="auto"/>
                <w:sz w:val="24"/>
                <w:szCs w:val="22"/>
                <w:highlight w:val="none"/>
              </w:rPr>
              <w:t>集电线路可分为2回集电线路：1#集电线路采用ZC-YJV22-3×70mm²</w:t>
            </w:r>
            <w:r>
              <w:rPr>
                <w:rFonts w:ascii="Times New Roman" w:hAnsi="Times New Roman" w:cs="Times New Roman"/>
                <w:color w:val="auto"/>
                <w:sz w:val="24"/>
                <w:szCs w:val="22"/>
                <w:highlight w:val="none"/>
              </w:rPr>
              <w:t>35kV</w:t>
            </w:r>
            <w:r>
              <w:rPr>
                <w:rFonts w:hint="default" w:ascii="Times New Roman" w:hAnsi="Times New Roman" w:cs="Times New Roman"/>
                <w:color w:val="auto"/>
                <w:sz w:val="24"/>
                <w:szCs w:val="22"/>
                <w:highlight w:val="none"/>
              </w:rPr>
              <w:t>铜芯电缆直埋敷设方案，由A1风机所发电能经箱变升压至</w:t>
            </w:r>
            <w:r>
              <w:rPr>
                <w:rFonts w:ascii="Times New Roman" w:hAnsi="Times New Roman" w:cs="Times New Roman"/>
                <w:color w:val="auto"/>
                <w:sz w:val="24"/>
                <w:szCs w:val="22"/>
                <w:highlight w:val="none"/>
              </w:rPr>
              <w:t>35kV</w:t>
            </w:r>
            <w:r>
              <w:rPr>
                <w:rFonts w:hint="default" w:ascii="Times New Roman" w:hAnsi="Times New Roman" w:cs="Times New Roman"/>
                <w:color w:val="auto"/>
                <w:sz w:val="24"/>
                <w:szCs w:val="22"/>
                <w:highlight w:val="none"/>
              </w:rPr>
              <w:t>后再经电缆送至开关站35kV进线柜；2#集电线路采用ZC-YJV22-3×70/120mm²</w:t>
            </w:r>
            <w:r>
              <w:rPr>
                <w:rFonts w:ascii="Times New Roman" w:hAnsi="Times New Roman" w:cs="Times New Roman"/>
                <w:color w:val="auto"/>
                <w:sz w:val="24"/>
                <w:szCs w:val="22"/>
                <w:highlight w:val="none"/>
              </w:rPr>
              <w:t>35kV</w:t>
            </w:r>
            <w:r>
              <w:rPr>
                <w:rFonts w:hint="default" w:ascii="Times New Roman" w:hAnsi="Times New Roman" w:cs="Times New Roman"/>
                <w:color w:val="auto"/>
                <w:sz w:val="24"/>
                <w:szCs w:val="22"/>
                <w:highlight w:val="none"/>
              </w:rPr>
              <w:t>铜芯电缆直埋敷设方案，将A2、A3风机所发电能经箱变升压至</w:t>
            </w:r>
            <w:r>
              <w:rPr>
                <w:rFonts w:ascii="Times New Roman" w:hAnsi="Times New Roman" w:cs="Times New Roman"/>
                <w:color w:val="auto"/>
                <w:sz w:val="24"/>
                <w:szCs w:val="22"/>
                <w:highlight w:val="none"/>
              </w:rPr>
              <w:t>35kV</w:t>
            </w:r>
            <w:r>
              <w:rPr>
                <w:rFonts w:hint="default" w:ascii="Times New Roman" w:hAnsi="Times New Roman" w:cs="Times New Roman"/>
                <w:color w:val="auto"/>
                <w:sz w:val="24"/>
                <w:szCs w:val="22"/>
                <w:highlight w:val="none"/>
              </w:rPr>
              <w:t>后再经电缆并联在一起送至开关站35kV进线柜。开关站拟配置一面进线柜，2回集电线路在进线柜处汇流。</w:t>
            </w:r>
          </w:p>
        </w:tc>
      </w:tr>
      <w:tr w14:paraId="30FC09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noWrap w:val="0"/>
            <w:vAlign w:val="center"/>
          </w:tcPr>
          <w:p w14:paraId="2F880976">
            <w:pPr>
              <w:adjustRightInd w:val="0"/>
              <w:snapToGrid w:val="0"/>
              <w:ind w:left="0" w:leftChars="0" w:firstLine="0" w:firstLineChars="0"/>
              <w:jc w:val="both"/>
              <w:rPr>
                <w:rFonts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施工方案</w:t>
            </w:r>
          </w:p>
        </w:tc>
        <w:tc>
          <w:tcPr>
            <w:tcW w:w="8349" w:type="dxa"/>
            <w:noWrap w:val="0"/>
            <w:vAlign w:val="center"/>
          </w:tcPr>
          <w:p w14:paraId="6F6E33CE">
            <w:pPr>
              <w:bidi w:val="0"/>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val="en-US" w:eastAsia="zh-CN"/>
              </w:rPr>
              <w:t>2.4</w:t>
            </w:r>
            <w:r>
              <w:rPr>
                <w:rFonts w:hint="default" w:ascii="Times New Roman" w:hAnsi="Times New Roman" w:cs="Times New Roman"/>
                <w:b/>
                <w:bCs/>
                <w:color w:val="auto"/>
                <w:highlight w:val="none"/>
                <w:lang w:eastAsia="zh-CN"/>
              </w:rPr>
              <w:t>施工方案</w:t>
            </w:r>
          </w:p>
          <w:p w14:paraId="4A05EDC3">
            <w:pPr>
              <w:bidi w:val="0"/>
              <w:rPr>
                <w:rFonts w:hint="default" w:ascii="Times New Roman" w:hAnsi="Times New Roman" w:eastAsia="宋体" w:cs="Times New Roman"/>
                <w:b/>
                <w:bCs/>
                <w:color w:val="auto"/>
                <w:highlight w:val="none"/>
                <w:lang w:eastAsia="zh-CN"/>
              </w:rPr>
            </w:pPr>
            <w:r>
              <w:rPr>
                <w:rFonts w:hint="default" w:ascii="Times New Roman" w:hAnsi="Times New Roman" w:cs="Times New Roman"/>
                <w:b/>
                <w:bCs/>
                <w:color w:val="auto"/>
                <w:highlight w:val="none"/>
                <w:lang w:val="en-US" w:eastAsia="zh-CN"/>
              </w:rPr>
              <w:t>2.4.1</w:t>
            </w:r>
            <w:r>
              <w:rPr>
                <w:rFonts w:hint="default" w:ascii="Times New Roman" w:hAnsi="Times New Roman" w:cs="Times New Roman"/>
                <w:b/>
                <w:bCs/>
                <w:color w:val="auto"/>
                <w:highlight w:val="none"/>
                <w:lang w:eastAsia="zh-CN"/>
              </w:rPr>
              <w:t>施工交通运输方案</w:t>
            </w:r>
          </w:p>
          <w:p w14:paraId="55A4A177">
            <w:pPr>
              <w:bidi w:val="0"/>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2.4.1.1</w:t>
            </w:r>
            <w:r>
              <w:rPr>
                <w:rFonts w:ascii="Times New Roman" w:hAnsi="Times New Roman" w:cs="Times New Roman"/>
                <w:b/>
                <w:bCs/>
                <w:color w:val="auto"/>
                <w:highlight w:val="none"/>
              </w:rPr>
              <w:t>对外交通</w:t>
            </w:r>
          </w:p>
          <w:p w14:paraId="28D857AB">
            <w:pPr>
              <w:tabs>
                <w:tab w:val="left" w:pos="420"/>
              </w:tabs>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宣威市地理位置优越，交通便利。</w:t>
            </w:r>
            <w:r>
              <w:rPr>
                <w:rFonts w:ascii="Times New Roman" w:hAnsi="Times New Roman" w:cs="Times New Roman"/>
                <w:color w:val="auto"/>
                <w:sz w:val="24"/>
                <w:szCs w:val="28"/>
                <w:highlight w:val="none"/>
              </w:rPr>
              <w:t>毗邻</w:t>
            </w:r>
            <w:r>
              <w:rPr>
                <w:rFonts w:hint="default" w:ascii="Times New Roman" w:hAnsi="Times New Roman" w:cs="Times New Roman"/>
                <w:color w:val="auto"/>
                <w:sz w:val="24"/>
                <w:szCs w:val="28"/>
                <w:highlight w:val="none"/>
              </w:rPr>
              <w:t>G56杭瑞高速、S16宣片高速、S207省道，</w:t>
            </w:r>
            <w:r>
              <w:rPr>
                <w:rFonts w:ascii="Times New Roman" w:hAnsi="Times New Roman" w:cs="Times New Roman"/>
                <w:color w:val="auto"/>
                <w:sz w:val="24"/>
                <w:szCs w:val="28"/>
                <w:highlight w:val="none"/>
              </w:rPr>
              <w:t>本风电场场址位于</w:t>
            </w:r>
            <w:r>
              <w:rPr>
                <w:rFonts w:hint="default" w:ascii="Times New Roman" w:hAnsi="Times New Roman" w:cs="Times New Roman"/>
                <w:color w:val="auto"/>
                <w:sz w:val="24"/>
                <w:szCs w:val="28"/>
                <w:highlight w:val="none"/>
              </w:rPr>
              <w:t>宣威市西南部</w:t>
            </w:r>
            <w:r>
              <w:rPr>
                <w:rFonts w:ascii="Times New Roman" w:hAnsi="Times New Roman" w:cs="Times New Roman"/>
                <w:color w:val="auto"/>
                <w:sz w:val="24"/>
                <w:szCs w:val="28"/>
                <w:highlight w:val="none"/>
              </w:rPr>
              <w:t>，</w:t>
            </w:r>
            <w:r>
              <w:rPr>
                <w:rFonts w:hint="default" w:ascii="Times New Roman" w:hAnsi="Times New Roman" w:cs="Times New Roman"/>
                <w:color w:val="auto"/>
                <w:sz w:val="24"/>
                <w:szCs w:val="28"/>
                <w:highlight w:val="none"/>
              </w:rPr>
              <w:t>场区距离宣威市区约45km，距离曲靖市区约53km</w:t>
            </w:r>
            <w:r>
              <w:rPr>
                <w:rFonts w:hint="default" w:ascii="Times New Roman" w:hAnsi="Times New Roman" w:cs="Times New Roman"/>
                <w:color w:val="auto"/>
                <w:sz w:val="24"/>
                <w:highlight w:val="none"/>
              </w:rPr>
              <w:t>。</w:t>
            </w:r>
          </w:p>
          <w:p w14:paraId="43A380BA">
            <w:pPr>
              <w:tabs>
                <w:tab w:val="left" w:pos="420"/>
              </w:tabs>
              <w:spacing w:line="360" w:lineRule="auto"/>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drawing>
                <wp:inline distT="0" distB="0" distL="114300" distR="114300">
                  <wp:extent cx="4786630" cy="3408680"/>
                  <wp:effectExtent l="0" t="0" r="13970" b="127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7"/>
                          <a:stretch>
                            <a:fillRect/>
                          </a:stretch>
                        </pic:blipFill>
                        <pic:spPr>
                          <a:xfrm>
                            <a:off x="0" y="0"/>
                            <a:ext cx="4786630" cy="3408680"/>
                          </a:xfrm>
                          <a:prstGeom prst="rect">
                            <a:avLst/>
                          </a:prstGeom>
                          <a:noFill/>
                          <a:ln>
                            <a:noFill/>
                          </a:ln>
                        </pic:spPr>
                      </pic:pic>
                    </a:graphicData>
                  </a:graphic>
                </wp:inline>
              </w:drawing>
            </w:r>
          </w:p>
          <w:p w14:paraId="08043B13">
            <w:pPr>
              <w:pStyle w:val="4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w:t>
            </w:r>
            <w:r>
              <w:rPr>
                <w:rFonts w:hint="eastAsia" w:ascii="Times New Roman" w:hAnsi="Times New Roman" w:cs="Times New Roman"/>
                <w:color w:val="auto"/>
                <w:highlight w:val="none"/>
                <w:lang w:val="en-US" w:eastAsia="zh-CN"/>
              </w:rPr>
              <w:t>2.4.1</w:t>
            </w:r>
            <w:r>
              <w:rPr>
                <w:rFonts w:hint="default" w:ascii="Times New Roman" w:hAnsi="Times New Roman" w:cs="Times New Roman"/>
                <w:color w:val="auto"/>
                <w:highlight w:val="none"/>
              </w:rPr>
              <w:t>对外交通示意图</w:t>
            </w:r>
          </w:p>
          <w:p w14:paraId="6B37A2D6">
            <w:pPr>
              <w:tabs>
                <w:tab w:val="left" w:pos="420"/>
              </w:tabs>
              <w:spacing w:line="360" w:lineRule="auto"/>
              <w:ind w:firstLine="480"/>
              <w:rPr>
                <w:rFonts w:hint="default" w:ascii="Times New Roman" w:hAnsi="Times New Roman" w:eastAsia="宋体" w:cs="Times New Roman"/>
                <w:b w:val="0"/>
                <w:bCs w:val="0"/>
                <w:color w:val="auto"/>
                <w:sz w:val="24"/>
                <w:highlight w:val="none"/>
                <w:lang w:eastAsia="zh-CN"/>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1</w:t>
            </w:r>
            <w:r>
              <w:rPr>
                <w:rFonts w:hint="default" w:ascii="Times New Roman" w:hAnsi="Times New Roman" w:cs="Times New Roman"/>
                <w:b w:val="0"/>
                <w:bCs w:val="0"/>
                <w:color w:val="auto"/>
                <w:sz w:val="24"/>
                <w:highlight w:val="none"/>
                <w:lang w:eastAsia="zh-CN"/>
              </w:rPr>
              <w:t>）现有交通条件</w:t>
            </w:r>
          </w:p>
          <w:p w14:paraId="5C7353A9">
            <w:pPr>
              <w:tabs>
                <w:tab w:val="left" w:pos="420"/>
              </w:tabs>
              <w:spacing w:line="360" w:lineRule="auto"/>
              <w:ind w:firstLine="480"/>
              <w:rPr>
                <w:rFonts w:ascii="Times New Roman" w:hAnsi="Times New Roman" w:eastAsia="Times New Roman" w:cs="Times New Roman"/>
                <w:color w:val="auto"/>
                <w:sz w:val="24"/>
                <w:highlight w:val="none"/>
              </w:rPr>
            </w:pPr>
            <w:r>
              <w:rPr>
                <w:rFonts w:hint="default" w:ascii="Times New Roman" w:hAnsi="Times New Roman" w:cs="Times New Roman"/>
                <w:color w:val="auto"/>
                <w:sz w:val="24"/>
                <w:highlight w:val="none"/>
              </w:rPr>
              <w:t>风电场</w:t>
            </w:r>
            <w:r>
              <w:rPr>
                <w:rFonts w:hint="eastAsia" w:cs="Times New Roman"/>
                <w:color w:val="auto"/>
                <w:sz w:val="24"/>
                <w:highlight w:val="none"/>
                <w:lang w:val="en-US" w:eastAsia="zh-CN"/>
              </w:rPr>
              <w:t>位于</w:t>
            </w:r>
            <w:r>
              <w:rPr>
                <w:rFonts w:hint="default" w:ascii="Times New Roman" w:hAnsi="Times New Roman" w:cs="Times New Roman"/>
                <w:color w:val="auto"/>
                <w:sz w:val="24"/>
                <w:highlight w:val="none"/>
              </w:rPr>
              <w:t>宣威市西南部，对外交通便利，境内的公路运输网发达。公路路况良好，路线平坦，公路主干道路面宽度、线路纵坡度、线路横向坡度、竖曲线等均能满足大件运输的要求，对重大件运输有影响的主要是桥梁承载力、路线限高、限宽、转弯半径等问题。</w:t>
            </w:r>
          </w:p>
          <w:p w14:paraId="7B66FF33">
            <w:pPr>
              <w:tabs>
                <w:tab w:val="left" w:pos="420"/>
              </w:tabs>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风电机组设备及开关站电气设备考虑采用公路交通运</w:t>
            </w:r>
            <w:r>
              <w:rPr>
                <w:rFonts w:hint="eastAsia" w:cs="Times New Roman"/>
                <w:color w:val="auto"/>
                <w:sz w:val="24"/>
                <w:highlight w:val="none"/>
                <w:lang w:eastAsia="zh-CN"/>
              </w:rPr>
              <w:t>输</w:t>
            </w:r>
            <w:r>
              <w:rPr>
                <w:rFonts w:hint="default" w:ascii="Times New Roman" w:hAnsi="Times New Roman" w:cs="Times New Roman"/>
                <w:color w:val="auto"/>
                <w:sz w:val="24"/>
                <w:highlight w:val="none"/>
              </w:rPr>
              <w:t>风电场</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尽量避免从大跨径桥梁经过。根据工程附近地区目前的公路交通条件和重大件运输尺寸、重量，风电场由最近高速收费站至风场附近现有S207省道可以通行，省道往东连接到乡村道路，基本能够满足物资运输和</w:t>
            </w:r>
            <w:r>
              <w:rPr>
                <w:rFonts w:hint="eastAsia" w:cs="Times New Roman"/>
                <w:color w:val="auto"/>
                <w:sz w:val="24"/>
                <w:highlight w:val="none"/>
                <w:lang w:eastAsia="zh-CN"/>
              </w:rPr>
              <w:t>车辆交会的</w:t>
            </w:r>
            <w:r>
              <w:rPr>
                <w:rFonts w:hint="default" w:ascii="Times New Roman" w:hAnsi="Times New Roman" w:cs="Times New Roman"/>
                <w:color w:val="auto"/>
                <w:sz w:val="24"/>
                <w:highlight w:val="none"/>
              </w:rPr>
              <w:t>需要。</w:t>
            </w:r>
          </w:p>
          <w:p w14:paraId="2C219790">
            <w:pPr>
              <w:tabs>
                <w:tab w:val="left" w:pos="420"/>
              </w:tabs>
              <w:spacing w:line="360" w:lineRule="auto"/>
              <w:ind w:firstLine="480"/>
              <w:rPr>
                <w:rFonts w:hint="default" w:ascii="Times New Roman" w:hAnsi="Times New Roman" w:eastAsia="宋体" w:cs="Times New Roman"/>
                <w:b w:val="0"/>
                <w:bCs w:val="0"/>
                <w:color w:val="auto"/>
                <w:sz w:val="24"/>
                <w:highlight w:val="none"/>
                <w:lang w:eastAsia="zh-CN"/>
              </w:rPr>
            </w:pPr>
            <w:r>
              <w:rPr>
                <w:rFonts w:hint="default" w:ascii="Times New Roman" w:hAnsi="Times New Roman" w:cs="Times New Roman"/>
                <w:b w:val="0"/>
                <w:bCs w:val="0"/>
                <w:color w:val="auto"/>
                <w:sz w:val="24"/>
                <w:highlight w:val="none"/>
                <w:lang w:eastAsia="zh-CN"/>
              </w:rPr>
              <w:t>（</w:t>
            </w:r>
            <w:r>
              <w:rPr>
                <w:rFonts w:hint="default" w:ascii="Times New Roman" w:hAnsi="Times New Roman" w:cs="Times New Roman"/>
                <w:b w:val="0"/>
                <w:bCs w:val="0"/>
                <w:color w:val="auto"/>
                <w:sz w:val="24"/>
                <w:highlight w:val="none"/>
                <w:lang w:val="en-US" w:eastAsia="zh-CN"/>
              </w:rPr>
              <w:t>2</w:t>
            </w:r>
            <w:r>
              <w:rPr>
                <w:rFonts w:hint="default" w:ascii="Times New Roman" w:hAnsi="Times New Roman" w:cs="Times New Roman"/>
                <w:b w:val="0"/>
                <w:bCs w:val="0"/>
                <w:color w:val="auto"/>
                <w:sz w:val="24"/>
                <w:highlight w:val="none"/>
                <w:lang w:eastAsia="zh-CN"/>
              </w:rPr>
              <w:t>）</w:t>
            </w:r>
            <w:r>
              <w:rPr>
                <w:rFonts w:ascii="Times New Roman" w:hAnsi="Times New Roman" w:cs="Times New Roman"/>
                <w:b w:val="0"/>
                <w:bCs w:val="0"/>
                <w:color w:val="auto"/>
                <w:sz w:val="24"/>
                <w:highlight w:val="none"/>
              </w:rPr>
              <w:t>重大件运输设备</w:t>
            </w:r>
          </w:p>
          <w:p w14:paraId="62ADEE25">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w:t>
            </w:r>
            <w:r>
              <w:rPr>
                <w:rFonts w:ascii="Times New Roman" w:hAnsi="Times New Roman" w:cs="Times New Roman"/>
                <w:color w:val="auto"/>
                <w:sz w:val="24"/>
                <w:highlight w:val="none"/>
              </w:rPr>
              <w:t>常规车辆运输方式</w:t>
            </w:r>
          </w:p>
          <w:p w14:paraId="6B52BBC7">
            <w:pPr>
              <w:tabs>
                <w:tab w:val="left" w:pos="420"/>
              </w:tabs>
              <w:spacing w:line="360" w:lineRule="auto"/>
              <w:ind w:firstLine="48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公路运输时，大件的运输车辆可采用欧曼BJ2453MFJB-S4/德龙480型、欧曼BJ4183LFGA-S3/德龙380型牵引车，挂车选用装车高度较低的平板车（如环达BJQ9391TDP平板车、通华THT9360平板车）</w:t>
            </w:r>
          </w:p>
          <w:p w14:paraId="43B85669">
            <w:pPr>
              <w:spacing w:line="360" w:lineRule="auto"/>
              <w:ind w:firstLine="480" w:firstLineChars="200"/>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②</w:t>
            </w:r>
            <w:r>
              <w:rPr>
                <w:rFonts w:ascii="Times New Roman" w:hAnsi="Times New Roman" w:cs="Times New Roman"/>
                <w:color w:val="auto"/>
                <w:sz w:val="24"/>
                <w:highlight w:val="none"/>
              </w:rPr>
              <w:t>特种运输方式</w:t>
            </w:r>
          </w:p>
          <w:p w14:paraId="25D7EF84">
            <w:pPr>
              <w:spacing w:line="360" w:lineRule="auto"/>
              <w:ind w:firstLine="480" w:firstLineChars="200"/>
              <w:rPr>
                <w:rFonts w:ascii="Times New Roman" w:hAnsi="Times New Roman" w:cs="Times New Roman"/>
                <w:color w:val="auto"/>
                <w:sz w:val="24"/>
                <w:highlight w:val="none"/>
              </w:rPr>
            </w:pPr>
            <w:r>
              <w:rPr>
                <w:rFonts w:ascii="Times New Roman" w:hAnsi="Times New Roman" w:cs="Times New Roman"/>
                <w:color w:val="auto"/>
                <w:sz w:val="24"/>
                <w:highlight w:val="none"/>
              </w:rPr>
              <w:t>特种叶片运输方式是近两年兴起的运输方式，主要是将叶片置于一种加装了带水平旋转、垂直翻转装置的平板车上，可实现车辆后轮随动转向，叶片任意角度旋转等功能。</w:t>
            </w:r>
          </w:p>
          <w:p w14:paraId="349A35B3">
            <w:pPr>
              <w:spacing w:line="360" w:lineRule="auto"/>
              <w:ind w:firstLine="480" w:firstLineChars="200"/>
              <w:rPr>
                <w:rFonts w:ascii="Times New Roman" w:hAnsi="Times New Roman" w:cs="Times New Roman"/>
                <w:color w:val="auto"/>
                <w:sz w:val="24"/>
                <w:highlight w:val="none"/>
              </w:rPr>
            </w:pPr>
            <w:r>
              <w:rPr>
                <w:rFonts w:ascii="Times New Roman" w:hAnsi="Times New Roman" w:cs="Times New Roman"/>
                <w:color w:val="auto"/>
                <w:sz w:val="24"/>
                <w:highlight w:val="none"/>
              </w:rPr>
              <w:t>改装特种风机叶片运输车辆，其装置可把水平放置的叶片举升成倾斜≤60度。在叶片运输过程中，还可以让风机叶片绕车板的转盘中心旋转360度。通过叶片的举升、旋转，能有效地避开道路两旁的树木，电线，光缆，房屋等障碍物，从而使风机叶片运输车辆顺利通行。降低开山、修路、砍树、拆房等成本，同时减少对生态环境的破坏。</w:t>
            </w:r>
          </w:p>
          <w:p w14:paraId="47C6E2CB">
            <w:pPr>
              <w:spacing w:line="360" w:lineRule="auto"/>
              <w:ind w:firstLine="480" w:firstLineChars="200"/>
              <w:rPr>
                <w:rFonts w:ascii="Times New Roman" w:hAnsi="Times New Roman" w:cs="Times New Roman"/>
                <w:b w:val="0"/>
                <w:bCs w:val="0"/>
                <w:color w:val="auto"/>
                <w:sz w:val="24"/>
                <w:highlight w:val="none"/>
              </w:rPr>
            </w:pPr>
            <w:r>
              <w:rPr>
                <w:rFonts w:hint="default" w:ascii="Times New Roman" w:hAnsi="Times New Roman" w:cs="Times New Roman"/>
                <w:b w:val="0"/>
                <w:bCs w:val="0"/>
                <w:color w:val="auto"/>
                <w:sz w:val="24"/>
                <w:highlight w:val="none"/>
                <w:lang w:val="en-US" w:eastAsia="zh-CN"/>
              </w:rPr>
              <w:t>（3）</w:t>
            </w:r>
            <w:r>
              <w:rPr>
                <w:rFonts w:ascii="Times New Roman" w:hAnsi="Times New Roman" w:cs="Times New Roman"/>
                <w:b w:val="0"/>
                <w:bCs w:val="0"/>
                <w:color w:val="auto"/>
                <w:sz w:val="24"/>
                <w:highlight w:val="none"/>
              </w:rPr>
              <w:t>场外运输方案</w:t>
            </w:r>
          </w:p>
          <w:p w14:paraId="20049BE2">
            <w:pPr>
              <w:spacing w:line="360" w:lineRule="auto"/>
              <w:ind w:firstLine="480" w:firstLineChars="200"/>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根据上述调查和分析，本工程的对外交通选择S207省道。</w:t>
            </w:r>
          </w:p>
          <w:p w14:paraId="3BCEDE42">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建议选择的运输路线为：</w:t>
            </w:r>
          </w:p>
          <w:p w14:paraId="16DD85DB">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S16宣片高速公路——岱海收费站——S207省道——乡道/场内道路——机位。</w:t>
            </w:r>
          </w:p>
          <w:p w14:paraId="705A25A4">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由于本工程周边的公路运输方便，因此，施工期外来</w:t>
            </w:r>
            <w:r>
              <w:rPr>
                <w:rFonts w:hint="eastAsia" w:cs="Times New Roman"/>
                <w:color w:val="auto"/>
                <w:sz w:val="24"/>
                <w:highlight w:val="none"/>
                <w:lang w:eastAsia="zh-CN"/>
              </w:rPr>
              <w:t>物资</w:t>
            </w:r>
            <w:r>
              <w:rPr>
                <w:rFonts w:hint="default" w:ascii="Times New Roman" w:hAnsi="Times New Roman" w:cs="Times New Roman"/>
                <w:color w:val="auto"/>
                <w:sz w:val="24"/>
                <w:highlight w:val="none"/>
              </w:rPr>
              <w:t>运输线路可选择多方案组合。对水泥、钢材等</w:t>
            </w:r>
            <w:r>
              <w:rPr>
                <w:rFonts w:hint="eastAsia" w:cs="Times New Roman"/>
                <w:color w:val="auto"/>
                <w:sz w:val="24"/>
                <w:highlight w:val="none"/>
                <w:lang w:eastAsia="zh-CN"/>
              </w:rPr>
              <w:t>其他建材</w:t>
            </w:r>
            <w:r>
              <w:rPr>
                <w:rFonts w:hint="default" w:ascii="Times New Roman" w:hAnsi="Times New Roman" w:cs="Times New Roman"/>
                <w:color w:val="auto"/>
                <w:sz w:val="24"/>
                <w:highlight w:val="none"/>
              </w:rPr>
              <w:t>的运输，可采用下述方法运输：</w:t>
            </w:r>
          </w:p>
          <w:p w14:paraId="43EFD5EF">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水泥可通过公路用汽车或散装水泥车运至工地。</w:t>
            </w:r>
          </w:p>
          <w:p w14:paraId="3DCF5971">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②</w:t>
            </w:r>
            <w:r>
              <w:rPr>
                <w:rFonts w:hint="default" w:ascii="Times New Roman" w:hAnsi="Times New Roman" w:cs="Times New Roman"/>
                <w:color w:val="auto"/>
                <w:sz w:val="24"/>
                <w:highlight w:val="none"/>
              </w:rPr>
              <w:tab/>
            </w:r>
            <w:r>
              <w:rPr>
                <w:rFonts w:hint="default" w:ascii="Times New Roman" w:hAnsi="Times New Roman" w:cs="Times New Roman"/>
                <w:color w:val="auto"/>
                <w:sz w:val="24"/>
                <w:highlight w:val="none"/>
              </w:rPr>
              <w:t>通过市场采购的钢材可采用公路运输。木材可由当地市场提供。</w:t>
            </w:r>
          </w:p>
          <w:p w14:paraId="4635FB27">
            <w:pPr>
              <w:spacing w:line="360" w:lineRule="auto"/>
              <w:ind w:firstLine="480" w:firstLineChars="200"/>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③</w:t>
            </w:r>
            <w:r>
              <w:rPr>
                <w:rFonts w:hint="default" w:ascii="Times New Roman" w:hAnsi="Times New Roman" w:cs="Times New Roman"/>
                <w:color w:val="auto"/>
                <w:sz w:val="24"/>
                <w:highlight w:val="none"/>
              </w:rPr>
              <w:tab/>
            </w:r>
            <w:r>
              <w:rPr>
                <w:rFonts w:hint="eastAsia" w:cs="Times New Roman"/>
                <w:color w:val="auto"/>
                <w:sz w:val="24"/>
                <w:highlight w:val="none"/>
                <w:lang w:eastAsia="zh-CN"/>
              </w:rPr>
              <w:t>生活物资</w:t>
            </w:r>
            <w:r>
              <w:rPr>
                <w:rFonts w:hint="default" w:ascii="Times New Roman" w:hAnsi="Times New Roman" w:cs="Times New Roman"/>
                <w:color w:val="auto"/>
                <w:sz w:val="24"/>
                <w:highlight w:val="none"/>
              </w:rPr>
              <w:t>及其它就近采购，公路运至工地。</w:t>
            </w:r>
          </w:p>
          <w:p w14:paraId="08C84381">
            <w:pPr>
              <w:tabs>
                <w:tab w:val="left" w:pos="420"/>
              </w:tabs>
              <w:spacing w:line="360" w:lineRule="auto"/>
              <w:ind w:firstLine="480"/>
              <w:rPr>
                <w:rFonts w:hint="default" w:ascii="Times New Roman" w:hAnsi="Times New Roman" w:eastAsia="宋体" w:cs="Times New Roman"/>
                <w:b/>
                <w:bCs/>
                <w:color w:val="auto"/>
                <w:sz w:val="24"/>
                <w:highlight w:val="none"/>
                <w:lang w:val="en-US" w:eastAsia="zh-CN"/>
              </w:rPr>
            </w:pPr>
            <w:r>
              <w:rPr>
                <w:rFonts w:hint="default" w:ascii="Times New Roman" w:hAnsi="Times New Roman" w:cs="Times New Roman"/>
                <w:b/>
                <w:bCs/>
                <w:color w:val="auto"/>
                <w:sz w:val="24"/>
                <w:highlight w:val="none"/>
                <w:lang w:val="en-US" w:eastAsia="zh-CN"/>
              </w:rPr>
              <w:t>2.4.1.2厂内交通</w:t>
            </w:r>
          </w:p>
          <w:p w14:paraId="5D06D281">
            <w:pPr>
              <w:spacing w:line="360" w:lineRule="auto"/>
              <w:ind w:firstLine="480" w:firstLineChars="200"/>
              <w:rPr>
                <w:rFonts w:ascii="Times New Roman" w:hAnsi="Times New Roman" w:cs="Times New Roman"/>
                <w:color w:val="auto"/>
                <w:sz w:val="24"/>
                <w:highlight w:val="none"/>
              </w:rPr>
            </w:pPr>
            <w:r>
              <w:rPr>
                <w:rFonts w:hint="eastAsia" w:cs="Times New Roman"/>
                <w:color w:val="auto"/>
                <w:sz w:val="24"/>
                <w:highlight w:val="none"/>
                <w:lang w:eastAsia="zh-CN"/>
              </w:rPr>
              <w:t>（1）</w:t>
            </w:r>
            <w:r>
              <w:rPr>
                <w:rFonts w:hint="default" w:ascii="Times New Roman" w:hAnsi="Times New Roman" w:cs="Times New Roman"/>
                <w:color w:val="auto"/>
                <w:sz w:val="24"/>
                <w:highlight w:val="none"/>
              </w:rPr>
              <w:t>现场运输条件概况</w:t>
            </w:r>
          </w:p>
          <w:p w14:paraId="49CBC0AD">
            <w:pPr>
              <w:spacing w:line="360" w:lineRule="auto"/>
              <w:ind w:firstLine="480" w:firstLineChars="200"/>
              <w:rPr>
                <w:rFonts w:ascii="Times New Roman" w:hAnsi="Times New Roman" w:cs="Times New Roman"/>
                <w:b w:val="0"/>
                <w:bCs w:val="0"/>
                <w:color w:val="auto"/>
                <w:sz w:val="24"/>
                <w:highlight w:val="none"/>
              </w:rPr>
            </w:pPr>
            <w:r>
              <w:rPr>
                <w:rFonts w:ascii="Times New Roman" w:hAnsi="Times New Roman" w:cs="Times New Roman"/>
                <w:color w:val="auto"/>
                <w:sz w:val="24"/>
                <w:highlight w:val="none"/>
              </w:rPr>
              <w:t>场区内施工道路是场区风机之间的联系纽带，主要服务于风机的施工及</w:t>
            </w:r>
            <w:r>
              <w:rPr>
                <w:rFonts w:hint="default" w:ascii="Times New Roman" w:hAnsi="Times New Roman" w:cs="Times New Roman"/>
                <w:color w:val="auto"/>
                <w:sz w:val="24"/>
                <w:highlight w:val="none"/>
              </w:rPr>
              <w:t>后期</w:t>
            </w:r>
            <w:r>
              <w:rPr>
                <w:rFonts w:ascii="Times New Roman" w:hAnsi="Times New Roman" w:cs="Times New Roman"/>
                <w:b w:val="0"/>
                <w:bCs w:val="0"/>
                <w:color w:val="auto"/>
                <w:sz w:val="24"/>
                <w:highlight w:val="none"/>
              </w:rPr>
              <w:t>的维护。</w:t>
            </w:r>
            <w:r>
              <w:rPr>
                <w:rFonts w:hint="default" w:ascii="Times New Roman" w:hAnsi="Times New Roman" w:cs="Times New Roman"/>
                <w:b w:val="0"/>
                <w:bCs w:val="0"/>
                <w:color w:val="auto"/>
                <w:sz w:val="24"/>
                <w:highlight w:val="none"/>
              </w:rPr>
              <w:t>机位的场内道路对外交通接入点考虑从场区附近的乡村道路引接。</w:t>
            </w:r>
          </w:p>
          <w:p w14:paraId="04ACB571">
            <w:pPr>
              <w:spacing w:line="360" w:lineRule="auto"/>
              <w:ind w:firstLine="480" w:firstLineChars="200"/>
              <w:rPr>
                <w:rFonts w:ascii="Times New Roman" w:hAnsi="Times New Roman" w:cs="Times New Roman"/>
                <w:b w:val="0"/>
                <w:bCs w:val="0"/>
                <w:color w:val="auto"/>
                <w:sz w:val="24"/>
                <w:highlight w:val="none"/>
              </w:rPr>
            </w:pPr>
            <w:r>
              <w:rPr>
                <w:rFonts w:hint="eastAsia" w:cs="Times New Roman"/>
                <w:b w:val="0"/>
                <w:bCs w:val="0"/>
                <w:color w:val="auto"/>
                <w:sz w:val="24"/>
                <w:highlight w:val="none"/>
                <w:lang w:eastAsia="zh-CN"/>
              </w:rPr>
              <w:t>（2）</w:t>
            </w:r>
            <w:r>
              <w:rPr>
                <w:rFonts w:hint="default" w:ascii="Times New Roman" w:hAnsi="Times New Roman" w:cs="Times New Roman"/>
                <w:b w:val="0"/>
                <w:bCs w:val="0"/>
                <w:color w:val="auto"/>
                <w:sz w:val="24"/>
                <w:highlight w:val="none"/>
              </w:rPr>
              <w:t>开关</w:t>
            </w:r>
            <w:r>
              <w:rPr>
                <w:rFonts w:ascii="Times New Roman" w:hAnsi="Times New Roman" w:cs="Times New Roman"/>
                <w:b w:val="0"/>
                <w:bCs w:val="0"/>
                <w:color w:val="auto"/>
                <w:sz w:val="24"/>
                <w:highlight w:val="none"/>
              </w:rPr>
              <w:t>站进站交通</w:t>
            </w:r>
          </w:p>
          <w:p w14:paraId="1FF474E2">
            <w:pPr>
              <w:spacing w:line="360" w:lineRule="auto"/>
              <w:ind w:firstLine="480" w:firstLineChars="200"/>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本场区开关站位于整个场区中部位置，旁边即为</w:t>
            </w:r>
            <w:r>
              <w:rPr>
                <w:rFonts w:hint="eastAsia" w:cs="Times New Roman"/>
                <w:color w:val="auto"/>
                <w:sz w:val="24"/>
                <w:highlight w:val="none"/>
                <w:lang w:eastAsia="zh-CN"/>
              </w:rPr>
              <w:t>已建的农村生产生活道路，</w:t>
            </w:r>
            <w:r>
              <w:rPr>
                <w:rFonts w:hint="default" w:ascii="Times New Roman" w:hAnsi="Times New Roman" w:cs="Times New Roman"/>
                <w:color w:val="auto"/>
                <w:sz w:val="24"/>
                <w:highlight w:val="none"/>
              </w:rPr>
              <w:t>长约15m，行车道宽5.0m，两侧各计路肩0.5m，路基总宽6.0m，</w:t>
            </w:r>
            <w:r>
              <w:rPr>
                <w:rFonts w:hint="eastAsia" w:cs="Times New Roman"/>
                <w:color w:val="auto"/>
                <w:sz w:val="24"/>
                <w:highlight w:val="none"/>
                <w:lang w:eastAsia="zh-CN"/>
              </w:rPr>
              <w:t>均为</w:t>
            </w:r>
            <w:r>
              <w:rPr>
                <w:rFonts w:hint="default" w:ascii="Times New Roman" w:hAnsi="Times New Roman" w:cs="Times New Roman"/>
                <w:color w:val="auto"/>
                <w:sz w:val="24"/>
                <w:highlight w:val="none"/>
              </w:rPr>
              <w:t>水泥混凝土路面。</w:t>
            </w:r>
          </w:p>
          <w:p w14:paraId="6FDE88A3">
            <w:pPr>
              <w:spacing w:line="360" w:lineRule="auto"/>
              <w:ind w:firstLine="480" w:firstLineChars="200"/>
              <w:rPr>
                <w:rFonts w:ascii="Times New Roman" w:hAnsi="Times New Roman" w:eastAsia="Times New Roman" w:cs="Times New Roman"/>
                <w:b w:val="0"/>
                <w:bCs w:val="0"/>
                <w:color w:val="auto"/>
                <w:sz w:val="24"/>
                <w:highlight w:val="none"/>
              </w:rPr>
            </w:pPr>
            <w:r>
              <w:rPr>
                <w:rFonts w:hint="eastAsia" w:cs="Times New Roman"/>
                <w:b w:val="0"/>
                <w:bCs w:val="0"/>
                <w:color w:val="auto"/>
                <w:sz w:val="24"/>
                <w:highlight w:val="none"/>
                <w:lang w:eastAsia="zh-CN"/>
              </w:rPr>
              <w:t>（3）</w:t>
            </w:r>
            <w:r>
              <w:rPr>
                <w:rFonts w:hint="default" w:ascii="Times New Roman" w:hAnsi="Times New Roman" w:cs="Times New Roman"/>
                <w:b w:val="0"/>
                <w:bCs w:val="0"/>
                <w:color w:val="auto"/>
                <w:sz w:val="24"/>
                <w:highlight w:val="none"/>
              </w:rPr>
              <w:t>风电场场内交通</w:t>
            </w:r>
          </w:p>
          <w:p w14:paraId="794C46CA">
            <w:pPr>
              <w:spacing w:line="360" w:lineRule="auto"/>
              <w:ind w:firstLine="480" w:firstLineChars="200"/>
              <w:rPr>
                <w:rFonts w:hint="eastAsia"/>
                <w:color w:val="auto"/>
                <w:sz w:val="24"/>
              </w:rPr>
            </w:pPr>
            <w:r>
              <w:rPr>
                <w:rFonts w:hint="eastAsia"/>
                <w:color w:val="auto"/>
                <w:sz w:val="24"/>
              </w:rPr>
              <w:t>风电场的施工及检修道路以满足每台风电机组施工及安装要求为原则，本风电场道路均利用原有道路。</w:t>
            </w:r>
          </w:p>
          <w:p w14:paraId="56D3C417">
            <w:pPr>
              <w:rPr>
                <w:color w:val="auto"/>
              </w:rPr>
            </w:pPr>
            <w:r>
              <w:rPr>
                <w:color w:val="auto"/>
              </w:rPr>
              <w:t>经现场踏勘与路径核验，项目范围内所有已建成的既有道路均已直接连通全部风机机位点，不存在无法通过现有道路抵达的盲区机位点，满足风机运维、常规巡检的基础通行需求。</w:t>
            </w:r>
          </w:p>
          <w:p w14:paraId="34E244ED">
            <w:pPr>
              <w:bidi w:val="0"/>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2.4.2</w:t>
            </w:r>
            <w:r>
              <w:rPr>
                <w:rFonts w:ascii="Times New Roman" w:hAnsi="Times New Roman" w:cs="Times New Roman"/>
                <w:b/>
                <w:bCs/>
                <w:color w:val="auto"/>
                <w:highlight w:val="none"/>
              </w:rPr>
              <w:t>施工生产生活区</w:t>
            </w:r>
          </w:p>
          <w:p w14:paraId="70A92BA1">
            <w:pPr>
              <w:bidi w:val="0"/>
              <w:rPr>
                <w:rFonts w:ascii="Times New Roman" w:hAnsi="Times New Roman" w:cs="Times New Roman"/>
                <w:color w:val="auto"/>
                <w:highlight w:val="none"/>
              </w:rPr>
            </w:pPr>
            <w:r>
              <w:rPr>
                <w:rFonts w:ascii="Times New Roman" w:hAnsi="Times New Roman" w:cs="Times New Roman"/>
                <w:color w:val="auto"/>
                <w:highlight w:val="none"/>
              </w:rPr>
              <w:t>（1）施工营地</w:t>
            </w:r>
          </w:p>
          <w:p w14:paraId="1FE8A7CA">
            <w:pPr>
              <w:pStyle w:val="7"/>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本工程施工分散，工期较短，且工程区距离周边乡镇较近，交通便利，因此不考虑在现场设置单独的施工营地、承包商营地等</w:t>
            </w:r>
            <w:r>
              <w:rPr>
                <w:rFonts w:hint="eastAsia"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可利用吊装平台临时用地，施工人员租住周边村庄民房。</w:t>
            </w:r>
          </w:p>
          <w:p w14:paraId="42460B08">
            <w:pPr>
              <w:bidi w:val="0"/>
              <w:rPr>
                <w:rFonts w:ascii="Times New Roman" w:hAnsi="Times New Roman" w:cs="Times New Roman"/>
                <w:color w:val="auto"/>
                <w:highlight w:val="none"/>
              </w:rPr>
            </w:pPr>
            <w:r>
              <w:rPr>
                <w:rFonts w:ascii="Times New Roman" w:hAnsi="Times New Roman" w:cs="Times New Roman"/>
                <w:color w:val="auto"/>
                <w:highlight w:val="none"/>
              </w:rPr>
              <w:t>（2）材料堆场</w:t>
            </w:r>
          </w:p>
          <w:p w14:paraId="162E2015">
            <w:pPr>
              <w:bidi w:val="0"/>
              <w:rPr>
                <w:rFonts w:ascii="Times New Roman" w:hAnsi="Times New Roman" w:cs="Times New Roman"/>
                <w:color w:val="auto"/>
                <w:highlight w:val="none"/>
              </w:rPr>
            </w:pPr>
            <w:r>
              <w:rPr>
                <w:rFonts w:ascii="Times New Roman" w:hAnsi="Times New Roman" w:cs="Times New Roman"/>
                <w:color w:val="auto"/>
                <w:highlight w:val="none"/>
              </w:rPr>
              <w:t>根据设计资料，主体工程考虑到运输和风机分布情况，配置设备材料临时堆放场，主要作为小型部件如钢材、板材及其他建筑材料的场地，本项目主要利用风机平台作为设备材料临时堆放场，均不新增占地。</w:t>
            </w:r>
          </w:p>
          <w:p w14:paraId="4F28DD62">
            <w:pPr>
              <w:bidi w:val="0"/>
              <w:rPr>
                <w:rFonts w:ascii="Times New Roman" w:hAnsi="Times New Roman" w:cs="Times New Roman"/>
                <w:color w:val="auto"/>
                <w:highlight w:val="none"/>
              </w:rPr>
            </w:pPr>
            <w:r>
              <w:rPr>
                <w:rFonts w:ascii="Times New Roman" w:hAnsi="Times New Roman" w:cs="Times New Roman"/>
                <w:color w:val="auto"/>
                <w:highlight w:val="none"/>
              </w:rPr>
              <w:t>（3）表土堆场</w:t>
            </w:r>
          </w:p>
          <w:p w14:paraId="66A2D686">
            <w:pPr>
              <w:bidi w:val="0"/>
              <w:rPr>
                <w:rFonts w:ascii="Times New Roman" w:hAnsi="Times New Roman" w:cs="Times New Roman"/>
                <w:color w:val="auto"/>
                <w:highlight w:val="none"/>
              </w:rPr>
            </w:pPr>
            <w:r>
              <w:rPr>
                <w:rFonts w:ascii="Times New Roman" w:hAnsi="Times New Roman" w:cs="Times New Roman"/>
                <w:color w:val="auto"/>
                <w:highlight w:val="none"/>
              </w:rPr>
              <w:t>为满足施工临时占地植被恢复需求，在施工准备期间，对施工扰动范围内的表土进行收集和加以保护，以作施工结束后植被恢复用土。为做好表土的临时堆存，依据就近堆置的原则，表土临时堆存点均设置于风机平台，不新增占地。</w:t>
            </w:r>
          </w:p>
          <w:p w14:paraId="17715FEB">
            <w:pPr>
              <w:bidi w:val="0"/>
              <w:rPr>
                <w:rFonts w:ascii="Times New Roman" w:hAnsi="Times New Roman" w:cs="Times New Roman"/>
                <w:color w:val="auto"/>
                <w:highlight w:val="none"/>
              </w:rPr>
            </w:pPr>
            <w:r>
              <w:rPr>
                <w:rFonts w:ascii="Times New Roman" w:hAnsi="Times New Roman" w:cs="Times New Roman"/>
                <w:color w:val="auto"/>
                <w:highlight w:val="none"/>
              </w:rPr>
              <w:t>（</w:t>
            </w:r>
            <w:r>
              <w:rPr>
                <w:rFonts w:hint="default" w:ascii="Times New Roman" w:hAnsi="Times New Roman" w:cs="Times New Roman"/>
                <w:color w:val="auto"/>
                <w:highlight w:val="none"/>
                <w:lang w:val="en-US" w:eastAsia="zh-CN"/>
              </w:rPr>
              <w:t>4</w:t>
            </w:r>
            <w:r>
              <w:rPr>
                <w:rFonts w:ascii="Times New Roman" w:hAnsi="Times New Roman" w:cs="Times New Roman"/>
                <w:color w:val="auto"/>
                <w:highlight w:val="none"/>
              </w:rPr>
              <w:t>）砂石料场及混凝土</w:t>
            </w:r>
            <w:r>
              <w:rPr>
                <w:rFonts w:hint="eastAsia" w:cs="Times New Roman"/>
                <w:color w:val="auto"/>
                <w:highlight w:val="none"/>
                <w:lang w:eastAsia="zh-CN"/>
              </w:rPr>
              <w:t>拌和</w:t>
            </w:r>
            <w:r>
              <w:rPr>
                <w:rFonts w:ascii="Times New Roman" w:hAnsi="Times New Roman" w:cs="Times New Roman"/>
                <w:color w:val="auto"/>
                <w:highlight w:val="none"/>
              </w:rPr>
              <w:t>系统</w:t>
            </w:r>
          </w:p>
          <w:p w14:paraId="67569117">
            <w:pPr>
              <w:spacing w:line="360" w:lineRule="auto"/>
              <w:ind w:firstLine="480" w:firstLineChars="200"/>
              <w:rPr>
                <w:rFonts w:ascii="Times New Roman" w:hAnsi="Times New Roman" w:cs="Times New Roman"/>
                <w:color w:val="auto"/>
                <w:highlight w:val="none"/>
              </w:rPr>
            </w:pPr>
            <w:r>
              <w:rPr>
                <w:rFonts w:ascii="Times New Roman" w:hAnsi="Times New Roman" w:cs="Times New Roman"/>
                <w:color w:val="auto"/>
                <w:highlight w:val="none"/>
              </w:rPr>
              <w:t>项目使用商品混凝土，不设砂石料场及混凝土</w:t>
            </w:r>
            <w:r>
              <w:rPr>
                <w:rFonts w:hint="eastAsia" w:cs="Times New Roman"/>
                <w:color w:val="auto"/>
                <w:highlight w:val="none"/>
                <w:lang w:eastAsia="zh-CN"/>
              </w:rPr>
              <w:t>拌和</w:t>
            </w:r>
            <w:r>
              <w:rPr>
                <w:rFonts w:ascii="Times New Roman" w:hAnsi="Times New Roman" w:cs="Times New Roman"/>
                <w:color w:val="auto"/>
                <w:highlight w:val="none"/>
              </w:rPr>
              <w:t>系统。</w:t>
            </w:r>
            <w:r>
              <w:rPr>
                <w:rFonts w:hint="eastAsia"/>
                <w:color w:val="auto"/>
                <w:sz w:val="24"/>
              </w:rPr>
              <w:t>风电场</w:t>
            </w:r>
            <w:r>
              <w:rPr>
                <w:color w:val="auto"/>
                <w:sz w:val="24"/>
              </w:rPr>
              <w:t>周边商品混凝土搅拌站数量较多，可以保证风机</w:t>
            </w:r>
            <w:r>
              <w:rPr>
                <w:rFonts w:hint="eastAsia"/>
                <w:color w:val="auto"/>
                <w:sz w:val="24"/>
              </w:rPr>
              <w:t>基础</w:t>
            </w:r>
            <w:r>
              <w:rPr>
                <w:color w:val="auto"/>
                <w:sz w:val="24"/>
              </w:rPr>
              <w:t>混凝土的供应，</w:t>
            </w:r>
            <w:r>
              <w:rPr>
                <w:rFonts w:hint="eastAsia"/>
                <w:color w:val="auto"/>
                <w:sz w:val="24"/>
              </w:rPr>
              <w:t>距离</w:t>
            </w:r>
            <w:r>
              <w:rPr>
                <w:color w:val="auto"/>
                <w:sz w:val="24"/>
              </w:rPr>
              <w:t>风电场最远处约2</w:t>
            </w:r>
            <w:r>
              <w:rPr>
                <w:rFonts w:hint="eastAsia"/>
                <w:color w:val="auto"/>
                <w:sz w:val="24"/>
              </w:rPr>
              <w:t>0</w:t>
            </w:r>
            <w:r>
              <w:rPr>
                <w:color w:val="auto"/>
                <w:sz w:val="24"/>
              </w:rPr>
              <w:t>km车程</w:t>
            </w:r>
            <w:r>
              <w:rPr>
                <w:rFonts w:hint="eastAsia"/>
                <w:color w:val="auto"/>
                <w:sz w:val="24"/>
              </w:rPr>
              <w:t>。</w:t>
            </w:r>
          </w:p>
          <w:p w14:paraId="2EA81875">
            <w:pPr>
              <w:bidi w:val="0"/>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val="en-US" w:eastAsia="zh-CN"/>
              </w:rPr>
              <w:t>2.4.3</w:t>
            </w:r>
            <w:r>
              <w:rPr>
                <w:rFonts w:ascii="Times New Roman" w:hAnsi="Times New Roman" w:cs="Times New Roman"/>
                <w:b/>
                <w:bCs/>
                <w:color w:val="auto"/>
                <w:highlight w:val="none"/>
              </w:rPr>
              <w:t>施工</w:t>
            </w:r>
            <w:r>
              <w:rPr>
                <w:rFonts w:hint="default" w:ascii="Times New Roman" w:hAnsi="Times New Roman" w:cs="Times New Roman"/>
                <w:b/>
                <w:bCs/>
                <w:color w:val="auto"/>
                <w:highlight w:val="none"/>
                <w:lang w:eastAsia="zh-CN"/>
              </w:rPr>
              <w:t>条件</w:t>
            </w:r>
          </w:p>
          <w:p w14:paraId="2F81AFC9">
            <w:pPr>
              <w:bidi w:val="0"/>
              <w:rPr>
                <w:rFonts w:ascii="Times New Roman" w:hAnsi="Times New Roman" w:cs="Times New Roman"/>
                <w:color w:val="auto"/>
                <w:highlight w:val="none"/>
              </w:rPr>
            </w:pPr>
            <w:r>
              <w:rPr>
                <w:rFonts w:ascii="Times New Roman" w:hAnsi="Times New Roman" w:cs="Times New Roman"/>
                <w:color w:val="auto"/>
                <w:highlight w:val="none"/>
              </w:rPr>
              <w:t>（1）施工用电</w:t>
            </w:r>
          </w:p>
          <w:p w14:paraId="65BAF742">
            <w:pPr>
              <w:tabs>
                <w:tab w:val="left" w:pos="3000"/>
                <w:tab w:val="left" w:pos="5040"/>
              </w:tabs>
              <w:adjustRightInd w:val="0"/>
              <w:snapToGrid w:val="0"/>
              <w:spacing w:line="360" w:lineRule="auto"/>
              <w:ind w:firstLine="480" w:firstLineChars="200"/>
              <w:textAlignment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施工用电电源由附近村庄引10kV线路至施工临时场地，引接距离2km，设置10/0.38kV施工变压器。考虑到风电机组施工点较为分散，另设置四台移动式柴油发电机作为风电机组施工电源。</w:t>
            </w:r>
          </w:p>
          <w:p w14:paraId="02C9D9FC">
            <w:pPr>
              <w:bidi w:val="0"/>
              <w:rPr>
                <w:rFonts w:ascii="Times New Roman" w:hAnsi="Times New Roman" w:cs="Times New Roman"/>
                <w:color w:val="auto"/>
                <w:highlight w:val="none"/>
              </w:rPr>
            </w:pPr>
            <w:r>
              <w:rPr>
                <w:rFonts w:ascii="Times New Roman" w:hAnsi="Times New Roman" w:cs="Times New Roman"/>
                <w:color w:val="auto"/>
                <w:highlight w:val="none"/>
              </w:rPr>
              <w:t>（2）施工用水</w:t>
            </w:r>
          </w:p>
          <w:p w14:paraId="6D1A289C">
            <w:pPr>
              <w:spacing w:line="360" w:lineRule="auto"/>
              <w:ind w:firstLine="48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本工程施工用水考虑从附近村庄引接市政管网，引接距离约1km。因施工期用水量较大，故需在施工临时场地附近设置施工蓄水池。风电机组施工用水采用汽车将水运至各施工地点。</w:t>
            </w:r>
          </w:p>
          <w:p w14:paraId="3DCD756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highlight w:val="none"/>
                <w:lang w:eastAsia="zh-CN"/>
              </w:rPr>
            </w:pPr>
            <w:r>
              <w:rPr>
                <w:rFonts w:hint="default" w:ascii="Times New Roman" w:hAnsi="Times New Roman" w:cs="Times New Roman"/>
                <w:b/>
                <w:bCs/>
                <w:color w:val="auto"/>
                <w:highlight w:val="none"/>
                <w:lang w:val="en-US" w:eastAsia="zh-CN"/>
              </w:rPr>
              <w:t>2.4.4</w:t>
            </w:r>
            <w:r>
              <w:rPr>
                <w:rFonts w:ascii="Times New Roman" w:hAnsi="Times New Roman" w:cs="Times New Roman"/>
                <w:b/>
                <w:bCs/>
                <w:color w:val="auto"/>
                <w:highlight w:val="none"/>
              </w:rPr>
              <w:t>施工</w:t>
            </w:r>
            <w:r>
              <w:rPr>
                <w:rFonts w:hint="default" w:ascii="Times New Roman" w:hAnsi="Times New Roman" w:cs="Times New Roman"/>
                <w:b/>
                <w:bCs/>
                <w:color w:val="auto"/>
                <w:highlight w:val="none"/>
                <w:lang w:eastAsia="zh-CN"/>
              </w:rPr>
              <w:t>工艺</w:t>
            </w:r>
          </w:p>
          <w:p w14:paraId="5CBFC72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项目施工期首先要平整场地、安装平台施工，然后施工工程主体部分——风电机组施工、箱变施工、输电线路施工等。</w:t>
            </w:r>
          </w:p>
          <w:p w14:paraId="01481F5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sz w:val="22"/>
                <w:szCs w:val="22"/>
                <w:highlight w:val="none"/>
                <w:lang w:eastAsia="zh-CN"/>
              </w:rPr>
            </w:pPr>
            <w:r>
              <w:rPr>
                <w:rFonts w:hint="default" w:ascii="Times New Roman" w:hAnsi="Times New Roman" w:cs="Times New Roman"/>
                <w:b/>
                <w:bCs/>
                <w:color w:val="auto"/>
                <w:sz w:val="22"/>
                <w:szCs w:val="22"/>
                <w:highlight w:val="none"/>
                <w:lang w:val="en-US" w:eastAsia="zh-CN"/>
              </w:rPr>
              <w:t>2.4.4.1</w:t>
            </w:r>
            <w:r>
              <w:rPr>
                <w:rFonts w:hint="default" w:ascii="Times New Roman" w:hAnsi="Times New Roman" w:cs="Times New Roman"/>
                <w:b/>
                <w:bCs/>
                <w:color w:val="auto"/>
                <w:spacing w:val="0"/>
                <w:sz w:val="22"/>
                <w:szCs w:val="22"/>
                <w:highlight w:val="none"/>
              </w:rPr>
              <w:t>风电机组基础和箱式变压器基础施工</w:t>
            </w:r>
          </w:p>
          <w:p w14:paraId="0D44B25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风机基础施工主要工艺流程如下：基础开挖（包括降水措施）→垫层施工→浇筑仓面准备（立模、绑钢筋、埋管等）→质检及仓面验收→混凝土配料→混凝土搅拌→搅拌车运输→混凝土入仓→平仓振捣→养护→拆模→质量检查→修补缺陷→土方回填。</w:t>
            </w:r>
          </w:p>
          <w:p w14:paraId="6C164B1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（1）基础开挖</w:t>
            </w:r>
          </w:p>
          <w:p w14:paraId="4D62B6A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土石方采用机械开挖为主，人工开挖为辅，从上至下分层进行。开挖渣料除用于回填外，多余部分用于平整场地。</w:t>
            </w:r>
          </w:p>
          <w:p w14:paraId="196687D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（2）</w:t>
            </w:r>
            <w:r>
              <w:rPr>
                <w:rFonts w:hint="default" w:ascii="Times New Roman" w:hAnsi="Times New Roman" w:cs="Times New Roman"/>
                <w:color w:val="auto"/>
                <w:highlight w:val="none"/>
                <w:lang w:eastAsia="zh-CN"/>
              </w:rPr>
              <w:t>土方</w:t>
            </w:r>
            <w:r>
              <w:rPr>
                <w:rFonts w:ascii="Times New Roman" w:hAnsi="Times New Roman" w:cs="Times New Roman"/>
                <w:color w:val="auto"/>
                <w:highlight w:val="none"/>
              </w:rPr>
              <w:t>回填</w:t>
            </w:r>
          </w:p>
          <w:p w14:paraId="5DE7820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回填料采用原地开挖料，分层回填，每层厚度约0.3～0.5m，并压实。</w:t>
            </w:r>
          </w:p>
          <w:p w14:paraId="7354F1E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2.4.4.2风机机组的安装</w:t>
            </w:r>
          </w:p>
          <w:p w14:paraId="436642A0">
            <w:pPr>
              <w:pStyle w:val="45"/>
              <w:keepNext w:val="0"/>
              <w:keepLines w:val="0"/>
              <w:pageBreakBefore w:val="0"/>
              <w:widowControl w:val="0"/>
              <w:kinsoku/>
              <w:wordWrap/>
              <w:overflowPunct/>
              <w:topLinePunct w:val="0"/>
              <w:autoSpaceDE/>
              <w:autoSpaceDN/>
              <w:bidi w:val="0"/>
              <w:adjustRightInd w:val="0"/>
              <w:snapToGrid w:val="0"/>
              <w:spacing w:before="182" w:line="360" w:lineRule="auto"/>
              <w:ind w:left="108" w:right="23" w:firstLine="480"/>
              <w:textAlignment w:val="auto"/>
              <w:rPr>
                <w:rFonts w:ascii="Times New Roman" w:hAnsi="Times New Roman" w:cs="Times New Roman"/>
                <w:color w:val="auto"/>
                <w:spacing w:val="-3"/>
                <w:sz w:val="24"/>
                <w:szCs w:val="24"/>
                <w:highlight w:val="none"/>
              </w:rPr>
            </w:pPr>
            <w:r>
              <w:rPr>
                <w:rFonts w:ascii="Times New Roman" w:hAnsi="Times New Roman" w:cs="Times New Roman"/>
                <w:color w:val="auto"/>
                <w:spacing w:val="-3"/>
                <w:sz w:val="24"/>
                <w:szCs w:val="24"/>
                <w:highlight w:val="none"/>
              </w:rPr>
              <w:t>本工程共有</w:t>
            </w:r>
            <w:r>
              <w:rPr>
                <w:rFonts w:hint="default" w:ascii="Times New Roman" w:hAnsi="Times New Roman" w:cs="Times New Roman"/>
                <w:color w:val="auto"/>
                <w:spacing w:val="-3"/>
                <w:sz w:val="24"/>
                <w:szCs w:val="24"/>
                <w:highlight w:val="none"/>
              </w:rPr>
              <w:t>1</w:t>
            </w:r>
            <w:r>
              <w:rPr>
                <w:rFonts w:ascii="Times New Roman" w:hAnsi="Times New Roman" w:cs="Times New Roman"/>
                <w:color w:val="auto"/>
                <w:spacing w:val="-3"/>
                <w:sz w:val="24"/>
                <w:szCs w:val="24"/>
                <w:highlight w:val="none"/>
              </w:rPr>
              <w:t>台</w:t>
            </w:r>
            <w:r>
              <w:rPr>
                <w:rFonts w:hint="default" w:ascii="Times New Roman" w:hAnsi="Times New Roman" w:cs="Times New Roman"/>
                <w:color w:val="auto"/>
                <w:spacing w:val="-3"/>
                <w:sz w:val="24"/>
                <w:szCs w:val="24"/>
                <w:highlight w:val="none"/>
              </w:rPr>
              <w:t>5.0</w:t>
            </w:r>
            <w:r>
              <w:rPr>
                <w:rFonts w:ascii="Times New Roman" w:hAnsi="Times New Roman" w:cs="Times New Roman"/>
                <w:color w:val="auto"/>
                <w:spacing w:val="-3"/>
                <w:sz w:val="24"/>
                <w:szCs w:val="24"/>
                <w:highlight w:val="none"/>
              </w:rPr>
              <w:t>MW</w:t>
            </w:r>
            <w:r>
              <w:rPr>
                <w:rFonts w:hint="default" w:ascii="Times New Roman" w:hAnsi="Times New Roman" w:cs="Times New Roman"/>
                <w:color w:val="auto"/>
                <w:spacing w:val="-3"/>
                <w:sz w:val="24"/>
                <w:szCs w:val="24"/>
                <w:highlight w:val="none"/>
              </w:rPr>
              <w:t>、2</w:t>
            </w:r>
            <w:r>
              <w:rPr>
                <w:rFonts w:ascii="Times New Roman" w:hAnsi="Times New Roman" w:cs="Times New Roman"/>
                <w:color w:val="auto"/>
                <w:spacing w:val="-3"/>
                <w:sz w:val="24"/>
                <w:szCs w:val="24"/>
                <w:highlight w:val="none"/>
              </w:rPr>
              <w:t>台</w:t>
            </w:r>
            <w:r>
              <w:rPr>
                <w:rFonts w:hint="default" w:ascii="Times New Roman" w:hAnsi="Times New Roman" w:cs="Times New Roman"/>
                <w:color w:val="auto"/>
                <w:spacing w:val="-3"/>
                <w:sz w:val="24"/>
                <w:szCs w:val="24"/>
                <w:highlight w:val="none"/>
              </w:rPr>
              <w:t>7.5</w:t>
            </w:r>
            <w:r>
              <w:rPr>
                <w:rFonts w:ascii="Times New Roman" w:hAnsi="Times New Roman" w:cs="Times New Roman"/>
                <w:color w:val="auto"/>
                <w:spacing w:val="-3"/>
                <w:sz w:val="24"/>
                <w:szCs w:val="24"/>
                <w:highlight w:val="none"/>
              </w:rPr>
              <w:t>MW风电机组，</w:t>
            </w:r>
            <w:r>
              <w:rPr>
                <w:rFonts w:hint="default" w:ascii="Times New Roman" w:hAnsi="Times New Roman" w:cs="Times New Roman"/>
                <w:color w:val="auto"/>
                <w:spacing w:val="-3"/>
                <w:sz w:val="24"/>
                <w:szCs w:val="24"/>
                <w:highlight w:val="none"/>
              </w:rPr>
              <w:t>吊装</w:t>
            </w:r>
            <w:r>
              <w:rPr>
                <w:rFonts w:ascii="Times New Roman" w:hAnsi="Times New Roman" w:cs="Times New Roman"/>
                <w:color w:val="auto"/>
                <w:spacing w:val="-3"/>
                <w:sz w:val="24"/>
                <w:szCs w:val="24"/>
                <w:highlight w:val="none"/>
              </w:rPr>
              <w:t>设备</w:t>
            </w:r>
            <w:r>
              <w:rPr>
                <w:rFonts w:hint="default" w:ascii="Times New Roman" w:hAnsi="Times New Roman" w:cs="Times New Roman"/>
                <w:color w:val="auto"/>
                <w:spacing w:val="-3"/>
                <w:sz w:val="24"/>
                <w:szCs w:val="24"/>
                <w:highlight w:val="none"/>
              </w:rPr>
              <w:t>按7.5MW机型</w:t>
            </w:r>
            <w:r>
              <w:rPr>
                <w:rFonts w:ascii="Times New Roman" w:hAnsi="Times New Roman" w:cs="Times New Roman"/>
                <w:color w:val="auto"/>
                <w:spacing w:val="-3"/>
                <w:sz w:val="24"/>
                <w:szCs w:val="24"/>
                <w:highlight w:val="none"/>
              </w:rPr>
              <w:t>考虑。</w:t>
            </w:r>
            <w:r>
              <w:rPr>
                <w:rFonts w:hint="default" w:ascii="Times New Roman" w:hAnsi="Times New Roman" w:cs="Times New Roman"/>
                <w:color w:val="auto"/>
                <w:spacing w:val="-3"/>
                <w:sz w:val="24"/>
                <w:szCs w:val="24"/>
                <w:highlight w:val="none"/>
              </w:rPr>
              <w:t>7.5</w:t>
            </w:r>
            <w:r>
              <w:rPr>
                <w:rFonts w:ascii="Times New Roman" w:hAnsi="Times New Roman" w:cs="Times New Roman"/>
                <w:color w:val="auto"/>
                <w:spacing w:val="-3"/>
                <w:sz w:val="24"/>
                <w:szCs w:val="24"/>
                <w:highlight w:val="none"/>
              </w:rPr>
              <w:t>MW</w:t>
            </w:r>
            <w:r>
              <w:rPr>
                <w:rFonts w:hint="default" w:ascii="Times New Roman" w:hAnsi="Times New Roman" w:cs="Times New Roman"/>
                <w:color w:val="auto"/>
                <w:spacing w:val="-3"/>
                <w:sz w:val="24"/>
                <w:szCs w:val="24"/>
                <w:highlight w:val="none"/>
              </w:rPr>
              <w:t>风电</w:t>
            </w:r>
            <w:r>
              <w:rPr>
                <w:rFonts w:ascii="Times New Roman" w:hAnsi="Times New Roman" w:cs="Times New Roman"/>
                <w:color w:val="auto"/>
                <w:spacing w:val="-3"/>
                <w:sz w:val="24"/>
                <w:szCs w:val="24"/>
                <w:highlight w:val="none"/>
              </w:rPr>
              <w:t>机组转轮直径</w:t>
            </w:r>
            <w:r>
              <w:rPr>
                <w:rFonts w:hint="default" w:ascii="Times New Roman" w:hAnsi="Times New Roman" w:cs="Times New Roman"/>
                <w:color w:val="auto"/>
                <w:spacing w:val="-3"/>
                <w:sz w:val="24"/>
                <w:szCs w:val="24"/>
                <w:highlight w:val="none"/>
              </w:rPr>
              <w:t>220</w:t>
            </w:r>
            <w:r>
              <w:rPr>
                <w:rFonts w:ascii="Times New Roman" w:hAnsi="Times New Roman" w:cs="Times New Roman"/>
                <w:color w:val="auto"/>
                <w:spacing w:val="-3"/>
                <w:sz w:val="24"/>
                <w:szCs w:val="24"/>
                <w:highlight w:val="none"/>
              </w:rPr>
              <w:t>m，轮毂高度</w:t>
            </w:r>
            <w:r>
              <w:rPr>
                <w:rFonts w:hint="default" w:ascii="Times New Roman" w:hAnsi="Times New Roman" w:cs="Times New Roman"/>
                <w:color w:val="auto"/>
                <w:spacing w:val="-3"/>
                <w:sz w:val="24"/>
                <w:szCs w:val="24"/>
                <w:highlight w:val="none"/>
              </w:rPr>
              <w:t>125</w:t>
            </w:r>
            <w:r>
              <w:rPr>
                <w:rFonts w:ascii="Times New Roman" w:hAnsi="Times New Roman" w:cs="Times New Roman"/>
                <w:color w:val="auto"/>
                <w:spacing w:val="-3"/>
                <w:sz w:val="24"/>
                <w:szCs w:val="24"/>
                <w:highlight w:val="none"/>
              </w:rPr>
              <w:t>m，其中最重件为风机机舱，重约1</w:t>
            </w:r>
            <w:r>
              <w:rPr>
                <w:rFonts w:hint="default" w:ascii="Times New Roman" w:hAnsi="Times New Roman" w:cs="Times New Roman"/>
                <w:color w:val="auto"/>
                <w:spacing w:val="-3"/>
                <w:sz w:val="24"/>
                <w:szCs w:val="24"/>
                <w:highlight w:val="none"/>
              </w:rPr>
              <w:t>30</w:t>
            </w:r>
            <w:r>
              <w:rPr>
                <w:rFonts w:ascii="Times New Roman" w:hAnsi="Times New Roman" w:cs="Times New Roman"/>
                <w:color w:val="auto"/>
                <w:spacing w:val="-3"/>
                <w:sz w:val="24"/>
                <w:szCs w:val="24"/>
                <w:highlight w:val="none"/>
              </w:rPr>
              <w:t>t</w:t>
            </w:r>
            <w:r>
              <w:rPr>
                <w:rFonts w:hint="default" w:ascii="Times New Roman" w:hAnsi="Times New Roman" w:cs="Times New Roman"/>
                <w:color w:val="auto"/>
                <w:spacing w:val="-3"/>
                <w:sz w:val="24"/>
                <w:szCs w:val="24"/>
                <w:highlight w:val="none"/>
              </w:rPr>
              <w:t>。要求风电机组吊装设备具有约</w:t>
            </w:r>
            <w:r>
              <w:rPr>
                <w:rFonts w:ascii="Times New Roman" w:hAnsi="Times New Roman" w:cs="Times New Roman"/>
                <w:color w:val="auto"/>
                <w:spacing w:val="-3"/>
                <w:sz w:val="24"/>
                <w:szCs w:val="24"/>
                <w:highlight w:val="none"/>
              </w:rPr>
              <w:t>1</w:t>
            </w:r>
            <w:r>
              <w:rPr>
                <w:rFonts w:hint="default" w:ascii="Times New Roman" w:hAnsi="Times New Roman" w:cs="Times New Roman"/>
                <w:color w:val="auto"/>
                <w:spacing w:val="-3"/>
                <w:sz w:val="24"/>
                <w:szCs w:val="24"/>
                <w:highlight w:val="none"/>
              </w:rPr>
              <w:t>6</w:t>
            </w:r>
            <w:r>
              <w:rPr>
                <w:rFonts w:ascii="Times New Roman" w:hAnsi="Times New Roman" w:cs="Times New Roman"/>
                <w:color w:val="auto"/>
                <w:spacing w:val="-3"/>
                <w:sz w:val="24"/>
                <w:szCs w:val="24"/>
                <w:highlight w:val="none"/>
              </w:rPr>
              <w:t>0t</w:t>
            </w:r>
            <w:r>
              <w:rPr>
                <w:rFonts w:hint="default" w:ascii="Times New Roman" w:hAnsi="Times New Roman" w:cs="Times New Roman"/>
                <w:color w:val="auto"/>
                <w:spacing w:val="-3"/>
                <w:sz w:val="24"/>
                <w:szCs w:val="24"/>
                <w:highlight w:val="none"/>
              </w:rPr>
              <w:t>级起吊能</w:t>
            </w:r>
            <w:r>
              <w:rPr>
                <w:rFonts w:ascii="Times New Roman" w:hAnsi="Times New Roman" w:cs="Times New Roman"/>
                <w:color w:val="auto"/>
                <w:spacing w:val="-3"/>
                <w:sz w:val="24"/>
                <w:szCs w:val="24"/>
                <w:highlight w:val="none"/>
              </w:rPr>
              <w:t>力和1</w:t>
            </w:r>
            <w:r>
              <w:rPr>
                <w:rFonts w:hint="default" w:ascii="Times New Roman" w:hAnsi="Times New Roman" w:cs="Times New Roman"/>
                <w:color w:val="auto"/>
                <w:spacing w:val="-3"/>
                <w:sz w:val="24"/>
                <w:szCs w:val="24"/>
                <w:highlight w:val="none"/>
              </w:rPr>
              <w:t>70</w:t>
            </w:r>
            <w:r>
              <w:rPr>
                <w:rFonts w:ascii="Times New Roman" w:hAnsi="Times New Roman" w:cs="Times New Roman"/>
                <w:color w:val="auto"/>
                <w:spacing w:val="-3"/>
                <w:sz w:val="24"/>
                <w:szCs w:val="24"/>
                <w:highlight w:val="none"/>
              </w:rPr>
              <w:t>m级的吊高能力。</w:t>
            </w:r>
          </w:p>
          <w:p w14:paraId="753F249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2.4.4.3箱式变压站的安装</w:t>
            </w:r>
          </w:p>
          <w:p w14:paraId="18A9C2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sz w:val="24"/>
                <w:highlight w:val="none"/>
              </w:rPr>
            </w:pPr>
            <w:r>
              <w:rPr>
                <w:rFonts w:ascii="Times New Roman" w:hAnsi="Times New Roman" w:cs="Times New Roman"/>
                <w:color w:val="auto"/>
                <w:sz w:val="24"/>
                <w:highlight w:val="none"/>
              </w:rPr>
              <w:t>箱变基础采用</w:t>
            </w:r>
            <w:r>
              <w:rPr>
                <w:rFonts w:hint="default" w:ascii="Times New Roman" w:hAnsi="Times New Roman" w:cs="Times New Roman"/>
                <w:color w:val="auto"/>
                <w:sz w:val="24"/>
                <w:highlight w:val="none"/>
              </w:rPr>
              <w:t>框架</w:t>
            </w:r>
            <w:r>
              <w:rPr>
                <w:rFonts w:ascii="Times New Roman" w:hAnsi="Times New Roman" w:cs="Times New Roman"/>
                <w:color w:val="auto"/>
                <w:sz w:val="24"/>
                <w:highlight w:val="none"/>
              </w:rPr>
              <w:t>结构，箱式变压器布置在距风机</w:t>
            </w:r>
            <w:r>
              <w:rPr>
                <w:rFonts w:hint="default" w:ascii="Times New Roman" w:hAnsi="Times New Roman" w:cs="Times New Roman"/>
                <w:color w:val="auto"/>
                <w:sz w:val="24"/>
                <w:highlight w:val="none"/>
              </w:rPr>
              <w:t>塔架</w:t>
            </w:r>
            <w:r>
              <w:rPr>
                <w:rFonts w:ascii="Times New Roman" w:hAnsi="Times New Roman" w:cs="Times New Roman"/>
                <w:color w:val="auto"/>
                <w:sz w:val="24"/>
                <w:highlight w:val="none"/>
              </w:rPr>
              <w:t>边缘不小于10m的位置。</w:t>
            </w:r>
            <w:r>
              <w:rPr>
                <w:rFonts w:hint="default" w:ascii="Times New Roman" w:hAnsi="Times New Roman" w:cs="Times New Roman"/>
                <w:color w:val="auto"/>
                <w:sz w:val="24"/>
                <w:highlight w:val="none"/>
              </w:rPr>
              <w:t>箱变</w:t>
            </w:r>
            <w:r>
              <w:rPr>
                <w:rFonts w:hint="eastAsia" w:cs="Times New Roman"/>
                <w:color w:val="auto"/>
                <w:sz w:val="24"/>
                <w:highlight w:val="none"/>
                <w:lang w:eastAsia="zh-CN"/>
              </w:rPr>
              <w:t>内</w:t>
            </w:r>
            <w:r>
              <w:rPr>
                <w:rFonts w:ascii="Times New Roman" w:hAnsi="Times New Roman" w:cs="Times New Roman"/>
                <w:color w:val="auto"/>
                <w:sz w:val="24"/>
                <w:highlight w:val="none"/>
              </w:rPr>
              <w:t>设置</w:t>
            </w:r>
            <w:r>
              <w:rPr>
                <w:rFonts w:hint="eastAsia" w:cs="Times New Roman"/>
                <w:color w:val="auto"/>
                <w:sz w:val="24"/>
                <w:highlight w:val="none"/>
                <w:lang w:eastAsia="zh-CN"/>
              </w:rPr>
              <w:t>干式变压器。</w:t>
            </w:r>
            <w:r>
              <w:rPr>
                <w:rFonts w:ascii="Times New Roman" w:hAnsi="Times New Roman" w:cs="Times New Roman"/>
                <w:color w:val="auto"/>
                <w:sz w:val="24"/>
                <w:highlight w:val="none"/>
              </w:rPr>
              <w:t>基础顶高出场地高程</w:t>
            </w:r>
            <w:r>
              <w:rPr>
                <w:rFonts w:hint="default" w:ascii="Times New Roman" w:hAnsi="Times New Roman" w:cs="Times New Roman"/>
                <w:color w:val="auto"/>
                <w:sz w:val="24"/>
                <w:highlight w:val="none"/>
              </w:rPr>
              <w:t>1.0</w:t>
            </w:r>
            <w:r>
              <w:rPr>
                <w:rFonts w:ascii="Times New Roman" w:hAnsi="Times New Roman" w:cs="Times New Roman"/>
                <w:color w:val="auto"/>
                <w:sz w:val="24"/>
                <w:highlight w:val="none"/>
              </w:rPr>
              <w:t>m，箱变基础施工时预留电缆孔，要求满足电缆敷设要求</w:t>
            </w:r>
            <w:r>
              <w:rPr>
                <w:rFonts w:hint="default" w:ascii="Times New Roman" w:hAnsi="Times New Roman" w:cs="Times New Roman"/>
                <w:color w:val="auto"/>
                <w:sz w:val="24"/>
                <w:highlight w:val="none"/>
              </w:rPr>
              <w:t>。</w:t>
            </w:r>
          </w:p>
          <w:p w14:paraId="3B4BC23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2.4.4.4集电线路施工</w:t>
            </w:r>
          </w:p>
          <w:p w14:paraId="36BF25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本工程集电</w:t>
            </w:r>
            <w:r>
              <w:rPr>
                <w:rFonts w:ascii="Times New Roman" w:hAnsi="Times New Roman" w:cs="Times New Roman"/>
                <w:color w:val="auto"/>
                <w:sz w:val="24"/>
                <w:highlight w:val="none"/>
              </w:rPr>
              <w:t>线路均采用直埋电缆方案，直埋电缆基本沿道路埋设，沟槽（以宽</w:t>
            </w:r>
            <w:r>
              <w:rPr>
                <w:rFonts w:hint="default" w:ascii="Times New Roman" w:hAnsi="Times New Roman" w:cs="Times New Roman"/>
                <w:color w:val="auto"/>
                <w:sz w:val="24"/>
                <w:highlight w:val="none"/>
              </w:rPr>
              <w:t>2</w:t>
            </w:r>
            <w:r>
              <w:rPr>
                <w:rFonts w:ascii="Times New Roman" w:hAnsi="Times New Roman" w:cs="Times New Roman"/>
                <w:color w:val="auto"/>
                <w:sz w:val="24"/>
                <w:highlight w:val="none"/>
              </w:rPr>
              <w:t>m</w:t>
            </w:r>
            <w:r>
              <w:rPr>
                <w:rFonts w:hint="default" w:ascii="Times New Roman" w:hAnsi="Times New Roman" w:cs="Times New Roman"/>
                <w:color w:val="auto"/>
                <w:sz w:val="24"/>
                <w:highlight w:val="none"/>
              </w:rPr>
              <w:t>×</w:t>
            </w:r>
            <w:r>
              <w:rPr>
                <w:rFonts w:ascii="Times New Roman" w:hAnsi="Times New Roman" w:cs="Times New Roman"/>
                <w:color w:val="auto"/>
                <w:sz w:val="24"/>
                <w:highlight w:val="none"/>
              </w:rPr>
              <w:t>深</w:t>
            </w:r>
            <w:r>
              <w:rPr>
                <w:rFonts w:hint="default" w:ascii="Times New Roman" w:hAnsi="Times New Roman" w:cs="Times New Roman"/>
                <w:color w:val="auto"/>
                <w:sz w:val="24"/>
                <w:highlight w:val="none"/>
              </w:rPr>
              <w:t>1.5</w:t>
            </w:r>
            <w:r>
              <w:rPr>
                <w:rFonts w:ascii="Times New Roman" w:hAnsi="Times New Roman" w:cs="Times New Roman"/>
                <w:color w:val="auto"/>
                <w:sz w:val="24"/>
                <w:highlight w:val="none"/>
              </w:rPr>
              <w:t>m计）开挖后敷设电缆</w:t>
            </w:r>
            <w:r>
              <w:rPr>
                <w:rFonts w:hint="default" w:ascii="Times New Roman" w:hAnsi="Times New Roman" w:cs="Times New Roman"/>
                <w:color w:val="auto"/>
                <w:sz w:val="24"/>
                <w:highlight w:val="none"/>
              </w:rPr>
              <w:t>，</w:t>
            </w:r>
            <w:r>
              <w:rPr>
                <w:rFonts w:ascii="Times New Roman" w:hAnsi="Times New Roman" w:cs="Times New Roman"/>
                <w:color w:val="auto"/>
                <w:sz w:val="24"/>
                <w:highlight w:val="none"/>
              </w:rPr>
              <w:t>然后采取措施（铺砂、铺盖板等），最后回填压实即可，施工简便，土建工程量较小</w:t>
            </w:r>
            <w:r>
              <w:rPr>
                <w:rFonts w:hint="default" w:ascii="Times New Roman" w:hAnsi="Times New Roman" w:cs="Times New Roman"/>
                <w:color w:val="auto"/>
                <w:sz w:val="24"/>
                <w:highlight w:val="none"/>
              </w:rPr>
              <w:t>。</w:t>
            </w:r>
          </w:p>
          <w:p w14:paraId="006732B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2.4.4.5风机安装平台施工</w:t>
            </w:r>
          </w:p>
          <w:p w14:paraId="0F972D6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风电机组安装平台施工主要为土方填筑及碾压，填筑区土料要碾压密实。采用20t自卸汽车从风机附近土料场运送土料至填筑区，160kW推土机推平后，16t振动碾碾压，边角部位用1.0t手扶式振动碾碾压，斜坡采用10t牵引式斜坡振动碾碾压。碾压的施工参数，由现场根据碾压试验后填土料的密实度确定。安装平台施工与道路施工相同。</w:t>
            </w:r>
          </w:p>
          <w:p w14:paraId="6A2BEA78">
            <w:pPr>
              <w:pStyle w:val="45"/>
              <w:keepNext w:val="0"/>
              <w:keepLines w:val="0"/>
              <w:pageBreakBefore w:val="0"/>
              <w:widowControl w:val="0"/>
              <w:kinsoku/>
              <w:wordWrap/>
              <w:overflowPunct/>
              <w:topLinePunct w:val="0"/>
              <w:autoSpaceDE/>
              <w:autoSpaceDN/>
              <w:bidi w:val="0"/>
              <w:adjustRightInd w:val="0"/>
              <w:snapToGrid w:val="0"/>
              <w:spacing w:before="1" w:line="360" w:lineRule="auto"/>
              <w:ind w:left="104"/>
              <w:textAlignment w:val="auto"/>
              <w:rPr>
                <w:rFonts w:ascii="Times New Roman" w:hAnsi="Times New Roman" w:cs="Times New Roman"/>
                <w:color w:val="auto"/>
                <w:sz w:val="21"/>
                <w:szCs w:val="21"/>
                <w:highlight w:val="none"/>
              </w:rPr>
            </w:pPr>
            <w:r>
              <w:rPr>
                <w:rFonts w:ascii="Times New Roman" w:hAnsi="Times New Roman" w:eastAsia="Times New Roman" w:cs="Times New Roman"/>
                <w:b/>
                <w:bCs/>
                <w:color w:val="auto"/>
                <w:spacing w:val="-2"/>
                <w:sz w:val="21"/>
                <w:szCs w:val="21"/>
                <w:highlight w:val="none"/>
              </w:rPr>
              <w:t>2.4.4.</w:t>
            </w:r>
            <w:r>
              <w:rPr>
                <w:rFonts w:hint="default" w:ascii="Times New Roman" w:hAnsi="Times New Roman" w:cs="Times New Roman"/>
                <w:b/>
                <w:bCs/>
                <w:color w:val="auto"/>
                <w:spacing w:val="-2"/>
                <w:sz w:val="21"/>
                <w:szCs w:val="21"/>
                <w:highlight w:val="none"/>
                <w:lang w:val="en-US" w:eastAsia="zh-CN"/>
              </w:rPr>
              <w:t>6</w:t>
            </w:r>
            <w:r>
              <w:rPr>
                <w:rFonts w:hint="default" w:ascii="Times New Roman" w:hAnsi="Times New Roman" w:eastAsia="宋体" w:cs="Times New Roman"/>
                <w:b/>
                <w:bCs/>
                <w:color w:val="auto"/>
                <w:spacing w:val="-2"/>
                <w:sz w:val="21"/>
                <w:szCs w:val="21"/>
                <w:highlight w:val="none"/>
                <w:lang w:eastAsia="zh-CN"/>
              </w:rPr>
              <w:t>开关站</w:t>
            </w:r>
            <w:r>
              <w:rPr>
                <w:rFonts w:ascii="Times New Roman" w:hAnsi="Times New Roman" w:cs="Times New Roman"/>
                <w:b/>
                <w:bCs/>
                <w:color w:val="auto"/>
                <w:spacing w:val="-2"/>
                <w:sz w:val="21"/>
                <w:szCs w:val="21"/>
                <w:highlight w:val="none"/>
              </w:rPr>
              <w:t>施工</w:t>
            </w:r>
          </w:p>
          <w:p w14:paraId="0A2ED3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sz w:val="24"/>
                <w:highlight w:val="none"/>
              </w:rPr>
            </w:pPr>
            <w:r>
              <w:rPr>
                <w:rFonts w:ascii="Times New Roman" w:hAnsi="Times New Roman" w:cs="Times New Roman"/>
                <w:color w:val="auto"/>
                <w:sz w:val="24"/>
                <w:highlight w:val="none"/>
              </w:rPr>
              <w:t>本工程新建一座35kV</w:t>
            </w:r>
            <w:r>
              <w:rPr>
                <w:rFonts w:hint="default" w:ascii="Times New Roman" w:hAnsi="Times New Roman" w:cs="Times New Roman"/>
                <w:color w:val="auto"/>
                <w:sz w:val="24"/>
                <w:highlight w:val="none"/>
              </w:rPr>
              <w:t>开关</w:t>
            </w:r>
            <w:r>
              <w:rPr>
                <w:rFonts w:ascii="Times New Roman" w:hAnsi="Times New Roman" w:cs="Times New Roman"/>
                <w:color w:val="auto"/>
                <w:sz w:val="24"/>
                <w:highlight w:val="none"/>
              </w:rPr>
              <w:t>站</w:t>
            </w:r>
            <w:r>
              <w:rPr>
                <w:rFonts w:hint="default" w:ascii="Times New Roman" w:hAnsi="Times New Roman" w:cs="Times New Roman"/>
                <w:color w:val="auto"/>
                <w:sz w:val="24"/>
                <w:highlight w:val="none"/>
              </w:rPr>
              <w:t>。</w:t>
            </w:r>
            <w:r>
              <w:rPr>
                <w:rFonts w:ascii="Times New Roman" w:hAnsi="Times New Roman" w:cs="Times New Roman"/>
                <w:color w:val="auto"/>
                <w:sz w:val="24"/>
                <w:highlight w:val="none"/>
              </w:rPr>
              <w:t>基础土方开挖边坡按1:1.1~1:1.5控制，采用推土机或反铲剥离集料，一次开挖到位，尽量避免扰动基底土方，基坑底部留30cm保护层，采用人工开挖。开挖的土方运往施工临时堆</w:t>
            </w:r>
            <w:r>
              <w:rPr>
                <w:rFonts w:hint="default" w:ascii="Times New Roman" w:hAnsi="Times New Roman" w:cs="Times New Roman"/>
                <w:color w:val="auto"/>
                <w:sz w:val="24"/>
                <w:highlight w:val="none"/>
              </w:rPr>
              <w:t>土</w:t>
            </w:r>
            <w:r>
              <w:rPr>
                <w:rFonts w:ascii="Times New Roman" w:hAnsi="Times New Roman" w:cs="Times New Roman"/>
                <w:color w:val="auto"/>
                <w:sz w:val="24"/>
                <w:highlight w:val="none"/>
              </w:rPr>
              <w:t>区堆放，用于土方回填。</w:t>
            </w:r>
          </w:p>
          <w:p w14:paraId="1D3AAA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sz w:val="24"/>
                <w:highlight w:val="none"/>
              </w:rPr>
            </w:pPr>
            <w:r>
              <w:rPr>
                <w:rFonts w:ascii="Times New Roman" w:hAnsi="Times New Roman" w:cs="Times New Roman"/>
                <w:color w:val="auto"/>
                <w:sz w:val="24"/>
                <w:highlight w:val="none"/>
              </w:rPr>
              <w:t>混凝土采用</w:t>
            </w:r>
            <w:r>
              <w:rPr>
                <w:rFonts w:hint="default" w:ascii="Times New Roman" w:hAnsi="Times New Roman" w:cs="Times New Roman"/>
                <w:color w:val="auto"/>
                <w:sz w:val="24"/>
                <w:highlight w:val="none"/>
              </w:rPr>
              <w:t>商品混凝土</w:t>
            </w:r>
            <w:r>
              <w:rPr>
                <w:rFonts w:ascii="Times New Roman" w:hAnsi="Times New Roman" w:cs="Times New Roman"/>
                <w:color w:val="auto"/>
                <w:sz w:val="24"/>
                <w:highlight w:val="none"/>
              </w:rPr>
              <w:t>。混凝土搅拌运输车运送至施工现场浇筑，人工平仓，振捣器</w:t>
            </w:r>
            <w:r>
              <w:rPr>
                <w:rFonts w:hint="default" w:ascii="Times New Roman" w:hAnsi="Times New Roman" w:cs="Times New Roman"/>
                <w:color w:val="auto"/>
                <w:sz w:val="24"/>
                <w:highlight w:val="none"/>
              </w:rPr>
              <w:t>振捣。</w:t>
            </w:r>
          </w:p>
          <w:p w14:paraId="296D62FA">
            <w:pPr>
              <w:pStyle w:val="45"/>
              <w:keepNext w:val="0"/>
              <w:keepLines w:val="0"/>
              <w:pageBreakBefore w:val="0"/>
              <w:widowControl w:val="0"/>
              <w:kinsoku/>
              <w:wordWrap/>
              <w:overflowPunct/>
              <w:topLinePunct w:val="0"/>
              <w:autoSpaceDE/>
              <w:autoSpaceDN/>
              <w:bidi w:val="0"/>
              <w:adjustRightInd w:val="0"/>
              <w:snapToGrid w:val="0"/>
              <w:spacing w:line="360" w:lineRule="auto"/>
              <w:ind w:left="104"/>
              <w:textAlignment w:val="auto"/>
              <w:rPr>
                <w:rFonts w:ascii="Times New Roman" w:hAnsi="Times New Roman" w:cs="Times New Roman"/>
                <w:color w:val="auto"/>
                <w:sz w:val="24"/>
                <w:szCs w:val="24"/>
                <w:highlight w:val="none"/>
              </w:rPr>
            </w:pPr>
            <w:r>
              <w:rPr>
                <w:rFonts w:ascii="Times New Roman" w:hAnsi="Times New Roman" w:eastAsia="Times New Roman" w:cs="Times New Roman"/>
                <w:b/>
                <w:bCs/>
                <w:color w:val="auto"/>
                <w:spacing w:val="-2"/>
                <w:sz w:val="24"/>
                <w:szCs w:val="24"/>
                <w:highlight w:val="none"/>
              </w:rPr>
              <w:t>2.4.5</w:t>
            </w:r>
            <w:r>
              <w:rPr>
                <w:rFonts w:ascii="Times New Roman" w:hAnsi="Times New Roman" w:cs="Times New Roman"/>
                <w:b/>
                <w:bCs/>
                <w:color w:val="auto"/>
                <w:spacing w:val="-2"/>
                <w:sz w:val="24"/>
                <w:szCs w:val="24"/>
                <w:highlight w:val="none"/>
              </w:rPr>
              <w:t>工期计划</w:t>
            </w:r>
          </w:p>
          <w:p w14:paraId="1C1B036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Times New Roman" w:hAnsi="Times New Roman" w:cs="Times New Roman"/>
                <w:color w:val="auto"/>
                <w:sz w:val="24"/>
                <w:highlight w:val="none"/>
              </w:rPr>
            </w:pPr>
            <w:r>
              <w:rPr>
                <w:rFonts w:ascii="Times New Roman" w:hAnsi="Times New Roman" w:cs="Times New Roman"/>
                <w:color w:val="auto"/>
                <w:sz w:val="24"/>
                <w:highlight w:val="none"/>
              </w:rPr>
              <w:t>本工程施工总工期为6个月。</w:t>
            </w:r>
          </w:p>
          <w:p w14:paraId="41A6A1ED">
            <w:pPr>
              <w:pStyle w:val="45"/>
              <w:spacing w:before="78" w:line="219" w:lineRule="auto"/>
              <w:ind w:left="104"/>
              <w:rPr>
                <w:rFonts w:ascii="Times New Roman" w:hAnsi="Times New Roman" w:cs="Times New Roman"/>
                <w:color w:val="auto"/>
                <w:sz w:val="24"/>
                <w:szCs w:val="24"/>
                <w:highlight w:val="none"/>
              </w:rPr>
            </w:pPr>
            <w:r>
              <w:rPr>
                <w:rFonts w:ascii="Times New Roman" w:hAnsi="Times New Roman" w:eastAsia="Times New Roman" w:cs="Times New Roman"/>
                <w:b/>
                <w:bCs/>
                <w:color w:val="auto"/>
                <w:spacing w:val="-2"/>
                <w:sz w:val="24"/>
                <w:szCs w:val="24"/>
                <w:highlight w:val="none"/>
              </w:rPr>
              <w:t>2.4.6</w:t>
            </w:r>
            <w:r>
              <w:rPr>
                <w:rFonts w:ascii="Times New Roman" w:hAnsi="Times New Roman" w:cs="Times New Roman"/>
                <w:b/>
                <w:bCs/>
                <w:color w:val="auto"/>
                <w:spacing w:val="-2"/>
                <w:sz w:val="24"/>
                <w:szCs w:val="24"/>
                <w:highlight w:val="none"/>
              </w:rPr>
              <w:t>主要施工机械汇总表</w:t>
            </w:r>
          </w:p>
          <w:p w14:paraId="3022539D">
            <w:pPr>
              <w:pStyle w:val="45"/>
              <w:spacing w:before="180" w:line="219" w:lineRule="auto"/>
              <w:ind w:left="591"/>
              <w:rPr>
                <w:rFonts w:ascii="Times New Roman" w:hAnsi="Times New Roman" w:cs="Times New Roman"/>
                <w:color w:val="auto"/>
                <w:sz w:val="24"/>
                <w:szCs w:val="24"/>
                <w:highlight w:val="none"/>
              </w:rPr>
            </w:pPr>
            <w:r>
              <w:rPr>
                <w:rFonts w:ascii="Times New Roman" w:hAnsi="Times New Roman" w:cs="Times New Roman"/>
                <w:color w:val="auto"/>
                <w:spacing w:val="-1"/>
                <w:sz w:val="24"/>
                <w:szCs w:val="24"/>
                <w:highlight w:val="none"/>
              </w:rPr>
              <w:t>项目主要施工机械汇总见下表：</w:t>
            </w:r>
          </w:p>
          <w:p w14:paraId="2B3A3381">
            <w:pPr>
              <w:pStyle w:val="45"/>
              <w:keepNext w:val="0"/>
              <w:keepLines w:val="0"/>
              <w:pageBreakBefore w:val="0"/>
              <w:widowControl w:val="0"/>
              <w:kinsoku/>
              <w:wordWrap/>
              <w:overflowPunct/>
              <w:topLinePunct w:val="0"/>
              <w:autoSpaceDE/>
              <w:autoSpaceDN/>
              <w:bidi w:val="0"/>
              <w:adjustRightInd w:val="0"/>
              <w:snapToGrid w:val="0"/>
              <w:spacing w:line="240" w:lineRule="auto"/>
              <w:ind w:left="0" w:right="0" w:firstLine="0" w:firstLineChars="0"/>
              <w:jc w:val="center"/>
              <w:textAlignment w:val="auto"/>
              <w:rPr>
                <w:rFonts w:ascii="Times New Roman" w:hAnsi="Times New Roman" w:cs="Times New Roman"/>
                <w:color w:val="auto"/>
                <w:sz w:val="24"/>
                <w:highlight w:val="none"/>
              </w:rPr>
            </w:pPr>
            <w:r>
              <w:rPr>
                <w:rFonts w:ascii="Times New Roman" w:hAnsi="Times New Roman" w:cs="Times New Roman"/>
                <w:b/>
                <w:bCs/>
                <w:color w:val="auto"/>
                <w:spacing w:val="3"/>
                <w:sz w:val="20"/>
                <w:szCs w:val="20"/>
                <w:highlight w:val="none"/>
              </w:rPr>
              <w:t>表</w:t>
            </w:r>
            <w:r>
              <w:rPr>
                <w:rFonts w:ascii="Times New Roman" w:hAnsi="Times New Roman" w:eastAsia="Times New Roman" w:cs="Times New Roman"/>
                <w:b/>
                <w:bCs/>
                <w:color w:val="auto"/>
                <w:spacing w:val="3"/>
                <w:sz w:val="20"/>
                <w:szCs w:val="20"/>
                <w:highlight w:val="none"/>
              </w:rPr>
              <w:t>2-</w:t>
            </w:r>
            <w:r>
              <w:rPr>
                <w:rFonts w:hint="eastAsia" w:ascii="Times New Roman" w:hAnsi="Times New Roman" w:eastAsia="宋体" w:cs="Times New Roman"/>
                <w:b/>
                <w:bCs/>
                <w:color w:val="auto"/>
                <w:spacing w:val="3"/>
                <w:sz w:val="20"/>
                <w:szCs w:val="20"/>
                <w:highlight w:val="none"/>
                <w:lang w:val="en-US" w:eastAsia="zh-CN"/>
              </w:rPr>
              <w:t>5</w:t>
            </w:r>
            <w:r>
              <w:rPr>
                <w:rFonts w:ascii="Times New Roman" w:hAnsi="Times New Roman" w:cs="Times New Roman"/>
                <w:b/>
                <w:bCs/>
                <w:color w:val="auto"/>
                <w:spacing w:val="3"/>
                <w:sz w:val="20"/>
                <w:szCs w:val="20"/>
                <w:highlight w:val="none"/>
              </w:rPr>
              <w:t>主要施工机械汇总表</w:t>
            </w:r>
          </w:p>
          <w:tbl>
            <w:tblPr>
              <w:tblStyle w:val="20"/>
              <w:tblW w:w="82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140"/>
              <w:gridCol w:w="2680"/>
              <w:gridCol w:w="802"/>
              <w:gridCol w:w="935"/>
              <w:gridCol w:w="773"/>
            </w:tblGrid>
            <w:tr w14:paraId="3BC1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24E4892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2140" w:type="dxa"/>
                  <w:noWrap w:val="0"/>
                  <w:vAlign w:val="center"/>
                </w:tcPr>
                <w:p w14:paraId="642D020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机械设备名称</w:t>
                  </w:r>
                </w:p>
              </w:tc>
              <w:tc>
                <w:tcPr>
                  <w:tcW w:w="2680" w:type="dxa"/>
                  <w:noWrap w:val="0"/>
                  <w:vAlign w:val="center"/>
                </w:tcPr>
                <w:p w14:paraId="44EB0496">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规格</w:t>
                  </w:r>
                </w:p>
              </w:tc>
              <w:tc>
                <w:tcPr>
                  <w:tcW w:w="802" w:type="dxa"/>
                  <w:noWrap w:val="0"/>
                  <w:vAlign w:val="center"/>
                </w:tcPr>
                <w:p w14:paraId="42BB54B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单位</w:t>
                  </w:r>
                </w:p>
              </w:tc>
              <w:tc>
                <w:tcPr>
                  <w:tcW w:w="935" w:type="dxa"/>
                  <w:noWrap w:val="0"/>
                  <w:vAlign w:val="center"/>
                </w:tcPr>
                <w:p w14:paraId="52C43F6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数量</w:t>
                  </w:r>
                </w:p>
              </w:tc>
              <w:tc>
                <w:tcPr>
                  <w:tcW w:w="773" w:type="dxa"/>
                  <w:noWrap w:val="0"/>
                  <w:vAlign w:val="center"/>
                </w:tcPr>
                <w:p w14:paraId="3E43EB4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备注</w:t>
                  </w:r>
                </w:p>
              </w:tc>
            </w:tr>
            <w:tr w14:paraId="5BE43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735ECDE2">
                  <w:pPr>
                    <w:pStyle w:val="28"/>
                    <w:bidi w:val="0"/>
                    <w:rPr>
                      <w:rFonts w:ascii="Times New Roman" w:hAnsi="Times New Roman" w:cs="Times New Roman"/>
                      <w:color w:val="auto"/>
                      <w:highlight w:val="none"/>
                    </w:rPr>
                  </w:pPr>
                  <w:r>
                    <w:rPr>
                      <w:rFonts w:ascii="Times New Roman" w:hAnsi="Times New Roman" w:cs="Times New Roman"/>
                      <w:color w:val="auto"/>
                      <w:highlight w:val="none"/>
                    </w:rPr>
                    <w:t>1</w:t>
                  </w:r>
                </w:p>
              </w:tc>
              <w:tc>
                <w:tcPr>
                  <w:tcW w:w="2140" w:type="dxa"/>
                  <w:noWrap w:val="0"/>
                  <w:vAlign w:val="center"/>
                </w:tcPr>
                <w:p w14:paraId="7BD91097">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履带式起重机</w:t>
                  </w:r>
                </w:p>
              </w:tc>
              <w:tc>
                <w:tcPr>
                  <w:tcW w:w="2680" w:type="dxa"/>
                  <w:noWrap w:val="0"/>
                  <w:vAlign w:val="center"/>
                </w:tcPr>
                <w:p w14:paraId="41FD3E0C">
                  <w:pPr>
                    <w:pStyle w:val="28"/>
                    <w:bidi w:val="0"/>
                    <w:rPr>
                      <w:rFonts w:ascii="Times New Roman" w:hAnsi="Times New Roman" w:cs="Times New Roman"/>
                      <w:color w:val="auto"/>
                      <w:highlight w:val="none"/>
                    </w:rPr>
                  </w:pPr>
                  <w:r>
                    <w:rPr>
                      <w:rFonts w:ascii="Times New Roman" w:hAnsi="Times New Roman" w:cs="Times New Roman"/>
                      <w:color w:val="auto"/>
                      <w:highlight w:val="none"/>
                    </w:rPr>
                    <w:t>1000t</w:t>
                  </w:r>
                </w:p>
              </w:tc>
              <w:tc>
                <w:tcPr>
                  <w:tcW w:w="802" w:type="dxa"/>
                  <w:noWrap w:val="0"/>
                  <w:vAlign w:val="center"/>
                </w:tcPr>
                <w:p w14:paraId="748F23B2">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0BC4799D">
                  <w:pPr>
                    <w:pStyle w:val="28"/>
                    <w:bidi w:val="0"/>
                    <w:rPr>
                      <w:rFonts w:ascii="Times New Roman" w:hAnsi="Times New Roman" w:cs="Times New Roman"/>
                      <w:color w:val="auto"/>
                      <w:highlight w:val="none"/>
                    </w:rPr>
                  </w:pPr>
                  <w:r>
                    <w:rPr>
                      <w:rFonts w:ascii="Times New Roman" w:hAnsi="Times New Roman" w:cs="Times New Roman"/>
                      <w:color w:val="auto"/>
                      <w:highlight w:val="none"/>
                    </w:rPr>
                    <w:t>1</w:t>
                  </w:r>
                </w:p>
              </w:tc>
              <w:tc>
                <w:tcPr>
                  <w:tcW w:w="773" w:type="dxa"/>
                  <w:noWrap w:val="0"/>
                  <w:vAlign w:val="center"/>
                </w:tcPr>
                <w:p w14:paraId="70526D01">
                  <w:pPr>
                    <w:pStyle w:val="28"/>
                    <w:bidi w:val="0"/>
                    <w:rPr>
                      <w:rFonts w:ascii="Times New Roman" w:hAnsi="Times New Roman" w:cs="Times New Roman"/>
                      <w:color w:val="auto"/>
                      <w:highlight w:val="none"/>
                    </w:rPr>
                  </w:pPr>
                </w:p>
              </w:tc>
            </w:tr>
            <w:tr w14:paraId="1A26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3C565976">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2140" w:type="dxa"/>
                  <w:noWrap w:val="0"/>
                  <w:vAlign w:val="center"/>
                </w:tcPr>
                <w:p w14:paraId="170B907F">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汽车式起重机</w:t>
                  </w:r>
                </w:p>
              </w:tc>
              <w:tc>
                <w:tcPr>
                  <w:tcW w:w="2680" w:type="dxa"/>
                  <w:noWrap w:val="0"/>
                  <w:vAlign w:val="center"/>
                </w:tcPr>
                <w:p w14:paraId="39375FA5">
                  <w:pPr>
                    <w:pStyle w:val="28"/>
                    <w:bidi w:val="0"/>
                    <w:rPr>
                      <w:rFonts w:ascii="Times New Roman" w:hAnsi="Times New Roman" w:cs="Times New Roman"/>
                      <w:color w:val="auto"/>
                      <w:highlight w:val="none"/>
                    </w:rPr>
                  </w:pPr>
                  <w:r>
                    <w:rPr>
                      <w:rFonts w:ascii="Times New Roman" w:hAnsi="Times New Roman" w:cs="Times New Roman"/>
                      <w:color w:val="auto"/>
                      <w:highlight w:val="none"/>
                    </w:rPr>
                    <w:t>250t</w:t>
                  </w:r>
                </w:p>
              </w:tc>
              <w:tc>
                <w:tcPr>
                  <w:tcW w:w="802" w:type="dxa"/>
                  <w:noWrap w:val="0"/>
                  <w:vAlign w:val="center"/>
                </w:tcPr>
                <w:p w14:paraId="64D05A88">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210E0B2B">
                  <w:pPr>
                    <w:pStyle w:val="28"/>
                    <w:bidi w:val="0"/>
                    <w:rPr>
                      <w:rFonts w:ascii="Times New Roman" w:hAnsi="Times New Roman" w:cs="Times New Roman"/>
                      <w:color w:val="auto"/>
                      <w:highlight w:val="none"/>
                    </w:rPr>
                  </w:pPr>
                  <w:r>
                    <w:rPr>
                      <w:rFonts w:ascii="Times New Roman" w:hAnsi="Times New Roman" w:cs="Times New Roman"/>
                      <w:color w:val="auto"/>
                      <w:highlight w:val="none"/>
                    </w:rPr>
                    <w:t>1</w:t>
                  </w:r>
                </w:p>
              </w:tc>
              <w:tc>
                <w:tcPr>
                  <w:tcW w:w="773" w:type="dxa"/>
                  <w:noWrap w:val="0"/>
                  <w:vAlign w:val="center"/>
                </w:tcPr>
                <w:p w14:paraId="796432F4">
                  <w:pPr>
                    <w:pStyle w:val="28"/>
                    <w:bidi w:val="0"/>
                    <w:rPr>
                      <w:rFonts w:ascii="Times New Roman" w:hAnsi="Times New Roman" w:cs="Times New Roman"/>
                      <w:color w:val="auto"/>
                      <w:highlight w:val="none"/>
                    </w:rPr>
                  </w:pPr>
                </w:p>
              </w:tc>
            </w:tr>
            <w:tr w14:paraId="1E25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33575F1A">
                  <w:pPr>
                    <w:pStyle w:val="28"/>
                    <w:bidi w:val="0"/>
                    <w:rPr>
                      <w:rFonts w:ascii="Times New Roman" w:hAnsi="Times New Roman" w:cs="Times New Roman"/>
                      <w:color w:val="auto"/>
                      <w:highlight w:val="none"/>
                    </w:rPr>
                  </w:pPr>
                  <w:r>
                    <w:rPr>
                      <w:rFonts w:ascii="Times New Roman" w:hAnsi="Times New Roman" w:cs="Times New Roman"/>
                      <w:color w:val="auto"/>
                      <w:highlight w:val="none"/>
                    </w:rPr>
                    <w:t>3</w:t>
                  </w:r>
                </w:p>
              </w:tc>
              <w:tc>
                <w:tcPr>
                  <w:tcW w:w="2140" w:type="dxa"/>
                  <w:noWrap w:val="0"/>
                  <w:vAlign w:val="center"/>
                </w:tcPr>
                <w:p w14:paraId="5A07C5A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汽车式起重机</w:t>
                  </w:r>
                </w:p>
              </w:tc>
              <w:tc>
                <w:tcPr>
                  <w:tcW w:w="2680" w:type="dxa"/>
                  <w:noWrap w:val="0"/>
                  <w:vAlign w:val="center"/>
                </w:tcPr>
                <w:p w14:paraId="39AB7B13">
                  <w:pPr>
                    <w:pStyle w:val="28"/>
                    <w:bidi w:val="0"/>
                    <w:rPr>
                      <w:rFonts w:ascii="Times New Roman" w:hAnsi="Times New Roman" w:cs="Times New Roman"/>
                      <w:color w:val="auto"/>
                      <w:highlight w:val="none"/>
                    </w:rPr>
                  </w:pPr>
                  <w:r>
                    <w:rPr>
                      <w:rFonts w:ascii="Times New Roman" w:hAnsi="Times New Roman" w:cs="Times New Roman"/>
                      <w:color w:val="auto"/>
                      <w:highlight w:val="none"/>
                    </w:rPr>
                    <w:t>75t</w:t>
                  </w:r>
                </w:p>
              </w:tc>
              <w:tc>
                <w:tcPr>
                  <w:tcW w:w="802" w:type="dxa"/>
                  <w:noWrap w:val="0"/>
                  <w:vAlign w:val="center"/>
                </w:tcPr>
                <w:p w14:paraId="5F70A1CF">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04C2EC8F">
                  <w:pPr>
                    <w:pStyle w:val="28"/>
                    <w:bidi w:val="0"/>
                    <w:rPr>
                      <w:rFonts w:ascii="Times New Roman" w:hAnsi="Times New Roman" w:cs="Times New Roman"/>
                      <w:color w:val="auto"/>
                      <w:highlight w:val="none"/>
                    </w:rPr>
                  </w:pPr>
                  <w:r>
                    <w:rPr>
                      <w:rFonts w:ascii="Times New Roman" w:hAnsi="Times New Roman" w:cs="Times New Roman"/>
                      <w:color w:val="auto"/>
                      <w:highlight w:val="none"/>
                    </w:rPr>
                    <w:t>1</w:t>
                  </w:r>
                </w:p>
              </w:tc>
              <w:tc>
                <w:tcPr>
                  <w:tcW w:w="773" w:type="dxa"/>
                  <w:noWrap w:val="0"/>
                  <w:vAlign w:val="center"/>
                </w:tcPr>
                <w:p w14:paraId="040A6F76">
                  <w:pPr>
                    <w:pStyle w:val="28"/>
                    <w:bidi w:val="0"/>
                    <w:rPr>
                      <w:rFonts w:ascii="Times New Roman" w:hAnsi="Times New Roman" w:cs="Times New Roman"/>
                      <w:color w:val="auto"/>
                      <w:highlight w:val="none"/>
                    </w:rPr>
                  </w:pPr>
                </w:p>
              </w:tc>
            </w:tr>
            <w:tr w14:paraId="60991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0C84BDF3">
                  <w:pPr>
                    <w:pStyle w:val="28"/>
                    <w:bidi w:val="0"/>
                    <w:rPr>
                      <w:rFonts w:ascii="Times New Roman" w:hAnsi="Times New Roman" w:cs="Times New Roman"/>
                      <w:color w:val="auto"/>
                      <w:highlight w:val="none"/>
                    </w:rPr>
                  </w:pPr>
                  <w:r>
                    <w:rPr>
                      <w:rFonts w:ascii="Times New Roman" w:hAnsi="Times New Roman" w:cs="Times New Roman"/>
                      <w:color w:val="auto"/>
                      <w:highlight w:val="none"/>
                    </w:rPr>
                    <w:t>4</w:t>
                  </w:r>
                </w:p>
              </w:tc>
              <w:tc>
                <w:tcPr>
                  <w:tcW w:w="2140" w:type="dxa"/>
                  <w:noWrap w:val="0"/>
                  <w:vAlign w:val="center"/>
                </w:tcPr>
                <w:p w14:paraId="29D75238">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挖掘机</w:t>
                  </w:r>
                </w:p>
              </w:tc>
              <w:tc>
                <w:tcPr>
                  <w:tcW w:w="2680" w:type="dxa"/>
                  <w:noWrap w:val="0"/>
                  <w:vAlign w:val="center"/>
                </w:tcPr>
                <w:p w14:paraId="6399C603">
                  <w:pPr>
                    <w:pStyle w:val="28"/>
                    <w:bidi w:val="0"/>
                    <w:rPr>
                      <w:rFonts w:ascii="Times New Roman" w:hAnsi="Times New Roman" w:cs="Times New Roman"/>
                      <w:color w:val="auto"/>
                      <w:highlight w:val="none"/>
                    </w:rPr>
                  </w:pPr>
                  <w:r>
                    <w:rPr>
                      <w:rFonts w:ascii="Times New Roman" w:hAnsi="Times New Roman" w:cs="Times New Roman"/>
                      <w:color w:val="auto"/>
                      <w:highlight w:val="none"/>
                    </w:rPr>
                    <w:t>1m</w:t>
                  </w:r>
                  <w:r>
                    <w:rPr>
                      <w:rFonts w:ascii="Times New Roman" w:hAnsi="Times New Roman" w:cs="Times New Roman"/>
                      <w:color w:val="auto"/>
                      <w:highlight w:val="none"/>
                      <w:vertAlign w:val="superscript"/>
                    </w:rPr>
                    <w:t>3</w:t>
                  </w:r>
                </w:p>
              </w:tc>
              <w:tc>
                <w:tcPr>
                  <w:tcW w:w="802" w:type="dxa"/>
                  <w:noWrap w:val="0"/>
                  <w:vAlign w:val="center"/>
                </w:tcPr>
                <w:p w14:paraId="0FAE7A1F">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21F66BBA">
                  <w:pPr>
                    <w:pStyle w:val="28"/>
                    <w:bidi w:val="0"/>
                    <w:rPr>
                      <w:rFonts w:ascii="Times New Roman" w:hAnsi="Times New Roman" w:cs="Times New Roman"/>
                      <w:color w:val="auto"/>
                      <w:highlight w:val="none"/>
                    </w:rPr>
                  </w:pPr>
                  <w:r>
                    <w:rPr>
                      <w:rFonts w:ascii="Times New Roman" w:hAnsi="Times New Roman" w:cs="Times New Roman"/>
                      <w:color w:val="auto"/>
                      <w:highlight w:val="none"/>
                    </w:rPr>
                    <w:t>5</w:t>
                  </w:r>
                </w:p>
              </w:tc>
              <w:tc>
                <w:tcPr>
                  <w:tcW w:w="773" w:type="dxa"/>
                  <w:noWrap w:val="0"/>
                  <w:vAlign w:val="center"/>
                </w:tcPr>
                <w:p w14:paraId="0CBEA47B">
                  <w:pPr>
                    <w:pStyle w:val="28"/>
                    <w:bidi w:val="0"/>
                    <w:rPr>
                      <w:rFonts w:ascii="Times New Roman" w:hAnsi="Times New Roman" w:cs="Times New Roman"/>
                      <w:color w:val="auto"/>
                      <w:highlight w:val="none"/>
                    </w:rPr>
                  </w:pPr>
                </w:p>
              </w:tc>
            </w:tr>
            <w:tr w14:paraId="7291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11D157BF">
                  <w:pPr>
                    <w:pStyle w:val="28"/>
                    <w:bidi w:val="0"/>
                    <w:rPr>
                      <w:rFonts w:ascii="Times New Roman" w:hAnsi="Times New Roman" w:cs="Times New Roman"/>
                      <w:color w:val="auto"/>
                      <w:highlight w:val="none"/>
                    </w:rPr>
                  </w:pPr>
                  <w:r>
                    <w:rPr>
                      <w:rFonts w:ascii="Times New Roman" w:hAnsi="Times New Roman" w:cs="Times New Roman"/>
                      <w:color w:val="auto"/>
                      <w:highlight w:val="none"/>
                    </w:rPr>
                    <w:t>5</w:t>
                  </w:r>
                </w:p>
              </w:tc>
              <w:tc>
                <w:tcPr>
                  <w:tcW w:w="2140" w:type="dxa"/>
                  <w:noWrap w:val="0"/>
                  <w:vAlign w:val="center"/>
                </w:tcPr>
                <w:p w14:paraId="37D5CA50">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装载机</w:t>
                  </w:r>
                </w:p>
              </w:tc>
              <w:tc>
                <w:tcPr>
                  <w:tcW w:w="2680" w:type="dxa"/>
                  <w:noWrap w:val="0"/>
                  <w:vAlign w:val="center"/>
                </w:tcPr>
                <w:p w14:paraId="42876236">
                  <w:pPr>
                    <w:pStyle w:val="28"/>
                    <w:bidi w:val="0"/>
                    <w:rPr>
                      <w:rFonts w:ascii="Times New Roman" w:hAnsi="Times New Roman" w:cs="Times New Roman"/>
                      <w:color w:val="auto"/>
                      <w:highlight w:val="none"/>
                    </w:rPr>
                  </w:pPr>
                  <w:r>
                    <w:rPr>
                      <w:rFonts w:ascii="Times New Roman" w:hAnsi="Times New Roman" w:cs="Times New Roman"/>
                      <w:color w:val="auto"/>
                      <w:highlight w:val="none"/>
                    </w:rPr>
                    <w:t>1m</w:t>
                  </w:r>
                  <w:r>
                    <w:rPr>
                      <w:rFonts w:ascii="Times New Roman" w:hAnsi="Times New Roman" w:cs="Times New Roman"/>
                      <w:color w:val="auto"/>
                      <w:highlight w:val="none"/>
                      <w:vertAlign w:val="superscript"/>
                    </w:rPr>
                    <w:t>3</w:t>
                  </w:r>
                </w:p>
              </w:tc>
              <w:tc>
                <w:tcPr>
                  <w:tcW w:w="802" w:type="dxa"/>
                  <w:noWrap w:val="0"/>
                  <w:vAlign w:val="center"/>
                </w:tcPr>
                <w:p w14:paraId="26DAB223">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676B3563">
                  <w:pPr>
                    <w:pStyle w:val="28"/>
                    <w:bidi w:val="0"/>
                    <w:rPr>
                      <w:rFonts w:ascii="Times New Roman" w:hAnsi="Times New Roman" w:cs="Times New Roman"/>
                      <w:color w:val="auto"/>
                      <w:highlight w:val="none"/>
                    </w:rPr>
                  </w:pPr>
                  <w:r>
                    <w:rPr>
                      <w:rFonts w:ascii="Times New Roman" w:hAnsi="Times New Roman" w:cs="Times New Roman"/>
                      <w:color w:val="auto"/>
                      <w:highlight w:val="none"/>
                    </w:rPr>
                    <w:t>5</w:t>
                  </w:r>
                </w:p>
              </w:tc>
              <w:tc>
                <w:tcPr>
                  <w:tcW w:w="773" w:type="dxa"/>
                  <w:noWrap w:val="0"/>
                  <w:vAlign w:val="center"/>
                </w:tcPr>
                <w:p w14:paraId="1A9A6CE4">
                  <w:pPr>
                    <w:pStyle w:val="28"/>
                    <w:bidi w:val="0"/>
                    <w:rPr>
                      <w:rFonts w:ascii="Times New Roman" w:hAnsi="Times New Roman" w:cs="Times New Roman"/>
                      <w:color w:val="auto"/>
                      <w:highlight w:val="none"/>
                    </w:rPr>
                  </w:pPr>
                </w:p>
              </w:tc>
            </w:tr>
            <w:tr w14:paraId="2F1F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7D261264">
                  <w:pPr>
                    <w:pStyle w:val="28"/>
                    <w:bidi w:val="0"/>
                    <w:rPr>
                      <w:rFonts w:ascii="Times New Roman" w:hAnsi="Times New Roman" w:cs="Times New Roman"/>
                      <w:color w:val="auto"/>
                      <w:highlight w:val="none"/>
                    </w:rPr>
                  </w:pPr>
                  <w:r>
                    <w:rPr>
                      <w:rFonts w:ascii="Times New Roman" w:hAnsi="Times New Roman" w:cs="Times New Roman"/>
                      <w:color w:val="auto"/>
                      <w:highlight w:val="none"/>
                    </w:rPr>
                    <w:t>6</w:t>
                  </w:r>
                </w:p>
              </w:tc>
              <w:tc>
                <w:tcPr>
                  <w:tcW w:w="2140" w:type="dxa"/>
                  <w:noWrap w:val="0"/>
                  <w:vAlign w:val="center"/>
                </w:tcPr>
                <w:p w14:paraId="6D4CA2DB">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推土机</w:t>
                  </w:r>
                </w:p>
              </w:tc>
              <w:tc>
                <w:tcPr>
                  <w:tcW w:w="2680" w:type="dxa"/>
                  <w:noWrap w:val="0"/>
                  <w:vAlign w:val="center"/>
                </w:tcPr>
                <w:p w14:paraId="343A6FCD">
                  <w:pPr>
                    <w:pStyle w:val="28"/>
                    <w:bidi w:val="0"/>
                    <w:rPr>
                      <w:rFonts w:hint="default" w:ascii="Times New Roman" w:hAnsi="Times New Roman" w:eastAsia="宋体" w:cs="Times New Roman"/>
                      <w:color w:val="auto"/>
                      <w:highlight w:val="none"/>
                      <w:lang w:eastAsia="zh-CN"/>
                    </w:rPr>
                  </w:pPr>
                  <w:r>
                    <w:rPr>
                      <w:rFonts w:ascii="Times New Roman" w:hAnsi="Times New Roman" w:cs="Times New Roman"/>
                      <w:color w:val="auto"/>
                      <w:highlight w:val="none"/>
                    </w:rPr>
                    <w:t>160kW</w:t>
                  </w:r>
                </w:p>
              </w:tc>
              <w:tc>
                <w:tcPr>
                  <w:tcW w:w="802" w:type="dxa"/>
                  <w:noWrap w:val="0"/>
                  <w:vAlign w:val="center"/>
                </w:tcPr>
                <w:p w14:paraId="777E1CBD">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27721026">
                  <w:pPr>
                    <w:pStyle w:val="28"/>
                    <w:bidi w:val="0"/>
                    <w:rPr>
                      <w:rFonts w:ascii="Times New Roman" w:hAnsi="Times New Roman" w:cs="Times New Roman"/>
                      <w:color w:val="auto"/>
                      <w:highlight w:val="none"/>
                    </w:rPr>
                  </w:pPr>
                  <w:r>
                    <w:rPr>
                      <w:rFonts w:ascii="Times New Roman" w:hAnsi="Times New Roman" w:cs="Times New Roman"/>
                      <w:color w:val="auto"/>
                      <w:highlight w:val="none"/>
                    </w:rPr>
                    <w:t>55</w:t>
                  </w:r>
                </w:p>
              </w:tc>
              <w:tc>
                <w:tcPr>
                  <w:tcW w:w="773" w:type="dxa"/>
                  <w:noWrap w:val="0"/>
                  <w:vAlign w:val="center"/>
                </w:tcPr>
                <w:p w14:paraId="31E0AC01">
                  <w:pPr>
                    <w:pStyle w:val="28"/>
                    <w:bidi w:val="0"/>
                    <w:rPr>
                      <w:rFonts w:ascii="Times New Roman" w:hAnsi="Times New Roman" w:cs="Times New Roman"/>
                      <w:color w:val="auto"/>
                      <w:highlight w:val="none"/>
                    </w:rPr>
                  </w:pPr>
                </w:p>
              </w:tc>
            </w:tr>
            <w:tr w14:paraId="5501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4EC56BE5">
                  <w:pPr>
                    <w:pStyle w:val="28"/>
                    <w:bidi w:val="0"/>
                    <w:rPr>
                      <w:rFonts w:ascii="Times New Roman" w:hAnsi="Times New Roman" w:cs="Times New Roman"/>
                      <w:color w:val="auto"/>
                      <w:highlight w:val="none"/>
                    </w:rPr>
                  </w:pPr>
                  <w:r>
                    <w:rPr>
                      <w:rFonts w:ascii="Times New Roman" w:hAnsi="Times New Roman" w:cs="Times New Roman"/>
                      <w:color w:val="auto"/>
                      <w:highlight w:val="none"/>
                    </w:rPr>
                    <w:t>7</w:t>
                  </w:r>
                </w:p>
              </w:tc>
              <w:tc>
                <w:tcPr>
                  <w:tcW w:w="2140" w:type="dxa"/>
                  <w:noWrap w:val="0"/>
                  <w:vAlign w:val="center"/>
                </w:tcPr>
                <w:p w14:paraId="2A5DF032">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振动压路机</w:t>
                  </w:r>
                </w:p>
              </w:tc>
              <w:tc>
                <w:tcPr>
                  <w:tcW w:w="2680" w:type="dxa"/>
                  <w:noWrap w:val="0"/>
                  <w:vAlign w:val="center"/>
                </w:tcPr>
                <w:p w14:paraId="24CABCE1">
                  <w:pPr>
                    <w:pStyle w:val="28"/>
                    <w:bidi w:val="0"/>
                    <w:rPr>
                      <w:rFonts w:ascii="Times New Roman" w:hAnsi="Times New Roman" w:cs="Times New Roman"/>
                      <w:color w:val="auto"/>
                      <w:highlight w:val="none"/>
                    </w:rPr>
                  </w:pPr>
                </w:p>
              </w:tc>
              <w:tc>
                <w:tcPr>
                  <w:tcW w:w="802" w:type="dxa"/>
                  <w:noWrap w:val="0"/>
                  <w:vAlign w:val="center"/>
                </w:tcPr>
                <w:p w14:paraId="2C0456CE">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3398E227">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2A797E49">
                  <w:pPr>
                    <w:pStyle w:val="28"/>
                    <w:bidi w:val="0"/>
                    <w:rPr>
                      <w:rFonts w:ascii="Times New Roman" w:hAnsi="Times New Roman" w:cs="Times New Roman"/>
                      <w:color w:val="auto"/>
                      <w:highlight w:val="none"/>
                    </w:rPr>
                  </w:pPr>
                </w:p>
              </w:tc>
            </w:tr>
            <w:tr w14:paraId="6AC0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76B8F165">
                  <w:pPr>
                    <w:pStyle w:val="28"/>
                    <w:bidi w:val="0"/>
                    <w:rPr>
                      <w:rFonts w:ascii="Times New Roman" w:hAnsi="Times New Roman" w:cs="Times New Roman"/>
                      <w:color w:val="auto"/>
                      <w:highlight w:val="none"/>
                    </w:rPr>
                  </w:pPr>
                  <w:r>
                    <w:rPr>
                      <w:rFonts w:ascii="Times New Roman" w:hAnsi="Times New Roman" w:cs="Times New Roman"/>
                      <w:color w:val="auto"/>
                      <w:highlight w:val="none"/>
                    </w:rPr>
                    <w:t>8</w:t>
                  </w:r>
                </w:p>
              </w:tc>
              <w:tc>
                <w:tcPr>
                  <w:tcW w:w="2140" w:type="dxa"/>
                  <w:noWrap w:val="0"/>
                  <w:vAlign w:val="center"/>
                </w:tcPr>
                <w:p w14:paraId="30E28CE3">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插入式振捣器</w:t>
                  </w:r>
                </w:p>
              </w:tc>
              <w:tc>
                <w:tcPr>
                  <w:tcW w:w="2680" w:type="dxa"/>
                  <w:noWrap w:val="0"/>
                  <w:vAlign w:val="center"/>
                </w:tcPr>
                <w:p w14:paraId="1A339BF6">
                  <w:pPr>
                    <w:pStyle w:val="28"/>
                    <w:bidi w:val="0"/>
                    <w:rPr>
                      <w:rFonts w:ascii="Times New Roman" w:hAnsi="Times New Roman" w:cs="Times New Roman"/>
                      <w:color w:val="auto"/>
                      <w:highlight w:val="none"/>
                    </w:rPr>
                  </w:pPr>
                </w:p>
              </w:tc>
              <w:tc>
                <w:tcPr>
                  <w:tcW w:w="802" w:type="dxa"/>
                  <w:noWrap w:val="0"/>
                  <w:vAlign w:val="center"/>
                </w:tcPr>
                <w:p w14:paraId="74399778">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个</w:t>
                  </w:r>
                </w:p>
              </w:tc>
              <w:tc>
                <w:tcPr>
                  <w:tcW w:w="935" w:type="dxa"/>
                  <w:noWrap w:val="0"/>
                  <w:vAlign w:val="center"/>
                </w:tcPr>
                <w:p w14:paraId="0FD56E0A">
                  <w:pPr>
                    <w:pStyle w:val="28"/>
                    <w:bidi w:val="0"/>
                    <w:rPr>
                      <w:rFonts w:ascii="Times New Roman" w:hAnsi="Times New Roman" w:cs="Times New Roman"/>
                      <w:color w:val="auto"/>
                      <w:highlight w:val="none"/>
                    </w:rPr>
                  </w:pPr>
                  <w:r>
                    <w:rPr>
                      <w:rFonts w:ascii="Times New Roman" w:hAnsi="Times New Roman" w:cs="Times New Roman"/>
                      <w:color w:val="auto"/>
                      <w:highlight w:val="none"/>
                    </w:rPr>
                    <w:t>10</w:t>
                  </w:r>
                </w:p>
              </w:tc>
              <w:tc>
                <w:tcPr>
                  <w:tcW w:w="773" w:type="dxa"/>
                  <w:noWrap w:val="0"/>
                  <w:vAlign w:val="center"/>
                </w:tcPr>
                <w:p w14:paraId="024AA4CF">
                  <w:pPr>
                    <w:pStyle w:val="28"/>
                    <w:bidi w:val="0"/>
                    <w:rPr>
                      <w:rFonts w:ascii="Times New Roman" w:hAnsi="Times New Roman" w:cs="Times New Roman"/>
                      <w:color w:val="auto"/>
                      <w:highlight w:val="none"/>
                    </w:rPr>
                  </w:pPr>
                </w:p>
              </w:tc>
            </w:tr>
            <w:tr w14:paraId="116B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0F166508">
                  <w:pPr>
                    <w:pStyle w:val="28"/>
                    <w:bidi w:val="0"/>
                    <w:rPr>
                      <w:rFonts w:ascii="Times New Roman" w:hAnsi="Times New Roman" w:cs="Times New Roman"/>
                      <w:color w:val="auto"/>
                      <w:highlight w:val="none"/>
                    </w:rPr>
                  </w:pPr>
                  <w:r>
                    <w:rPr>
                      <w:rFonts w:ascii="Times New Roman" w:hAnsi="Times New Roman" w:cs="Times New Roman"/>
                      <w:color w:val="auto"/>
                      <w:highlight w:val="none"/>
                    </w:rPr>
                    <w:t>9</w:t>
                  </w:r>
                </w:p>
              </w:tc>
              <w:tc>
                <w:tcPr>
                  <w:tcW w:w="2140" w:type="dxa"/>
                  <w:noWrap w:val="0"/>
                  <w:vAlign w:val="center"/>
                </w:tcPr>
                <w:p w14:paraId="7A4F803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自卸汽车</w:t>
                  </w:r>
                </w:p>
              </w:tc>
              <w:tc>
                <w:tcPr>
                  <w:tcW w:w="2680" w:type="dxa"/>
                  <w:noWrap w:val="0"/>
                  <w:vAlign w:val="center"/>
                </w:tcPr>
                <w:p w14:paraId="3CB74914">
                  <w:pPr>
                    <w:pStyle w:val="28"/>
                    <w:bidi w:val="0"/>
                    <w:rPr>
                      <w:rFonts w:ascii="Times New Roman" w:hAnsi="Times New Roman" w:cs="Times New Roman"/>
                      <w:color w:val="auto"/>
                      <w:highlight w:val="none"/>
                    </w:rPr>
                  </w:pPr>
                  <w:r>
                    <w:rPr>
                      <w:rFonts w:ascii="Times New Roman" w:hAnsi="Times New Roman" w:cs="Times New Roman"/>
                      <w:color w:val="auto"/>
                      <w:highlight w:val="none"/>
                    </w:rPr>
                    <w:t>15t</w:t>
                  </w:r>
                </w:p>
              </w:tc>
              <w:tc>
                <w:tcPr>
                  <w:tcW w:w="802" w:type="dxa"/>
                  <w:noWrap w:val="0"/>
                  <w:vAlign w:val="center"/>
                </w:tcPr>
                <w:p w14:paraId="3C39839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辆</w:t>
                  </w:r>
                </w:p>
              </w:tc>
              <w:tc>
                <w:tcPr>
                  <w:tcW w:w="935" w:type="dxa"/>
                  <w:noWrap w:val="0"/>
                  <w:vAlign w:val="center"/>
                </w:tcPr>
                <w:p w14:paraId="3F7FC001">
                  <w:pPr>
                    <w:pStyle w:val="28"/>
                    <w:bidi w:val="0"/>
                    <w:rPr>
                      <w:rFonts w:ascii="Times New Roman" w:hAnsi="Times New Roman" w:cs="Times New Roman"/>
                      <w:color w:val="auto"/>
                      <w:highlight w:val="none"/>
                    </w:rPr>
                  </w:pPr>
                  <w:r>
                    <w:rPr>
                      <w:rFonts w:ascii="Times New Roman" w:hAnsi="Times New Roman" w:cs="Times New Roman"/>
                      <w:color w:val="auto"/>
                      <w:highlight w:val="none"/>
                    </w:rPr>
                    <w:t>6</w:t>
                  </w:r>
                </w:p>
              </w:tc>
              <w:tc>
                <w:tcPr>
                  <w:tcW w:w="773" w:type="dxa"/>
                  <w:noWrap w:val="0"/>
                  <w:vAlign w:val="center"/>
                </w:tcPr>
                <w:p w14:paraId="099F1179">
                  <w:pPr>
                    <w:pStyle w:val="28"/>
                    <w:bidi w:val="0"/>
                    <w:rPr>
                      <w:rFonts w:ascii="Times New Roman" w:hAnsi="Times New Roman" w:cs="Times New Roman"/>
                      <w:color w:val="auto"/>
                      <w:highlight w:val="none"/>
                    </w:rPr>
                  </w:pPr>
                </w:p>
              </w:tc>
            </w:tr>
            <w:tr w14:paraId="0E8A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3E50DDB1">
                  <w:pPr>
                    <w:pStyle w:val="28"/>
                    <w:bidi w:val="0"/>
                    <w:rPr>
                      <w:rFonts w:ascii="Times New Roman" w:hAnsi="Times New Roman" w:cs="Times New Roman"/>
                      <w:color w:val="auto"/>
                      <w:highlight w:val="none"/>
                    </w:rPr>
                  </w:pPr>
                  <w:r>
                    <w:rPr>
                      <w:rFonts w:ascii="Times New Roman" w:hAnsi="Times New Roman" w:cs="Times New Roman"/>
                      <w:color w:val="auto"/>
                      <w:highlight w:val="none"/>
                    </w:rPr>
                    <w:t>10</w:t>
                  </w:r>
                </w:p>
              </w:tc>
              <w:tc>
                <w:tcPr>
                  <w:tcW w:w="2140" w:type="dxa"/>
                  <w:noWrap w:val="0"/>
                  <w:vAlign w:val="center"/>
                </w:tcPr>
                <w:p w14:paraId="43D21783">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载重汽车</w:t>
                  </w:r>
                </w:p>
              </w:tc>
              <w:tc>
                <w:tcPr>
                  <w:tcW w:w="2680" w:type="dxa"/>
                  <w:noWrap w:val="0"/>
                  <w:vAlign w:val="center"/>
                </w:tcPr>
                <w:p w14:paraId="3781829F">
                  <w:pPr>
                    <w:pStyle w:val="28"/>
                    <w:bidi w:val="0"/>
                    <w:rPr>
                      <w:rFonts w:ascii="Times New Roman" w:hAnsi="Times New Roman" w:cs="Times New Roman"/>
                      <w:color w:val="auto"/>
                      <w:highlight w:val="none"/>
                    </w:rPr>
                  </w:pPr>
                  <w:r>
                    <w:rPr>
                      <w:rFonts w:ascii="Times New Roman" w:hAnsi="Times New Roman" w:cs="Times New Roman"/>
                      <w:color w:val="auto"/>
                      <w:highlight w:val="none"/>
                    </w:rPr>
                    <w:t>8t</w:t>
                  </w:r>
                </w:p>
              </w:tc>
              <w:tc>
                <w:tcPr>
                  <w:tcW w:w="802" w:type="dxa"/>
                  <w:noWrap w:val="0"/>
                  <w:vAlign w:val="center"/>
                </w:tcPr>
                <w:p w14:paraId="1F500A05">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辆</w:t>
                  </w:r>
                </w:p>
              </w:tc>
              <w:tc>
                <w:tcPr>
                  <w:tcW w:w="935" w:type="dxa"/>
                  <w:noWrap w:val="0"/>
                  <w:vAlign w:val="center"/>
                </w:tcPr>
                <w:p w14:paraId="4F85A122">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07B46E83">
                  <w:pPr>
                    <w:pStyle w:val="28"/>
                    <w:bidi w:val="0"/>
                    <w:rPr>
                      <w:rFonts w:ascii="Times New Roman" w:hAnsi="Times New Roman" w:cs="Times New Roman"/>
                      <w:color w:val="auto"/>
                      <w:highlight w:val="none"/>
                    </w:rPr>
                  </w:pPr>
                </w:p>
              </w:tc>
            </w:tr>
            <w:tr w14:paraId="3365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2FA8646F">
                  <w:pPr>
                    <w:pStyle w:val="28"/>
                    <w:bidi w:val="0"/>
                    <w:rPr>
                      <w:rFonts w:ascii="Times New Roman" w:hAnsi="Times New Roman" w:cs="Times New Roman"/>
                      <w:color w:val="auto"/>
                      <w:highlight w:val="none"/>
                    </w:rPr>
                  </w:pPr>
                  <w:r>
                    <w:rPr>
                      <w:rFonts w:ascii="Times New Roman" w:hAnsi="Times New Roman" w:cs="Times New Roman"/>
                      <w:color w:val="auto"/>
                      <w:highlight w:val="none"/>
                    </w:rPr>
                    <w:t>11</w:t>
                  </w:r>
                </w:p>
              </w:tc>
              <w:tc>
                <w:tcPr>
                  <w:tcW w:w="2140" w:type="dxa"/>
                  <w:noWrap w:val="0"/>
                  <w:vAlign w:val="center"/>
                </w:tcPr>
                <w:p w14:paraId="733355A1">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水车</w:t>
                  </w:r>
                </w:p>
              </w:tc>
              <w:tc>
                <w:tcPr>
                  <w:tcW w:w="2680" w:type="dxa"/>
                  <w:noWrap w:val="0"/>
                  <w:vAlign w:val="center"/>
                </w:tcPr>
                <w:p w14:paraId="38E938A2">
                  <w:pPr>
                    <w:pStyle w:val="28"/>
                    <w:bidi w:val="0"/>
                    <w:rPr>
                      <w:rFonts w:ascii="Times New Roman" w:hAnsi="Times New Roman" w:cs="Times New Roman"/>
                      <w:color w:val="auto"/>
                      <w:highlight w:val="none"/>
                    </w:rPr>
                  </w:pPr>
                  <w:r>
                    <w:rPr>
                      <w:rFonts w:ascii="Times New Roman" w:hAnsi="Times New Roman" w:cs="Times New Roman"/>
                      <w:color w:val="auto"/>
                      <w:highlight w:val="none"/>
                    </w:rPr>
                    <w:t>8m</w:t>
                  </w:r>
                  <w:r>
                    <w:rPr>
                      <w:rFonts w:ascii="Times New Roman" w:hAnsi="Times New Roman" w:cs="Times New Roman"/>
                      <w:color w:val="auto"/>
                      <w:highlight w:val="none"/>
                      <w:vertAlign w:val="superscript"/>
                    </w:rPr>
                    <w:t>3</w:t>
                  </w:r>
                </w:p>
              </w:tc>
              <w:tc>
                <w:tcPr>
                  <w:tcW w:w="802" w:type="dxa"/>
                  <w:noWrap w:val="0"/>
                  <w:vAlign w:val="center"/>
                </w:tcPr>
                <w:p w14:paraId="7668B0E5">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辆</w:t>
                  </w:r>
                </w:p>
              </w:tc>
              <w:tc>
                <w:tcPr>
                  <w:tcW w:w="935" w:type="dxa"/>
                  <w:noWrap w:val="0"/>
                  <w:vAlign w:val="center"/>
                </w:tcPr>
                <w:p w14:paraId="39FD4AE0">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4E3DAE0A">
                  <w:pPr>
                    <w:pStyle w:val="28"/>
                    <w:bidi w:val="0"/>
                    <w:rPr>
                      <w:rFonts w:ascii="Times New Roman" w:hAnsi="Times New Roman" w:cs="Times New Roman"/>
                      <w:color w:val="auto"/>
                      <w:highlight w:val="none"/>
                    </w:rPr>
                  </w:pPr>
                </w:p>
              </w:tc>
            </w:tr>
            <w:tr w14:paraId="0EF7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27AA43C5">
                  <w:pPr>
                    <w:pStyle w:val="28"/>
                    <w:bidi w:val="0"/>
                    <w:rPr>
                      <w:rFonts w:ascii="Times New Roman" w:hAnsi="Times New Roman" w:cs="Times New Roman"/>
                      <w:color w:val="auto"/>
                      <w:highlight w:val="none"/>
                    </w:rPr>
                  </w:pPr>
                  <w:r>
                    <w:rPr>
                      <w:rFonts w:ascii="Times New Roman" w:hAnsi="Times New Roman" w:cs="Times New Roman"/>
                      <w:color w:val="auto"/>
                      <w:highlight w:val="none"/>
                    </w:rPr>
                    <w:t>12</w:t>
                  </w:r>
                </w:p>
              </w:tc>
              <w:tc>
                <w:tcPr>
                  <w:tcW w:w="2140" w:type="dxa"/>
                  <w:noWrap w:val="0"/>
                  <w:vAlign w:val="center"/>
                </w:tcPr>
                <w:p w14:paraId="79A88C65">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洒水车</w:t>
                  </w:r>
                </w:p>
              </w:tc>
              <w:tc>
                <w:tcPr>
                  <w:tcW w:w="2680" w:type="dxa"/>
                  <w:noWrap w:val="0"/>
                  <w:vAlign w:val="center"/>
                </w:tcPr>
                <w:p w14:paraId="269E33CD">
                  <w:pPr>
                    <w:pStyle w:val="28"/>
                    <w:bidi w:val="0"/>
                    <w:rPr>
                      <w:rFonts w:ascii="Times New Roman" w:hAnsi="Times New Roman" w:cs="Times New Roman"/>
                      <w:color w:val="auto"/>
                      <w:highlight w:val="none"/>
                    </w:rPr>
                  </w:pPr>
                  <w:r>
                    <w:rPr>
                      <w:rFonts w:ascii="Times New Roman" w:hAnsi="Times New Roman" w:cs="Times New Roman"/>
                      <w:color w:val="auto"/>
                      <w:highlight w:val="none"/>
                    </w:rPr>
                    <w:t>5t</w:t>
                  </w:r>
                </w:p>
              </w:tc>
              <w:tc>
                <w:tcPr>
                  <w:tcW w:w="802" w:type="dxa"/>
                  <w:noWrap w:val="0"/>
                  <w:vAlign w:val="center"/>
                </w:tcPr>
                <w:p w14:paraId="69DCF1C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辆</w:t>
                  </w:r>
                </w:p>
              </w:tc>
              <w:tc>
                <w:tcPr>
                  <w:tcW w:w="935" w:type="dxa"/>
                  <w:noWrap w:val="0"/>
                  <w:vAlign w:val="center"/>
                </w:tcPr>
                <w:p w14:paraId="50290799">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06F22F56">
                  <w:pPr>
                    <w:pStyle w:val="28"/>
                    <w:bidi w:val="0"/>
                    <w:rPr>
                      <w:rFonts w:ascii="Times New Roman" w:hAnsi="Times New Roman" w:cs="Times New Roman"/>
                      <w:color w:val="auto"/>
                      <w:highlight w:val="none"/>
                    </w:rPr>
                  </w:pPr>
                </w:p>
              </w:tc>
            </w:tr>
            <w:tr w14:paraId="2620F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55CCA48C">
                  <w:pPr>
                    <w:pStyle w:val="28"/>
                    <w:bidi w:val="0"/>
                    <w:rPr>
                      <w:rFonts w:ascii="Times New Roman" w:hAnsi="Times New Roman" w:cs="Times New Roman"/>
                      <w:color w:val="auto"/>
                      <w:highlight w:val="none"/>
                    </w:rPr>
                  </w:pPr>
                  <w:r>
                    <w:rPr>
                      <w:rFonts w:ascii="Times New Roman" w:hAnsi="Times New Roman" w:cs="Times New Roman"/>
                      <w:color w:val="auto"/>
                      <w:highlight w:val="none"/>
                    </w:rPr>
                    <w:t>13</w:t>
                  </w:r>
                </w:p>
              </w:tc>
              <w:tc>
                <w:tcPr>
                  <w:tcW w:w="2140" w:type="dxa"/>
                  <w:noWrap w:val="0"/>
                  <w:vAlign w:val="center"/>
                </w:tcPr>
                <w:p w14:paraId="6AB39748">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牵引车</w:t>
                  </w:r>
                </w:p>
              </w:tc>
              <w:tc>
                <w:tcPr>
                  <w:tcW w:w="2680" w:type="dxa"/>
                  <w:noWrap w:val="0"/>
                  <w:vAlign w:val="center"/>
                </w:tcPr>
                <w:p w14:paraId="648AAF13">
                  <w:pPr>
                    <w:pStyle w:val="28"/>
                    <w:bidi w:val="0"/>
                    <w:rPr>
                      <w:rFonts w:ascii="Times New Roman" w:hAnsi="Times New Roman" w:cs="Times New Roman"/>
                      <w:color w:val="auto"/>
                      <w:highlight w:val="none"/>
                    </w:rPr>
                  </w:pPr>
                  <w:r>
                    <w:rPr>
                      <w:rFonts w:ascii="Times New Roman" w:hAnsi="Times New Roman" w:cs="Times New Roman"/>
                      <w:color w:val="auto"/>
                      <w:highlight w:val="none"/>
                    </w:rPr>
                    <w:t>BJ2453MFJB-S4/</w:t>
                  </w:r>
                  <w:r>
                    <w:rPr>
                      <w:rFonts w:hint="default" w:ascii="Times New Roman" w:hAnsi="Times New Roman" w:cs="Times New Roman"/>
                      <w:color w:val="auto"/>
                      <w:highlight w:val="none"/>
                    </w:rPr>
                    <w:t>德龙</w:t>
                  </w:r>
                  <w:r>
                    <w:rPr>
                      <w:rFonts w:ascii="Times New Roman" w:hAnsi="Times New Roman" w:cs="Times New Roman"/>
                      <w:color w:val="auto"/>
                      <w:highlight w:val="none"/>
                    </w:rPr>
                    <w:t>480</w:t>
                  </w:r>
                  <w:r>
                    <w:rPr>
                      <w:rFonts w:hint="default" w:ascii="Times New Roman" w:hAnsi="Times New Roman" w:cs="Times New Roman"/>
                      <w:color w:val="auto"/>
                      <w:highlight w:val="none"/>
                    </w:rPr>
                    <w:t>型</w:t>
                  </w:r>
                </w:p>
              </w:tc>
              <w:tc>
                <w:tcPr>
                  <w:tcW w:w="802" w:type="dxa"/>
                  <w:noWrap w:val="0"/>
                  <w:vAlign w:val="center"/>
                </w:tcPr>
                <w:p w14:paraId="4739FAE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套</w:t>
                  </w:r>
                </w:p>
              </w:tc>
              <w:tc>
                <w:tcPr>
                  <w:tcW w:w="935" w:type="dxa"/>
                  <w:noWrap w:val="0"/>
                  <w:vAlign w:val="center"/>
                </w:tcPr>
                <w:p w14:paraId="3B5CA41A">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6527D109">
                  <w:pPr>
                    <w:pStyle w:val="28"/>
                    <w:bidi w:val="0"/>
                    <w:rPr>
                      <w:rFonts w:ascii="Times New Roman" w:hAnsi="Times New Roman" w:cs="Times New Roman"/>
                      <w:color w:val="auto"/>
                      <w:highlight w:val="none"/>
                    </w:rPr>
                  </w:pPr>
                </w:p>
              </w:tc>
            </w:tr>
            <w:tr w14:paraId="7A54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24055359">
                  <w:pPr>
                    <w:pStyle w:val="28"/>
                    <w:bidi w:val="0"/>
                    <w:rPr>
                      <w:rFonts w:ascii="Times New Roman" w:hAnsi="Times New Roman" w:cs="Times New Roman"/>
                      <w:color w:val="auto"/>
                      <w:highlight w:val="none"/>
                    </w:rPr>
                  </w:pPr>
                  <w:r>
                    <w:rPr>
                      <w:rFonts w:ascii="Times New Roman" w:hAnsi="Times New Roman" w:cs="Times New Roman"/>
                      <w:color w:val="auto"/>
                      <w:highlight w:val="none"/>
                    </w:rPr>
                    <w:t>14</w:t>
                  </w:r>
                </w:p>
              </w:tc>
              <w:tc>
                <w:tcPr>
                  <w:tcW w:w="2140" w:type="dxa"/>
                  <w:noWrap w:val="0"/>
                  <w:vAlign w:val="center"/>
                </w:tcPr>
                <w:p w14:paraId="4A568B84">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挂车</w:t>
                  </w:r>
                </w:p>
              </w:tc>
              <w:tc>
                <w:tcPr>
                  <w:tcW w:w="2680" w:type="dxa"/>
                  <w:noWrap w:val="0"/>
                  <w:vAlign w:val="center"/>
                </w:tcPr>
                <w:p w14:paraId="36BAF4E1">
                  <w:pPr>
                    <w:pStyle w:val="28"/>
                    <w:bidi w:val="0"/>
                    <w:rPr>
                      <w:rFonts w:ascii="Times New Roman" w:hAnsi="Times New Roman" w:cs="Times New Roman"/>
                      <w:color w:val="auto"/>
                      <w:highlight w:val="none"/>
                    </w:rPr>
                  </w:pPr>
                  <w:r>
                    <w:rPr>
                      <w:rFonts w:ascii="Times New Roman" w:hAnsi="Times New Roman" w:cs="Times New Roman"/>
                      <w:color w:val="auto"/>
                      <w:highlight w:val="none"/>
                    </w:rPr>
                    <w:t>THT9360</w:t>
                  </w:r>
                  <w:r>
                    <w:rPr>
                      <w:rFonts w:hint="default" w:ascii="Times New Roman" w:hAnsi="Times New Roman" w:cs="Times New Roman"/>
                      <w:color w:val="auto"/>
                      <w:highlight w:val="none"/>
                    </w:rPr>
                    <w:t>平板车</w:t>
                  </w:r>
                </w:p>
              </w:tc>
              <w:tc>
                <w:tcPr>
                  <w:tcW w:w="802" w:type="dxa"/>
                  <w:noWrap w:val="0"/>
                  <w:vAlign w:val="center"/>
                </w:tcPr>
                <w:p w14:paraId="566F29EF">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套</w:t>
                  </w:r>
                </w:p>
              </w:tc>
              <w:tc>
                <w:tcPr>
                  <w:tcW w:w="935" w:type="dxa"/>
                  <w:noWrap w:val="0"/>
                  <w:vAlign w:val="center"/>
                </w:tcPr>
                <w:p w14:paraId="01F0878C">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5F43FF23">
                  <w:pPr>
                    <w:pStyle w:val="28"/>
                    <w:bidi w:val="0"/>
                    <w:rPr>
                      <w:rFonts w:ascii="Times New Roman" w:hAnsi="Times New Roman" w:cs="Times New Roman"/>
                      <w:color w:val="auto"/>
                      <w:highlight w:val="none"/>
                    </w:rPr>
                  </w:pPr>
                </w:p>
              </w:tc>
            </w:tr>
            <w:tr w14:paraId="22E7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2F645FCE">
                  <w:pPr>
                    <w:pStyle w:val="28"/>
                    <w:bidi w:val="0"/>
                    <w:rPr>
                      <w:rFonts w:ascii="Times New Roman" w:hAnsi="Times New Roman" w:cs="Times New Roman"/>
                      <w:color w:val="auto"/>
                      <w:highlight w:val="none"/>
                    </w:rPr>
                  </w:pPr>
                  <w:r>
                    <w:rPr>
                      <w:rFonts w:ascii="Times New Roman" w:hAnsi="Times New Roman" w:cs="Times New Roman"/>
                      <w:color w:val="auto"/>
                      <w:highlight w:val="none"/>
                    </w:rPr>
                    <w:t>15</w:t>
                  </w:r>
                </w:p>
              </w:tc>
              <w:tc>
                <w:tcPr>
                  <w:tcW w:w="2140" w:type="dxa"/>
                  <w:noWrap w:val="0"/>
                  <w:vAlign w:val="center"/>
                </w:tcPr>
                <w:p w14:paraId="35735ABD">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柴油发电机</w:t>
                  </w:r>
                </w:p>
              </w:tc>
              <w:tc>
                <w:tcPr>
                  <w:tcW w:w="2680" w:type="dxa"/>
                  <w:noWrap w:val="0"/>
                  <w:vAlign w:val="center"/>
                </w:tcPr>
                <w:p w14:paraId="32BC7C7E">
                  <w:pPr>
                    <w:pStyle w:val="28"/>
                    <w:bidi w:val="0"/>
                    <w:rPr>
                      <w:rFonts w:ascii="Times New Roman" w:hAnsi="Times New Roman" w:cs="Times New Roman"/>
                      <w:color w:val="auto"/>
                      <w:highlight w:val="none"/>
                    </w:rPr>
                  </w:pPr>
                  <w:r>
                    <w:rPr>
                      <w:rFonts w:ascii="Times New Roman" w:hAnsi="Times New Roman" w:cs="Times New Roman"/>
                      <w:color w:val="auto"/>
                      <w:highlight w:val="none"/>
                    </w:rPr>
                    <w:t>50kW</w:t>
                  </w:r>
                </w:p>
              </w:tc>
              <w:tc>
                <w:tcPr>
                  <w:tcW w:w="802" w:type="dxa"/>
                  <w:noWrap w:val="0"/>
                  <w:vAlign w:val="center"/>
                </w:tcPr>
                <w:p w14:paraId="481AFE3D">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5231558D">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6304EDBA">
                  <w:pPr>
                    <w:pStyle w:val="28"/>
                    <w:bidi w:val="0"/>
                    <w:rPr>
                      <w:rFonts w:ascii="Times New Roman" w:hAnsi="Times New Roman" w:cs="Times New Roman"/>
                      <w:color w:val="auto"/>
                      <w:highlight w:val="none"/>
                    </w:rPr>
                  </w:pPr>
                </w:p>
              </w:tc>
            </w:tr>
            <w:tr w14:paraId="3AB53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5241F49C">
                  <w:pPr>
                    <w:pStyle w:val="28"/>
                    <w:bidi w:val="0"/>
                    <w:rPr>
                      <w:rFonts w:ascii="Times New Roman" w:hAnsi="Times New Roman" w:cs="Times New Roman"/>
                      <w:color w:val="auto"/>
                      <w:highlight w:val="none"/>
                    </w:rPr>
                  </w:pPr>
                  <w:r>
                    <w:rPr>
                      <w:rFonts w:ascii="Times New Roman" w:hAnsi="Times New Roman" w:cs="Times New Roman"/>
                      <w:color w:val="auto"/>
                      <w:highlight w:val="none"/>
                    </w:rPr>
                    <w:t>16</w:t>
                  </w:r>
                </w:p>
              </w:tc>
              <w:tc>
                <w:tcPr>
                  <w:tcW w:w="2140" w:type="dxa"/>
                  <w:noWrap w:val="0"/>
                  <w:vAlign w:val="center"/>
                </w:tcPr>
                <w:p w14:paraId="6CABFC6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柴油发电机</w:t>
                  </w:r>
                </w:p>
              </w:tc>
              <w:tc>
                <w:tcPr>
                  <w:tcW w:w="2680" w:type="dxa"/>
                  <w:noWrap w:val="0"/>
                  <w:vAlign w:val="center"/>
                </w:tcPr>
                <w:p w14:paraId="0E1F345A">
                  <w:pPr>
                    <w:pStyle w:val="28"/>
                    <w:bidi w:val="0"/>
                    <w:rPr>
                      <w:rFonts w:ascii="Times New Roman" w:hAnsi="Times New Roman" w:cs="Times New Roman"/>
                      <w:color w:val="auto"/>
                      <w:highlight w:val="none"/>
                    </w:rPr>
                  </w:pPr>
                  <w:r>
                    <w:rPr>
                      <w:rFonts w:ascii="Times New Roman" w:hAnsi="Times New Roman" w:cs="Times New Roman"/>
                      <w:color w:val="auto"/>
                      <w:highlight w:val="none"/>
                    </w:rPr>
                    <w:t>35kW</w:t>
                  </w:r>
                </w:p>
              </w:tc>
              <w:tc>
                <w:tcPr>
                  <w:tcW w:w="802" w:type="dxa"/>
                  <w:noWrap w:val="0"/>
                  <w:vAlign w:val="center"/>
                </w:tcPr>
                <w:p w14:paraId="50E3C22F">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727E6685">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4AC18993">
                  <w:pPr>
                    <w:pStyle w:val="28"/>
                    <w:bidi w:val="0"/>
                    <w:rPr>
                      <w:rFonts w:ascii="Times New Roman" w:hAnsi="Times New Roman" w:cs="Times New Roman"/>
                      <w:color w:val="auto"/>
                      <w:highlight w:val="none"/>
                    </w:rPr>
                  </w:pPr>
                </w:p>
              </w:tc>
            </w:tr>
            <w:tr w14:paraId="55BE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30BF157A">
                  <w:pPr>
                    <w:pStyle w:val="28"/>
                    <w:bidi w:val="0"/>
                    <w:rPr>
                      <w:rFonts w:ascii="Times New Roman" w:hAnsi="Times New Roman" w:cs="Times New Roman"/>
                      <w:color w:val="auto"/>
                      <w:highlight w:val="none"/>
                    </w:rPr>
                  </w:pPr>
                  <w:r>
                    <w:rPr>
                      <w:rFonts w:ascii="Times New Roman" w:hAnsi="Times New Roman" w:cs="Times New Roman"/>
                      <w:color w:val="auto"/>
                      <w:highlight w:val="none"/>
                    </w:rPr>
                    <w:t>17</w:t>
                  </w:r>
                </w:p>
              </w:tc>
              <w:tc>
                <w:tcPr>
                  <w:tcW w:w="2140" w:type="dxa"/>
                  <w:noWrap w:val="0"/>
                  <w:vAlign w:val="center"/>
                </w:tcPr>
                <w:p w14:paraId="04029B28">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混凝土搅拌车</w:t>
                  </w:r>
                </w:p>
              </w:tc>
              <w:tc>
                <w:tcPr>
                  <w:tcW w:w="2680" w:type="dxa"/>
                  <w:noWrap w:val="0"/>
                  <w:vAlign w:val="center"/>
                </w:tcPr>
                <w:p w14:paraId="662ED50D">
                  <w:pPr>
                    <w:pStyle w:val="28"/>
                    <w:bidi w:val="0"/>
                    <w:rPr>
                      <w:rFonts w:ascii="Times New Roman" w:hAnsi="Times New Roman" w:cs="Times New Roman"/>
                      <w:color w:val="auto"/>
                      <w:highlight w:val="none"/>
                    </w:rPr>
                  </w:pPr>
                  <w:r>
                    <w:rPr>
                      <w:rFonts w:ascii="Times New Roman" w:hAnsi="Times New Roman" w:cs="Times New Roman"/>
                      <w:color w:val="auto"/>
                      <w:highlight w:val="none"/>
                    </w:rPr>
                    <w:t>10m</w:t>
                  </w:r>
                  <w:r>
                    <w:rPr>
                      <w:rFonts w:ascii="Times New Roman" w:hAnsi="Times New Roman" w:cs="Times New Roman"/>
                      <w:color w:val="auto"/>
                      <w:highlight w:val="none"/>
                      <w:vertAlign w:val="superscript"/>
                    </w:rPr>
                    <w:t>3</w:t>
                  </w:r>
                </w:p>
              </w:tc>
              <w:tc>
                <w:tcPr>
                  <w:tcW w:w="802" w:type="dxa"/>
                  <w:noWrap w:val="0"/>
                  <w:vAlign w:val="center"/>
                </w:tcPr>
                <w:p w14:paraId="2581C845">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辆</w:t>
                  </w:r>
                </w:p>
              </w:tc>
              <w:tc>
                <w:tcPr>
                  <w:tcW w:w="935" w:type="dxa"/>
                  <w:noWrap w:val="0"/>
                  <w:vAlign w:val="center"/>
                </w:tcPr>
                <w:p w14:paraId="14CFF6A7">
                  <w:pPr>
                    <w:pStyle w:val="28"/>
                    <w:bidi w:val="0"/>
                    <w:rPr>
                      <w:rFonts w:ascii="Times New Roman" w:hAnsi="Times New Roman" w:cs="Times New Roman"/>
                      <w:color w:val="auto"/>
                      <w:highlight w:val="none"/>
                    </w:rPr>
                  </w:pPr>
                  <w:r>
                    <w:rPr>
                      <w:rFonts w:ascii="Times New Roman" w:hAnsi="Times New Roman" w:cs="Times New Roman"/>
                      <w:color w:val="auto"/>
                      <w:highlight w:val="none"/>
                    </w:rPr>
                    <w:t>12</w:t>
                  </w:r>
                </w:p>
              </w:tc>
              <w:tc>
                <w:tcPr>
                  <w:tcW w:w="773" w:type="dxa"/>
                  <w:noWrap w:val="0"/>
                  <w:vAlign w:val="center"/>
                </w:tcPr>
                <w:p w14:paraId="55602692">
                  <w:pPr>
                    <w:pStyle w:val="28"/>
                    <w:bidi w:val="0"/>
                    <w:rPr>
                      <w:rFonts w:ascii="Times New Roman" w:hAnsi="Times New Roman" w:cs="Times New Roman"/>
                      <w:color w:val="auto"/>
                      <w:highlight w:val="none"/>
                    </w:rPr>
                  </w:pPr>
                </w:p>
              </w:tc>
            </w:tr>
            <w:tr w14:paraId="4A46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7027F405">
                  <w:pPr>
                    <w:pStyle w:val="28"/>
                    <w:bidi w:val="0"/>
                    <w:rPr>
                      <w:rFonts w:ascii="Times New Roman" w:hAnsi="Times New Roman" w:cs="Times New Roman"/>
                      <w:color w:val="auto"/>
                      <w:highlight w:val="none"/>
                    </w:rPr>
                  </w:pPr>
                  <w:r>
                    <w:rPr>
                      <w:rFonts w:ascii="Times New Roman" w:hAnsi="Times New Roman" w:cs="Times New Roman"/>
                      <w:color w:val="auto"/>
                      <w:highlight w:val="none"/>
                    </w:rPr>
                    <w:t>18</w:t>
                  </w:r>
                </w:p>
              </w:tc>
              <w:tc>
                <w:tcPr>
                  <w:tcW w:w="2140" w:type="dxa"/>
                  <w:noWrap w:val="0"/>
                  <w:vAlign w:val="center"/>
                </w:tcPr>
                <w:p w14:paraId="1B2727EE">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砼输送泵车</w:t>
                  </w:r>
                </w:p>
              </w:tc>
              <w:tc>
                <w:tcPr>
                  <w:tcW w:w="2680" w:type="dxa"/>
                  <w:noWrap w:val="0"/>
                  <w:vAlign w:val="center"/>
                </w:tcPr>
                <w:p w14:paraId="22D3B1FB">
                  <w:pPr>
                    <w:pStyle w:val="28"/>
                    <w:bidi w:val="0"/>
                    <w:rPr>
                      <w:rFonts w:ascii="Times New Roman" w:hAnsi="Times New Roman" w:cs="Times New Roman"/>
                      <w:color w:val="auto"/>
                      <w:highlight w:val="none"/>
                    </w:rPr>
                  </w:pPr>
                </w:p>
              </w:tc>
              <w:tc>
                <w:tcPr>
                  <w:tcW w:w="802" w:type="dxa"/>
                  <w:noWrap w:val="0"/>
                  <w:vAlign w:val="center"/>
                </w:tcPr>
                <w:p w14:paraId="2F100686">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7399BD36">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5F430DB1">
                  <w:pPr>
                    <w:pStyle w:val="28"/>
                    <w:bidi w:val="0"/>
                    <w:rPr>
                      <w:rFonts w:ascii="Times New Roman" w:hAnsi="Times New Roman" w:cs="Times New Roman"/>
                      <w:color w:val="auto"/>
                      <w:highlight w:val="none"/>
                    </w:rPr>
                  </w:pPr>
                </w:p>
              </w:tc>
            </w:tr>
            <w:tr w14:paraId="27DF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1" w:hRule="atLeast"/>
                <w:jc w:val="center"/>
              </w:trPr>
              <w:tc>
                <w:tcPr>
                  <w:tcW w:w="927" w:type="dxa"/>
                  <w:noWrap w:val="0"/>
                  <w:vAlign w:val="center"/>
                </w:tcPr>
                <w:p w14:paraId="3FD1CF45">
                  <w:pPr>
                    <w:pStyle w:val="28"/>
                    <w:bidi w:val="0"/>
                    <w:rPr>
                      <w:rFonts w:ascii="Times New Roman" w:hAnsi="Times New Roman" w:cs="Times New Roman"/>
                      <w:color w:val="auto"/>
                      <w:highlight w:val="none"/>
                    </w:rPr>
                  </w:pPr>
                  <w:r>
                    <w:rPr>
                      <w:rFonts w:ascii="Times New Roman" w:hAnsi="Times New Roman" w:cs="Times New Roman"/>
                      <w:color w:val="auto"/>
                      <w:highlight w:val="none"/>
                    </w:rPr>
                    <w:t>19</w:t>
                  </w:r>
                </w:p>
              </w:tc>
              <w:tc>
                <w:tcPr>
                  <w:tcW w:w="2140" w:type="dxa"/>
                  <w:noWrap w:val="0"/>
                  <w:vAlign w:val="center"/>
                </w:tcPr>
                <w:p w14:paraId="3CEA4A8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手扶式振动碾</w:t>
                  </w:r>
                </w:p>
              </w:tc>
              <w:tc>
                <w:tcPr>
                  <w:tcW w:w="2680" w:type="dxa"/>
                  <w:noWrap w:val="0"/>
                  <w:vAlign w:val="center"/>
                </w:tcPr>
                <w:p w14:paraId="072E712D">
                  <w:pPr>
                    <w:pStyle w:val="28"/>
                    <w:bidi w:val="0"/>
                    <w:rPr>
                      <w:rFonts w:ascii="Times New Roman" w:hAnsi="Times New Roman" w:cs="Times New Roman"/>
                      <w:color w:val="auto"/>
                      <w:highlight w:val="none"/>
                    </w:rPr>
                  </w:pPr>
                  <w:r>
                    <w:rPr>
                      <w:rFonts w:ascii="Times New Roman" w:hAnsi="Times New Roman" w:cs="Times New Roman"/>
                      <w:color w:val="auto"/>
                      <w:highlight w:val="none"/>
                    </w:rPr>
                    <w:t>1t</w:t>
                  </w:r>
                </w:p>
              </w:tc>
              <w:tc>
                <w:tcPr>
                  <w:tcW w:w="802" w:type="dxa"/>
                  <w:noWrap w:val="0"/>
                  <w:vAlign w:val="center"/>
                </w:tcPr>
                <w:p w14:paraId="5B8421F9">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7A7A920F">
                  <w:pPr>
                    <w:pStyle w:val="28"/>
                    <w:bidi w:val="0"/>
                    <w:rPr>
                      <w:rFonts w:ascii="Times New Roman" w:hAnsi="Times New Roman" w:cs="Times New Roman"/>
                      <w:color w:val="auto"/>
                      <w:highlight w:val="none"/>
                    </w:rPr>
                  </w:pPr>
                  <w:r>
                    <w:rPr>
                      <w:rFonts w:ascii="Times New Roman" w:hAnsi="Times New Roman" w:cs="Times New Roman"/>
                      <w:color w:val="auto"/>
                      <w:highlight w:val="none"/>
                    </w:rPr>
                    <w:t>2</w:t>
                  </w:r>
                </w:p>
              </w:tc>
              <w:tc>
                <w:tcPr>
                  <w:tcW w:w="773" w:type="dxa"/>
                  <w:noWrap w:val="0"/>
                  <w:vAlign w:val="center"/>
                </w:tcPr>
                <w:p w14:paraId="40DFAA8F">
                  <w:pPr>
                    <w:pStyle w:val="28"/>
                    <w:bidi w:val="0"/>
                    <w:rPr>
                      <w:rFonts w:ascii="Times New Roman" w:hAnsi="Times New Roman" w:cs="Times New Roman"/>
                      <w:color w:val="auto"/>
                      <w:highlight w:val="none"/>
                    </w:rPr>
                  </w:pPr>
                </w:p>
              </w:tc>
            </w:tr>
            <w:tr w14:paraId="2252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927" w:type="dxa"/>
                  <w:noWrap w:val="0"/>
                  <w:vAlign w:val="center"/>
                </w:tcPr>
                <w:p w14:paraId="6EA0D309">
                  <w:pPr>
                    <w:pStyle w:val="28"/>
                    <w:bidi w:val="0"/>
                    <w:rPr>
                      <w:rFonts w:ascii="Times New Roman" w:hAnsi="Times New Roman" w:cs="Times New Roman"/>
                      <w:color w:val="auto"/>
                      <w:highlight w:val="none"/>
                    </w:rPr>
                  </w:pPr>
                  <w:r>
                    <w:rPr>
                      <w:rFonts w:ascii="Times New Roman" w:hAnsi="Times New Roman" w:cs="Times New Roman"/>
                      <w:color w:val="auto"/>
                      <w:highlight w:val="none"/>
                    </w:rPr>
                    <w:t>20</w:t>
                  </w:r>
                </w:p>
              </w:tc>
              <w:tc>
                <w:tcPr>
                  <w:tcW w:w="2140" w:type="dxa"/>
                  <w:noWrap w:val="0"/>
                  <w:vAlign w:val="center"/>
                </w:tcPr>
                <w:p w14:paraId="255898E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柴油桩锤</w:t>
                  </w:r>
                </w:p>
              </w:tc>
              <w:tc>
                <w:tcPr>
                  <w:tcW w:w="2680" w:type="dxa"/>
                  <w:noWrap w:val="0"/>
                  <w:vAlign w:val="center"/>
                </w:tcPr>
                <w:p w14:paraId="189E147B">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D80</w:t>
                  </w:r>
                </w:p>
              </w:tc>
              <w:tc>
                <w:tcPr>
                  <w:tcW w:w="802" w:type="dxa"/>
                  <w:noWrap w:val="0"/>
                  <w:vAlign w:val="center"/>
                </w:tcPr>
                <w:p w14:paraId="0A8D03FC">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393F56DE">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2</w:t>
                  </w:r>
                </w:p>
              </w:tc>
              <w:tc>
                <w:tcPr>
                  <w:tcW w:w="773" w:type="dxa"/>
                  <w:noWrap w:val="0"/>
                  <w:vAlign w:val="center"/>
                </w:tcPr>
                <w:p w14:paraId="02F955BE">
                  <w:pPr>
                    <w:pStyle w:val="28"/>
                    <w:bidi w:val="0"/>
                    <w:rPr>
                      <w:rFonts w:ascii="Times New Roman" w:hAnsi="Times New Roman" w:cs="Times New Roman"/>
                      <w:color w:val="auto"/>
                      <w:highlight w:val="none"/>
                    </w:rPr>
                  </w:pPr>
                </w:p>
              </w:tc>
            </w:tr>
            <w:tr w14:paraId="0C533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927" w:type="dxa"/>
                  <w:noWrap w:val="0"/>
                  <w:vAlign w:val="center"/>
                </w:tcPr>
                <w:p w14:paraId="0206FEE5">
                  <w:pPr>
                    <w:pStyle w:val="28"/>
                    <w:bidi w:val="0"/>
                    <w:rPr>
                      <w:rFonts w:ascii="Times New Roman" w:hAnsi="Times New Roman" w:cs="Times New Roman"/>
                      <w:color w:val="auto"/>
                      <w:highlight w:val="none"/>
                    </w:rPr>
                  </w:pPr>
                  <w:r>
                    <w:rPr>
                      <w:rFonts w:ascii="Times New Roman" w:hAnsi="Times New Roman" w:cs="Times New Roman"/>
                      <w:color w:val="auto"/>
                      <w:highlight w:val="none"/>
                    </w:rPr>
                    <w:t>21</w:t>
                  </w:r>
                </w:p>
              </w:tc>
              <w:tc>
                <w:tcPr>
                  <w:tcW w:w="2140" w:type="dxa"/>
                  <w:noWrap w:val="0"/>
                  <w:vAlign w:val="center"/>
                </w:tcPr>
                <w:p w14:paraId="7704F10A">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高压离心泵</w:t>
                  </w:r>
                </w:p>
              </w:tc>
              <w:tc>
                <w:tcPr>
                  <w:tcW w:w="2680" w:type="dxa"/>
                  <w:noWrap w:val="0"/>
                  <w:vAlign w:val="center"/>
                </w:tcPr>
                <w:p w14:paraId="539B4352">
                  <w:pPr>
                    <w:pStyle w:val="28"/>
                    <w:bidi w:val="0"/>
                    <w:rPr>
                      <w:rFonts w:ascii="Times New Roman" w:hAnsi="Times New Roman" w:cs="Times New Roman"/>
                      <w:color w:val="auto"/>
                      <w:highlight w:val="none"/>
                    </w:rPr>
                  </w:pPr>
                  <w:r>
                    <w:rPr>
                      <w:rFonts w:ascii="Times New Roman" w:hAnsi="Times New Roman" w:cs="Times New Roman"/>
                      <w:color w:val="auto"/>
                      <w:highlight w:val="none"/>
                    </w:rPr>
                    <w:t>100TSW-7</w:t>
                  </w:r>
                </w:p>
              </w:tc>
              <w:tc>
                <w:tcPr>
                  <w:tcW w:w="802" w:type="dxa"/>
                  <w:noWrap w:val="0"/>
                  <w:vAlign w:val="center"/>
                </w:tcPr>
                <w:p w14:paraId="0FB63CCC">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台</w:t>
                  </w:r>
                </w:p>
              </w:tc>
              <w:tc>
                <w:tcPr>
                  <w:tcW w:w="935" w:type="dxa"/>
                  <w:noWrap w:val="0"/>
                  <w:vAlign w:val="center"/>
                </w:tcPr>
                <w:p w14:paraId="39ABBF36">
                  <w:pPr>
                    <w:pStyle w:val="28"/>
                    <w:bidi w:val="0"/>
                    <w:rPr>
                      <w:rFonts w:ascii="Times New Roman" w:hAnsi="Times New Roman" w:cs="Times New Roman"/>
                      <w:color w:val="auto"/>
                      <w:highlight w:val="none"/>
                    </w:rPr>
                  </w:pPr>
                  <w:r>
                    <w:rPr>
                      <w:rFonts w:hint="default" w:ascii="Times New Roman" w:hAnsi="Times New Roman" w:cs="Times New Roman"/>
                      <w:color w:val="auto"/>
                      <w:highlight w:val="none"/>
                    </w:rPr>
                    <w:t>10</w:t>
                  </w:r>
                </w:p>
              </w:tc>
              <w:tc>
                <w:tcPr>
                  <w:tcW w:w="773" w:type="dxa"/>
                  <w:noWrap w:val="0"/>
                  <w:vAlign w:val="center"/>
                </w:tcPr>
                <w:p w14:paraId="008D6285">
                  <w:pPr>
                    <w:pStyle w:val="28"/>
                    <w:bidi w:val="0"/>
                    <w:rPr>
                      <w:rFonts w:ascii="Times New Roman" w:hAnsi="Times New Roman" w:cs="Times New Roman"/>
                      <w:color w:val="auto"/>
                      <w:highlight w:val="none"/>
                    </w:rPr>
                  </w:pPr>
                </w:p>
              </w:tc>
            </w:tr>
          </w:tbl>
          <w:p w14:paraId="7E7EAB3F">
            <w:pPr>
              <w:bidi w:val="0"/>
              <w:rPr>
                <w:rFonts w:ascii="Times New Roman" w:hAnsi="Times New Roman" w:cs="Times New Roman"/>
                <w:color w:val="auto"/>
                <w:highlight w:val="none"/>
              </w:rPr>
            </w:pPr>
          </w:p>
        </w:tc>
      </w:tr>
      <w:tr w14:paraId="6D376A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10" w:type="dxa"/>
            <w:noWrap w:val="0"/>
            <w:vAlign w:val="center"/>
          </w:tcPr>
          <w:p w14:paraId="315AF77A">
            <w:pPr>
              <w:adjustRightInd w:val="0"/>
              <w:snapToGrid w:val="0"/>
              <w:ind w:left="0" w:leftChars="0" w:firstLine="0" w:firstLineChars="0"/>
              <w:jc w:val="both"/>
              <w:rPr>
                <w:rFonts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其他</w:t>
            </w:r>
          </w:p>
        </w:tc>
        <w:tc>
          <w:tcPr>
            <w:tcW w:w="8349" w:type="dxa"/>
            <w:noWrap w:val="0"/>
            <w:vAlign w:val="bottom"/>
          </w:tcPr>
          <w:p w14:paraId="08769153">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一、依托工程情况</w:t>
            </w:r>
          </w:p>
          <w:p w14:paraId="3CD75B5F">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本项目可依托的现有工程及设施主要包括：</w:t>
            </w:r>
          </w:p>
          <w:p w14:paraId="79C72367">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公共交通设施：项目附近有G56杭瑞高速等过境道路，对外交通便利，依托现有路网满足项目建设及运营期的交通运输需求。</w:t>
            </w:r>
          </w:p>
          <w:p w14:paraId="4139C239">
            <w:pPr>
              <w:spacing w:line="360" w:lineRule="auto"/>
              <w:ind w:firstLine="472" w:firstLineChars="200"/>
              <w:rPr>
                <w:rFonts w:hint="eastAsia"/>
                <w:color w:val="auto"/>
                <w:sz w:val="24"/>
              </w:rPr>
            </w:pPr>
            <w:r>
              <w:rPr>
                <w:rFonts w:hint="default" w:ascii="Times New Roman" w:hAnsi="Times New Roman" w:eastAsia="宋体" w:cs="Times New Roman"/>
                <w:b w:val="0"/>
                <w:bCs w:val="0"/>
                <w:color w:val="auto"/>
                <w:spacing w:val="-2"/>
                <w:sz w:val="24"/>
                <w:szCs w:val="24"/>
                <w:highlight w:val="none"/>
                <w:lang w:val="en-US" w:eastAsia="zh-CN"/>
              </w:rPr>
              <w:t>站内既有设施：</w:t>
            </w:r>
            <w:r>
              <w:rPr>
                <w:rFonts w:hint="eastAsia"/>
                <w:color w:val="auto"/>
                <w:sz w:val="24"/>
              </w:rPr>
              <w:t>风电场的施工及检修道路以满足每台风电机组施工及安装要求为原则，本风电场道路均利用原有道路。</w:t>
            </w:r>
          </w:p>
          <w:p w14:paraId="5690F20C">
            <w:pPr>
              <w:rPr>
                <w:color w:val="auto"/>
              </w:rPr>
            </w:pPr>
            <w:r>
              <w:rPr>
                <w:color w:val="auto"/>
              </w:rPr>
              <w:t>经现场踏勘与路径核验，项目范围内所有已建成的既有道路均已直接连通全部风机机位点，不存在无法通过现有道路抵达的盲区机位点，满足风机运维、常规巡检的基础通行需求。</w:t>
            </w:r>
          </w:p>
          <w:p w14:paraId="64191526">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运维管理资源：项目运营期不单独设置住宿及日常运维团队，依托邻近的热水光伏电站现有管理人员开展日常运维工作，节约人力及配套设施建设成本。</w:t>
            </w:r>
          </w:p>
          <w:p w14:paraId="1CDA748C">
            <w:pPr>
              <w:widowControl/>
              <w:spacing w:line="360" w:lineRule="auto"/>
              <w:ind w:firstLine="472"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电力设施依托：运营期</w:t>
            </w:r>
            <w:r>
              <w:rPr>
                <w:rFonts w:hint="eastAsia" w:cs="Times New Roman"/>
                <w:color w:val="auto"/>
                <w:sz w:val="24"/>
                <w:szCs w:val="22"/>
                <w:highlight w:val="none"/>
                <w:lang w:eastAsia="zh-CN"/>
              </w:rPr>
              <w:t>项目从开关站出来以</w:t>
            </w:r>
            <w:r>
              <w:rPr>
                <w:rFonts w:hint="eastAsia" w:ascii="Times New Roman" w:hAnsi="Times New Roman" w:cs="Times New Roman"/>
                <w:color w:val="auto"/>
                <w:sz w:val="24"/>
                <w:szCs w:val="22"/>
                <w:highlight w:val="none"/>
              </w:rPr>
              <w:t>1回35kV线路接入35kV卡郎变电站</w:t>
            </w:r>
            <w:r>
              <w:rPr>
                <w:rFonts w:hint="eastAsia" w:cs="Times New Roman"/>
                <w:color w:val="auto"/>
                <w:sz w:val="24"/>
                <w:szCs w:val="22"/>
                <w:highlight w:val="none"/>
                <w:lang w:eastAsia="zh-CN"/>
              </w:rPr>
              <w:t>。</w:t>
            </w:r>
          </w:p>
          <w:p w14:paraId="61102FCE">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二、项目地现状</w:t>
            </w:r>
          </w:p>
          <w:p w14:paraId="6FED8D30">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1. 地理位置与地形地貌</w:t>
            </w:r>
          </w:p>
          <w:p w14:paraId="0842EBDC">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项目位于云南省宣威市西南部热水镇海德村西侧松科梁子～长梁子一带，地理坐标介于北纬25°57′59.1″~25°58′35.5″、东经103°44′22.3″~103°44′56.1″之间，海拔范围2370～2409m，属于云贵高原山地地貌，地形起伏较小，整体地势平缓，适宜风电项目建设。</w:t>
            </w:r>
          </w:p>
          <w:p w14:paraId="084487C1">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2. 气候与水文条件</w:t>
            </w:r>
          </w:p>
          <w:p w14:paraId="37C9280D">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项目区属于亚热带高原季风气候，年温差小、日温差大，降水集中在夏秋季节，年平均降水量约900~1100mm；区域内无大型地表水体，不涉及水库、集中式饮用水源地，项目不在水库设置取水口。</w:t>
            </w:r>
          </w:p>
          <w:p w14:paraId="4D9A82E8">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3. 生态与植被现状</w:t>
            </w:r>
          </w:p>
          <w:p w14:paraId="453BB7C8">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原生地带性植被为亚热带常绿阔叶林，受长期人类活动影响，现有植被以云南松为代表的暖温性针叶林等次生植被为主，林分结构简单，无原生天然林分布；动物资源以小型广生境鸟类为主，中型鸟类分布较少，项目不涉及云南省候鸟迁徙通道重点区域，对典型生态系统、珍稀濒危物种及其栖息地无潜在影响；项目用地不涉及永久基本农田、生态保护红线、自然保护区、风景名胜区、饮用水源保护区等环境敏感区，符合云南省及曲靖市生态环境分区管控要求。</w:t>
            </w:r>
          </w:p>
          <w:p w14:paraId="1D0C1444">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4. 土地利用现状</w:t>
            </w:r>
          </w:p>
          <w:p w14:paraId="12645BF3">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项目总用地面积</w:t>
            </w:r>
            <w:r>
              <w:rPr>
                <w:rFonts w:hint="eastAsia" w:ascii="Times New Roman" w:hAnsi="Times New Roman" w:cs="Times New Roman"/>
                <w:b w:val="0"/>
                <w:bCs w:val="0"/>
                <w:color w:val="auto"/>
                <w:spacing w:val="-2"/>
                <w:sz w:val="24"/>
                <w:szCs w:val="24"/>
                <w:highlight w:val="none"/>
                <w:lang w:val="en-US" w:eastAsia="zh-CN"/>
              </w:rPr>
              <w:t>1.5343</w:t>
            </w:r>
            <w:r>
              <w:rPr>
                <w:rFonts w:hint="default" w:ascii="Times New Roman" w:hAnsi="Times New Roman" w:eastAsia="宋体" w:cs="Times New Roman"/>
                <w:b w:val="0"/>
                <w:bCs w:val="0"/>
                <w:color w:val="auto"/>
                <w:spacing w:val="-2"/>
                <w:sz w:val="24"/>
                <w:szCs w:val="24"/>
                <w:highlight w:val="none"/>
                <w:lang w:val="en-US" w:eastAsia="zh-CN"/>
              </w:rPr>
              <w:t>hm²，其中：</w:t>
            </w:r>
          </w:p>
          <w:p w14:paraId="04DCAF9E">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永久用地0.2408hm²，涉及林地0.0848hm²（乔木林地、灌木林地各占0.0424hm²）、草地0.156hm²；临时用地</w:t>
            </w:r>
            <w:r>
              <w:rPr>
                <w:rFonts w:hint="eastAsia" w:ascii="Times New Roman" w:hAnsi="Times New Roman" w:cs="Times New Roman"/>
                <w:b w:val="0"/>
                <w:bCs w:val="0"/>
                <w:color w:val="auto"/>
                <w:spacing w:val="-2"/>
                <w:sz w:val="24"/>
                <w:szCs w:val="24"/>
                <w:highlight w:val="none"/>
                <w:lang w:val="en-US" w:eastAsia="zh-CN"/>
              </w:rPr>
              <w:t>1.2935</w:t>
            </w:r>
            <w:r>
              <w:rPr>
                <w:rFonts w:hint="default" w:ascii="Times New Roman" w:hAnsi="Times New Roman" w:eastAsia="宋体" w:cs="Times New Roman"/>
                <w:b w:val="0"/>
                <w:bCs w:val="0"/>
                <w:color w:val="auto"/>
                <w:spacing w:val="-2"/>
                <w:sz w:val="24"/>
                <w:szCs w:val="24"/>
                <w:highlight w:val="none"/>
                <w:lang w:val="en-US" w:eastAsia="zh-CN"/>
              </w:rPr>
              <w:t>hm²，主要涉及耕地、灌草地及其他未利用地，施工结束后将全部实施生态恢复，恢复为原有土地利用类型。</w:t>
            </w:r>
          </w:p>
          <w:p w14:paraId="0401F78E">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项目选址已取得宣威市自然资源、林草、生态环境等主管部门的选址意见，符合土地利用规划及林地草地使用相关规定。</w:t>
            </w:r>
          </w:p>
          <w:p w14:paraId="55CC5889">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5. 社会环境现状</w:t>
            </w:r>
          </w:p>
          <w:p w14:paraId="43C0DC92">
            <w:pPr>
              <w:adjustRightInd w:val="0"/>
              <w:snapToGrid w:val="0"/>
              <w:spacing w:line="360" w:lineRule="auto"/>
              <w:ind w:firstLine="472" w:firstLineChars="200"/>
              <w:rPr>
                <w:rFonts w:hint="default" w:ascii="Times New Roman" w:hAnsi="Times New Roman" w:eastAsia="宋体" w:cs="Times New Roman"/>
                <w:b w:val="0"/>
                <w:bCs w:val="0"/>
                <w:color w:val="auto"/>
                <w:spacing w:val="-2"/>
                <w:sz w:val="24"/>
                <w:szCs w:val="24"/>
                <w:highlight w:val="none"/>
                <w:lang w:val="en-US" w:eastAsia="zh-CN"/>
              </w:rPr>
            </w:pPr>
            <w:r>
              <w:rPr>
                <w:rFonts w:hint="default" w:ascii="Times New Roman" w:hAnsi="Times New Roman" w:eastAsia="宋体" w:cs="Times New Roman"/>
                <w:b w:val="0"/>
                <w:bCs w:val="0"/>
                <w:color w:val="auto"/>
                <w:spacing w:val="-2"/>
                <w:sz w:val="24"/>
                <w:szCs w:val="24"/>
                <w:highlight w:val="none"/>
                <w:lang w:val="en-US" w:eastAsia="zh-CN"/>
              </w:rPr>
              <w:t>项目距离宣威市约60km，距离曲靖市约70km，距离昆明市约200km，周边以农业生产活动为主，人口分布较为稀疏，无集中式居民区、学校、医院等敏感目标，项目施工及运营期对周边居民生活影响较小。</w:t>
            </w:r>
          </w:p>
          <w:p w14:paraId="0CE2F10F">
            <w:pPr>
              <w:adjustRightInd w:val="0"/>
              <w:snapToGrid w:val="0"/>
              <w:spacing w:line="360" w:lineRule="auto"/>
              <w:ind w:firstLine="480" w:firstLineChars="200"/>
              <w:rPr>
                <w:rFonts w:hint="eastAsia" w:ascii="Times New Roman" w:hAnsi="Times New Roman" w:eastAsia="宋体" w:cs="Times New Roman"/>
                <w:color w:val="auto"/>
              </w:rPr>
            </w:pPr>
            <w:r>
              <w:rPr>
                <w:rFonts w:hint="eastAsia" w:eastAsia="宋体" w:cs="Times New Roman"/>
                <w:color w:val="auto"/>
                <w:lang w:eastAsia="zh-CN"/>
              </w:rPr>
              <w:t>本项目</w:t>
            </w:r>
            <w:r>
              <w:rPr>
                <w:rFonts w:hint="eastAsia" w:ascii="Times New Roman" w:hAnsi="Times New Roman" w:eastAsia="宋体" w:cs="Times New Roman"/>
                <w:color w:val="auto"/>
              </w:rPr>
              <w:t>选址方案唯一，无比选方案。</w:t>
            </w:r>
          </w:p>
          <w:p w14:paraId="49A03656">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b w:val="0"/>
                <w:bCs w:val="0"/>
                <w:color w:val="auto"/>
                <w:spacing w:val="-2"/>
                <w:sz w:val="24"/>
                <w:szCs w:val="24"/>
                <w:highlight w:val="none"/>
                <w:lang w:val="en-US" w:eastAsia="zh-CN"/>
              </w:rPr>
            </w:pPr>
          </w:p>
          <w:p w14:paraId="335A281D">
            <w:pPr>
              <w:adjustRightInd w:val="0"/>
              <w:snapToGrid w:val="0"/>
              <w:ind w:left="0" w:leftChars="0" w:firstLine="0" w:firstLineChars="0"/>
              <w:jc w:val="both"/>
              <w:rPr>
                <w:rFonts w:ascii="Times New Roman" w:hAnsi="Times New Roman" w:cs="Times New Roman"/>
                <w:color w:val="auto"/>
                <w:kern w:val="0"/>
                <w:szCs w:val="21"/>
                <w:highlight w:val="none"/>
              </w:rPr>
            </w:pPr>
          </w:p>
        </w:tc>
      </w:tr>
    </w:tbl>
    <w:p w14:paraId="20793A98">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ascii="黑体" w:hAnsi="黑体" w:eastAsia="黑体"/>
          <w:snapToGrid w:val="0"/>
          <w:color w:val="auto"/>
          <w:sz w:val="30"/>
          <w:szCs w:val="30"/>
          <w:highlight w:val="none"/>
        </w:rPr>
      </w:pPr>
      <w:r>
        <w:rPr>
          <w:rFonts w:eastAsia="仿宋_GB2312"/>
          <w:b/>
          <w:bCs/>
          <w:color w:val="auto"/>
          <w:highlight w:val="none"/>
        </w:rPr>
        <w:br w:type="page"/>
      </w:r>
      <w:bookmarkStart w:id="21" w:name="_Toc8554"/>
      <w:r>
        <w:rPr>
          <w:rFonts w:hint="eastAsia" w:ascii="Times New Roman" w:hAnsi="Times New Roman" w:eastAsia="宋体" w:cs="Times New Roman"/>
          <w:b/>
          <w:bCs/>
          <w:snapToGrid w:val="0"/>
          <w:color w:val="auto"/>
          <w:sz w:val="30"/>
          <w:szCs w:val="30"/>
          <w:highlight w:val="none"/>
        </w:rPr>
        <w:t>三、生态环境现状、保护目标及评价标准</w:t>
      </w:r>
      <w:bookmarkEnd w:id="21"/>
    </w:p>
    <w:tbl>
      <w:tblPr>
        <w:tblStyle w:val="20"/>
        <w:tblpPr w:leftFromText="180" w:rightFromText="180" w:vertAnchor="text" w:tblpXSpec="center" w:tblpY="1"/>
        <w:tblOverlap w:val="never"/>
        <w:tblW w:w="93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910"/>
      </w:tblGrid>
      <w:tr w14:paraId="2F6B87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77" w:hRule="atLeast"/>
          <w:jc w:val="center"/>
        </w:trPr>
        <w:tc>
          <w:tcPr>
            <w:tcW w:w="456" w:type="dxa"/>
            <w:noWrap w:val="0"/>
            <w:vAlign w:val="center"/>
          </w:tcPr>
          <w:p w14:paraId="56E41266">
            <w:pPr>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生态环境现状</w:t>
            </w:r>
          </w:p>
        </w:tc>
        <w:tc>
          <w:tcPr>
            <w:tcW w:w="8910" w:type="dxa"/>
            <w:noWrap w:val="0"/>
            <w:vAlign w:val="center"/>
          </w:tcPr>
          <w:p w14:paraId="58E83115">
            <w:pPr>
              <w:keepNext w:val="0"/>
              <w:keepLines w:val="0"/>
              <w:pageBreakBefore w:val="0"/>
              <w:numPr>
                <w:ilvl w:val="0"/>
                <w:numId w:val="3"/>
              </w:numPr>
              <w:kinsoku/>
              <w:wordWrap/>
              <w:overflowPunct/>
              <w:topLinePunct w:val="0"/>
              <w:autoSpaceDE/>
              <w:autoSpaceDN/>
              <w:bidi w:val="0"/>
              <w:adjustRightInd w:val="0"/>
              <w:snapToGrid w:val="0"/>
              <w:spacing w:line="360" w:lineRule="auto"/>
              <w:ind w:left="0" w:leftChars="0" w:firstLine="0" w:firstLineChars="0"/>
              <w:jc w:val="both"/>
              <w:textAlignment w:val="auto"/>
              <w:rPr>
                <w:rFonts w:hint="default" w:ascii="Times New Roman" w:hAnsi="Times New Roman" w:eastAsia="宋体" w:cs="Times New Roman"/>
                <w:b/>
                <w:bCs/>
                <w:color w:val="auto"/>
                <w:kern w:val="0"/>
                <w:sz w:val="24"/>
                <w:szCs w:val="24"/>
                <w:highlight w:val="none"/>
                <w:lang w:val="en-US" w:eastAsia="zh-CN"/>
              </w:rPr>
            </w:pPr>
            <w:r>
              <w:rPr>
                <w:rFonts w:hint="default" w:ascii="Times New Roman" w:hAnsi="Times New Roman" w:eastAsia="宋体" w:cs="Times New Roman"/>
                <w:b/>
                <w:bCs/>
                <w:color w:val="auto"/>
                <w:kern w:val="0"/>
                <w:sz w:val="24"/>
                <w:szCs w:val="24"/>
                <w:highlight w:val="none"/>
                <w:lang w:val="en-US" w:eastAsia="zh-CN"/>
              </w:rPr>
              <w:t>主体功能区划</w:t>
            </w:r>
          </w:p>
          <w:p w14:paraId="07898F30">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根据《云南省主体功能区划》（云政发〔2014〕1号文）将云南省国土空间分为重点开发区域、限制开发区域和禁止开发区域三类。</w:t>
            </w:r>
          </w:p>
          <w:p w14:paraId="253B73BC">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海德村项目位于云南省曲靖市宣威市热水镇海德村域内，根据《云南省主体功能区划》（云政发〔2014〕1号文），项目所在的宣威市属于国家级重点开发区域，见图</w:t>
            </w:r>
            <w:r>
              <w:rPr>
                <w:rFonts w:hint="eastAsia" w:cs="Times New Roman"/>
                <w:color w:val="auto"/>
                <w:highlight w:val="none"/>
                <w:lang w:val="en-US" w:eastAsia="zh-CN"/>
              </w:rPr>
              <w:t>3</w:t>
            </w:r>
            <w:r>
              <w:rPr>
                <w:rFonts w:hint="default" w:ascii="Times New Roman" w:hAnsi="Times New Roman" w:cs="Times New Roman"/>
                <w:color w:val="auto"/>
                <w:highlight w:val="none"/>
                <w:lang w:val="en-US" w:eastAsia="zh-CN"/>
              </w:rPr>
              <w:t>-1。将项目边界范围与禁止开发区边界范围叠图分析，海德村项目不涉及国家级和省级禁止开发区域。</w:t>
            </w:r>
          </w:p>
          <w:p w14:paraId="0C8C0D9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4542155" cy="3220720"/>
                  <wp:effectExtent l="0" t="0" r="14605" b="1016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18"/>
                          <a:stretch>
                            <a:fillRect/>
                          </a:stretch>
                        </pic:blipFill>
                        <pic:spPr>
                          <a:xfrm>
                            <a:off x="0" y="0"/>
                            <a:ext cx="4542155" cy="3220720"/>
                          </a:xfrm>
                          <a:prstGeom prst="rect">
                            <a:avLst/>
                          </a:prstGeom>
                          <a:noFill/>
                          <a:ln>
                            <a:noFill/>
                          </a:ln>
                        </pic:spPr>
                      </pic:pic>
                    </a:graphicData>
                  </a:graphic>
                </wp:inline>
              </w:drawing>
            </w:r>
          </w:p>
          <w:p w14:paraId="0D9F3F04">
            <w:pPr>
              <w:pStyle w:val="49"/>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图</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-1项目与云南省主体功能区划的位置关系</w:t>
            </w:r>
          </w:p>
          <w:p w14:paraId="0D65F23F">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云南省主体功能区规划》（云政发〔2014〕1号文），宣威市属于国家级集中连片重点开发区域，该区域的功能定位为：我国面向西南开放重要桥头堡建设的核心区，连接东南亚、南亚国家的陆路交通枢纽，面向东南亚、南亚对外开放的重要门户；全国重要的烟草、旅游、文化、能源和商贸物流基地，以化工、有色冶炼加工、生物为重点的区域性资源深加工基地，承接产业转移基地和外向型特色优势产业</w:t>
            </w:r>
            <w:r>
              <w:rPr>
                <w:rFonts w:hint="eastAsia" w:cs="Times New Roman"/>
                <w:color w:val="auto"/>
                <w:highlight w:val="none"/>
                <w:lang w:val="en-US" w:eastAsia="zh-CN"/>
              </w:rPr>
              <w:t>基地</w:t>
            </w:r>
            <w:r>
              <w:rPr>
                <w:rFonts w:hint="default" w:ascii="Times New Roman" w:hAnsi="Times New Roman" w:cs="Times New Roman"/>
                <w:color w:val="auto"/>
                <w:highlight w:val="none"/>
                <w:lang w:val="en-US" w:eastAsia="zh-CN"/>
              </w:rPr>
              <w:t>。本项目为风力发电项目，符合本区“全国重要的烟草、旅游、文化、能源和商贸物流基地”的定位，符合云南省主体功能区规划要求。</w:t>
            </w:r>
          </w:p>
          <w:p w14:paraId="00D5088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主体功能区划对风电能源开发的原则为：“妥善处理好风电开发与环境保护的关系，规范风电有序发展，严格按照规划环评要求，取消位于鸟类通道和生物多样性丰富区的风电场，科学合理确定风电开发规划。</w:t>
            </w:r>
          </w:p>
          <w:p w14:paraId="6C78D3A8">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仅包含三台风机及一台开关站，施工范围较小，主要影响生境有一些小型鸟类的活动区域，中型鸟类分布较少。根据名录许多小型鸟类多属于广生境种类，经过本项目小范围影响后，这些鸟类在其他地方仍分布广泛。因此，从整体上看，无论是本项目的施工区还是整个评价区，所影响的范围都较小，工程建设对鸟类的整体影响较小。并且本项目不涉及云南省候鸟迁徙通道重点区域。</w:t>
            </w:r>
          </w:p>
          <w:p w14:paraId="237ABEB9">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综上，本项目与云南省主体功能区划对风电开发要求相符合。</w:t>
            </w:r>
          </w:p>
          <w:p w14:paraId="13EF7C46">
            <w:pPr>
              <w:pStyle w:val="19"/>
              <w:keepNext w:val="0"/>
              <w:keepLines w:val="0"/>
              <w:pageBreakBefore w:val="0"/>
              <w:numPr>
                <w:ilvl w:val="0"/>
                <w:numId w:val="3"/>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生态功能区划</w:t>
            </w:r>
          </w:p>
          <w:p w14:paraId="3CE622C7">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生态功能区划》，生态功能分区是依据区域生态环境敏感性、生态服务功能重要性、生态环境特征的相似性和差异性而进行的地理空间分区。根据“生态功能区划的技术规范”要求，结合云南省的实际情况，生态功能区划分区命名的主要依据是：</w:t>
            </w:r>
          </w:p>
          <w:p w14:paraId="7E671BFC">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一级区（生态区）：</w:t>
            </w:r>
            <w:r>
              <w:rPr>
                <w:rFonts w:hint="eastAsia" w:cs="Times New Roman"/>
                <w:color w:val="auto"/>
                <w:highlight w:val="none"/>
                <w:lang w:eastAsia="zh-CN"/>
              </w:rPr>
              <w:t>反映</w:t>
            </w:r>
            <w:r>
              <w:rPr>
                <w:rFonts w:hint="default" w:ascii="Times New Roman" w:hAnsi="Times New Roman" w:cs="Times New Roman"/>
                <w:color w:val="auto"/>
                <w:highlight w:val="none"/>
              </w:rPr>
              <w:t>云南省生物地理气候带，并与国家和相邻省区的一级区接轨，命名方式由大地理方位＋植被型＋生态区构成。</w:t>
            </w:r>
          </w:p>
          <w:p w14:paraId="686D67A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二级区（生态亚区）：体现分区的生态系统类型组合、优势生态系统类型和地貌特征，由地名＋地形组合特征＋优势生态系统类型＋生态亚区构成。</w:t>
            </w:r>
          </w:p>
          <w:p w14:paraId="5AA45EE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三级区（生态功能区）：体现分区的生态服务功能的重要性和生态环境敏感性特点，由地名＋地形＋主要生态服务功能（或生态环境敏感性）＋生态功能区构成。</w:t>
            </w:r>
          </w:p>
          <w:p w14:paraId="0A0FBC9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云南省生态功能区共分一级区（生态区）5个，二级区（生态亚区）19个，三级区（生态功能区）65个。</w:t>
            </w:r>
          </w:p>
          <w:p w14:paraId="4E2C0D0B">
            <w:pPr>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lang w:val="en-US" w:eastAsia="zh-CN"/>
              </w:rPr>
              <w:t>根据《云南省生态功能区划》，拟建项目所在区域属于高原亚热带北部常绿阔叶林生态区</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Ⅲ</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，Ⅲ4滇东北高中山</w:t>
            </w:r>
            <w:r>
              <w:rPr>
                <w:rFonts w:hint="eastAsia" w:cs="Times New Roman"/>
                <w:color w:val="auto"/>
                <w:sz w:val="24"/>
                <w:szCs w:val="24"/>
                <w:highlight w:val="none"/>
                <w:lang w:val="en-US" w:eastAsia="zh-CN"/>
              </w:rPr>
              <w:t>暖温针叶林</w:t>
            </w:r>
            <w:r>
              <w:rPr>
                <w:rFonts w:hint="default" w:ascii="Times New Roman" w:hAnsi="Times New Roman" w:eastAsia="宋体" w:cs="Times New Roman"/>
                <w:color w:val="auto"/>
                <w:sz w:val="24"/>
                <w:szCs w:val="24"/>
                <w:highlight w:val="none"/>
                <w:lang w:val="en-US" w:eastAsia="zh-CN"/>
              </w:rPr>
              <w:t>、亚高山草甸生态亚区、Ⅲ4-4牛栏江、南盘江上游岩溶山原水源涵养生态功能区。主要生态特征：地貌以石灰岩山原为主，大部分地区的年降雨量在1000</w:t>
            </w:r>
            <w:r>
              <w:rPr>
                <w:rFonts w:hint="eastAsia"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1200</w:t>
            </w:r>
            <w:r>
              <w:rPr>
                <w:rFonts w:hint="eastAsia" w:ascii="Times New Roman" w:hAnsi="Times New Roman" w:cs="Times New Roman"/>
                <w:color w:val="auto"/>
                <w:sz w:val="24"/>
                <w:szCs w:val="24"/>
                <w:highlight w:val="none"/>
                <w:lang w:val="en-US" w:eastAsia="zh-CN"/>
              </w:rPr>
              <w:t>mm</w:t>
            </w:r>
            <w:r>
              <w:rPr>
                <w:rFonts w:hint="default" w:ascii="Times New Roman" w:hAnsi="Times New Roman" w:eastAsia="宋体" w:cs="Times New Roman"/>
                <w:color w:val="auto"/>
                <w:sz w:val="24"/>
                <w:szCs w:val="24"/>
                <w:highlight w:val="none"/>
                <w:lang w:val="en-US" w:eastAsia="zh-CN"/>
              </w:rPr>
              <w:t>，主要植被类型为云南松林，生长较差。主要土壤类型为黄棕壤。主要生态环境问题：土地垦殖过度、森林退化严重。主要生态服务功能：牛栏江、南盘江上游岩溶地区的水源涵养。具体位置关系如下图所示</w:t>
            </w:r>
            <w:r>
              <w:rPr>
                <w:rFonts w:hint="default" w:ascii="Times New Roman" w:hAnsi="Times New Roman" w:cs="Times New Roman"/>
                <w:color w:val="auto"/>
                <w:highlight w:val="none"/>
                <w:lang w:val="en-US" w:eastAsia="zh-CN"/>
              </w:rPr>
              <w:t>。</w:t>
            </w:r>
          </w:p>
          <w:p w14:paraId="37515A16">
            <w:pPr>
              <w:pStyle w:val="18"/>
              <w:keepNext w:val="0"/>
              <w:keepLines w:val="0"/>
              <w:pageBreakBefore w:val="0"/>
              <w:numPr>
                <w:ilvl w:val="0"/>
                <w:numId w:val="0"/>
              </w:numPr>
              <w:kinsoku/>
              <w:wordWrap/>
              <w:overflowPunct/>
              <w:topLinePunct w:val="0"/>
              <w:autoSpaceDE/>
              <w:autoSpaceDN/>
              <w:bidi w:val="0"/>
              <w:adjustRightInd w:val="0"/>
              <w:snapToGrid w:val="0"/>
              <w:spacing w:before="0" w:after="0" w:line="240" w:lineRule="auto"/>
              <w:ind w:leftChars="0" w:right="0" w:right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4768215" cy="3420110"/>
                  <wp:effectExtent l="0" t="0" r="1905" b="889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9"/>
                          <a:stretch>
                            <a:fillRect/>
                          </a:stretch>
                        </pic:blipFill>
                        <pic:spPr>
                          <a:xfrm>
                            <a:off x="0" y="0"/>
                            <a:ext cx="4768215" cy="3420110"/>
                          </a:xfrm>
                          <a:prstGeom prst="rect">
                            <a:avLst/>
                          </a:prstGeom>
                          <a:noFill/>
                          <a:ln>
                            <a:noFill/>
                          </a:ln>
                        </pic:spPr>
                      </pic:pic>
                    </a:graphicData>
                  </a:graphic>
                </wp:inline>
              </w:drawing>
            </w:r>
          </w:p>
          <w:p w14:paraId="365086A1">
            <w:pPr>
              <w:keepNext w:val="0"/>
              <w:keepLines w:val="0"/>
              <w:pageBreakBefore w:val="0"/>
              <w:kinsoku/>
              <w:wordWrap/>
              <w:overflowPunct/>
              <w:topLinePunct w:val="0"/>
              <w:autoSpaceDE/>
              <w:autoSpaceDN/>
              <w:bidi w:val="0"/>
              <w:adjustRightInd w:val="0"/>
              <w:snapToGrid w:val="0"/>
              <w:spacing w:line="240" w:lineRule="auto"/>
              <w:ind w:right="0"/>
              <w:jc w:val="center"/>
              <w:textAlignment w:val="auto"/>
              <w:rPr>
                <w:rFonts w:hint="default" w:ascii="Times New Roman" w:hAnsi="Times New Roman" w:eastAsia="宋体" w:cs="Times New Roman"/>
                <w:b/>
                <w:bCs/>
                <w:color w:val="auto"/>
                <w:spacing w:val="5"/>
                <w:kern w:val="2"/>
                <w:sz w:val="21"/>
                <w:szCs w:val="20"/>
                <w:highlight w:val="none"/>
                <w:lang w:val="en-US" w:eastAsia="zh-CN" w:bidi="ar-SA"/>
              </w:rPr>
            </w:pPr>
            <w:r>
              <w:rPr>
                <w:rFonts w:hint="default" w:ascii="Times New Roman" w:hAnsi="Times New Roman" w:eastAsia="宋体" w:cs="Times New Roman"/>
                <w:b/>
                <w:bCs/>
                <w:color w:val="auto"/>
                <w:spacing w:val="5"/>
                <w:kern w:val="2"/>
                <w:sz w:val="21"/>
                <w:szCs w:val="20"/>
                <w:highlight w:val="none"/>
                <w:lang w:val="en-US" w:eastAsia="zh-CN" w:bidi="ar-SA"/>
              </w:rPr>
              <w:t>图</w:t>
            </w:r>
            <w:r>
              <w:rPr>
                <w:rFonts w:hint="eastAsia" w:ascii="Times New Roman" w:hAnsi="Times New Roman" w:eastAsia="宋体" w:cs="Times New Roman"/>
                <w:b/>
                <w:bCs/>
                <w:color w:val="auto"/>
                <w:spacing w:val="5"/>
                <w:kern w:val="2"/>
                <w:sz w:val="21"/>
                <w:szCs w:val="20"/>
                <w:highlight w:val="none"/>
                <w:lang w:val="en-US" w:eastAsia="zh-CN" w:bidi="ar-SA"/>
              </w:rPr>
              <w:t>3</w:t>
            </w:r>
            <w:r>
              <w:rPr>
                <w:rFonts w:hint="default" w:ascii="Times New Roman" w:hAnsi="Times New Roman" w:eastAsia="宋体" w:cs="Times New Roman"/>
                <w:b/>
                <w:bCs/>
                <w:color w:val="auto"/>
                <w:spacing w:val="5"/>
                <w:kern w:val="2"/>
                <w:sz w:val="21"/>
                <w:szCs w:val="20"/>
                <w:highlight w:val="none"/>
                <w:lang w:val="en-US" w:eastAsia="zh-CN" w:bidi="ar-SA"/>
              </w:rPr>
              <w:t>-2项目与云南省生态功能区划的位置关系</w:t>
            </w:r>
          </w:p>
          <w:p w14:paraId="61F501E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拟建项目在建设过程中将占用一定的植被面积，建设过程的地表开挖会产生一定的水土流失。项目占用</w:t>
            </w:r>
            <w:r>
              <w:rPr>
                <w:rFonts w:hint="default" w:ascii="Times New Roman" w:hAnsi="Times New Roman" w:cs="Times New Roman"/>
                <w:color w:val="auto"/>
                <w:highlight w:val="none"/>
                <w:lang w:eastAsia="zh-CN"/>
              </w:rPr>
              <w:t>植被</w:t>
            </w:r>
            <w:r>
              <w:rPr>
                <w:rFonts w:hint="default" w:ascii="Times New Roman" w:hAnsi="Times New Roman" w:eastAsia="宋体" w:cs="Times New Roman"/>
                <w:color w:val="auto"/>
                <w:sz w:val="24"/>
                <w:szCs w:val="24"/>
                <w:highlight w:val="none"/>
                <w:lang w:val="en-US" w:eastAsia="zh-CN"/>
              </w:rPr>
              <w:t>主要为</w:t>
            </w:r>
            <w:r>
              <w:rPr>
                <w:rFonts w:hint="default" w:ascii="Times New Roman" w:hAnsi="Times New Roman" w:cs="Times New Roman"/>
                <w:color w:val="auto"/>
                <w:sz w:val="24"/>
                <w:szCs w:val="24"/>
                <w:highlight w:val="none"/>
                <w:lang w:val="en-US" w:eastAsia="zh-CN"/>
              </w:rPr>
              <w:t>以云南松林为代表的</w:t>
            </w:r>
            <w:r>
              <w:rPr>
                <w:rFonts w:hint="default" w:ascii="Times New Roman" w:hAnsi="Times New Roman" w:eastAsia="宋体" w:cs="Times New Roman"/>
                <w:color w:val="auto"/>
                <w:sz w:val="24"/>
                <w:szCs w:val="24"/>
                <w:highlight w:val="none"/>
                <w:lang w:val="en-US" w:eastAsia="zh-CN"/>
              </w:rPr>
              <w:t>暖温性针叶林和暖性灌丛</w:t>
            </w:r>
            <w:r>
              <w:rPr>
                <w:rFonts w:hint="default" w:ascii="Times New Roman" w:hAnsi="Times New Roman" w:cs="Times New Roman"/>
                <w:color w:val="auto"/>
                <w:sz w:val="24"/>
                <w:szCs w:val="24"/>
                <w:highlight w:val="none"/>
                <w:lang w:val="en-US" w:eastAsia="zh-CN"/>
              </w:rPr>
              <w:t>为主</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highlight w:val="none"/>
              </w:rPr>
              <w:t>项目占地在最大程度上避开植被发育较好的区域，同时在项目施工结束后临时迹地将得到最大程度的恢复，永久设施附近将进行一定面积的绿化恢复，并加强破坏区域的水土保持措施，项目扰动区域恢复后趋于的生态环境不会造成大的影响。此外，</w:t>
            </w:r>
            <w:r>
              <w:rPr>
                <w:rFonts w:hint="eastAsia" w:cs="Times New Roman"/>
                <w:color w:val="auto"/>
                <w:highlight w:val="none"/>
                <w:lang w:eastAsia="zh-CN"/>
              </w:rPr>
              <w:t>建设单位</w:t>
            </w:r>
            <w:r>
              <w:rPr>
                <w:rFonts w:hint="default" w:ascii="Times New Roman" w:hAnsi="Times New Roman" w:cs="Times New Roman"/>
                <w:color w:val="auto"/>
                <w:highlight w:val="none"/>
              </w:rPr>
              <w:t>已委托有资质单位编制了水土保持方案，只要项目在施工期及运营期严格落实相关的水保措施，则项目区域产生的水土流失影响是可以接受的。</w:t>
            </w:r>
          </w:p>
          <w:p w14:paraId="69C3C1D5">
            <w:pPr>
              <w:keepNext w:val="0"/>
              <w:keepLines w:val="0"/>
              <w:pageBreakBefore w:val="0"/>
              <w:numPr>
                <w:ilvl w:val="0"/>
                <w:numId w:val="3"/>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cs="Times New Roman"/>
                <w:color w:val="auto"/>
                <w:highlight w:val="none"/>
              </w:rPr>
              <w:t>本项目为风电场项目，工程建设对当地生态环境和生物多样性的破坏较为有限</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对区域植被生态环境影响较小，同时通过采取水土保持措施、环境保护措施，落实植被恢复要求后，项目对所在地区植被影响得到进一步控制</w:t>
            </w:r>
            <w:r>
              <w:rPr>
                <w:rFonts w:hint="eastAsia" w:ascii="Times New Roman" w:hAnsi="Times New Roman" w:cs="Times New Roman"/>
                <w:color w:val="auto"/>
                <w:highlight w:val="none"/>
                <w:lang w:eastAsia="zh-CN"/>
              </w:rPr>
              <w:t>。</w:t>
            </w:r>
            <w:r>
              <w:rPr>
                <w:rFonts w:hint="default" w:ascii="Times New Roman" w:hAnsi="Times New Roman" w:cs="Times New Roman"/>
                <w:color w:val="auto"/>
                <w:highlight w:val="none"/>
              </w:rPr>
              <w:t>项目建设符合云南省生态功能区划，项目的建设与功能区的发展方向不矛盾，不会对功能区的生态功能以及景观功能和结构构成威胁，</w:t>
            </w:r>
            <w:r>
              <w:rPr>
                <w:rFonts w:hint="default" w:ascii="Times New Roman" w:hAnsi="Times New Roman" w:cs="Times New Roman"/>
                <w:color w:val="auto"/>
                <w:highlight w:val="none"/>
                <w:lang w:eastAsia="zh-CN"/>
              </w:rPr>
              <w:t>符合</w:t>
            </w:r>
            <w:r>
              <w:rPr>
                <w:rFonts w:hint="default" w:ascii="Times New Roman" w:hAnsi="Times New Roman" w:cs="Times New Roman"/>
                <w:color w:val="auto"/>
                <w:highlight w:val="none"/>
              </w:rPr>
              <w:t>《云南省生态功能区划》的相关规定。</w:t>
            </w:r>
          </w:p>
          <w:p w14:paraId="3F27D031">
            <w:pPr>
              <w:keepNext w:val="0"/>
              <w:keepLines w:val="0"/>
              <w:pageBreakBefore w:val="0"/>
              <w:numPr>
                <w:ilvl w:val="0"/>
                <w:numId w:val="3"/>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b/>
                <w:bCs/>
                <w:color w:val="auto"/>
                <w:sz w:val="24"/>
                <w:szCs w:val="24"/>
                <w:highlight w:val="none"/>
                <w:lang w:val="en-US" w:eastAsia="zh-CN"/>
              </w:rPr>
              <w:t>生态环境现状</w:t>
            </w:r>
          </w:p>
          <w:p w14:paraId="13A14EEA">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1、调查人员</w:t>
            </w:r>
          </w:p>
          <w:p w14:paraId="1C436B5C">
            <w:pPr>
              <w:bidi w:val="0"/>
              <w:rPr>
                <w:rFonts w:hint="default" w:ascii="Times New Roman" w:hAnsi="Times New Roman" w:eastAsia="宋体" w:cs="Times New Roman"/>
                <w:bCs/>
                <w:color w:val="auto"/>
              </w:rPr>
            </w:pPr>
            <w:r>
              <w:rPr>
                <w:rFonts w:hint="default" w:ascii="Times New Roman" w:hAnsi="Times New Roman" w:eastAsia="宋体" w:cs="Times New Roman"/>
                <w:bCs/>
                <w:color w:val="auto"/>
              </w:rPr>
              <w:t>委托</w:t>
            </w:r>
            <w:r>
              <w:rPr>
                <w:rFonts w:hint="default" w:ascii="Times New Roman" w:hAnsi="Times New Roman" w:eastAsia="宋体" w:cs="Times New Roman"/>
                <w:bCs/>
                <w:color w:val="auto"/>
                <w:lang w:val="en-US" w:eastAsia="zh-CN"/>
              </w:rPr>
              <w:t>云南</w:t>
            </w:r>
            <w:r>
              <w:rPr>
                <w:rFonts w:hint="default" w:ascii="Times New Roman" w:hAnsi="Times New Roman" w:eastAsia="宋体" w:cs="Times New Roman"/>
                <w:bCs/>
                <w:color w:val="auto"/>
              </w:rPr>
              <w:t>云南天启环境工程</w:t>
            </w:r>
            <w:r>
              <w:rPr>
                <w:rFonts w:hint="default" w:ascii="Times New Roman" w:hAnsi="Times New Roman" w:eastAsia="宋体" w:cs="Times New Roman"/>
                <w:bCs/>
                <w:color w:val="auto"/>
                <w:lang w:val="en-US" w:eastAsia="zh-CN"/>
              </w:rPr>
              <w:t>有限公司</w:t>
            </w:r>
            <w:r>
              <w:rPr>
                <w:rFonts w:hint="default" w:ascii="Times New Roman" w:hAnsi="Times New Roman" w:eastAsia="宋体" w:cs="Times New Roman"/>
                <w:bCs/>
                <w:color w:val="auto"/>
              </w:rPr>
              <w:t>于</w:t>
            </w:r>
            <w:r>
              <w:rPr>
                <w:rFonts w:hint="default" w:ascii="Times New Roman" w:hAnsi="Times New Roman" w:eastAsia="宋体" w:cs="Times New Roman"/>
                <w:bCs/>
                <w:color w:val="auto"/>
                <w:highlight w:val="none"/>
                <w:lang w:val="en-US" w:eastAsia="zh-CN"/>
              </w:rPr>
              <w:t>2025年</w:t>
            </w:r>
            <w:r>
              <w:rPr>
                <w:rFonts w:hint="eastAsia" w:cs="Times New Roman"/>
                <w:bCs/>
                <w:color w:val="auto"/>
                <w:highlight w:val="none"/>
                <w:lang w:val="en-US" w:eastAsia="zh-CN"/>
              </w:rPr>
              <w:t>10</w:t>
            </w:r>
            <w:r>
              <w:rPr>
                <w:rFonts w:hint="default" w:ascii="Times New Roman" w:hAnsi="Times New Roman" w:eastAsia="宋体" w:cs="Times New Roman"/>
                <w:bCs/>
                <w:color w:val="auto"/>
                <w:highlight w:val="none"/>
                <w:lang w:val="en-US" w:eastAsia="zh-CN"/>
              </w:rPr>
              <w:t>月</w:t>
            </w:r>
            <w:r>
              <w:rPr>
                <w:rFonts w:hint="eastAsia" w:cs="Times New Roman"/>
                <w:bCs/>
                <w:color w:val="auto"/>
                <w:highlight w:val="none"/>
                <w:lang w:val="en-US" w:eastAsia="zh-CN"/>
              </w:rPr>
              <w:t>21</w:t>
            </w:r>
            <w:r>
              <w:rPr>
                <w:rFonts w:hint="default" w:ascii="Times New Roman" w:hAnsi="Times New Roman" w:eastAsia="宋体" w:cs="Times New Roman"/>
                <w:bCs/>
                <w:color w:val="auto"/>
                <w:highlight w:val="none"/>
                <w:lang w:val="en-US" w:eastAsia="zh-CN"/>
              </w:rPr>
              <w:t>-</w:t>
            </w:r>
            <w:r>
              <w:rPr>
                <w:rFonts w:hint="eastAsia" w:cs="Times New Roman"/>
                <w:bCs/>
                <w:color w:val="auto"/>
                <w:highlight w:val="none"/>
                <w:lang w:val="en-US" w:eastAsia="zh-CN"/>
              </w:rPr>
              <w:t>22</w:t>
            </w:r>
            <w:r>
              <w:rPr>
                <w:rFonts w:hint="default" w:ascii="Times New Roman" w:hAnsi="Times New Roman" w:eastAsia="宋体" w:cs="Times New Roman"/>
                <w:bCs/>
                <w:color w:val="auto"/>
                <w:highlight w:val="none"/>
                <w:lang w:val="en-US" w:eastAsia="zh-CN"/>
              </w:rPr>
              <w:t>日</w:t>
            </w:r>
            <w:r>
              <w:rPr>
                <w:rFonts w:hint="eastAsia" w:cs="Times New Roman"/>
                <w:bCs/>
                <w:color w:val="auto"/>
                <w:highlight w:val="none"/>
                <w:lang w:val="en-US" w:eastAsia="zh-CN"/>
              </w:rPr>
              <w:t>、2026年3月23日、7月5日，</w:t>
            </w:r>
            <w:r>
              <w:rPr>
                <w:rFonts w:hint="default" w:ascii="Times New Roman" w:hAnsi="Times New Roman" w:eastAsia="宋体" w:cs="Times New Roman"/>
                <w:bCs/>
                <w:color w:val="auto"/>
              </w:rPr>
              <w:t>实地调查了工程评价区周围的植被和植物。调查人员为</w:t>
            </w:r>
            <w:r>
              <w:rPr>
                <w:rFonts w:hint="eastAsia" w:ascii="Times New Roman" w:hAnsi="Times New Roman" w:eastAsia="宋体" w:cs="Times New Roman"/>
                <w:bCs/>
                <w:color w:val="auto"/>
                <w:lang w:eastAsia="zh-CN"/>
              </w:rPr>
              <w:t>刘绪超（环境科学）、纳慈萍（生态学）、张业军（生态学）</w:t>
            </w:r>
            <w:r>
              <w:rPr>
                <w:rFonts w:hint="default" w:ascii="Times New Roman" w:hAnsi="Times New Roman" w:eastAsia="宋体" w:cs="Times New Roman"/>
                <w:bCs/>
                <w:color w:val="auto"/>
              </w:rPr>
              <w:t>。</w:t>
            </w:r>
          </w:p>
          <w:p w14:paraId="6E2F71D0">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2、调查方法</w:t>
            </w:r>
          </w:p>
          <w:p w14:paraId="71EA88F6">
            <w:pPr>
              <w:numPr>
                <w:ilvl w:val="0"/>
                <w:numId w:val="0"/>
              </w:numPr>
              <w:bidi w:val="0"/>
              <w:ind w:firstLine="480" w:firstLineChars="200"/>
              <w:rPr>
                <w:rFonts w:hint="default" w:ascii="Times New Roman" w:hAnsi="Times New Roman" w:eastAsia="宋体" w:cs="Times New Roman"/>
                <w:color w:val="auto"/>
              </w:rPr>
            </w:pPr>
            <w:r>
              <w:rPr>
                <w:rFonts w:hint="default" w:ascii="Times New Roman" w:hAnsi="Times New Roman" w:eastAsia="宋体" w:cs="Times New Roman"/>
                <w:bCs/>
                <w:color w:val="auto"/>
                <w:lang w:val="en-US" w:eastAsia="zh-CN"/>
              </w:rPr>
              <w:t>调查方法</w:t>
            </w:r>
            <w:r>
              <w:rPr>
                <w:rFonts w:hint="default" w:ascii="Times New Roman" w:hAnsi="Times New Roman" w:eastAsia="宋体" w:cs="Times New Roman"/>
                <w:bCs/>
                <w:color w:val="auto"/>
              </w:rPr>
              <w:t>采</w:t>
            </w:r>
            <w:r>
              <w:rPr>
                <w:rFonts w:hint="default" w:ascii="Times New Roman" w:hAnsi="Times New Roman" w:eastAsia="宋体" w:cs="Times New Roman"/>
                <w:color w:val="auto"/>
              </w:rPr>
              <w:t>用基础资料收集、野外实地考察、基于空间信息技术的生态制图等。</w:t>
            </w:r>
          </w:p>
          <w:p w14:paraId="7911E805">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（1）基础资料收集</w:t>
            </w:r>
          </w:p>
          <w:p w14:paraId="7D5702B2">
            <w:pPr>
              <w:spacing w:line="360" w:lineRule="auto"/>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收集评价区</w:t>
            </w:r>
            <w:r>
              <w:rPr>
                <w:rFonts w:hint="default" w:ascii="Times New Roman" w:hAnsi="Times New Roman" w:eastAsia="宋体" w:cs="Times New Roman"/>
                <w:color w:val="auto"/>
                <w:lang w:val="en-US" w:eastAsia="zh-CN"/>
              </w:rPr>
              <w:t>内最新</w:t>
            </w:r>
            <w:r>
              <w:rPr>
                <w:rFonts w:hint="default" w:ascii="Times New Roman" w:hAnsi="Times New Roman" w:eastAsia="宋体" w:cs="Times New Roman"/>
                <w:color w:val="auto"/>
              </w:rPr>
              <w:t>森林资源清查</w:t>
            </w:r>
            <w:r>
              <w:rPr>
                <w:rFonts w:hint="default" w:ascii="Times New Roman" w:hAnsi="Times New Roman" w:eastAsia="宋体" w:cs="Times New Roman"/>
                <w:color w:val="auto"/>
                <w:lang w:val="en-US" w:eastAsia="zh-CN"/>
              </w:rPr>
              <w:t>数据</w:t>
            </w:r>
            <w:r>
              <w:rPr>
                <w:rFonts w:hint="default" w:ascii="Times New Roman" w:hAnsi="Times New Roman" w:eastAsia="宋体" w:cs="Times New Roman"/>
                <w:color w:val="auto"/>
              </w:rPr>
              <w:t>。包括森林资源组成、林种、林分面积、覆盖率、蓄积量及构成、分布及保护状况；</w:t>
            </w:r>
            <w:r>
              <w:rPr>
                <w:rFonts w:hint="default" w:ascii="Times New Roman" w:hAnsi="Times New Roman" w:eastAsia="宋体" w:cs="Times New Roman"/>
                <w:color w:val="auto"/>
                <w:lang w:val="en-US" w:eastAsia="zh-CN"/>
              </w:rPr>
              <w:t>天然林和人工林分布情况</w:t>
            </w:r>
            <w:r>
              <w:rPr>
                <w:rFonts w:hint="default" w:ascii="Times New Roman" w:hAnsi="Times New Roman" w:eastAsia="宋体" w:cs="Times New Roman"/>
                <w:color w:val="auto"/>
              </w:rPr>
              <w:t>等。</w:t>
            </w:r>
            <w:r>
              <w:rPr>
                <w:rFonts w:hint="default" w:ascii="Times New Roman" w:hAnsi="Times New Roman" w:eastAsia="宋体" w:cs="Times New Roman"/>
                <w:color w:val="auto"/>
                <w:lang w:val="en-US" w:eastAsia="zh-CN"/>
              </w:rPr>
              <w:t>收集评价区内土壤类型、面积、分布和土地利用情况。</w:t>
            </w:r>
          </w:p>
          <w:p w14:paraId="08AA85A6">
            <w:pPr>
              <w:spacing w:line="360" w:lineRule="auto"/>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2</w:t>
            </w:r>
            <w:r>
              <w:rPr>
                <w:rFonts w:hint="default" w:ascii="Times New Roman" w:hAnsi="Times New Roman" w:eastAsia="宋体" w:cs="Times New Roman"/>
                <w:color w:val="auto"/>
              </w:rPr>
              <w:t>）</w:t>
            </w:r>
            <w:r>
              <w:rPr>
                <w:rFonts w:hint="default" w:ascii="Times New Roman" w:hAnsi="Times New Roman" w:eastAsia="宋体" w:cs="Times New Roman"/>
                <w:color w:val="auto"/>
                <w:lang w:val="en-US" w:eastAsia="zh-CN"/>
              </w:rPr>
              <w:t>野外实地考察</w:t>
            </w:r>
          </w:p>
          <w:p w14:paraId="7EF7272B">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①GPS记录</w:t>
            </w:r>
          </w:p>
          <w:p w14:paraId="533E0C04">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野外调查GPS记录是卫星遥感影像判读植被类型和土地利用类型的基础，根据室内初步判读的植被与土地利用类型图，现场核实判读的精度，并对每个GPS采样点作如下记录：海拔（注意相应植被类型的垂直变化）；记录样点植被类型（群系、群系组或植被亚型），特别是类型发生变化的地方要做准确详细的记录；记录样点优势植物和重要物种；拍摄典型植被特征（外貌与结构）；在视野广阔清晰之处，拍摄周围植被或景观的照片，并进行记录。</w:t>
            </w:r>
          </w:p>
          <w:p w14:paraId="6D81770B">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②群落调查</w:t>
            </w:r>
          </w:p>
          <w:p w14:paraId="58E8BFD2">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在实地踏查和遥感卫星影像数据分析的基础上，结合研究区的地形地貌特点和交通状况及工程分布状况，在线路调查的基础上，确定重点调查地段和重要植被类型。本次调查采用法瑞学派样地调查法进行样地选择和记录进行群落调查，其中</w:t>
            </w:r>
            <w:r>
              <w:rPr>
                <w:rFonts w:hint="default" w:ascii="Times New Roman" w:hAnsi="Times New Roman" w:eastAsia="宋体" w:cs="Times New Roman"/>
                <w:color w:val="auto"/>
                <w:lang w:val="en-US" w:eastAsia="zh-CN"/>
              </w:rPr>
              <w:t>暖性针叶林</w:t>
            </w:r>
            <w:r>
              <w:rPr>
                <w:rFonts w:hint="default" w:ascii="Times New Roman" w:hAnsi="Times New Roman" w:eastAsia="宋体" w:cs="Times New Roman"/>
                <w:color w:val="auto"/>
              </w:rPr>
              <w:t>、落叶阔叶林样地面积2</w:t>
            </w:r>
            <w:r>
              <w:rPr>
                <w:rFonts w:hint="default" w:ascii="Times New Roman" w:hAnsi="Times New Roman" w:eastAsia="宋体" w:cs="Times New Roman"/>
                <w:color w:val="auto"/>
                <w:lang w:val="en-US" w:eastAsia="zh-CN"/>
              </w:rPr>
              <w:t>0</w:t>
            </w:r>
            <w:r>
              <w:rPr>
                <w:rFonts w:hint="default" w:ascii="Times New Roman" w:hAnsi="Times New Roman" w:eastAsia="宋体" w:cs="Times New Roman"/>
                <w:color w:val="auto"/>
              </w:rPr>
              <w:t>×2</w:t>
            </w:r>
            <w:r>
              <w:rPr>
                <w:rFonts w:hint="default" w:ascii="Times New Roman" w:hAnsi="Times New Roman" w:eastAsia="宋体" w:cs="Times New Roman"/>
                <w:color w:val="auto"/>
                <w:lang w:val="en-US" w:eastAsia="zh-CN"/>
              </w:rPr>
              <w:t>0</w:t>
            </w:r>
            <w:r>
              <w:rPr>
                <w:rFonts w:hint="default" w:ascii="Times New Roman" w:hAnsi="Times New Roman" w:eastAsia="宋体" w:cs="Times New Roman"/>
                <w:color w:val="auto"/>
              </w:rPr>
              <w:t>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，稀树灌木草丛样地面积10×10m</w:t>
            </w:r>
            <w:r>
              <w:rPr>
                <w:rFonts w:hint="default" w:ascii="Times New Roman" w:hAnsi="Times New Roman" w:eastAsia="宋体" w:cs="Times New Roman"/>
                <w:color w:val="auto"/>
                <w:vertAlign w:val="superscript"/>
              </w:rPr>
              <w:t>2</w:t>
            </w:r>
            <w:r>
              <w:rPr>
                <w:rFonts w:hint="default" w:ascii="Times New Roman" w:hAnsi="Times New Roman" w:eastAsia="宋体" w:cs="Times New Roman"/>
                <w:color w:val="auto"/>
              </w:rPr>
              <w:t>。记录样地的所有植物种类，并按Braun-Blanquet多优度</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群聚度记分，利用GPS确定样地位置。</w:t>
            </w:r>
          </w:p>
          <w:p w14:paraId="138D4960">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③植物种类调查</w:t>
            </w:r>
          </w:p>
          <w:p w14:paraId="50EAD712">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采取路线调查与样地调查相结合的方法进行植物调查，在植被线路调查和群落调查中，同时记录植物种类、资源状况、珍稀濒危植物的种类及生存状况等。对资源植物和珍稀濒危植物调查采取野外调查和访问调查的方法进行。对有疑问、经济植物和珍稀濒危植物还要采集凭证标本和拍摄照片。</w:t>
            </w:r>
          </w:p>
          <w:p w14:paraId="715A8FF7">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根据实地调查资料，结合区域林业、环境和生物多样性相关研究结果确定评价区分布的植物种类，编制植物名录。</w:t>
            </w:r>
          </w:p>
          <w:p w14:paraId="19E35CA6">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rPr>
              <w:t>（3）基于空间信息技术的生态制图</w:t>
            </w:r>
          </w:p>
          <w:p w14:paraId="0C80CA54">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采用GPS和GIS相结合的地理信息技术(Geographical Information Technology)，进行地面类型的数字化判读，完成植被</w:t>
            </w:r>
            <w:r>
              <w:rPr>
                <w:rFonts w:hint="default" w:ascii="Times New Roman" w:hAnsi="Times New Roman" w:eastAsia="宋体" w:cs="Times New Roman"/>
                <w:color w:val="auto"/>
                <w:lang w:val="en-US" w:eastAsia="zh-CN"/>
              </w:rPr>
              <w:t>类型分布</w:t>
            </w:r>
            <w:r>
              <w:rPr>
                <w:rFonts w:hint="default" w:ascii="Times New Roman" w:hAnsi="Times New Roman" w:eastAsia="宋体" w:cs="Times New Roman"/>
                <w:color w:val="auto"/>
              </w:rPr>
              <w:t>图和土地利用类型图</w:t>
            </w:r>
            <w:r>
              <w:rPr>
                <w:rFonts w:hint="default" w:ascii="Times New Roman" w:hAnsi="Times New Roman" w:eastAsia="宋体" w:cs="Times New Roman"/>
                <w:color w:val="auto"/>
                <w:lang w:eastAsia="zh-CN"/>
              </w:rPr>
              <w:t>。</w:t>
            </w:r>
            <w:r>
              <w:rPr>
                <w:rFonts w:hint="default" w:ascii="Times New Roman" w:hAnsi="Times New Roman" w:eastAsia="宋体" w:cs="Times New Roman"/>
                <w:color w:val="auto"/>
              </w:rPr>
              <w:t>GIS数据制作与处理的软件平台为ArcGIS</w:t>
            </w:r>
            <w:r>
              <w:rPr>
                <w:rFonts w:hint="default" w:ascii="Times New Roman" w:hAnsi="Times New Roman" w:eastAsia="宋体" w:cs="Times New Roman"/>
                <w:color w:val="auto"/>
                <w:lang w:val="en-US" w:eastAsia="zh-CN"/>
              </w:rPr>
              <w:t>10.8。</w:t>
            </w:r>
          </w:p>
          <w:p w14:paraId="6517ABD7">
            <w:pPr>
              <w:adjustRightInd w:val="0"/>
              <w:snapToGrid w:val="0"/>
              <w:spacing w:line="360" w:lineRule="auto"/>
              <w:ind w:firstLine="480" w:firstLineChars="200"/>
              <w:rPr>
                <w:rFonts w:hint="default" w:ascii="Times New Roman" w:hAnsi="Times New Roman" w:eastAsia="宋体" w:cs="Times New Roman"/>
                <w:b w:val="0"/>
                <w:bCs/>
                <w:color w:val="auto"/>
              </w:rPr>
            </w:pPr>
            <w:r>
              <w:rPr>
                <w:rFonts w:hint="default" w:ascii="Times New Roman" w:hAnsi="Times New Roman" w:eastAsia="宋体" w:cs="Times New Roman"/>
                <w:b w:val="0"/>
                <w:bCs/>
                <w:color w:val="auto"/>
              </w:rPr>
              <w:t>3、调查范围</w:t>
            </w:r>
          </w:p>
          <w:p w14:paraId="2BF79F8E">
            <w:pPr>
              <w:spacing w:line="360" w:lineRule="auto"/>
              <w:ind w:firstLine="480"/>
              <w:rPr>
                <w:rFonts w:hint="default" w:ascii="Times New Roman" w:hAnsi="Times New Roman" w:eastAsia="宋体" w:cs="Times New Roman"/>
                <w:color w:val="auto"/>
              </w:rPr>
            </w:pPr>
            <w:r>
              <w:rPr>
                <w:rFonts w:hint="default" w:ascii="Times New Roman" w:hAnsi="Times New Roman" w:eastAsia="宋体" w:cs="Times New Roman"/>
                <w:color w:val="auto"/>
                <w:lang w:val="en-US" w:eastAsia="zh-CN"/>
              </w:rPr>
              <w:t>本次调查范围为风机和占地红线范围外延300m，重点调查风机和开关站占地红线范围内得植被</w:t>
            </w:r>
            <w:bookmarkStart w:id="22" w:name="_Hlk205296093"/>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rPr>
              <w:t>评价区总面积</w:t>
            </w:r>
            <w:r>
              <w:rPr>
                <w:rFonts w:hint="eastAsia" w:cs="Times New Roman"/>
                <w:color w:val="auto"/>
                <w:lang w:val="en-US" w:eastAsia="zh-CN"/>
              </w:rPr>
              <w:t>98.26</w:t>
            </w:r>
            <w:r>
              <w:rPr>
                <w:rFonts w:hint="default" w:ascii="Times New Roman" w:hAnsi="Times New Roman" w:eastAsia="宋体" w:cs="Times New Roman"/>
                <w:color w:val="auto"/>
              </w:rPr>
              <w:t>hm²，评价区海拔为</w:t>
            </w:r>
            <w:r>
              <w:rPr>
                <w:rFonts w:hint="default" w:ascii="Times New Roman" w:hAnsi="Times New Roman" w:eastAsia="宋体" w:cs="Times New Roman"/>
                <w:color w:val="auto"/>
                <w:kern w:val="0"/>
                <w:szCs w:val="24"/>
                <w:highlight w:val="none"/>
                <w:lang w:bidi="ar"/>
              </w:rPr>
              <w:t>2370～24</w:t>
            </w:r>
            <w:r>
              <w:rPr>
                <w:rFonts w:hint="eastAsia" w:cs="Times New Roman"/>
                <w:color w:val="auto"/>
                <w:kern w:val="0"/>
                <w:szCs w:val="24"/>
                <w:highlight w:val="none"/>
                <w:lang w:val="en-US" w:eastAsia="zh-CN" w:bidi="ar"/>
              </w:rPr>
              <w:t>10</w:t>
            </w:r>
            <w:r>
              <w:rPr>
                <w:rFonts w:hint="default" w:ascii="Times New Roman" w:hAnsi="Times New Roman" w:eastAsia="宋体" w:cs="Times New Roman"/>
                <w:color w:val="auto"/>
              </w:rPr>
              <w:t>m。</w:t>
            </w:r>
            <w:bookmarkEnd w:id="22"/>
          </w:p>
          <w:p w14:paraId="7B80F916">
            <w:pPr>
              <w:adjustRightInd w:val="0"/>
              <w:snapToGrid w:val="0"/>
              <w:spacing w:line="360" w:lineRule="auto"/>
              <w:ind w:firstLine="480" w:firstLineChars="200"/>
              <w:rPr>
                <w:rFonts w:hint="default" w:ascii="Times New Roman" w:hAnsi="Times New Roman" w:eastAsia="宋体" w:cs="Times New Roman"/>
                <w:b w:val="0"/>
                <w:bCs/>
                <w:color w:val="auto"/>
              </w:rPr>
            </w:pPr>
            <w:r>
              <w:rPr>
                <w:rFonts w:hint="default" w:ascii="Times New Roman" w:hAnsi="Times New Roman" w:eastAsia="宋体" w:cs="Times New Roman"/>
                <w:b w:val="0"/>
                <w:bCs/>
                <w:color w:val="auto"/>
              </w:rPr>
              <w:t>4、调查内容</w:t>
            </w:r>
          </w:p>
          <w:p w14:paraId="2EBD28C8">
            <w:pPr>
              <w:bidi w:val="0"/>
              <w:rPr>
                <w:rFonts w:hint="default" w:ascii="Times New Roman" w:hAnsi="Times New Roman" w:eastAsia="宋体" w:cs="Times New Roman"/>
                <w:color w:val="auto"/>
              </w:rPr>
            </w:pPr>
            <w:r>
              <w:rPr>
                <w:rFonts w:hint="default" w:ascii="Times New Roman" w:hAnsi="Times New Roman" w:eastAsia="宋体" w:cs="Times New Roman"/>
                <w:color w:val="auto"/>
              </w:rPr>
              <w:t>陆生植被和植物调查的主要内容是评价区植被类型及分布特征，评价区植物资源现状，国家重点保护野生植物数量及分布情况，云南省重点保护野生植物数量及分布情况。</w:t>
            </w:r>
          </w:p>
          <w:p w14:paraId="1BDA7889">
            <w:pPr>
              <w:adjustRightInd w:val="0"/>
              <w:snapToGrid w:val="0"/>
              <w:spacing w:line="360" w:lineRule="auto"/>
              <w:ind w:firstLine="480" w:firstLineChars="200"/>
              <w:rPr>
                <w:rFonts w:hint="default" w:ascii="Times New Roman" w:hAnsi="Times New Roman" w:eastAsia="宋体" w:cs="Times New Roman"/>
                <w:b w:val="0"/>
                <w:bCs/>
                <w:color w:val="auto"/>
              </w:rPr>
            </w:pPr>
            <w:r>
              <w:rPr>
                <w:rFonts w:hint="default" w:ascii="Times New Roman" w:hAnsi="Times New Roman" w:eastAsia="宋体" w:cs="Times New Roman"/>
                <w:b w:val="0"/>
                <w:bCs/>
                <w:color w:val="auto"/>
              </w:rPr>
              <w:t>5、样地设置情况</w:t>
            </w:r>
          </w:p>
          <w:p w14:paraId="10A4B62E">
            <w:pPr>
              <w:bidi w:val="0"/>
              <w:rPr>
                <w:rFonts w:hint="default" w:ascii="Times New Roman" w:hAnsi="Times New Roman" w:eastAsia="宋体" w:cs="Times New Roman"/>
                <w:bCs/>
                <w:color w:val="auto"/>
                <w:lang w:val="en-US" w:eastAsia="zh-CN"/>
              </w:rPr>
            </w:pPr>
            <w:r>
              <w:rPr>
                <w:rFonts w:hint="default" w:ascii="Times New Roman" w:hAnsi="Times New Roman" w:eastAsia="宋体" w:cs="Times New Roman"/>
                <w:bCs/>
                <w:color w:val="auto"/>
              </w:rPr>
              <w:t>根据评价区现场踏勘，本次评价陆生植被共设置</w:t>
            </w:r>
            <w:r>
              <w:rPr>
                <w:rFonts w:hint="eastAsia" w:cs="Times New Roman"/>
                <w:bCs/>
                <w:color w:val="auto"/>
                <w:lang w:val="en-US" w:eastAsia="zh-CN"/>
              </w:rPr>
              <w:t>9</w:t>
            </w:r>
            <w:r>
              <w:rPr>
                <w:rFonts w:hint="default" w:ascii="Times New Roman" w:hAnsi="Times New Roman" w:eastAsia="宋体" w:cs="Times New Roman"/>
                <w:bCs/>
                <w:color w:val="auto"/>
              </w:rPr>
              <w:t>个样地</w:t>
            </w:r>
            <w:r>
              <w:rPr>
                <w:rFonts w:hint="default" w:ascii="Times New Roman" w:hAnsi="Times New Roman" w:eastAsia="宋体" w:cs="Times New Roman"/>
                <w:bCs/>
                <w:color w:val="auto"/>
                <w:lang w:eastAsia="zh-CN"/>
              </w:rPr>
              <w:t>。</w:t>
            </w:r>
            <w:r>
              <w:rPr>
                <w:rFonts w:hint="default" w:ascii="Times New Roman" w:hAnsi="Times New Roman" w:eastAsia="宋体" w:cs="Times New Roman"/>
                <w:bCs/>
                <w:color w:val="auto"/>
                <w:lang w:val="en-US" w:eastAsia="zh-CN"/>
              </w:rPr>
              <w:t>其中暖性针叶林设置</w:t>
            </w:r>
            <w:r>
              <w:rPr>
                <w:rFonts w:hint="eastAsia" w:cs="Times New Roman"/>
                <w:bCs/>
                <w:color w:val="auto"/>
                <w:lang w:val="en-US" w:eastAsia="zh-CN"/>
              </w:rPr>
              <w:t>3</w:t>
            </w:r>
            <w:r>
              <w:rPr>
                <w:rFonts w:hint="default" w:ascii="Times New Roman" w:hAnsi="Times New Roman" w:eastAsia="宋体" w:cs="Times New Roman"/>
                <w:bCs/>
                <w:color w:val="auto"/>
                <w:lang w:val="en-US" w:eastAsia="zh-CN"/>
              </w:rPr>
              <w:t>个样地，落叶阔叶林设置</w:t>
            </w:r>
            <w:r>
              <w:rPr>
                <w:rFonts w:hint="eastAsia" w:cs="Times New Roman"/>
                <w:bCs/>
                <w:color w:val="auto"/>
                <w:lang w:val="en-US" w:eastAsia="zh-CN"/>
              </w:rPr>
              <w:t>3</w:t>
            </w:r>
            <w:r>
              <w:rPr>
                <w:rFonts w:hint="default" w:ascii="Times New Roman" w:hAnsi="Times New Roman" w:eastAsia="宋体" w:cs="Times New Roman"/>
                <w:bCs/>
                <w:color w:val="auto"/>
                <w:lang w:val="en-US" w:eastAsia="zh-CN"/>
              </w:rPr>
              <w:t>个，稀树灌木草丛设置3个。</w:t>
            </w:r>
          </w:p>
          <w:p w14:paraId="0A710D02">
            <w:pPr>
              <w:adjustRightInd w:val="0"/>
              <w:snapToGrid w:val="0"/>
              <w:spacing w:line="360" w:lineRule="auto"/>
              <w:ind w:firstLine="480" w:firstLineChars="200"/>
              <w:rPr>
                <w:rFonts w:hint="default" w:ascii="Times New Roman" w:hAnsi="Times New Roman" w:eastAsia="宋体" w:cs="Times New Roman"/>
                <w:b w:val="0"/>
                <w:bCs/>
                <w:color w:val="auto"/>
                <w:lang w:val="en-US" w:eastAsia="zh-CN"/>
              </w:rPr>
            </w:pPr>
            <w:r>
              <w:rPr>
                <w:rFonts w:hint="default" w:ascii="Times New Roman" w:hAnsi="Times New Roman" w:eastAsia="宋体" w:cs="Times New Roman"/>
                <w:b w:val="0"/>
                <w:bCs/>
                <w:color w:val="auto"/>
                <w:lang w:val="en-US" w:eastAsia="zh-CN"/>
              </w:rPr>
              <w:t>6</w:t>
            </w:r>
            <w:r>
              <w:rPr>
                <w:rFonts w:hint="default" w:ascii="Times New Roman" w:hAnsi="Times New Roman" w:eastAsia="宋体" w:cs="Times New Roman"/>
                <w:b w:val="0"/>
                <w:bCs/>
                <w:color w:val="auto"/>
              </w:rPr>
              <w:t>、</w:t>
            </w:r>
            <w:r>
              <w:rPr>
                <w:rFonts w:hint="default" w:ascii="Times New Roman" w:hAnsi="Times New Roman" w:eastAsia="宋体" w:cs="Times New Roman"/>
                <w:b w:val="0"/>
                <w:bCs/>
                <w:color w:val="auto"/>
                <w:lang w:val="en-US" w:eastAsia="zh-CN"/>
              </w:rPr>
              <w:t>植被调查结果</w:t>
            </w:r>
          </w:p>
          <w:p w14:paraId="36A5FE61">
            <w:pPr>
              <w:keepNext w:val="0"/>
              <w:keepLines w:val="0"/>
              <w:pageBreakBefore w:val="0"/>
              <w:numPr>
                <w:ilvl w:val="0"/>
                <w:numId w:val="0"/>
              </w:numPr>
              <w:kinsoku/>
              <w:wordWrap/>
              <w:overflowPunct/>
              <w:topLinePunct w:val="0"/>
              <w:autoSpaceDE/>
              <w:autoSpaceDN/>
              <w:bidi w:val="0"/>
              <w:adjustRightInd w:val="0"/>
              <w:snapToGrid w:val="0"/>
              <w:spacing w:line="360" w:lineRule="auto"/>
              <w:ind w:leftChars="0"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本项目位于云南省曲靖市宣威市海德村境内，</w:t>
            </w:r>
            <w:r>
              <w:rPr>
                <w:rFonts w:hint="default" w:ascii="Times New Roman" w:hAnsi="Times New Roman" w:eastAsia="宋体" w:cs="Times New Roman"/>
                <w:color w:val="auto"/>
                <w:kern w:val="0"/>
                <w:szCs w:val="24"/>
                <w:highlight w:val="none"/>
                <w:lang w:bidi="ar"/>
              </w:rPr>
              <w:t>海拔在2370～24</w:t>
            </w:r>
            <w:r>
              <w:rPr>
                <w:rFonts w:hint="eastAsia" w:cs="Times New Roman"/>
                <w:color w:val="auto"/>
                <w:kern w:val="0"/>
                <w:szCs w:val="24"/>
                <w:highlight w:val="none"/>
                <w:lang w:val="en-US" w:eastAsia="zh-CN" w:bidi="ar"/>
              </w:rPr>
              <w:t>10</w:t>
            </w:r>
            <w:r>
              <w:rPr>
                <w:rFonts w:hint="default" w:ascii="Times New Roman" w:hAnsi="Times New Roman" w:eastAsia="宋体" w:cs="Times New Roman"/>
                <w:color w:val="auto"/>
                <w:kern w:val="0"/>
                <w:szCs w:val="24"/>
                <w:highlight w:val="none"/>
                <w:lang w:bidi="ar"/>
              </w:rPr>
              <w:t>m之间</w:t>
            </w:r>
            <w:r>
              <w:rPr>
                <w:rFonts w:hint="default" w:ascii="Times New Roman" w:hAnsi="Times New Roman" w:eastAsia="宋体" w:cs="Times New Roman"/>
                <w:color w:val="auto"/>
                <w:kern w:val="0"/>
                <w:szCs w:val="24"/>
                <w:highlight w:val="none"/>
                <w:lang w:eastAsia="zh-CN" w:bidi="ar"/>
              </w:rPr>
              <w:t>。</w:t>
            </w:r>
            <w:r>
              <w:rPr>
                <w:rFonts w:hint="default" w:ascii="Times New Roman" w:hAnsi="Times New Roman" w:eastAsia="宋体" w:cs="Times New Roman"/>
                <w:color w:val="auto"/>
                <w:highlight w:val="none"/>
                <w:lang w:val="en-US" w:eastAsia="zh-CN"/>
              </w:rPr>
              <w:t>根据云南植被区划，该区域属于亚热带常绿阔叶林区域（</w:t>
            </w:r>
            <w:r>
              <w:rPr>
                <w:rFonts w:hint="eastAsia"/>
                <w:b w:val="0"/>
                <w:bCs/>
                <w:color w:val="auto"/>
                <w:lang w:val="en-US" w:eastAsia="zh-CN"/>
              </w:rPr>
              <w:t>II</w:t>
            </w:r>
            <w:r>
              <w:rPr>
                <w:rFonts w:hint="default" w:ascii="Times New Roman" w:hAnsi="Times New Roman" w:eastAsia="宋体" w:cs="Times New Roman"/>
                <w:color w:val="auto"/>
                <w:highlight w:val="none"/>
                <w:lang w:val="en-US" w:eastAsia="zh-CN"/>
              </w:rPr>
              <w:t>），西部（半湿润）常绿阔叶林亚区域（</w:t>
            </w:r>
            <w:r>
              <w:rPr>
                <w:rFonts w:hint="eastAsia"/>
                <w:b w:val="0"/>
                <w:bCs/>
                <w:color w:val="auto"/>
                <w:lang w:val="en-US" w:eastAsia="zh-CN"/>
              </w:rPr>
              <w:t>II</w:t>
            </w:r>
            <w:r>
              <w:rPr>
                <w:rFonts w:hint="default" w:ascii="Times New Roman" w:hAnsi="Times New Roman" w:eastAsia="宋体" w:cs="Times New Roman"/>
                <w:color w:val="auto"/>
                <w:highlight w:val="none"/>
                <w:lang w:val="en-US" w:eastAsia="zh-CN"/>
              </w:rPr>
              <w:t>A），高原亚热带北部常绿阔叶林地带（</w:t>
            </w:r>
            <w:r>
              <w:rPr>
                <w:rFonts w:hint="eastAsia"/>
                <w:b w:val="0"/>
                <w:bCs/>
                <w:color w:val="auto"/>
                <w:lang w:val="en-US" w:eastAsia="zh-CN"/>
              </w:rPr>
              <w:t>II</w:t>
            </w:r>
            <w:r>
              <w:rPr>
                <w:rFonts w:hint="default" w:ascii="Times New Roman" w:hAnsi="Times New Roman" w:eastAsia="宋体" w:cs="Times New Roman"/>
                <w:color w:val="auto"/>
                <w:highlight w:val="none"/>
                <w:lang w:val="en-US" w:eastAsia="zh-CN"/>
              </w:rPr>
              <w:t>Aii），滇中、滇东高原半湿润常绿阔叶林、云南松林区（</w:t>
            </w:r>
            <w:r>
              <w:rPr>
                <w:rFonts w:hint="eastAsia"/>
                <w:b w:val="0"/>
                <w:bCs/>
                <w:color w:val="auto"/>
                <w:lang w:val="en-US" w:eastAsia="zh-CN"/>
              </w:rPr>
              <w:t>II</w:t>
            </w:r>
            <w:r>
              <w:rPr>
                <w:rFonts w:hint="default" w:ascii="Times New Roman" w:hAnsi="Times New Roman" w:eastAsia="宋体" w:cs="Times New Roman"/>
                <w:color w:val="auto"/>
                <w:highlight w:val="none"/>
                <w:lang w:val="en-US" w:eastAsia="zh-CN"/>
              </w:rPr>
              <w:t>Aii-1），滇中高原盆谷滇青冈林、元江栲林、云南松林亚区（</w:t>
            </w:r>
            <w:r>
              <w:rPr>
                <w:rFonts w:hint="eastAsia"/>
                <w:b w:val="0"/>
                <w:bCs/>
                <w:color w:val="auto"/>
                <w:lang w:val="en-US" w:eastAsia="zh-CN"/>
              </w:rPr>
              <w:t>II</w:t>
            </w:r>
            <w:r>
              <w:rPr>
                <w:rFonts w:hint="default" w:ascii="Times New Roman" w:hAnsi="Times New Roman" w:eastAsia="宋体" w:cs="Times New Roman"/>
                <w:color w:val="auto"/>
                <w:highlight w:val="none"/>
                <w:lang w:val="en-US" w:eastAsia="zh-CN"/>
              </w:rPr>
              <w:t>Aii-1a）。根据植被分布的地带性规律和评价区的地理位置及气候条件可知，评价区原生地带性植被为亚热带常绿阔叶林，但由于长期的人类活动，大面积的原始常绿阔叶林现已较为少见，取而代之的是以云南松为代表的暖温性针叶林等次生植被。</w:t>
            </w:r>
          </w:p>
          <w:p w14:paraId="05B321D6">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zh-CN"/>
              </w:rPr>
              <w:t>依据《云南植被》专著中采用的分类系统，遵循群落学－生态学的分类原则，采用3个主级分类单位，即植被型(高级分类单位)、群系(中级分类单位)和群丛(低级分类单位)，各级再设亚级或辅助单位。</w:t>
            </w:r>
          </w:p>
          <w:p w14:paraId="72382A0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根据现场调查，按《云南植被》分类系统，项目区内所</w:t>
            </w:r>
            <w:r>
              <w:rPr>
                <w:rFonts w:hint="eastAsia" w:cs="Times New Roman"/>
                <w:color w:val="auto"/>
                <w:highlight w:val="none"/>
                <w:lang w:val="en-US" w:eastAsia="zh-CN"/>
              </w:rPr>
              <w:t>涉及</w:t>
            </w:r>
            <w:r>
              <w:rPr>
                <w:rFonts w:hint="default" w:ascii="Times New Roman" w:hAnsi="Times New Roman" w:cs="Times New Roman"/>
                <w:color w:val="auto"/>
                <w:highlight w:val="none"/>
                <w:lang w:val="en-US" w:eastAsia="zh-CN"/>
              </w:rPr>
              <w:t>的自然植被共有3个植被型，3个植被亚型，6个群系。见表3-1</w:t>
            </w:r>
            <w:r>
              <w:rPr>
                <w:rFonts w:hint="eastAsia" w:cs="Times New Roman"/>
                <w:color w:val="auto"/>
                <w:highlight w:val="none"/>
                <w:lang w:val="en-US" w:eastAsia="zh-CN"/>
              </w:rPr>
              <w:t>、3-2</w:t>
            </w:r>
            <w:r>
              <w:rPr>
                <w:rFonts w:hint="default" w:ascii="Times New Roman" w:hAnsi="Times New Roman" w:cs="Times New Roman"/>
                <w:color w:val="auto"/>
                <w:highlight w:val="none"/>
                <w:lang w:val="en-US" w:eastAsia="zh-CN"/>
              </w:rPr>
              <w:t>。</w:t>
            </w:r>
          </w:p>
          <w:p w14:paraId="53D06107">
            <w:pPr>
              <w:pStyle w:val="49"/>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表3-</w:t>
            </w:r>
            <w:r>
              <w:rPr>
                <w:rFonts w:hint="eastAsia"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植被类型</w:t>
            </w:r>
            <w:r>
              <w:rPr>
                <w:rFonts w:hint="eastAsia" w:ascii="Times New Roman" w:hAnsi="Times New Roman" w:cs="Times New Roman"/>
                <w:color w:val="auto"/>
                <w:highlight w:val="none"/>
                <w:lang w:val="en-US" w:eastAsia="zh-CN"/>
              </w:rPr>
              <w:t>一览表</w:t>
            </w:r>
          </w:p>
          <w:tbl>
            <w:tblPr>
              <w:tblStyle w:val="20"/>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679"/>
            </w:tblGrid>
            <w:tr w14:paraId="1C0EF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7" w:hRule="atLeast"/>
                <w:jc w:val="center"/>
              </w:trPr>
              <w:tc>
                <w:tcPr>
                  <w:tcW w:w="5000" w:type="pct"/>
                  <w:tcBorders>
                    <w:tl2br w:val="nil"/>
                    <w:tr2bl w:val="nil"/>
                  </w:tcBorders>
                  <w:noWrap w:val="0"/>
                  <w:vAlign w:val="top"/>
                </w:tcPr>
                <w:p w14:paraId="06EB8709">
                  <w:pPr>
                    <w:ind w:firstLine="630" w:firstLineChars="3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I.</w:t>
                  </w:r>
                  <w:r>
                    <w:rPr>
                      <w:rFonts w:hint="default" w:ascii="Times New Roman" w:hAnsi="Times New Roman" w:eastAsia="宋体" w:cs="Times New Roman"/>
                      <w:color w:val="auto"/>
                      <w:sz w:val="21"/>
                      <w:szCs w:val="21"/>
                      <w:highlight w:val="none"/>
                      <w:lang w:val="en-US" w:eastAsia="zh-CN"/>
                    </w:rPr>
                    <w:t>暖性针叶林</w:t>
                  </w:r>
                </w:p>
              </w:tc>
            </w:tr>
            <w:tr w14:paraId="2AD1E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7" w:hRule="atLeast"/>
                <w:jc w:val="center"/>
              </w:trPr>
              <w:tc>
                <w:tcPr>
                  <w:tcW w:w="5000" w:type="pct"/>
                  <w:tcBorders>
                    <w:tl2br w:val="nil"/>
                    <w:tr2bl w:val="nil"/>
                  </w:tcBorders>
                  <w:noWrap w:val="0"/>
                  <w:vAlign w:val="top"/>
                </w:tcPr>
                <w:p w14:paraId="02367810">
                  <w:pPr>
                    <w:ind w:firstLine="630" w:firstLineChars="3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（I）</w:t>
                  </w:r>
                  <w:r>
                    <w:rPr>
                      <w:rFonts w:hint="default" w:ascii="Times New Roman" w:hAnsi="Times New Roman" w:eastAsia="宋体" w:cs="Times New Roman"/>
                      <w:color w:val="auto"/>
                      <w:sz w:val="21"/>
                      <w:szCs w:val="21"/>
                      <w:highlight w:val="none"/>
                      <w:lang w:val="en-US" w:eastAsia="zh-CN"/>
                    </w:rPr>
                    <w:t>暖温性针叶林</w:t>
                  </w:r>
                </w:p>
              </w:tc>
            </w:tr>
            <w:tr w14:paraId="54B2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7" w:hRule="atLeast"/>
                <w:jc w:val="center"/>
              </w:trPr>
              <w:tc>
                <w:tcPr>
                  <w:tcW w:w="5000" w:type="pct"/>
                  <w:tcBorders>
                    <w:tl2br w:val="nil"/>
                    <w:tr2bl w:val="nil"/>
                  </w:tcBorders>
                  <w:noWrap w:val="0"/>
                  <w:vAlign w:val="top"/>
                </w:tcPr>
                <w:p w14:paraId="70140358">
                  <w:pPr>
                    <w:ind w:firstLine="840" w:firstLineChars="4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一、</w:t>
                  </w:r>
                  <w:r>
                    <w:rPr>
                      <w:rFonts w:hint="default" w:ascii="Times New Roman" w:hAnsi="Times New Roman" w:eastAsia="宋体" w:cs="Times New Roman"/>
                      <w:color w:val="auto"/>
                      <w:sz w:val="21"/>
                      <w:szCs w:val="21"/>
                      <w:highlight w:val="none"/>
                      <w:lang w:val="en-US" w:eastAsia="zh-CN"/>
                    </w:rPr>
                    <w:t>云南松林</w:t>
                  </w:r>
                </w:p>
              </w:tc>
            </w:tr>
            <w:tr w14:paraId="75B8B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7" w:hRule="atLeast"/>
                <w:jc w:val="center"/>
              </w:trPr>
              <w:tc>
                <w:tcPr>
                  <w:tcW w:w="5000" w:type="pct"/>
                  <w:tcBorders>
                    <w:tl2br w:val="nil"/>
                    <w:tr2bl w:val="nil"/>
                  </w:tcBorders>
                  <w:noWrap w:val="0"/>
                  <w:vAlign w:val="top"/>
                </w:tcPr>
                <w:p w14:paraId="0904DD32">
                  <w:pPr>
                    <w:ind w:firstLine="840" w:firstLineChars="4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二</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华山松林</w:t>
                  </w:r>
                </w:p>
              </w:tc>
            </w:tr>
            <w:tr w14:paraId="094A1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2" w:hRule="atLeast"/>
                <w:jc w:val="center"/>
              </w:trPr>
              <w:tc>
                <w:tcPr>
                  <w:tcW w:w="5000" w:type="pct"/>
                  <w:tcBorders>
                    <w:tl2br w:val="nil"/>
                    <w:tr2bl w:val="nil"/>
                  </w:tcBorders>
                  <w:noWrap w:val="0"/>
                  <w:vAlign w:val="top"/>
                </w:tcPr>
                <w:p w14:paraId="36450A70">
                  <w:pPr>
                    <w:ind w:firstLine="630" w:firstLineChars="3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r>
                    <w:rPr>
                      <w:rFonts w:hint="default" w:ascii="Times New Roman" w:hAnsi="Times New Roman" w:eastAsia="宋体" w:cs="Times New Roman"/>
                      <w:color w:val="auto"/>
                      <w:sz w:val="21"/>
                      <w:szCs w:val="21"/>
                      <w:highlight w:val="none"/>
                      <w:lang w:val="en-US" w:eastAsia="zh-CN"/>
                    </w:rPr>
                    <w:t>落叶</w:t>
                  </w:r>
                  <w:r>
                    <w:rPr>
                      <w:rFonts w:hint="default" w:ascii="Times New Roman" w:hAnsi="Times New Roman" w:eastAsia="宋体" w:cs="Times New Roman"/>
                      <w:color w:val="auto"/>
                      <w:sz w:val="21"/>
                      <w:szCs w:val="21"/>
                      <w:highlight w:val="none"/>
                    </w:rPr>
                    <w:t>阔叶林</w:t>
                  </w:r>
                </w:p>
              </w:tc>
            </w:tr>
            <w:tr w14:paraId="00675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12" w:hRule="atLeast"/>
                <w:jc w:val="center"/>
              </w:trPr>
              <w:tc>
                <w:tcPr>
                  <w:tcW w:w="5000" w:type="pct"/>
                  <w:tcBorders>
                    <w:tl2br w:val="nil"/>
                    <w:tr2bl w:val="nil"/>
                  </w:tcBorders>
                  <w:noWrap w:val="0"/>
                  <w:vAlign w:val="top"/>
                </w:tcPr>
                <w:p w14:paraId="18080D0B">
                  <w:pPr>
                    <w:ind w:firstLine="630" w:firstLineChars="3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（Ⅱ）</w:t>
                  </w:r>
                  <w:r>
                    <w:rPr>
                      <w:rFonts w:hint="default" w:ascii="Times New Roman" w:hAnsi="Times New Roman" w:eastAsia="宋体" w:cs="Times New Roman"/>
                      <w:color w:val="auto"/>
                      <w:sz w:val="21"/>
                      <w:szCs w:val="21"/>
                      <w:highlight w:val="none"/>
                      <w:lang w:val="en-US" w:eastAsia="zh-CN"/>
                    </w:rPr>
                    <w:t>典型落叶阔叶林</w:t>
                  </w:r>
                </w:p>
              </w:tc>
            </w:tr>
            <w:tr w14:paraId="416B4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50" w:hRule="atLeast"/>
                <w:jc w:val="center"/>
              </w:trPr>
              <w:tc>
                <w:tcPr>
                  <w:tcW w:w="5000" w:type="pct"/>
                  <w:tcBorders>
                    <w:tl2br w:val="nil"/>
                    <w:tr2bl w:val="nil"/>
                  </w:tcBorders>
                  <w:noWrap w:val="0"/>
                  <w:vAlign w:val="top"/>
                </w:tcPr>
                <w:p w14:paraId="10DC09FB">
                  <w:pPr>
                    <w:ind w:firstLine="840" w:firstLineChars="4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三</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尼泊尔桤木</w:t>
                  </w:r>
                  <w:r>
                    <w:rPr>
                      <w:rFonts w:hint="default" w:ascii="Times New Roman" w:hAnsi="Times New Roman" w:eastAsia="宋体" w:cs="Times New Roman"/>
                      <w:color w:val="auto"/>
                      <w:sz w:val="21"/>
                      <w:szCs w:val="21"/>
                      <w:highlight w:val="none"/>
                    </w:rPr>
                    <w:t>林</w:t>
                  </w:r>
                </w:p>
              </w:tc>
            </w:tr>
            <w:tr w14:paraId="2DF4E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36" w:hRule="atLeast"/>
                <w:jc w:val="center"/>
              </w:trPr>
              <w:tc>
                <w:tcPr>
                  <w:tcW w:w="5000" w:type="pct"/>
                  <w:tcBorders>
                    <w:tl2br w:val="nil"/>
                    <w:tr2bl w:val="nil"/>
                  </w:tcBorders>
                  <w:noWrap w:val="0"/>
                  <w:vAlign w:val="top"/>
                </w:tcPr>
                <w:p w14:paraId="5023AB90">
                  <w:pPr>
                    <w:ind w:firstLine="630" w:firstLineChars="3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Ⅲ</w:t>
                  </w:r>
                  <w:r>
                    <w:rPr>
                      <w:rFonts w:hint="default" w:ascii="Times New Roman" w:hAnsi="Times New Roman" w:eastAsia="宋体" w:cs="Times New Roman"/>
                      <w:color w:val="auto"/>
                      <w:sz w:val="21"/>
                      <w:szCs w:val="21"/>
                      <w:highlight w:val="none"/>
                    </w:rPr>
                    <w:t>.稀树灌木草丛</w:t>
                  </w:r>
                </w:p>
              </w:tc>
            </w:tr>
            <w:tr w14:paraId="601A4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 w:hRule="atLeast"/>
                <w:jc w:val="center"/>
              </w:trPr>
              <w:tc>
                <w:tcPr>
                  <w:tcW w:w="5000" w:type="pct"/>
                  <w:tcBorders>
                    <w:tl2br w:val="nil"/>
                    <w:tr2bl w:val="nil"/>
                  </w:tcBorders>
                  <w:noWrap w:val="0"/>
                  <w:vAlign w:val="top"/>
                </w:tcPr>
                <w:p w14:paraId="283EC061">
                  <w:pPr>
                    <w:ind w:firstLine="630" w:firstLineChars="3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Ⅲ</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val="en-US" w:eastAsia="zh-CN"/>
                    </w:rPr>
                    <w:t>暖温性</w:t>
                  </w:r>
                  <w:r>
                    <w:rPr>
                      <w:rFonts w:hint="default" w:ascii="Times New Roman" w:hAnsi="Times New Roman" w:eastAsia="宋体" w:cs="Times New Roman"/>
                      <w:color w:val="auto"/>
                      <w:sz w:val="21"/>
                      <w:szCs w:val="21"/>
                      <w:highlight w:val="none"/>
                    </w:rPr>
                    <w:t>稀树灌木草丛</w:t>
                  </w:r>
                </w:p>
              </w:tc>
            </w:tr>
            <w:tr w14:paraId="5E66E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 w:hRule="atLeast"/>
                <w:jc w:val="center"/>
              </w:trPr>
              <w:tc>
                <w:tcPr>
                  <w:tcW w:w="5000" w:type="pct"/>
                  <w:tcBorders>
                    <w:tl2br w:val="nil"/>
                    <w:tr2bl w:val="nil"/>
                  </w:tcBorders>
                  <w:noWrap w:val="0"/>
                  <w:vAlign w:val="top"/>
                </w:tcPr>
                <w:p w14:paraId="704BC3C3">
                  <w:pPr>
                    <w:ind w:firstLine="840" w:firstLineChars="4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四、滇榛-野拔子灌丛</w:t>
                  </w:r>
                </w:p>
              </w:tc>
            </w:tr>
            <w:tr w14:paraId="2F23F6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15" w:hRule="atLeast"/>
                <w:jc w:val="center"/>
              </w:trPr>
              <w:tc>
                <w:tcPr>
                  <w:tcW w:w="5000" w:type="pct"/>
                  <w:tcBorders>
                    <w:tl2br w:val="nil"/>
                    <w:tr2bl w:val="nil"/>
                  </w:tcBorders>
                  <w:noWrap w:val="0"/>
                  <w:vAlign w:val="top"/>
                </w:tcPr>
                <w:p w14:paraId="6E1595A3">
                  <w:pPr>
                    <w:ind w:firstLine="840" w:firstLineChars="400"/>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五、鼠曲草-西南蕨麻草丛</w:t>
                  </w:r>
                </w:p>
              </w:tc>
            </w:tr>
            <w:tr w14:paraId="386D6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35" w:hRule="atLeast"/>
                <w:jc w:val="center"/>
              </w:trPr>
              <w:tc>
                <w:tcPr>
                  <w:tcW w:w="5000" w:type="pct"/>
                  <w:tcBorders>
                    <w:tl2br w:val="nil"/>
                    <w:tr2bl w:val="nil"/>
                  </w:tcBorders>
                  <w:noWrap w:val="0"/>
                  <w:vAlign w:val="top"/>
                </w:tcPr>
                <w:p w14:paraId="7270D1C1">
                  <w:pP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 xml:space="preserve">    六、毛轴蕨草丛</w:t>
                  </w:r>
                </w:p>
              </w:tc>
            </w:tr>
          </w:tbl>
          <w:p w14:paraId="480B8557">
            <w:pPr>
              <w:tabs>
                <w:tab w:val="left" w:pos="1268"/>
              </w:tabs>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2"/>
                <w:szCs w:val="22"/>
                <w:highlight w:val="none"/>
              </w:rPr>
              <w:t>注：植被型：I，Ⅱ，Ⅲ，植被亚型：（I），（Ⅱ），群系：一，二，三</w:t>
            </w:r>
            <w:r>
              <w:rPr>
                <w:rFonts w:hint="eastAsia" w:cs="Times New Roman"/>
                <w:color w:val="auto"/>
                <w:sz w:val="22"/>
                <w:szCs w:val="22"/>
                <w:highlight w:val="none"/>
                <w:lang w:eastAsia="zh-CN"/>
              </w:rPr>
              <w:t>。</w:t>
            </w:r>
          </w:p>
          <w:p w14:paraId="6876785C">
            <w:pPr>
              <w:pStyle w:val="4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lang w:val="en-US" w:eastAsia="zh-CN"/>
              </w:rPr>
              <w:t>-</w:t>
            </w: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评价区内的植被类型</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1791"/>
              <w:gridCol w:w="1636"/>
              <w:gridCol w:w="1025"/>
              <w:gridCol w:w="3301"/>
              <w:gridCol w:w="17"/>
            </w:tblGrid>
            <w:tr w14:paraId="1D71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8" w:type="pct"/>
                <w:jc w:val="center"/>
              </w:trPr>
              <w:tc>
                <w:tcPr>
                  <w:tcW w:w="526" w:type="pct"/>
                  <w:vAlign w:val="center"/>
                </w:tcPr>
                <w:p w14:paraId="15610CED">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风机编号</w:t>
                  </w:r>
                </w:p>
              </w:tc>
              <w:tc>
                <w:tcPr>
                  <w:tcW w:w="1031" w:type="pct"/>
                  <w:vAlign w:val="center"/>
                </w:tcPr>
                <w:p w14:paraId="20CAB4DF">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植被型</w:t>
                  </w:r>
                </w:p>
              </w:tc>
              <w:tc>
                <w:tcPr>
                  <w:tcW w:w="1532" w:type="pct"/>
                  <w:gridSpan w:val="2"/>
                  <w:vAlign w:val="center"/>
                </w:tcPr>
                <w:p w14:paraId="2D51B087">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植被亚型</w:t>
                  </w:r>
                </w:p>
              </w:tc>
              <w:tc>
                <w:tcPr>
                  <w:tcW w:w="1900" w:type="pct"/>
                  <w:vAlign w:val="center"/>
                </w:tcPr>
                <w:p w14:paraId="183D5817">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群系</w:t>
                  </w:r>
                </w:p>
              </w:tc>
            </w:tr>
            <w:tr w14:paraId="79C09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pct"/>
                <w:jc w:val="center"/>
              </w:trPr>
              <w:tc>
                <w:tcPr>
                  <w:tcW w:w="526" w:type="pct"/>
                  <w:vAlign w:val="center"/>
                </w:tcPr>
                <w:p w14:paraId="4EEB7AD3">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1#风机</w:t>
                  </w:r>
                </w:p>
              </w:tc>
              <w:tc>
                <w:tcPr>
                  <w:tcW w:w="1031" w:type="pct"/>
                  <w:vAlign w:val="center"/>
                </w:tcPr>
                <w:p w14:paraId="606BF0E8">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常绿</w:t>
                  </w:r>
                  <w:r>
                    <w:rPr>
                      <w:rFonts w:hint="default" w:ascii="Times New Roman" w:hAnsi="Times New Roman" w:cs="Times New Roman"/>
                      <w:color w:val="auto"/>
                      <w:highlight w:val="none"/>
                      <w:lang w:val="en-US" w:eastAsia="zh-CN"/>
                    </w:rPr>
                    <w:t>针叶林</w:t>
                  </w:r>
                </w:p>
              </w:tc>
              <w:tc>
                <w:tcPr>
                  <w:tcW w:w="1532" w:type="pct"/>
                  <w:gridSpan w:val="2"/>
                  <w:vAlign w:val="center"/>
                </w:tcPr>
                <w:p w14:paraId="2DE88413">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暖性针叶林</w:t>
                  </w:r>
                </w:p>
              </w:tc>
              <w:tc>
                <w:tcPr>
                  <w:tcW w:w="1900" w:type="pct"/>
                  <w:vAlign w:val="center"/>
                </w:tcPr>
                <w:p w14:paraId="701FB532">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云南松林</w:t>
                  </w:r>
                </w:p>
              </w:tc>
            </w:tr>
            <w:tr w14:paraId="75223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pct"/>
                <w:jc w:val="center"/>
              </w:trPr>
              <w:tc>
                <w:tcPr>
                  <w:tcW w:w="526" w:type="pct"/>
                  <w:vAlign w:val="center"/>
                </w:tcPr>
                <w:p w14:paraId="7C7D46BD">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2#风机</w:t>
                  </w:r>
                </w:p>
              </w:tc>
              <w:tc>
                <w:tcPr>
                  <w:tcW w:w="1031" w:type="pct"/>
                  <w:vAlign w:val="center"/>
                </w:tcPr>
                <w:p w14:paraId="1328D8AE">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暖性针叶林；稀树灌木草丛</w:t>
                  </w:r>
                </w:p>
              </w:tc>
              <w:tc>
                <w:tcPr>
                  <w:tcW w:w="1532" w:type="pct"/>
                  <w:gridSpan w:val="2"/>
                  <w:vAlign w:val="center"/>
                </w:tcPr>
                <w:p w14:paraId="5148F04E">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暖温性针叶林；暖温性稀树灌木草丛</w:t>
                  </w:r>
                </w:p>
              </w:tc>
              <w:tc>
                <w:tcPr>
                  <w:tcW w:w="1900" w:type="pct"/>
                  <w:vAlign w:val="center"/>
                </w:tcPr>
                <w:p w14:paraId="2D2C46E0">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华山松林；滇榛-野拔子灌丛</w:t>
                  </w:r>
                </w:p>
              </w:tc>
            </w:tr>
            <w:tr w14:paraId="59EB4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gridAfter w:val="1"/>
                <w:wAfter w:w="8" w:type="pct"/>
                <w:jc w:val="center"/>
              </w:trPr>
              <w:tc>
                <w:tcPr>
                  <w:tcW w:w="526" w:type="pct"/>
                  <w:vAlign w:val="center"/>
                </w:tcPr>
                <w:p w14:paraId="76353CF3">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3#风机</w:t>
                  </w:r>
                </w:p>
              </w:tc>
              <w:tc>
                <w:tcPr>
                  <w:tcW w:w="1031" w:type="pct"/>
                  <w:vAlign w:val="center"/>
                </w:tcPr>
                <w:p w14:paraId="58CAF3C7">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稀树灌木草丛</w:t>
                  </w:r>
                </w:p>
              </w:tc>
              <w:tc>
                <w:tcPr>
                  <w:tcW w:w="1532" w:type="pct"/>
                  <w:gridSpan w:val="2"/>
                  <w:vAlign w:val="center"/>
                </w:tcPr>
                <w:p w14:paraId="75003EDE">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稀树草丛</w:t>
                  </w:r>
                </w:p>
              </w:tc>
              <w:tc>
                <w:tcPr>
                  <w:tcW w:w="1900" w:type="pct"/>
                  <w:vAlign w:val="center"/>
                </w:tcPr>
                <w:p w14:paraId="780DB840">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毛轴蕨草丛</w:t>
                  </w:r>
                </w:p>
              </w:tc>
            </w:tr>
            <w:tr w14:paraId="562F3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pct"/>
                <w:jc w:val="center"/>
              </w:trPr>
              <w:tc>
                <w:tcPr>
                  <w:tcW w:w="526" w:type="pct"/>
                  <w:vAlign w:val="center"/>
                </w:tcPr>
                <w:p w14:paraId="2E63B031">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开关站</w:t>
                  </w:r>
                </w:p>
              </w:tc>
              <w:tc>
                <w:tcPr>
                  <w:tcW w:w="1031" w:type="pct"/>
                  <w:vAlign w:val="center"/>
                </w:tcPr>
                <w:p w14:paraId="713C0ABE">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稀树灌木草丛</w:t>
                  </w:r>
                </w:p>
              </w:tc>
              <w:tc>
                <w:tcPr>
                  <w:tcW w:w="1532" w:type="pct"/>
                  <w:gridSpan w:val="2"/>
                  <w:vAlign w:val="center"/>
                </w:tcPr>
                <w:p w14:paraId="598C545D">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稀树草丛</w:t>
                  </w:r>
                </w:p>
              </w:tc>
              <w:tc>
                <w:tcPr>
                  <w:tcW w:w="1900" w:type="pct"/>
                  <w:vAlign w:val="center"/>
                </w:tcPr>
                <w:p w14:paraId="092A2D26">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鼠曲草-西南蕨麻草丛</w:t>
                  </w:r>
                </w:p>
              </w:tc>
            </w:tr>
            <w:tr w14:paraId="03F3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pct"/>
                <w:jc w:val="center"/>
              </w:trPr>
              <w:tc>
                <w:tcPr>
                  <w:tcW w:w="526" w:type="pct"/>
                  <w:vAlign w:val="center"/>
                </w:tcPr>
                <w:p w14:paraId="554A8CAE">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评价区域</w:t>
                  </w:r>
                </w:p>
              </w:tc>
              <w:tc>
                <w:tcPr>
                  <w:tcW w:w="1031" w:type="pct"/>
                  <w:vAlign w:val="center"/>
                </w:tcPr>
                <w:p w14:paraId="76CFD5C5">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暖性针叶林；落叶阔叶林；稀树灌木草丛</w:t>
                  </w:r>
                </w:p>
              </w:tc>
              <w:tc>
                <w:tcPr>
                  <w:tcW w:w="1532" w:type="pct"/>
                  <w:gridSpan w:val="2"/>
                  <w:vAlign w:val="center"/>
                </w:tcPr>
                <w:p w14:paraId="06064850">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暖温性针叶林；典型落叶阔叶林；暖温性稀树灌木草丛</w:t>
                  </w:r>
                </w:p>
              </w:tc>
              <w:tc>
                <w:tcPr>
                  <w:tcW w:w="1900" w:type="pct"/>
                  <w:vAlign w:val="center"/>
                </w:tcPr>
                <w:p w14:paraId="22D683F9">
                  <w:pPr>
                    <w:pStyle w:val="28"/>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云南松林；华山松林；</w:t>
                  </w:r>
                  <w:r>
                    <w:rPr>
                      <w:rFonts w:hint="default" w:ascii="Times New Roman" w:hAnsi="Times New Roman" w:cs="Times New Roman"/>
                      <w:color w:val="auto"/>
                      <w:highlight w:val="none"/>
                      <w:lang w:eastAsia="zh-CN"/>
                    </w:rPr>
                    <w:t>尼泊尔桤木</w:t>
                  </w:r>
                  <w:r>
                    <w:rPr>
                      <w:rFonts w:hint="default" w:ascii="Times New Roman" w:hAnsi="Times New Roman" w:cs="Times New Roman"/>
                      <w:color w:val="auto"/>
                      <w:highlight w:val="none"/>
                      <w:lang w:val="en-US" w:eastAsia="zh-CN"/>
                    </w:rPr>
                    <w:t>林；毛轴蕨草丛；滇榛-野拔子灌丛</w:t>
                  </w:r>
                </w:p>
              </w:tc>
            </w:tr>
            <w:tr w14:paraId="50BA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2499" w:type="pct"/>
                  <w:gridSpan w:val="3"/>
                </w:tcPr>
                <w:p w14:paraId="61B6315A">
                  <w:pPr>
                    <w:pStyle w:val="18"/>
                    <w:tabs>
                      <w:tab w:val="left" w:pos="3301"/>
                    </w:tabs>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default" w:ascii="Times New Roman" w:hAnsi="Times New Roman" w:eastAsia="宋体" w:cs="Times New Roman"/>
                      <w:color w:val="auto"/>
                      <w:sz w:val="24"/>
                      <w:szCs w:val="24"/>
                      <w:highlight w:val="none"/>
                      <w:lang w:val="en-US" w:eastAsia="zh-CN"/>
                    </w:rPr>
                    <w:drawing>
                      <wp:anchor distT="0" distB="0" distL="114300" distR="114300" simplePos="0" relativeHeight="251667456" behindDoc="0" locked="0" layoutInCell="1" allowOverlap="1">
                        <wp:simplePos x="0" y="0"/>
                        <wp:positionH relativeFrom="column">
                          <wp:posOffset>36830</wp:posOffset>
                        </wp:positionH>
                        <wp:positionV relativeFrom="paragraph">
                          <wp:posOffset>38100</wp:posOffset>
                        </wp:positionV>
                        <wp:extent cx="2570480" cy="1889125"/>
                        <wp:effectExtent l="0" t="0" r="1270" b="15875"/>
                        <wp:wrapSquare wrapText="bothSides"/>
                        <wp:docPr id="34" name="图片 34" descr="805cbc75679e44ecf34184b4de2a49ae"/>
                        <wp:cNvGraphicFramePr/>
                        <a:graphic xmlns:a="http://schemas.openxmlformats.org/drawingml/2006/main">
                          <a:graphicData uri="http://schemas.openxmlformats.org/drawingml/2006/picture">
                            <pic:pic xmlns:pic="http://schemas.openxmlformats.org/drawingml/2006/picture">
                              <pic:nvPicPr>
                                <pic:cNvPr id="34" name="图片 34" descr="805cbc75679e44ecf34184b4de2a49ae"/>
                                <pic:cNvPicPr/>
                              </pic:nvPicPr>
                              <pic:blipFill>
                                <a:blip r:embed="rId20"/>
                                <a:stretch>
                                  <a:fillRect/>
                                </a:stretch>
                              </pic:blipFill>
                              <pic:spPr>
                                <a:xfrm>
                                  <a:off x="0" y="0"/>
                                  <a:ext cx="2570480" cy="1889125"/>
                                </a:xfrm>
                                <a:prstGeom prst="rect">
                                  <a:avLst/>
                                </a:prstGeom>
                              </pic:spPr>
                            </pic:pic>
                          </a:graphicData>
                        </a:graphic>
                      </wp:anchor>
                    </w:drawing>
                  </w:r>
                  <w:r>
                    <w:rPr>
                      <w:rFonts w:hint="eastAsia" w:cs="Times New Roman"/>
                      <w:color w:val="auto"/>
                      <w:sz w:val="24"/>
                      <w:szCs w:val="24"/>
                      <w:highlight w:val="none"/>
                      <w:lang w:val="en-US" w:eastAsia="zh-CN"/>
                    </w:rPr>
                    <w:t xml:space="preserve">样地1 </w:t>
                  </w:r>
                  <w:r>
                    <w:rPr>
                      <w:rFonts w:hint="default" w:cs="Times New Roman"/>
                      <w:color w:val="auto"/>
                      <w:sz w:val="24"/>
                      <w:szCs w:val="24"/>
                      <w:highlight w:val="none"/>
                      <w:lang w:val="en-US" w:eastAsia="zh-CN"/>
                    </w:rPr>
                    <w:t>云南松林</w:t>
                  </w:r>
                </w:p>
              </w:tc>
              <w:tc>
                <w:tcPr>
                  <w:tcW w:w="2500" w:type="pct"/>
                  <w:gridSpan w:val="3"/>
                </w:tcPr>
                <w:p w14:paraId="70B17DE9">
                  <w:pPr>
                    <w:pStyle w:val="18"/>
                    <w:jc w:val="center"/>
                    <w:rPr>
                      <w:rFonts w:hint="default" w:ascii="Times New Roman" w:hAnsi="Times New Roman" w:eastAsia="宋体" w:cs="Times New Roman"/>
                      <w:color w:val="auto"/>
                      <w:kern w:val="2"/>
                      <w:sz w:val="24"/>
                      <w:szCs w:val="24"/>
                      <w:highlight w:val="none"/>
                      <w:vertAlign w:val="baseline"/>
                      <w:lang w:val="en-US" w:eastAsia="zh-CN" w:bidi="ar-SA"/>
                    </w:rPr>
                  </w:pPr>
                  <w:r>
                    <w:rPr>
                      <w:rFonts w:hint="eastAsia" w:cs="Times New Roman"/>
                      <w:color w:val="auto"/>
                      <w:sz w:val="24"/>
                      <w:szCs w:val="24"/>
                      <w:highlight w:val="none"/>
                      <w:lang w:val="en-US" w:eastAsia="zh-CN"/>
                    </w:rPr>
                    <w:t xml:space="preserve">样地2 </w:t>
                  </w:r>
                  <w:r>
                    <w:rPr>
                      <w:rFonts w:hint="default" w:cs="Times New Roman"/>
                      <w:color w:val="auto"/>
                      <w:sz w:val="24"/>
                      <w:szCs w:val="24"/>
                      <w:highlight w:val="none"/>
                      <w:lang w:val="en-US" w:eastAsia="zh-CN"/>
                    </w:rPr>
                    <w:t>华山松林</w:t>
                  </w:r>
                  <w:r>
                    <w:rPr>
                      <w:rFonts w:hint="default" w:ascii="Times New Roman" w:hAnsi="Times New Roman" w:eastAsia="宋体" w:cs="Times New Roman"/>
                      <w:color w:val="auto"/>
                      <w:sz w:val="24"/>
                      <w:szCs w:val="24"/>
                      <w:highlight w:val="none"/>
                      <w:lang w:val="en-US" w:eastAsia="zh-CN"/>
                    </w:rPr>
                    <w:drawing>
                      <wp:anchor distT="0" distB="0" distL="114300" distR="114300" simplePos="0" relativeHeight="251668480" behindDoc="0" locked="0" layoutInCell="1" allowOverlap="1">
                        <wp:simplePos x="0" y="0"/>
                        <wp:positionH relativeFrom="column">
                          <wp:posOffset>91440</wp:posOffset>
                        </wp:positionH>
                        <wp:positionV relativeFrom="paragraph">
                          <wp:posOffset>38100</wp:posOffset>
                        </wp:positionV>
                        <wp:extent cx="2571750" cy="1889760"/>
                        <wp:effectExtent l="0" t="0" r="0" b="15240"/>
                        <wp:wrapSquare wrapText="bothSides"/>
                        <wp:docPr id="35" name="图片 35" descr="3f0832e7cbfbc017af8b4f7f70f998f9"/>
                        <wp:cNvGraphicFramePr/>
                        <a:graphic xmlns:a="http://schemas.openxmlformats.org/drawingml/2006/main">
                          <a:graphicData uri="http://schemas.openxmlformats.org/drawingml/2006/picture">
                            <pic:pic xmlns:pic="http://schemas.openxmlformats.org/drawingml/2006/picture">
                              <pic:nvPicPr>
                                <pic:cNvPr id="35" name="图片 35" descr="3f0832e7cbfbc017af8b4f7f70f998f9"/>
                                <pic:cNvPicPr/>
                              </pic:nvPicPr>
                              <pic:blipFill>
                                <a:blip r:embed="rId21"/>
                                <a:stretch>
                                  <a:fillRect/>
                                </a:stretch>
                              </pic:blipFill>
                              <pic:spPr>
                                <a:xfrm>
                                  <a:off x="0" y="0"/>
                                  <a:ext cx="2571750" cy="1889760"/>
                                </a:xfrm>
                                <a:prstGeom prst="rect">
                                  <a:avLst/>
                                </a:prstGeom>
                              </pic:spPr>
                            </pic:pic>
                          </a:graphicData>
                        </a:graphic>
                      </wp:anchor>
                    </w:drawing>
                  </w:r>
                </w:p>
              </w:tc>
            </w:tr>
            <w:tr w14:paraId="4E014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gridSpan w:val="3"/>
                </w:tcPr>
                <w:p w14:paraId="085BC5AE">
                  <w:pPr>
                    <w:pStyle w:val="18"/>
                    <w:tabs>
                      <w:tab w:val="left" w:pos="3301"/>
                    </w:tabs>
                    <w:jc w:val="center"/>
                    <w:rPr>
                      <w:rFonts w:hint="default" w:ascii="Times New Roman" w:hAnsi="Times New Roman" w:eastAsia="宋体" w:cs="Times New Roman"/>
                      <w:color w:val="auto"/>
                      <w:kern w:val="0"/>
                      <w:sz w:val="24"/>
                      <w:szCs w:val="24"/>
                      <w:highlight w:val="none"/>
                      <w:vertAlign w:val="baseline"/>
                      <w:lang w:val="en-US" w:eastAsia="zh-CN" w:bidi="ar-SA"/>
                    </w:rPr>
                  </w:pPr>
                  <w:r>
                    <w:rPr>
                      <w:rFonts w:hint="eastAsia" w:cs="Times New Roman"/>
                      <w:color w:val="auto"/>
                      <w:sz w:val="24"/>
                      <w:szCs w:val="24"/>
                      <w:highlight w:val="none"/>
                      <w:lang w:val="en-US" w:eastAsia="zh-CN"/>
                    </w:rPr>
                    <w:t xml:space="preserve">样地3 </w:t>
                  </w:r>
                  <w:r>
                    <w:rPr>
                      <w:rFonts w:hint="default" w:cs="Times New Roman"/>
                      <w:color w:val="auto"/>
                      <w:sz w:val="24"/>
                      <w:szCs w:val="24"/>
                      <w:highlight w:val="none"/>
                      <w:vertAlign w:val="baseline"/>
                      <w:lang w:val="en-US" w:eastAsia="zh-CN"/>
                    </w:rPr>
                    <w:t>尼泊尔桤木林</w:t>
                  </w:r>
                  <w:r>
                    <w:rPr>
                      <w:rFonts w:hint="default" w:ascii="Times New Roman" w:hAnsi="Times New Roman" w:eastAsia="宋体" w:cs="Times New Roman"/>
                      <w:color w:val="auto"/>
                      <w:kern w:val="0"/>
                      <w:sz w:val="24"/>
                      <w:szCs w:val="24"/>
                      <w:highlight w:val="none"/>
                      <w:lang w:val="en-US" w:eastAsia="zh-CN" w:bidi="ar-SA"/>
                    </w:rPr>
                    <w:drawing>
                      <wp:anchor distT="0" distB="0" distL="114300" distR="114300" simplePos="0" relativeHeight="251669504" behindDoc="0" locked="0" layoutInCell="1" allowOverlap="1">
                        <wp:simplePos x="0" y="0"/>
                        <wp:positionH relativeFrom="column">
                          <wp:posOffset>62865</wp:posOffset>
                        </wp:positionH>
                        <wp:positionV relativeFrom="paragraph">
                          <wp:posOffset>-18415</wp:posOffset>
                        </wp:positionV>
                        <wp:extent cx="2573655" cy="1931035"/>
                        <wp:effectExtent l="0" t="0" r="17145" b="12065"/>
                        <wp:wrapSquare wrapText="bothSides"/>
                        <wp:docPr id="36" name="图片 36" descr="4f1852838e55533029807629967331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f1852838e55533029807629967331fc"/>
                                <pic:cNvPicPr>
                                  <a:picLocks noChangeAspect="1"/>
                                </pic:cNvPicPr>
                              </pic:nvPicPr>
                              <pic:blipFill>
                                <a:blip r:embed="rId22"/>
                                <a:stretch>
                                  <a:fillRect/>
                                </a:stretch>
                              </pic:blipFill>
                              <pic:spPr>
                                <a:xfrm>
                                  <a:off x="0" y="0"/>
                                  <a:ext cx="2573655" cy="1931035"/>
                                </a:xfrm>
                                <a:prstGeom prst="rect">
                                  <a:avLst/>
                                </a:prstGeom>
                              </pic:spPr>
                            </pic:pic>
                          </a:graphicData>
                        </a:graphic>
                      </wp:anchor>
                    </w:drawing>
                  </w:r>
                </w:p>
              </w:tc>
              <w:tc>
                <w:tcPr>
                  <w:tcW w:w="2500" w:type="pct"/>
                  <w:gridSpan w:val="3"/>
                </w:tcPr>
                <w:p w14:paraId="495C7F33">
                  <w:pPr>
                    <w:pStyle w:val="18"/>
                    <w:tabs>
                      <w:tab w:val="left" w:pos="3301"/>
                    </w:tabs>
                    <w:jc w:val="center"/>
                    <w:rPr>
                      <w:rFonts w:hint="default" w:ascii="Times New Roman" w:hAnsi="Times New Roman" w:eastAsia="宋体" w:cs="Times New Roman"/>
                      <w:color w:val="auto"/>
                      <w:kern w:val="0"/>
                      <w:sz w:val="24"/>
                      <w:szCs w:val="24"/>
                      <w:highlight w:val="none"/>
                      <w:vertAlign w:val="baseline"/>
                      <w:lang w:val="en-US" w:eastAsia="zh-CN" w:bidi="ar-SA"/>
                    </w:rPr>
                  </w:pPr>
                  <w:r>
                    <w:rPr>
                      <w:rFonts w:hint="eastAsia" w:cs="Times New Roman"/>
                      <w:color w:val="auto"/>
                      <w:sz w:val="24"/>
                      <w:szCs w:val="24"/>
                      <w:highlight w:val="none"/>
                      <w:lang w:val="en-US" w:eastAsia="zh-CN"/>
                    </w:rPr>
                    <w:t xml:space="preserve">样地4 </w:t>
                  </w:r>
                  <w:r>
                    <w:rPr>
                      <w:rFonts w:hint="default" w:cs="Times New Roman"/>
                      <w:color w:val="auto"/>
                      <w:sz w:val="24"/>
                      <w:szCs w:val="24"/>
                      <w:highlight w:val="none"/>
                      <w:vertAlign w:val="baseline"/>
                      <w:lang w:val="en-US" w:eastAsia="zh-CN"/>
                    </w:rPr>
                    <w:t>滇榛-野拔子灌丛</w:t>
                  </w:r>
                  <w:r>
                    <w:rPr>
                      <w:rFonts w:hint="default" w:ascii="Times New Roman" w:hAnsi="Times New Roman" w:eastAsia="宋体" w:cs="Times New Roman"/>
                      <w:color w:val="auto"/>
                      <w:sz w:val="24"/>
                      <w:szCs w:val="24"/>
                      <w:highlight w:val="none"/>
                      <w:lang w:val="en-US" w:eastAsia="zh-CN"/>
                    </w:rPr>
                    <w:drawing>
                      <wp:anchor distT="0" distB="0" distL="114300" distR="114300" simplePos="0" relativeHeight="251670528" behindDoc="0" locked="0" layoutInCell="1" allowOverlap="1">
                        <wp:simplePos x="0" y="0"/>
                        <wp:positionH relativeFrom="column">
                          <wp:posOffset>72390</wp:posOffset>
                        </wp:positionH>
                        <wp:positionV relativeFrom="paragraph">
                          <wp:posOffset>-18415</wp:posOffset>
                        </wp:positionV>
                        <wp:extent cx="2581275" cy="1938020"/>
                        <wp:effectExtent l="0" t="0" r="9525" b="5080"/>
                        <wp:wrapSquare wrapText="bothSides"/>
                        <wp:docPr id="37" name="图片 37" descr="f1d0290a4e129407400130b59613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f1d0290a4e129407400130b596131505"/>
                                <pic:cNvPicPr>
                                  <a:picLocks noChangeAspect="1"/>
                                </pic:cNvPicPr>
                              </pic:nvPicPr>
                              <pic:blipFill>
                                <a:blip r:embed="rId23"/>
                                <a:stretch>
                                  <a:fillRect/>
                                </a:stretch>
                              </pic:blipFill>
                              <pic:spPr>
                                <a:xfrm>
                                  <a:off x="0" y="0"/>
                                  <a:ext cx="2581275" cy="1938020"/>
                                </a:xfrm>
                                <a:prstGeom prst="rect">
                                  <a:avLst/>
                                </a:prstGeom>
                              </pic:spPr>
                            </pic:pic>
                          </a:graphicData>
                        </a:graphic>
                      </wp:anchor>
                    </w:drawing>
                  </w:r>
                </w:p>
              </w:tc>
            </w:tr>
            <w:tr w14:paraId="10F3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2" w:hRule="atLeast"/>
                <w:jc w:val="center"/>
              </w:trPr>
              <w:tc>
                <w:tcPr>
                  <w:tcW w:w="2499" w:type="pct"/>
                  <w:gridSpan w:val="3"/>
                </w:tcPr>
                <w:p w14:paraId="11379C26">
                  <w:pPr>
                    <w:pStyle w:val="18"/>
                    <w:tabs>
                      <w:tab w:val="left" w:pos="3301"/>
                    </w:tabs>
                    <w:jc w:val="center"/>
                    <w:rPr>
                      <w:rFonts w:hint="default" w:ascii="Times New Roman" w:hAnsi="Times New Roman" w:eastAsia="宋体" w:cs="Times New Roman"/>
                      <w:color w:val="auto"/>
                      <w:kern w:val="0"/>
                      <w:sz w:val="24"/>
                      <w:szCs w:val="24"/>
                      <w:highlight w:val="none"/>
                      <w:vertAlign w:val="baseline"/>
                      <w:lang w:val="en-US" w:eastAsia="zh-CN" w:bidi="ar-SA"/>
                    </w:rPr>
                  </w:pPr>
                  <w:r>
                    <w:rPr>
                      <w:rFonts w:hint="eastAsia" w:cs="Times New Roman"/>
                      <w:color w:val="auto"/>
                      <w:sz w:val="24"/>
                      <w:szCs w:val="24"/>
                      <w:highlight w:val="none"/>
                      <w:lang w:val="en-US" w:eastAsia="zh-CN"/>
                    </w:rPr>
                    <w:t xml:space="preserve">样地5 </w:t>
                  </w:r>
                  <w:r>
                    <w:rPr>
                      <w:rFonts w:hint="default" w:cs="Times New Roman"/>
                      <w:color w:val="auto"/>
                      <w:sz w:val="24"/>
                      <w:szCs w:val="24"/>
                      <w:highlight w:val="none"/>
                      <w:vertAlign w:val="baseline"/>
                      <w:lang w:val="en-US" w:eastAsia="zh-CN"/>
                    </w:rPr>
                    <w:t>毛轴蕨草丛</w:t>
                  </w:r>
                  <w:r>
                    <w:rPr>
                      <w:rFonts w:hint="default" w:ascii="Times New Roman" w:hAnsi="Times New Roman" w:eastAsia="宋体" w:cs="Times New Roman"/>
                      <w:color w:val="auto"/>
                      <w:sz w:val="24"/>
                      <w:szCs w:val="24"/>
                      <w:highlight w:val="none"/>
                      <w:lang w:val="en-US" w:eastAsia="zh-CN"/>
                    </w:rPr>
                    <w:drawing>
                      <wp:anchor distT="0" distB="0" distL="114300" distR="114300" simplePos="0" relativeHeight="251671552" behindDoc="0" locked="0" layoutInCell="1" allowOverlap="1">
                        <wp:simplePos x="0" y="0"/>
                        <wp:positionH relativeFrom="column">
                          <wp:posOffset>100965</wp:posOffset>
                        </wp:positionH>
                        <wp:positionV relativeFrom="paragraph">
                          <wp:posOffset>-3810</wp:posOffset>
                        </wp:positionV>
                        <wp:extent cx="2549525" cy="1911985"/>
                        <wp:effectExtent l="0" t="0" r="3175" b="12065"/>
                        <wp:wrapSquare wrapText="bothSides"/>
                        <wp:docPr id="38" name="图片 38" descr="137954ccbad0bbe63b785ff11b917a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37954ccbad0bbe63b785ff11b917acb"/>
                                <pic:cNvPicPr>
                                  <a:picLocks noChangeAspect="1"/>
                                </pic:cNvPicPr>
                              </pic:nvPicPr>
                              <pic:blipFill>
                                <a:blip r:embed="rId24"/>
                                <a:stretch>
                                  <a:fillRect/>
                                </a:stretch>
                              </pic:blipFill>
                              <pic:spPr>
                                <a:xfrm>
                                  <a:off x="0" y="0"/>
                                  <a:ext cx="2549525" cy="1911985"/>
                                </a:xfrm>
                                <a:prstGeom prst="rect">
                                  <a:avLst/>
                                </a:prstGeom>
                              </pic:spPr>
                            </pic:pic>
                          </a:graphicData>
                        </a:graphic>
                      </wp:anchor>
                    </w:drawing>
                  </w:r>
                </w:p>
              </w:tc>
              <w:tc>
                <w:tcPr>
                  <w:tcW w:w="2500" w:type="pct"/>
                  <w:gridSpan w:val="3"/>
                </w:tcPr>
                <w:p w14:paraId="6921134D">
                  <w:pPr>
                    <w:pStyle w:val="18"/>
                    <w:tabs>
                      <w:tab w:val="left" w:pos="3301"/>
                    </w:tabs>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样地</w:t>
                  </w:r>
                  <w:r>
                    <w:rPr>
                      <w:rFonts w:hint="default" w:ascii="Times New Roman" w:hAnsi="Times New Roman" w:eastAsia="宋体" w:cs="Times New Roman"/>
                      <w:color w:val="auto"/>
                      <w:sz w:val="24"/>
                      <w:szCs w:val="24"/>
                      <w:highlight w:val="none"/>
                      <w:lang w:val="en-US" w:eastAsia="zh-CN"/>
                    </w:rPr>
                    <w:drawing>
                      <wp:anchor distT="0" distB="0" distL="114300" distR="114300" simplePos="0" relativeHeight="251672576" behindDoc="0" locked="0" layoutInCell="1" allowOverlap="1">
                        <wp:simplePos x="0" y="0"/>
                        <wp:positionH relativeFrom="column">
                          <wp:posOffset>80645</wp:posOffset>
                        </wp:positionH>
                        <wp:positionV relativeFrom="paragraph">
                          <wp:posOffset>104140</wp:posOffset>
                        </wp:positionV>
                        <wp:extent cx="2573655" cy="1749425"/>
                        <wp:effectExtent l="0" t="0" r="17145" b="3175"/>
                        <wp:wrapSquare wrapText="bothSides"/>
                        <wp:docPr id="39" name="图片 39" descr="d6045710e1002336034787fb3f594d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6045710e1002336034787fb3f594ddf"/>
                                <pic:cNvPicPr>
                                  <a:picLocks noChangeAspect="1"/>
                                </pic:cNvPicPr>
                              </pic:nvPicPr>
                              <pic:blipFill>
                                <a:blip r:embed="rId25"/>
                                <a:stretch>
                                  <a:fillRect/>
                                </a:stretch>
                              </pic:blipFill>
                              <pic:spPr>
                                <a:xfrm>
                                  <a:off x="0" y="0"/>
                                  <a:ext cx="2573655" cy="1749425"/>
                                </a:xfrm>
                                <a:prstGeom prst="rect">
                                  <a:avLst/>
                                </a:prstGeom>
                              </pic:spPr>
                            </pic:pic>
                          </a:graphicData>
                        </a:graphic>
                      </wp:anchor>
                    </w:drawing>
                  </w:r>
                  <w:r>
                    <w:rPr>
                      <w:rFonts w:hint="eastAsia" w:cs="Times New Roman"/>
                      <w:color w:val="auto"/>
                      <w:sz w:val="24"/>
                      <w:szCs w:val="24"/>
                      <w:highlight w:val="none"/>
                      <w:lang w:val="en-US" w:eastAsia="zh-CN"/>
                    </w:rPr>
                    <w:t xml:space="preserve">6 </w:t>
                  </w:r>
                  <w:r>
                    <w:rPr>
                      <w:rFonts w:hint="default" w:ascii="Times New Roman" w:hAnsi="Times New Roman" w:eastAsia="宋体" w:cs="Times New Roman"/>
                      <w:color w:val="auto"/>
                      <w:sz w:val="24"/>
                      <w:szCs w:val="24"/>
                      <w:highlight w:val="none"/>
                      <w:vertAlign w:val="baseline"/>
                      <w:lang w:val="en-US" w:eastAsia="zh-CN"/>
                    </w:rPr>
                    <w:t>鼠曲草-西南蕨麻草丛</w:t>
                  </w:r>
                </w:p>
              </w:tc>
            </w:tr>
          </w:tbl>
          <w:p w14:paraId="2A3E0ACD">
            <w:pPr>
              <w:ind w:firstLine="420" w:firstLineChars="0"/>
              <w:rPr>
                <w:color w:val="auto"/>
              </w:rPr>
            </w:pPr>
            <w:r>
              <w:rPr>
                <w:color w:val="auto"/>
                <w:sz w:val="24"/>
                <w:szCs w:val="24"/>
              </w:rPr>
              <w:t>I</w:t>
            </w:r>
            <w:r>
              <w:rPr>
                <w:color w:val="auto"/>
              </w:rPr>
              <w:t>. 暖温性针叶林</w:t>
            </w:r>
          </w:p>
          <w:p w14:paraId="7F846951">
            <w:pPr>
              <w:ind w:firstLine="420" w:firstLineChars="0"/>
              <w:rPr>
                <w:rFonts w:hint="default" w:ascii="Times New Roman" w:hAnsi="Times New Roman" w:eastAsia="宋体" w:cs="Times New Roman"/>
                <w:color w:val="auto"/>
                <w:kern w:val="2"/>
                <w:sz w:val="24"/>
                <w:szCs w:val="24"/>
                <w:highlight w:val="none"/>
                <w:lang w:val="en-US" w:eastAsia="zh-CN" w:bidi="ar-SA"/>
              </w:rPr>
            </w:pPr>
            <w:r>
              <w:rPr>
                <w:rFonts w:hint="default" w:hAnsi="Times New Roman"/>
                <w:color w:val="auto"/>
                <w:sz w:val="24"/>
                <w:szCs w:val="24"/>
              </w:rPr>
              <w:t>暖温性针叶林是暖性针叶林之下的一个植被亚型，其乔木层以云南松为优势种，分布海拔较广，以</w:t>
            </w:r>
            <w:r>
              <w:rPr>
                <w:rFonts w:hAnsi="Times New Roman"/>
                <w:color w:val="auto"/>
                <w:sz w:val="24"/>
                <w:szCs w:val="24"/>
              </w:rPr>
              <w:t>1800</w:t>
            </w:r>
            <w:r>
              <w:rPr>
                <w:rFonts w:hint="default" w:hAnsi="Times New Roman"/>
                <w:color w:val="auto"/>
                <w:sz w:val="24"/>
                <w:szCs w:val="24"/>
              </w:rPr>
              <w:t>～</w:t>
            </w:r>
            <w:r>
              <w:rPr>
                <w:rFonts w:hAnsi="Times New Roman"/>
                <w:color w:val="auto"/>
                <w:sz w:val="24"/>
                <w:szCs w:val="24"/>
              </w:rPr>
              <w:t>2800m</w:t>
            </w:r>
            <w:r>
              <w:rPr>
                <w:rFonts w:hint="default" w:hAnsi="Times New Roman"/>
                <w:color w:val="auto"/>
                <w:sz w:val="24"/>
                <w:szCs w:val="24"/>
              </w:rPr>
              <w:t>范围内最为集中。评价区内的暖温性针叶林主要分布于评价区内西部、中部和东部，北边有少量分布，以风机</w:t>
            </w:r>
            <w:r>
              <w:rPr>
                <w:rFonts w:hAnsi="Times New Roman"/>
                <w:color w:val="auto"/>
                <w:sz w:val="24"/>
                <w:szCs w:val="24"/>
              </w:rPr>
              <w:t>1#</w:t>
            </w:r>
            <w:r>
              <w:rPr>
                <w:rFonts w:hint="default" w:hAnsi="Times New Roman"/>
                <w:color w:val="auto"/>
              </w:rPr>
              <w:t>和风机2</w:t>
            </w:r>
            <w:r>
              <w:rPr>
                <w:rFonts w:hAnsi="Times New Roman"/>
                <w:color w:val="auto"/>
              </w:rPr>
              <w:t>#</w:t>
            </w:r>
            <w:r>
              <w:rPr>
                <w:rFonts w:hint="default" w:hAnsi="Times New Roman"/>
                <w:color w:val="auto"/>
              </w:rPr>
              <w:t>周围</w:t>
            </w:r>
            <w:r>
              <w:rPr>
                <w:rFonts w:hint="default" w:hAnsi="Times New Roman"/>
                <w:color w:val="auto"/>
                <w:sz w:val="24"/>
                <w:szCs w:val="24"/>
              </w:rPr>
              <w:t>分布为主。乔木层以云南松和华山松为优势，</w:t>
            </w:r>
            <w:r>
              <w:rPr>
                <w:rFonts w:hint="default" w:hAnsi="Times New Roman"/>
                <w:color w:val="auto"/>
              </w:rPr>
              <w:t>伴生种有黄背栎；</w:t>
            </w:r>
            <w:r>
              <w:rPr>
                <w:rFonts w:hint="default" w:hAnsi="Times New Roman"/>
                <w:color w:val="auto"/>
                <w:sz w:val="24"/>
                <w:szCs w:val="24"/>
              </w:rPr>
              <w:t>灌木层</w:t>
            </w:r>
            <w:r>
              <w:rPr>
                <w:rFonts w:hint="default" w:hAnsi="Times New Roman"/>
                <w:color w:val="auto"/>
              </w:rPr>
              <w:t>优势中</w:t>
            </w:r>
            <w:r>
              <w:rPr>
                <w:rFonts w:hint="default" w:hAnsi="Times New Roman"/>
                <w:color w:val="auto"/>
                <w:sz w:val="24"/>
                <w:szCs w:val="24"/>
              </w:rPr>
              <w:t>有滇榛、金丝桃、小铁仔、刺叶高山栎等种类，草本层以蔷薇科</w:t>
            </w:r>
            <w:r>
              <w:rPr>
                <w:rFonts w:hint="default" w:hAnsi="Times New Roman"/>
                <w:color w:val="auto"/>
              </w:rPr>
              <w:t>和禾本科</w:t>
            </w:r>
            <w:r>
              <w:rPr>
                <w:rFonts w:hint="default" w:hAnsi="Times New Roman"/>
                <w:color w:val="auto"/>
                <w:sz w:val="24"/>
                <w:szCs w:val="24"/>
              </w:rPr>
              <w:t>最常见，有黄毛草莓、</w:t>
            </w:r>
            <w:r>
              <w:rPr>
                <w:rFonts w:hint="default" w:hAnsi="Times New Roman"/>
                <w:color w:val="auto"/>
              </w:rPr>
              <w:t>野青茅、</w:t>
            </w:r>
            <w:r>
              <w:rPr>
                <w:rFonts w:hint="default" w:hAnsi="Times New Roman"/>
                <w:color w:val="auto"/>
                <w:sz w:val="24"/>
                <w:szCs w:val="24"/>
              </w:rPr>
              <w:t>西南蕨麻、</w:t>
            </w:r>
            <w:r>
              <w:rPr>
                <w:rFonts w:hint="default" w:hAnsi="Times New Roman"/>
                <w:color w:val="auto"/>
              </w:rPr>
              <w:t>鼠曲草等种类</w:t>
            </w:r>
            <w:r>
              <w:rPr>
                <w:rFonts w:hint="default" w:hAnsi="Times New Roman"/>
                <w:color w:val="auto"/>
                <w:sz w:val="24"/>
                <w:szCs w:val="24"/>
              </w:rPr>
              <w:t>。</w:t>
            </w:r>
          </w:p>
          <w:p w14:paraId="04FEF58A">
            <w:pPr>
              <w:pStyle w:val="18"/>
              <w:ind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（1）云南松林</w:t>
            </w:r>
          </w:p>
          <w:p w14:paraId="55361CBD">
            <w:pPr>
              <w:ind w:firstLine="480"/>
              <w:rPr>
                <w:color w:val="auto"/>
              </w:rPr>
            </w:pPr>
            <w:r>
              <w:rPr>
                <w:color w:val="auto"/>
              </w:rPr>
              <w:t>该群落类型是当地地带性植被被破坏后，后期人工飞机撒播生长起来形成，主要位于1#风机处</w:t>
            </w:r>
            <w:r>
              <w:rPr>
                <w:rFonts w:hint="default"/>
                <w:color w:val="auto"/>
              </w:rPr>
              <w:t>，以云南松为建群种</w:t>
            </w:r>
            <w:r>
              <w:rPr>
                <w:color w:val="auto"/>
              </w:rPr>
              <w:t>。具有明显的乔木层、灌木层和草本层，但灌木层发育常不完全，物种较少</w:t>
            </w:r>
            <w:r>
              <w:rPr>
                <w:rFonts w:hint="default"/>
                <w:color w:val="auto"/>
              </w:rPr>
              <w:t>，群落总盖度为6</w:t>
            </w:r>
            <w:r>
              <w:rPr>
                <w:color w:val="auto"/>
              </w:rPr>
              <w:t>0%</w:t>
            </w:r>
            <w:r>
              <w:rPr>
                <w:rFonts w:hint="default"/>
                <w:color w:val="auto"/>
              </w:rPr>
              <w:t>。</w:t>
            </w:r>
          </w:p>
          <w:p w14:paraId="591B0FCD">
            <w:pPr>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乔木层高4-7m，盖度40%~70%。以云南松</w:t>
            </w:r>
            <w:r>
              <w:rPr>
                <w:rFonts w:hint="default" w:ascii="Times New Roman" w:hAnsi="Times New Roman" w:eastAsia="宋体" w:cs="Times New Roman"/>
                <w:i/>
                <w:iCs/>
                <w:color w:val="auto"/>
                <w:lang w:val="en-US" w:eastAsia="zh-CN"/>
              </w:rPr>
              <w:t>Pinus yunnanensis</w:t>
            </w:r>
            <w:r>
              <w:rPr>
                <w:rFonts w:hint="default" w:ascii="Times New Roman" w:hAnsi="Times New Roman" w:eastAsia="宋体" w:cs="Times New Roman"/>
                <w:color w:val="auto"/>
                <w:lang w:val="en-US" w:eastAsia="zh-CN"/>
              </w:rPr>
              <w:t>为第一优势种，还分布有少量的华山松</w:t>
            </w:r>
            <w:r>
              <w:rPr>
                <w:rFonts w:hint="default" w:ascii="Times New Roman" w:hAnsi="Times New Roman" w:eastAsia="宋体" w:cs="Times New Roman"/>
                <w:i/>
                <w:iCs/>
                <w:color w:val="auto"/>
                <w:lang w:val="en-US" w:eastAsia="zh-CN"/>
              </w:rPr>
              <w:t>Pinus armandi</w:t>
            </w:r>
            <w:r>
              <w:rPr>
                <w:rFonts w:hint="default" w:ascii="Times New Roman" w:hAnsi="Times New Roman" w:eastAsia="宋体" w:cs="Times New Roman"/>
                <w:color w:val="auto"/>
                <w:lang w:val="en-US" w:eastAsia="zh-CN"/>
              </w:rPr>
              <w:t>和黄背栎</w:t>
            </w:r>
            <w:r>
              <w:rPr>
                <w:rFonts w:hint="default" w:ascii="Times New Roman" w:hAnsi="Times New Roman" w:eastAsia="宋体" w:cs="Times New Roman"/>
                <w:i/>
                <w:iCs/>
                <w:color w:val="auto"/>
                <w:lang w:val="en-US" w:eastAsia="zh-CN"/>
              </w:rPr>
              <w:t>Quercus pannosa</w:t>
            </w:r>
            <w:r>
              <w:rPr>
                <w:rFonts w:hint="default" w:ascii="Times New Roman" w:hAnsi="Times New Roman" w:eastAsia="宋体" w:cs="Times New Roman"/>
                <w:color w:val="auto"/>
                <w:lang w:val="en-US" w:eastAsia="zh-CN"/>
              </w:rPr>
              <w:t>。</w:t>
            </w:r>
          </w:p>
          <w:p w14:paraId="22F76B70">
            <w:pPr>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灌木层高0.5-1.5m，物种稀少，盖度30%。主要物种有滇榛</w:t>
            </w:r>
            <w:r>
              <w:rPr>
                <w:rFonts w:hint="default" w:ascii="Times New Roman" w:hAnsi="Times New Roman" w:eastAsia="宋体" w:cs="Times New Roman"/>
                <w:i/>
                <w:iCs/>
                <w:color w:val="auto"/>
                <w:lang w:val="en-US" w:eastAsia="zh-CN"/>
              </w:rPr>
              <w:t>Corylus yunnanensis</w:t>
            </w:r>
            <w:r>
              <w:rPr>
                <w:rFonts w:hint="default" w:ascii="Times New Roman" w:hAnsi="Times New Roman" w:eastAsia="宋体" w:cs="Times New Roman"/>
                <w:color w:val="auto"/>
                <w:lang w:val="en-US" w:eastAsia="zh-CN"/>
              </w:rPr>
              <w:t>、珍珠花</w:t>
            </w:r>
            <w:r>
              <w:rPr>
                <w:rFonts w:hint="default" w:ascii="Times New Roman" w:hAnsi="Times New Roman" w:eastAsia="宋体" w:cs="Times New Roman"/>
                <w:i/>
                <w:iCs/>
                <w:color w:val="auto"/>
                <w:lang w:val="en-US" w:eastAsia="zh-CN"/>
              </w:rPr>
              <w:t>Lyonia ovalifolia</w:t>
            </w:r>
            <w:r>
              <w:rPr>
                <w:rFonts w:hint="default" w:ascii="Times New Roman" w:hAnsi="Times New Roman" w:eastAsia="宋体" w:cs="Times New Roman"/>
                <w:color w:val="auto"/>
                <w:lang w:val="en-US" w:eastAsia="zh-CN"/>
              </w:rPr>
              <w:t>、刺叶高山栎</w:t>
            </w:r>
            <w:r>
              <w:rPr>
                <w:rFonts w:hint="default" w:ascii="Times New Roman" w:hAnsi="Times New Roman" w:eastAsia="宋体" w:cs="Times New Roman"/>
                <w:i/>
                <w:iCs/>
                <w:color w:val="auto"/>
                <w:lang w:val="en-US" w:eastAsia="zh-CN"/>
              </w:rPr>
              <w:t>Quercus spinosa</w:t>
            </w:r>
            <w:r>
              <w:rPr>
                <w:rFonts w:hint="default" w:ascii="Times New Roman" w:hAnsi="Times New Roman" w:eastAsia="宋体" w:cs="Times New Roman"/>
                <w:color w:val="auto"/>
                <w:lang w:val="en-US" w:eastAsia="zh-CN"/>
              </w:rPr>
              <w:t>、粉叶小檗</w:t>
            </w:r>
            <w:r>
              <w:rPr>
                <w:rFonts w:hint="default" w:ascii="Times New Roman" w:hAnsi="Times New Roman" w:eastAsia="宋体" w:cs="Times New Roman"/>
                <w:i/>
                <w:iCs/>
                <w:color w:val="auto"/>
                <w:lang w:val="en-US" w:eastAsia="zh-CN"/>
              </w:rPr>
              <w:t>Berberis pruinosa</w:t>
            </w:r>
            <w:r>
              <w:rPr>
                <w:rFonts w:hint="default" w:ascii="Times New Roman" w:hAnsi="Times New Roman" w:eastAsia="宋体" w:cs="Times New Roman"/>
                <w:color w:val="auto"/>
                <w:lang w:val="en-US" w:eastAsia="zh-CN"/>
              </w:rPr>
              <w:t>、野拔子</w:t>
            </w:r>
            <w:r>
              <w:rPr>
                <w:rFonts w:hint="default" w:ascii="Times New Roman" w:hAnsi="Times New Roman" w:eastAsia="宋体" w:cs="Times New Roman"/>
                <w:i/>
                <w:iCs/>
                <w:color w:val="auto"/>
                <w:lang w:val="en-US" w:eastAsia="zh-CN"/>
              </w:rPr>
              <w:t>Elsholtzia rugulosa</w:t>
            </w:r>
            <w:r>
              <w:rPr>
                <w:rFonts w:hint="default" w:ascii="Times New Roman" w:hAnsi="Times New Roman" w:eastAsia="宋体" w:cs="Times New Roman"/>
                <w:color w:val="auto"/>
                <w:lang w:val="en-US" w:eastAsia="zh-CN"/>
              </w:rPr>
              <w:t>、川滇金丝桃</w:t>
            </w:r>
            <w:r>
              <w:rPr>
                <w:rFonts w:hint="default" w:ascii="Times New Roman" w:hAnsi="Times New Roman" w:eastAsia="宋体" w:cs="Times New Roman"/>
                <w:i/>
                <w:iCs/>
                <w:color w:val="auto"/>
                <w:lang w:val="en-US" w:eastAsia="zh-CN"/>
              </w:rPr>
              <w:t>Hypericum forresti</w:t>
            </w:r>
            <w:r>
              <w:rPr>
                <w:rFonts w:hint="default" w:ascii="Times New Roman" w:hAnsi="Times New Roman" w:eastAsia="宋体" w:cs="Times New Roman"/>
                <w:color w:val="auto"/>
                <w:lang w:val="en-US" w:eastAsia="zh-CN"/>
              </w:rPr>
              <w:t>i、西南栒子</w:t>
            </w:r>
            <w:r>
              <w:rPr>
                <w:rFonts w:hint="default" w:ascii="Times New Roman" w:hAnsi="Times New Roman" w:eastAsia="宋体" w:cs="Times New Roman"/>
                <w:i/>
                <w:iCs/>
                <w:color w:val="auto"/>
                <w:lang w:val="en-US" w:eastAsia="zh-CN"/>
              </w:rPr>
              <w:t xml:space="preserve">Cotoneaster </w:t>
            </w:r>
            <w:r>
              <w:rPr>
                <w:rFonts w:hint="default" w:ascii="Times New Roman" w:hAnsi="Times New Roman" w:eastAsia="宋体" w:cs="Times New Roman"/>
                <w:color w:val="auto"/>
                <w:lang w:val="en-US" w:eastAsia="zh-CN"/>
              </w:rPr>
              <w:t>franchetii、乌鸦果</w:t>
            </w:r>
            <w:r>
              <w:rPr>
                <w:rFonts w:hint="default" w:ascii="Times New Roman" w:hAnsi="Times New Roman" w:eastAsia="宋体" w:cs="Times New Roman"/>
                <w:i/>
                <w:iCs/>
                <w:color w:val="auto"/>
                <w:lang w:val="en-US" w:eastAsia="zh-CN"/>
              </w:rPr>
              <w:t>Vaccinium fragile</w:t>
            </w:r>
            <w:r>
              <w:rPr>
                <w:rFonts w:hint="default" w:ascii="Times New Roman" w:hAnsi="Times New Roman" w:eastAsia="宋体" w:cs="Times New Roman"/>
                <w:color w:val="auto"/>
                <w:lang w:val="en-US" w:eastAsia="zh-CN"/>
              </w:rPr>
              <w:t>、珍珠荚蒾</w:t>
            </w:r>
            <w:r>
              <w:rPr>
                <w:rFonts w:hint="default" w:ascii="Times New Roman" w:hAnsi="Times New Roman" w:eastAsia="宋体" w:cs="Times New Roman"/>
                <w:i/>
                <w:iCs/>
                <w:color w:val="auto"/>
                <w:lang w:val="en-US" w:eastAsia="zh-CN"/>
              </w:rPr>
              <w:t>Viburnum foetidum var. ceanothoides、</w:t>
            </w:r>
            <w:r>
              <w:rPr>
                <w:rFonts w:hint="default" w:ascii="Times New Roman" w:hAnsi="Times New Roman" w:eastAsia="宋体" w:cs="Times New Roman"/>
                <w:color w:val="auto"/>
                <w:lang w:val="en-US" w:eastAsia="zh-CN"/>
              </w:rPr>
              <w:t>截叶铁扫帚</w:t>
            </w:r>
            <w:r>
              <w:rPr>
                <w:rFonts w:hint="default" w:ascii="Times New Roman" w:hAnsi="Times New Roman" w:eastAsia="宋体" w:cs="Times New Roman"/>
                <w:i/>
                <w:iCs/>
                <w:color w:val="auto"/>
                <w:lang w:val="en-US" w:eastAsia="zh-CN"/>
              </w:rPr>
              <w:t>Lespedeza cuneata</w:t>
            </w:r>
            <w:r>
              <w:rPr>
                <w:rFonts w:hint="default" w:ascii="Times New Roman" w:hAnsi="Times New Roman" w:eastAsia="宋体" w:cs="Times New Roman"/>
                <w:color w:val="auto"/>
                <w:lang w:val="en-US" w:eastAsia="zh-CN"/>
              </w:rPr>
              <w:t>、马桑</w:t>
            </w:r>
            <w:r>
              <w:rPr>
                <w:rFonts w:hint="default" w:ascii="Times New Roman" w:hAnsi="Times New Roman" w:eastAsia="宋体" w:cs="Times New Roman"/>
                <w:i/>
                <w:iCs/>
                <w:color w:val="auto"/>
                <w:lang w:val="en-US" w:eastAsia="zh-CN"/>
              </w:rPr>
              <w:t>Coriaria napalensis</w:t>
            </w:r>
            <w:r>
              <w:rPr>
                <w:rFonts w:hint="default" w:ascii="Times New Roman" w:hAnsi="Times New Roman" w:eastAsia="宋体" w:cs="Times New Roman"/>
                <w:color w:val="auto"/>
                <w:lang w:val="en-US" w:eastAsia="zh-CN"/>
              </w:rPr>
              <w:t>、铁仔Myrsine africana等。</w:t>
            </w:r>
          </w:p>
          <w:p w14:paraId="013F2A50">
            <w:pPr>
              <w:ind w:firstLine="480" w:firstLineChars="20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lang w:val="en-US" w:eastAsia="zh-CN"/>
              </w:rPr>
              <w:t>草本层高0.1~0.5m。盖度30%~60%，以黄毛草莓</w:t>
            </w:r>
            <w:r>
              <w:rPr>
                <w:rFonts w:hint="default" w:ascii="Times New Roman" w:hAnsi="Times New Roman" w:eastAsia="宋体" w:cs="Times New Roman"/>
                <w:i/>
                <w:iCs/>
                <w:color w:val="auto"/>
                <w:lang w:val="en-US" w:eastAsia="zh-CN"/>
              </w:rPr>
              <w:t>Fragaria nilgerrensis</w:t>
            </w:r>
            <w:r>
              <w:rPr>
                <w:rFonts w:hint="default" w:ascii="Times New Roman" w:hAnsi="Times New Roman" w:eastAsia="宋体" w:cs="Times New Roman"/>
                <w:color w:val="auto"/>
                <w:lang w:val="en-US" w:eastAsia="zh-CN"/>
              </w:rPr>
              <w:t>为优势种，其他物种有珠光香青</w:t>
            </w:r>
            <w:r>
              <w:rPr>
                <w:rFonts w:hint="default" w:ascii="Times New Roman" w:hAnsi="Times New Roman" w:eastAsia="宋体" w:cs="Times New Roman"/>
                <w:i/>
                <w:iCs/>
                <w:color w:val="auto"/>
                <w:lang w:val="en-US" w:eastAsia="zh-CN"/>
              </w:rPr>
              <w:t>Anaphalis margaritacea、</w:t>
            </w:r>
            <w:r>
              <w:rPr>
                <w:rFonts w:hint="default" w:ascii="Times New Roman" w:hAnsi="Times New Roman" w:eastAsia="宋体" w:cs="Times New Roman"/>
                <w:color w:val="auto"/>
                <w:lang w:val="en-US" w:eastAsia="zh-CN"/>
              </w:rPr>
              <w:t>西南蕨麻</w:t>
            </w:r>
            <w:r>
              <w:rPr>
                <w:rFonts w:hint="default" w:ascii="Times New Roman" w:hAnsi="Times New Roman" w:eastAsia="宋体" w:cs="Times New Roman"/>
                <w:i/>
                <w:iCs/>
                <w:color w:val="auto"/>
                <w:lang w:val="en-US" w:eastAsia="zh-CN"/>
              </w:rPr>
              <w:t>Argentina lineata、</w:t>
            </w:r>
            <w:r>
              <w:rPr>
                <w:rFonts w:hint="default" w:ascii="Times New Roman" w:hAnsi="Times New Roman" w:eastAsia="宋体" w:cs="Times New Roman"/>
                <w:color w:val="auto"/>
                <w:lang w:val="en-US" w:eastAsia="zh-CN"/>
              </w:rPr>
              <w:t>青蒿</w:t>
            </w:r>
            <w:r>
              <w:rPr>
                <w:rFonts w:hint="default" w:ascii="Times New Roman" w:hAnsi="Times New Roman" w:eastAsia="宋体" w:cs="Times New Roman"/>
                <w:i/>
                <w:iCs/>
                <w:color w:val="auto"/>
                <w:lang w:val="en-US" w:eastAsia="zh-CN"/>
              </w:rPr>
              <w:t>Artemisia caruifolia</w:t>
            </w:r>
            <w:r>
              <w:rPr>
                <w:rFonts w:hint="default" w:ascii="Times New Roman" w:hAnsi="Times New Roman" w:eastAsia="宋体" w:cs="Times New Roman"/>
                <w:color w:val="auto"/>
                <w:lang w:val="en-US" w:eastAsia="zh-CN"/>
              </w:rPr>
              <w:t>、云南兔儿风</w:t>
            </w:r>
            <w:r>
              <w:rPr>
                <w:rFonts w:hint="default" w:ascii="Times New Roman" w:hAnsi="Times New Roman" w:eastAsia="宋体" w:cs="Times New Roman"/>
                <w:i/>
                <w:iCs/>
                <w:color w:val="auto"/>
                <w:lang w:val="en-US" w:eastAsia="zh-CN"/>
              </w:rPr>
              <w:t>Ainsliaea yunnanensis、</w:t>
            </w:r>
            <w:r>
              <w:rPr>
                <w:rFonts w:hint="default" w:ascii="Times New Roman" w:hAnsi="Times New Roman" w:eastAsia="宋体" w:cs="Times New Roman"/>
                <w:color w:val="auto"/>
                <w:lang w:val="en-US" w:eastAsia="zh-CN"/>
              </w:rPr>
              <w:t>细柄草</w:t>
            </w:r>
            <w:r>
              <w:rPr>
                <w:rFonts w:hint="default" w:ascii="Times New Roman" w:hAnsi="Times New Roman" w:eastAsia="宋体" w:cs="Times New Roman"/>
                <w:i/>
                <w:iCs/>
                <w:color w:val="auto"/>
                <w:lang w:val="en-US" w:eastAsia="zh-CN"/>
              </w:rPr>
              <w:t>Capillipedium parviflorum</w:t>
            </w:r>
            <w:r>
              <w:rPr>
                <w:rFonts w:hint="default" w:ascii="Times New Roman" w:hAnsi="Times New Roman" w:eastAsia="宋体" w:cs="Times New Roman"/>
                <w:color w:val="auto"/>
                <w:lang w:val="en-US" w:eastAsia="zh-CN"/>
              </w:rPr>
              <w:t>、野青茅</w:t>
            </w:r>
            <w:r>
              <w:rPr>
                <w:rFonts w:hint="default" w:ascii="Times New Roman" w:hAnsi="Times New Roman" w:eastAsia="宋体" w:cs="Times New Roman"/>
                <w:i/>
                <w:iCs/>
                <w:color w:val="auto"/>
                <w:lang w:val="en-US" w:eastAsia="zh-CN"/>
              </w:rPr>
              <w:t>Deyeuxia pyramidalis、</w:t>
            </w:r>
            <w:r>
              <w:rPr>
                <w:rFonts w:hint="default" w:ascii="Times New Roman" w:hAnsi="Times New Roman" w:eastAsia="宋体" w:cs="Times New Roman"/>
                <w:color w:val="auto"/>
                <w:lang w:val="en-US" w:eastAsia="zh-CN"/>
              </w:rPr>
              <w:t>拉拉藤</w:t>
            </w:r>
            <w:r>
              <w:rPr>
                <w:rFonts w:hint="default" w:ascii="Times New Roman" w:hAnsi="Times New Roman" w:eastAsia="宋体" w:cs="Times New Roman"/>
                <w:i/>
                <w:iCs/>
                <w:color w:val="auto"/>
                <w:lang w:val="en-US" w:eastAsia="zh-CN"/>
              </w:rPr>
              <w:t>Galium spurium、</w:t>
            </w:r>
            <w:r>
              <w:rPr>
                <w:rFonts w:hint="default" w:ascii="Times New Roman" w:hAnsi="Times New Roman" w:eastAsia="宋体" w:cs="Times New Roman"/>
                <w:color w:val="auto"/>
                <w:lang w:val="en-US" w:eastAsia="zh-CN"/>
              </w:rPr>
              <w:t>细柄草</w:t>
            </w:r>
            <w:r>
              <w:rPr>
                <w:rFonts w:hint="default" w:ascii="Times New Roman" w:hAnsi="Times New Roman" w:eastAsia="宋体" w:cs="Times New Roman"/>
                <w:i/>
                <w:iCs/>
                <w:color w:val="auto"/>
                <w:lang w:val="en-US" w:eastAsia="zh-CN"/>
              </w:rPr>
              <w:t>Capillipedium parviflorum、</w:t>
            </w:r>
            <w:r>
              <w:rPr>
                <w:rFonts w:hint="default" w:ascii="Times New Roman" w:hAnsi="Times New Roman" w:eastAsia="宋体" w:cs="Times New Roman"/>
                <w:color w:val="auto"/>
                <w:lang w:val="en-US" w:eastAsia="zh-CN"/>
              </w:rPr>
              <w:t>旱茅</w:t>
            </w:r>
            <w:r>
              <w:rPr>
                <w:rFonts w:hint="default" w:ascii="Times New Roman" w:hAnsi="Times New Roman" w:eastAsia="宋体" w:cs="Times New Roman"/>
                <w:i/>
                <w:iCs/>
                <w:color w:val="auto"/>
                <w:lang w:val="en-US" w:eastAsia="zh-CN"/>
              </w:rPr>
              <w:t>Schizachyrium delavayi、</w:t>
            </w:r>
            <w:r>
              <w:rPr>
                <w:rFonts w:hint="default" w:ascii="Times New Roman" w:hAnsi="Times New Roman" w:eastAsia="宋体" w:cs="Times New Roman"/>
                <w:color w:val="auto"/>
                <w:lang w:val="en-US" w:eastAsia="zh-CN"/>
              </w:rPr>
              <w:t>东紫苏</w:t>
            </w:r>
            <w:r>
              <w:rPr>
                <w:rFonts w:hint="default" w:ascii="Times New Roman" w:hAnsi="Times New Roman" w:eastAsia="宋体" w:cs="Times New Roman"/>
                <w:i/>
                <w:iCs/>
                <w:color w:val="auto"/>
                <w:lang w:val="en-US" w:eastAsia="zh-CN"/>
              </w:rPr>
              <w:t>Elsholtzia bodinieri、</w:t>
            </w:r>
            <w:r>
              <w:rPr>
                <w:rFonts w:hint="default" w:ascii="Times New Roman" w:hAnsi="Times New Roman" w:eastAsia="宋体" w:cs="Times New Roman"/>
                <w:color w:val="auto"/>
                <w:lang w:val="en-US" w:eastAsia="zh-CN"/>
              </w:rPr>
              <w:t>沿阶草</w:t>
            </w:r>
            <w:r>
              <w:rPr>
                <w:rFonts w:hint="default" w:ascii="Times New Roman" w:hAnsi="Times New Roman" w:eastAsia="宋体" w:cs="Times New Roman"/>
                <w:i/>
                <w:iCs/>
                <w:color w:val="auto"/>
                <w:lang w:val="en-US" w:eastAsia="zh-CN"/>
              </w:rPr>
              <w:t>Ophiopogon bodinieri、</w:t>
            </w:r>
            <w:r>
              <w:rPr>
                <w:rFonts w:hint="default" w:ascii="Times New Roman" w:hAnsi="Times New Roman" w:eastAsia="宋体" w:cs="Times New Roman"/>
                <w:color w:val="auto"/>
                <w:lang w:val="en-US" w:eastAsia="zh-CN"/>
              </w:rPr>
              <w:t>云南兔儿风</w:t>
            </w:r>
            <w:r>
              <w:rPr>
                <w:rFonts w:hint="default" w:ascii="Times New Roman" w:hAnsi="Times New Roman" w:eastAsia="宋体" w:cs="Times New Roman"/>
                <w:i/>
                <w:iCs/>
                <w:color w:val="auto"/>
                <w:lang w:val="en-US" w:eastAsia="zh-CN"/>
              </w:rPr>
              <w:t>Ainsliaea yunnanensis</w:t>
            </w:r>
            <w:r>
              <w:rPr>
                <w:rFonts w:hint="default" w:ascii="Times New Roman" w:hAnsi="Times New Roman" w:eastAsia="宋体" w:cs="Times New Roman"/>
                <w:color w:val="auto"/>
                <w:lang w:val="en-US" w:eastAsia="zh-CN"/>
              </w:rPr>
              <w:t>等。</w:t>
            </w:r>
          </w:p>
          <w:p w14:paraId="60BB0C54">
            <w:pPr>
              <w:numPr>
                <w:ilvl w:val="0"/>
                <w:numId w:val="0"/>
              </w:numPr>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（2）</w:t>
            </w:r>
            <w:r>
              <w:rPr>
                <w:rFonts w:hint="default" w:ascii="Times New Roman" w:hAnsi="Times New Roman" w:eastAsia="宋体" w:cs="Times New Roman"/>
                <w:color w:val="auto"/>
                <w:lang w:val="en-US" w:eastAsia="zh-CN"/>
              </w:rPr>
              <w:t>华山松林</w:t>
            </w:r>
          </w:p>
          <w:p w14:paraId="3717ADCD">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该群落类型相间分布于云南松林其中，主要分布于进场道路两侧和2#风机处边缘位置。</w:t>
            </w:r>
          </w:p>
          <w:p w14:paraId="59BF074F">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乔木层高4-8m，盖度40%~70%。乔木层物种简单，以华山松</w:t>
            </w:r>
            <w:r>
              <w:rPr>
                <w:rFonts w:hint="default" w:ascii="Times New Roman" w:hAnsi="Times New Roman" w:eastAsia="宋体" w:cs="Times New Roman"/>
                <w:i/>
                <w:iCs/>
                <w:color w:val="auto"/>
                <w:lang w:val="en-US" w:eastAsia="zh-CN"/>
              </w:rPr>
              <w:t>Pinus armandi</w:t>
            </w:r>
            <w:r>
              <w:rPr>
                <w:rFonts w:hint="default" w:ascii="Times New Roman" w:hAnsi="Times New Roman" w:eastAsia="宋体" w:cs="Times New Roman"/>
                <w:color w:val="auto"/>
                <w:lang w:val="en-US" w:eastAsia="zh-CN"/>
              </w:rPr>
              <w:t>为第一优势种，还分布有少量的云南松</w:t>
            </w:r>
            <w:r>
              <w:rPr>
                <w:rFonts w:hint="default" w:ascii="Times New Roman" w:hAnsi="Times New Roman" w:eastAsia="宋体" w:cs="Times New Roman"/>
                <w:i/>
                <w:iCs/>
                <w:color w:val="auto"/>
                <w:lang w:val="en-US" w:eastAsia="zh-CN"/>
              </w:rPr>
              <w:t>Pinus yunnanensis</w:t>
            </w:r>
            <w:r>
              <w:rPr>
                <w:rFonts w:hint="default" w:ascii="Times New Roman" w:hAnsi="Times New Roman" w:eastAsia="宋体" w:cs="Times New Roman"/>
                <w:color w:val="auto"/>
                <w:lang w:val="en-US" w:eastAsia="zh-CN"/>
              </w:rPr>
              <w:t>和黄背栎</w:t>
            </w:r>
            <w:r>
              <w:rPr>
                <w:rFonts w:hint="default" w:ascii="Times New Roman" w:hAnsi="Times New Roman" w:eastAsia="宋体" w:cs="Times New Roman"/>
                <w:i/>
                <w:iCs/>
                <w:color w:val="auto"/>
                <w:lang w:val="en-US" w:eastAsia="zh-CN"/>
              </w:rPr>
              <w:t>Quercus pannosa</w:t>
            </w:r>
            <w:r>
              <w:rPr>
                <w:rFonts w:hint="default" w:ascii="Times New Roman" w:hAnsi="Times New Roman" w:eastAsia="宋体" w:cs="Times New Roman"/>
                <w:color w:val="auto"/>
                <w:lang w:val="en-US" w:eastAsia="zh-CN"/>
              </w:rPr>
              <w:t>。</w:t>
            </w:r>
          </w:p>
          <w:p w14:paraId="272C6865">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灌木层高0.3-2m，盖度10%~20%。以滇榛</w:t>
            </w:r>
            <w:r>
              <w:rPr>
                <w:rFonts w:hint="default" w:ascii="Times New Roman" w:hAnsi="Times New Roman" w:eastAsia="宋体" w:cs="Times New Roman"/>
                <w:i/>
                <w:iCs/>
                <w:color w:val="auto"/>
                <w:lang w:val="en-US" w:eastAsia="zh-CN"/>
              </w:rPr>
              <w:t>Corylus yunnanensis</w:t>
            </w:r>
            <w:r>
              <w:rPr>
                <w:rFonts w:hint="default" w:ascii="Times New Roman" w:hAnsi="Times New Roman" w:eastAsia="宋体" w:cs="Times New Roman"/>
                <w:color w:val="auto"/>
                <w:lang w:val="en-US" w:eastAsia="zh-CN"/>
              </w:rPr>
              <w:t>和野拔子</w:t>
            </w:r>
            <w:r>
              <w:rPr>
                <w:rFonts w:hint="default" w:ascii="Times New Roman" w:hAnsi="Times New Roman" w:eastAsia="宋体" w:cs="Times New Roman"/>
                <w:i/>
                <w:iCs/>
                <w:color w:val="auto"/>
                <w:lang w:val="en-US" w:eastAsia="zh-CN"/>
              </w:rPr>
              <w:t>Elsholtzia rugulosa</w:t>
            </w:r>
            <w:r>
              <w:rPr>
                <w:rFonts w:hint="default" w:ascii="Times New Roman" w:hAnsi="Times New Roman" w:eastAsia="宋体" w:cs="Times New Roman"/>
                <w:color w:val="auto"/>
                <w:lang w:val="en-US" w:eastAsia="zh-CN"/>
              </w:rPr>
              <w:t>为优势，其他物种有川滇金丝桃</w:t>
            </w:r>
            <w:r>
              <w:rPr>
                <w:rFonts w:hint="default" w:ascii="Times New Roman" w:hAnsi="Times New Roman" w:eastAsia="宋体" w:cs="Times New Roman"/>
                <w:i/>
                <w:iCs/>
                <w:color w:val="auto"/>
                <w:lang w:val="en-US" w:eastAsia="zh-CN"/>
              </w:rPr>
              <w:t>Hypericum forrestii</w:t>
            </w:r>
            <w:r>
              <w:rPr>
                <w:rFonts w:hint="default" w:ascii="Times New Roman" w:hAnsi="Times New Roman" w:eastAsia="宋体" w:cs="Times New Roman"/>
                <w:color w:val="auto"/>
                <w:lang w:val="en-US" w:eastAsia="zh-CN"/>
              </w:rPr>
              <w:t>、珍珠花</w:t>
            </w:r>
            <w:r>
              <w:rPr>
                <w:rFonts w:hint="default" w:ascii="Times New Roman" w:hAnsi="Times New Roman" w:eastAsia="宋体" w:cs="Times New Roman"/>
                <w:i/>
                <w:iCs/>
                <w:color w:val="auto"/>
                <w:lang w:val="en-US" w:eastAsia="zh-CN"/>
              </w:rPr>
              <w:t>Lyonia ovalifolia</w:t>
            </w:r>
            <w:r>
              <w:rPr>
                <w:rFonts w:hint="default" w:ascii="Times New Roman" w:hAnsi="Times New Roman" w:eastAsia="宋体" w:cs="Times New Roman"/>
                <w:color w:val="auto"/>
                <w:lang w:val="en-US" w:eastAsia="zh-CN"/>
              </w:rPr>
              <w:t>、黄背栎</w:t>
            </w:r>
            <w:r>
              <w:rPr>
                <w:rFonts w:hint="default" w:ascii="Times New Roman" w:hAnsi="Times New Roman" w:eastAsia="宋体" w:cs="Times New Roman"/>
                <w:i/>
                <w:iCs/>
                <w:color w:val="auto"/>
                <w:lang w:val="en-US" w:eastAsia="zh-CN"/>
              </w:rPr>
              <w:t>Quercus pannosa</w:t>
            </w:r>
            <w:r>
              <w:rPr>
                <w:rFonts w:hint="default" w:ascii="Times New Roman" w:hAnsi="Times New Roman" w:eastAsia="宋体" w:cs="Times New Roman"/>
                <w:i w:val="0"/>
                <w:iCs w:val="0"/>
                <w:color w:val="auto"/>
                <w:lang w:val="en-US" w:eastAsia="zh-CN"/>
              </w:rPr>
              <w:t>、小檗</w:t>
            </w:r>
            <w:r>
              <w:rPr>
                <w:rFonts w:hint="default" w:ascii="Times New Roman" w:hAnsi="Times New Roman" w:eastAsia="宋体" w:cs="Times New Roman"/>
                <w:b w:val="0"/>
                <w:bCs w:val="0"/>
                <w:i/>
                <w:iCs/>
                <w:color w:val="auto"/>
                <w:lang w:val="en-US" w:eastAsia="zh-CN"/>
              </w:rPr>
              <w:t>Berberis amurensis</w:t>
            </w:r>
            <w:r>
              <w:rPr>
                <w:rFonts w:hint="default" w:ascii="Times New Roman" w:hAnsi="Times New Roman" w:eastAsia="宋体" w:cs="Times New Roman"/>
                <w:i w:val="0"/>
                <w:iCs w:val="0"/>
                <w:color w:val="auto"/>
                <w:lang w:val="en-US" w:eastAsia="zh-CN"/>
              </w:rPr>
              <w:t>、西南栒子</w:t>
            </w:r>
            <w:r>
              <w:rPr>
                <w:rFonts w:hint="default" w:ascii="Times New Roman" w:hAnsi="Times New Roman" w:eastAsia="宋体" w:cs="Times New Roman"/>
                <w:i/>
                <w:iCs/>
                <w:color w:val="auto"/>
                <w:lang w:val="en-US" w:eastAsia="zh-CN"/>
              </w:rPr>
              <w:t>Cotoneaster franchetii</w:t>
            </w:r>
            <w:r>
              <w:rPr>
                <w:rFonts w:hint="default" w:ascii="Times New Roman" w:hAnsi="Times New Roman" w:eastAsia="宋体" w:cs="Times New Roman"/>
                <w:i w:val="0"/>
                <w:iCs w:val="0"/>
                <w:color w:val="auto"/>
                <w:lang w:val="en-US" w:eastAsia="zh-CN"/>
              </w:rPr>
              <w:t>、水红木</w:t>
            </w:r>
            <w:r>
              <w:rPr>
                <w:rFonts w:hint="default" w:ascii="Times New Roman" w:hAnsi="Times New Roman" w:eastAsia="宋体" w:cs="Times New Roman"/>
                <w:b w:val="0"/>
                <w:bCs w:val="0"/>
                <w:i/>
                <w:iCs/>
                <w:color w:val="auto"/>
                <w:lang w:val="en-US" w:eastAsia="zh-CN"/>
              </w:rPr>
              <w:t>Viburnum cylindricum</w:t>
            </w:r>
            <w:r>
              <w:rPr>
                <w:rFonts w:hint="default" w:ascii="Times New Roman" w:hAnsi="Times New Roman" w:eastAsia="宋体" w:cs="Times New Roman"/>
                <w:i w:val="0"/>
                <w:iCs w:val="0"/>
                <w:color w:val="auto"/>
                <w:lang w:val="en-US" w:eastAsia="zh-CN"/>
              </w:rPr>
              <w:t>、十大功劳</w:t>
            </w:r>
            <w:r>
              <w:rPr>
                <w:rFonts w:hint="default" w:ascii="Times New Roman" w:hAnsi="Times New Roman" w:eastAsia="宋体" w:cs="Times New Roman"/>
                <w:b w:val="0"/>
                <w:bCs w:val="0"/>
                <w:i/>
                <w:iCs/>
                <w:color w:val="auto"/>
                <w:lang w:val="en-US" w:eastAsia="zh-CN"/>
              </w:rPr>
              <w:t>Mahonia fortunei</w:t>
            </w:r>
            <w:r>
              <w:rPr>
                <w:rFonts w:hint="default" w:ascii="Times New Roman" w:hAnsi="Times New Roman" w:eastAsia="宋体" w:cs="Times New Roman"/>
                <w:i w:val="0"/>
                <w:iCs w:val="0"/>
                <w:color w:val="auto"/>
                <w:lang w:val="en-US" w:eastAsia="zh-CN"/>
              </w:rPr>
              <w:t>、杜鹃</w:t>
            </w:r>
            <w:r>
              <w:rPr>
                <w:rFonts w:hint="default" w:ascii="Times New Roman" w:hAnsi="Times New Roman" w:eastAsia="宋体" w:cs="Times New Roman"/>
                <w:b w:val="0"/>
                <w:bCs w:val="0"/>
                <w:i/>
                <w:iCs/>
                <w:color w:val="auto"/>
                <w:lang w:val="en-US" w:eastAsia="zh-CN"/>
              </w:rPr>
              <w:t>Rhododendron simsii</w:t>
            </w:r>
            <w:r>
              <w:rPr>
                <w:rFonts w:hint="default" w:ascii="Times New Roman" w:hAnsi="Times New Roman" w:eastAsia="宋体" w:cs="Times New Roman"/>
                <w:i w:val="0"/>
                <w:iCs w:val="0"/>
                <w:color w:val="auto"/>
                <w:lang w:val="en-US" w:eastAsia="zh-CN"/>
              </w:rPr>
              <w:t>、平枝栒子</w:t>
            </w:r>
            <w:r>
              <w:rPr>
                <w:rFonts w:hint="default" w:ascii="Times New Roman" w:hAnsi="Times New Roman" w:eastAsia="宋体" w:cs="Times New Roman"/>
                <w:b w:val="0"/>
                <w:bCs w:val="0"/>
                <w:i/>
                <w:iCs/>
                <w:color w:val="auto"/>
                <w:lang w:val="en-US" w:eastAsia="zh-CN"/>
              </w:rPr>
              <w:t>Cotoneaster horizontalis</w:t>
            </w:r>
            <w:r>
              <w:rPr>
                <w:rFonts w:hint="default" w:ascii="Times New Roman" w:hAnsi="Times New Roman" w:eastAsia="宋体" w:cs="Times New Roman"/>
                <w:color w:val="auto"/>
                <w:lang w:val="en-US" w:eastAsia="zh-CN"/>
              </w:rPr>
              <w:t>等。</w:t>
            </w:r>
          </w:p>
          <w:p w14:paraId="4C7A12DC">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草本层高0.1-1 m，盖度10%~30%。以野青茅</w:t>
            </w:r>
            <w:r>
              <w:rPr>
                <w:rFonts w:hint="default" w:ascii="Times New Roman" w:hAnsi="Times New Roman" w:eastAsia="宋体" w:cs="Times New Roman"/>
                <w:i/>
                <w:iCs/>
                <w:color w:val="auto"/>
                <w:lang w:val="en-US" w:eastAsia="zh-CN"/>
              </w:rPr>
              <w:t>Deyeuxia pyramidalis</w:t>
            </w:r>
            <w:r>
              <w:rPr>
                <w:rFonts w:hint="default" w:ascii="Times New Roman" w:hAnsi="Times New Roman" w:eastAsia="宋体" w:cs="Times New Roman"/>
                <w:color w:val="auto"/>
                <w:lang w:val="en-US" w:eastAsia="zh-CN"/>
              </w:rPr>
              <w:t>为优势，其他物种有鼠曲草</w:t>
            </w:r>
            <w:r>
              <w:rPr>
                <w:rFonts w:hint="default" w:ascii="Times New Roman" w:hAnsi="Times New Roman" w:eastAsia="宋体" w:cs="Times New Roman"/>
                <w:i/>
                <w:iCs/>
                <w:color w:val="auto"/>
                <w:lang w:val="en-US" w:eastAsia="zh-CN"/>
              </w:rPr>
              <w:t>Pseudognaphalium affine</w:t>
            </w:r>
            <w:r>
              <w:rPr>
                <w:rFonts w:hint="default" w:ascii="Times New Roman" w:hAnsi="Times New Roman" w:eastAsia="宋体" w:cs="Times New Roman"/>
                <w:color w:val="auto"/>
                <w:lang w:val="en-US" w:eastAsia="zh-CN"/>
              </w:rPr>
              <w:t>、野艾蒿</w:t>
            </w:r>
            <w:r>
              <w:rPr>
                <w:rFonts w:hint="default" w:ascii="Times New Roman" w:hAnsi="Times New Roman" w:eastAsia="宋体" w:cs="Times New Roman"/>
                <w:i/>
                <w:iCs/>
                <w:color w:val="auto"/>
                <w:lang w:val="en-US" w:eastAsia="zh-CN"/>
              </w:rPr>
              <w:t>Artemisia lavandulifolia</w:t>
            </w:r>
            <w:r>
              <w:rPr>
                <w:rFonts w:hint="default" w:ascii="Times New Roman" w:hAnsi="Times New Roman" w:eastAsia="宋体" w:cs="Times New Roman"/>
                <w:color w:val="auto"/>
                <w:lang w:val="en-US" w:eastAsia="zh-CN"/>
              </w:rPr>
              <w:t>、珠光香青</w:t>
            </w:r>
            <w:r>
              <w:rPr>
                <w:rFonts w:hint="default" w:ascii="Times New Roman" w:hAnsi="Times New Roman" w:eastAsia="宋体" w:cs="Times New Roman"/>
                <w:i/>
                <w:iCs/>
                <w:color w:val="auto"/>
                <w:lang w:val="en-US" w:eastAsia="zh-CN"/>
              </w:rPr>
              <w:t>Anaphalis margaritacea</w:t>
            </w:r>
            <w:r>
              <w:rPr>
                <w:rFonts w:hint="default" w:ascii="Times New Roman" w:hAnsi="Times New Roman" w:eastAsia="宋体" w:cs="Times New Roman"/>
                <w:color w:val="auto"/>
                <w:lang w:val="en-US" w:eastAsia="zh-CN"/>
              </w:rPr>
              <w:t>、西南蕨麻</w:t>
            </w:r>
            <w:r>
              <w:rPr>
                <w:rFonts w:hint="default" w:ascii="Times New Roman" w:hAnsi="Times New Roman" w:eastAsia="宋体" w:cs="Times New Roman"/>
                <w:i/>
                <w:iCs/>
                <w:color w:val="auto"/>
                <w:lang w:val="en-US" w:eastAsia="zh-CN"/>
              </w:rPr>
              <w:t>Argentina lineata</w:t>
            </w:r>
            <w:r>
              <w:rPr>
                <w:rFonts w:hint="default" w:ascii="Times New Roman" w:hAnsi="Times New Roman" w:eastAsia="宋体" w:cs="Times New Roman"/>
                <w:i w:val="0"/>
                <w:iCs w:val="0"/>
                <w:color w:val="auto"/>
                <w:lang w:val="en-US" w:eastAsia="zh-CN"/>
              </w:rPr>
              <w:t>、欧洲凤尾蕨</w:t>
            </w:r>
            <w:r>
              <w:rPr>
                <w:rFonts w:hint="default" w:ascii="Times New Roman" w:hAnsi="Times New Roman" w:eastAsia="宋体" w:cs="Times New Roman"/>
                <w:i/>
                <w:iCs/>
                <w:color w:val="auto"/>
                <w:lang w:val="en-US" w:eastAsia="zh-CN"/>
              </w:rPr>
              <w:t>Pteris cretica</w:t>
            </w:r>
            <w:r>
              <w:rPr>
                <w:rFonts w:hint="default" w:ascii="Times New Roman" w:hAnsi="Times New Roman" w:eastAsia="宋体" w:cs="Times New Roman"/>
                <w:i w:val="0"/>
                <w:iCs w:val="0"/>
                <w:color w:val="auto"/>
                <w:lang w:val="en-US" w:eastAsia="zh-CN"/>
              </w:rPr>
              <w:t>、黑穗画眉草</w:t>
            </w:r>
            <w:r>
              <w:rPr>
                <w:rFonts w:hint="default" w:ascii="Times New Roman" w:hAnsi="Times New Roman" w:eastAsia="宋体" w:cs="Times New Roman"/>
                <w:i/>
                <w:iCs/>
                <w:color w:val="auto"/>
                <w:lang w:val="en-US" w:eastAsia="zh-CN"/>
              </w:rPr>
              <w:t>Eragrostis nigra</w:t>
            </w:r>
            <w:r>
              <w:rPr>
                <w:rFonts w:hint="default" w:ascii="Times New Roman" w:hAnsi="Times New Roman" w:eastAsia="宋体" w:cs="Times New Roman"/>
                <w:i w:val="0"/>
                <w:iCs w:val="0"/>
                <w:color w:val="auto"/>
                <w:lang w:val="en-US" w:eastAsia="zh-CN"/>
              </w:rPr>
              <w:t>、沿阶草</w:t>
            </w:r>
            <w:r>
              <w:rPr>
                <w:rFonts w:hint="default" w:ascii="Times New Roman" w:hAnsi="Times New Roman" w:eastAsia="宋体" w:cs="Times New Roman"/>
                <w:i/>
                <w:iCs/>
                <w:color w:val="auto"/>
                <w:lang w:val="en-US" w:eastAsia="zh-CN"/>
              </w:rPr>
              <w:t>Ophiopogon bodinieri</w:t>
            </w:r>
            <w:r>
              <w:rPr>
                <w:rFonts w:hint="default" w:ascii="Times New Roman" w:hAnsi="Times New Roman" w:eastAsia="宋体" w:cs="Times New Roman"/>
                <w:color w:val="auto"/>
                <w:lang w:val="en-US" w:eastAsia="zh-CN"/>
              </w:rPr>
              <w:t>等。</w:t>
            </w:r>
          </w:p>
          <w:p w14:paraId="16BA5E48">
            <w:pPr>
              <w:ind w:firstLine="480"/>
              <w:rPr>
                <w:color w:val="auto"/>
                <w:sz w:val="24"/>
                <w:szCs w:val="24"/>
              </w:rPr>
            </w:pPr>
            <w:r>
              <w:rPr>
                <w:rFonts w:hint="default"/>
                <w:color w:val="auto"/>
                <w:sz w:val="24"/>
                <w:szCs w:val="24"/>
              </w:rPr>
              <w:t>Ⅱ.</w:t>
            </w:r>
            <w:r>
              <w:rPr>
                <w:color w:val="auto"/>
              </w:rPr>
              <w:t xml:space="preserve"> </w:t>
            </w:r>
            <w:r>
              <w:rPr>
                <w:rFonts w:hint="default"/>
                <w:color w:val="auto"/>
                <w:sz w:val="24"/>
                <w:szCs w:val="24"/>
              </w:rPr>
              <w:t>落叶阔叶林</w:t>
            </w:r>
          </w:p>
          <w:p w14:paraId="71A75305">
            <w:pPr>
              <w:ind w:firstLine="480" w:firstLineChars="200"/>
              <w:rPr>
                <w:rFonts w:hint="default"/>
                <w:color w:val="auto"/>
              </w:rPr>
            </w:pPr>
            <w:r>
              <w:rPr>
                <w:rFonts w:hint="default"/>
                <w:color w:val="auto"/>
              </w:rPr>
              <w:t>云南省落叶阔叶林在水平空间上广泛分布于滇中高原、滇西、滇西北、滇东南及滇东北等地的低山丘陵、中山及亚高山中下部区域，但整体呈斑块状、不连续分布格局，各群落斑块面积普遍较小。垂直分布海拔范围为1000～3500 m，部分温性类型可上延至近4000 m；在山地垂直带谱中，该类群多作为过渡性或镶嵌性层片出现于常绿阔叶林带与针叶林带之间，不构成独立、连续的植被垂直带或水平地带性顶极群落。从发生学角度看，云南绝大多数落叶阔叶林系原生常绿阔叶林或针叶林经砍伐、火烧等干扰后形成的次生植被，处于向顶级群落恢复的演替中期阶段，林下常见壳斗科、樟科等常绿阔叶树种的更新个体，其存在指示区域植被正经历自然正向演替过程。主要群系包括栓皮栎林、麻栎林、尼泊尔桤木林及西南桦林等，其中尼泊尔桤木林为分布最广的先锋次生群系，西南桦林则多见于滇西北亚高山地带，兼具次生与局部原生属性。该类群具有显著季相动态，形成区别于周边常绿林的林缘与林窗微生境，对维持景观尺度生境异质性及生物多样性具有重要生态功能。本次评价区内涉及的群落类型为尼泊尔桤木林。</w:t>
            </w:r>
          </w:p>
          <w:p w14:paraId="06E6596B">
            <w:pPr>
              <w:numPr>
                <w:ilvl w:val="0"/>
                <w:numId w:val="0"/>
              </w:numPr>
              <w:ind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（3）</w:t>
            </w:r>
            <w:r>
              <w:rPr>
                <w:rFonts w:hint="default" w:ascii="Times New Roman" w:hAnsi="Times New Roman" w:eastAsia="宋体" w:cs="Times New Roman"/>
                <w:color w:val="auto"/>
                <w:lang w:eastAsia="zh-CN"/>
              </w:rPr>
              <w:t>尼泊尔桤木</w:t>
            </w:r>
            <w:r>
              <w:rPr>
                <w:rFonts w:hint="default" w:ascii="Times New Roman" w:hAnsi="Times New Roman" w:eastAsia="宋体" w:cs="Times New Roman"/>
                <w:color w:val="auto"/>
                <w:lang w:val="en-US" w:eastAsia="zh-CN"/>
              </w:rPr>
              <w:t>林</w:t>
            </w:r>
          </w:p>
          <w:p w14:paraId="7C107BDD">
            <w:pPr>
              <w:bidi w:val="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该群落类型分布于3#风机周围与部分进场道路处，群落结构层次明显。</w:t>
            </w:r>
          </w:p>
          <w:p w14:paraId="7492ABE9">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乔木层高4-12 m，盖度50%~80%。以</w:t>
            </w:r>
            <w:r>
              <w:rPr>
                <w:rFonts w:hint="default" w:ascii="Times New Roman" w:hAnsi="Times New Roman" w:eastAsia="宋体" w:cs="Times New Roman"/>
                <w:color w:val="auto"/>
                <w:lang w:eastAsia="zh-CN"/>
              </w:rPr>
              <w:t>尼泊尔桤木</w:t>
            </w:r>
            <w:r>
              <w:rPr>
                <w:rFonts w:hint="default" w:ascii="Times New Roman" w:hAnsi="Times New Roman" w:eastAsia="宋体" w:cs="Times New Roman"/>
                <w:i/>
                <w:iCs/>
                <w:color w:val="auto"/>
                <w:lang w:eastAsia="zh-CN"/>
              </w:rPr>
              <w:t>Alnus</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nepalensis</w:t>
            </w:r>
            <w:r>
              <w:rPr>
                <w:rFonts w:hint="default" w:ascii="Times New Roman" w:hAnsi="Times New Roman" w:eastAsia="宋体" w:cs="Times New Roman"/>
                <w:color w:val="auto"/>
                <w:lang w:val="en-US" w:eastAsia="zh-CN"/>
              </w:rPr>
              <w:t>为绝对优势，还分布有少量的华山松</w:t>
            </w:r>
            <w:r>
              <w:rPr>
                <w:rFonts w:hint="default" w:ascii="Times New Roman" w:hAnsi="Times New Roman" w:eastAsia="宋体" w:cs="Times New Roman"/>
                <w:i/>
                <w:iCs/>
                <w:color w:val="auto"/>
                <w:lang w:val="en-US" w:eastAsia="zh-CN"/>
              </w:rPr>
              <w:t>Pinus armandi</w:t>
            </w:r>
            <w:r>
              <w:rPr>
                <w:rFonts w:hint="default" w:ascii="Times New Roman" w:hAnsi="Times New Roman" w:eastAsia="宋体" w:cs="Times New Roman"/>
                <w:color w:val="auto"/>
                <w:lang w:val="en-US" w:eastAsia="zh-CN"/>
              </w:rPr>
              <w:t>和黄背栎</w:t>
            </w:r>
            <w:r>
              <w:rPr>
                <w:rFonts w:hint="default" w:ascii="Times New Roman" w:hAnsi="Times New Roman" w:eastAsia="宋体" w:cs="Times New Roman"/>
                <w:i/>
                <w:iCs/>
                <w:color w:val="auto"/>
                <w:lang w:val="en-US" w:eastAsia="zh-CN"/>
              </w:rPr>
              <w:t>Quercus pannosa</w:t>
            </w:r>
            <w:r>
              <w:rPr>
                <w:rFonts w:hint="default" w:ascii="Times New Roman" w:hAnsi="Times New Roman" w:eastAsia="宋体" w:cs="Times New Roman"/>
                <w:color w:val="auto"/>
                <w:lang w:val="en-US" w:eastAsia="zh-CN"/>
              </w:rPr>
              <w:t>。</w:t>
            </w:r>
          </w:p>
          <w:p w14:paraId="02029105">
            <w:pPr>
              <w:bidi w:val="0"/>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灌木层高0.5-2 m，盖度20%~50%。以滇榛</w:t>
            </w:r>
            <w:r>
              <w:rPr>
                <w:rFonts w:hint="default" w:ascii="Times New Roman" w:hAnsi="Times New Roman" w:eastAsia="宋体" w:cs="Times New Roman"/>
                <w:i/>
                <w:iCs/>
                <w:color w:val="auto"/>
                <w:lang w:val="en-US" w:eastAsia="zh-CN"/>
              </w:rPr>
              <w:t>Corylus yunnanensis</w:t>
            </w:r>
            <w:r>
              <w:rPr>
                <w:rFonts w:hint="default" w:ascii="Times New Roman" w:hAnsi="Times New Roman" w:eastAsia="宋体" w:cs="Times New Roman"/>
                <w:color w:val="auto"/>
                <w:lang w:val="en-US" w:eastAsia="zh-CN"/>
              </w:rPr>
              <w:t>为优势，其他物种有珍珠花</w:t>
            </w:r>
            <w:r>
              <w:rPr>
                <w:rFonts w:hint="default" w:ascii="Times New Roman" w:hAnsi="Times New Roman" w:eastAsia="宋体" w:cs="Times New Roman"/>
                <w:i/>
                <w:iCs/>
                <w:color w:val="auto"/>
                <w:lang w:val="en-US" w:eastAsia="zh-CN"/>
              </w:rPr>
              <w:t>Lyonia ovalifolia</w:t>
            </w:r>
            <w:r>
              <w:rPr>
                <w:rFonts w:hint="default" w:ascii="Times New Roman" w:hAnsi="Times New Roman" w:eastAsia="宋体" w:cs="Times New Roman"/>
                <w:color w:val="auto"/>
                <w:lang w:val="en-US" w:eastAsia="zh-CN"/>
              </w:rPr>
              <w:t>、野八角</w:t>
            </w:r>
            <w:r>
              <w:rPr>
                <w:rFonts w:hint="default" w:ascii="Times New Roman" w:hAnsi="Times New Roman" w:eastAsia="宋体" w:cs="Times New Roman"/>
                <w:i/>
                <w:iCs/>
                <w:color w:val="auto"/>
                <w:lang w:val="en-US" w:eastAsia="zh-CN"/>
              </w:rPr>
              <w:t>Illicium simonsii</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eastAsia="zh-CN"/>
              </w:rPr>
              <w:t>尼泊尔桤木</w:t>
            </w:r>
            <w:r>
              <w:rPr>
                <w:rFonts w:hint="default" w:ascii="Times New Roman" w:hAnsi="Times New Roman" w:eastAsia="宋体" w:cs="Times New Roman"/>
                <w:i/>
                <w:iCs/>
                <w:color w:val="auto"/>
                <w:lang w:eastAsia="zh-CN"/>
              </w:rPr>
              <w:t>Alnus</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nepalensis</w:t>
            </w:r>
            <w:r>
              <w:rPr>
                <w:rFonts w:hint="default" w:ascii="Times New Roman" w:hAnsi="Times New Roman" w:eastAsia="宋体" w:cs="Times New Roman"/>
                <w:color w:val="auto"/>
                <w:lang w:val="en-US" w:eastAsia="zh-CN"/>
              </w:rPr>
              <w:t>、野拔子</w:t>
            </w:r>
            <w:r>
              <w:rPr>
                <w:rFonts w:hint="default" w:ascii="Times New Roman" w:hAnsi="Times New Roman" w:eastAsia="宋体" w:cs="Times New Roman"/>
                <w:i/>
                <w:iCs/>
                <w:color w:val="auto"/>
                <w:lang w:val="en-US" w:eastAsia="zh-CN"/>
              </w:rPr>
              <w:t>Elsholtzia rugulosa</w:t>
            </w:r>
            <w:r>
              <w:rPr>
                <w:rFonts w:hint="default" w:ascii="Times New Roman" w:hAnsi="Times New Roman" w:eastAsia="宋体" w:cs="Times New Roman"/>
                <w:color w:val="auto"/>
                <w:lang w:val="en-US" w:eastAsia="zh-CN"/>
              </w:rPr>
              <w:t>、川滇金丝桃</w:t>
            </w:r>
            <w:r>
              <w:rPr>
                <w:rFonts w:hint="default" w:ascii="Times New Roman" w:hAnsi="Times New Roman" w:eastAsia="宋体" w:cs="Times New Roman"/>
                <w:i/>
                <w:iCs/>
                <w:color w:val="auto"/>
                <w:lang w:val="en-US" w:eastAsia="zh-CN"/>
              </w:rPr>
              <w:t>Hypericum forrestii</w:t>
            </w:r>
            <w:r>
              <w:rPr>
                <w:rFonts w:hint="default" w:ascii="Times New Roman" w:hAnsi="Times New Roman" w:eastAsia="宋体" w:cs="Times New Roman"/>
                <w:i w:val="0"/>
                <w:iCs w:val="0"/>
                <w:color w:val="auto"/>
                <w:lang w:val="en-US" w:eastAsia="zh-CN"/>
              </w:rPr>
              <w:t>、棠梨</w:t>
            </w:r>
            <w:r>
              <w:rPr>
                <w:rFonts w:hint="default" w:ascii="Times New Roman" w:hAnsi="Times New Roman" w:eastAsia="宋体" w:cs="Times New Roman"/>
                <w:i/>
                <w:iCs/>
                <w:color w:val="auto"/>
                <w:lang w:val="en-US" w:eastAsia="zh-CN"/>
              </w:rPr>
              <w:t>Pyrus pashia</w:t>
            </w:r>
            <w:r>
              <w:rPr>
                <w:rFonts w:hint="default" w:ascii="Times New Roman" w:hAnsi="Times New Roman" w:eastAsia="宋体" w:cs="Times New Roman"/>
                <w:i w:val="0"/>
                <w:iCs w:val="0"/>
                <w:color w:val="auto"/>
                <w:lang w:val="en-US" w:eastAsia="zh-CN"/>
              </w:rPr>
              <w:t>、火棘</w:t>
            </w:r>
            <w:r>
              <w:rPr>
                <w:rFonts w:hint="default" w:ascii="Times New Roman" w:hAnsi="Times New Roman" w:eastAsia="宋体" w:cs="Times New Roman"/>
                <w:i/>
                <w:iCs/>
                <w:color w:val="auto"/>
                <w:lang w:val="en-US" w:eastAsia="zh-CN"/>
              </w:rPr>
              <w:t>Pyracantha fortuneana</w:t>
            </w:r>
            <w:r>
              <w:rPr>
                <w:rFonts w:hint="default" w:ascii="Times New Roman" w:hAnsi="Times New Roman" w:eastAsia="宋体" w:cs="Times New Roman"/>
                <w:i w:val="0"/>
                <w:iCs w:val="0"/>
                <w:color w:val="auto"/>
                <w:lang w:val="en-US" w:eastAsia="zh-CN"/>
              </w:rPr>
              <w:t>、扁核木</w:t>
            </w:r>
            <w:r>
              <w:rPr>
                <w:rFonts w:hint="default" w:ascii="Times New Roman" w:hAnsi="Times New Roman" w:eastAsia="宋体" w:cs="Times New Roman"/>
                <w:i/>
                <w:iCs/>
                <w:color w:val="auto"/>
                <w:lang w:val="en-US" w:eastAsia="zh-CN"/>
              </w:rPr>
              <w:t>Prinsepia utilis</w:t>
            </w:r>
            <w:r>
              <w:rPr>
                <w:rFonts w:hint="default" w:ascii="Times New Roman" w:hAnsi="Times New Roman" w:eastAsia="宋体" w:cs="Times New Roman"/>
                <w:i w:val="0"/>
                <w:iCs w:val="0"/>
                <w:color w:val="auto"/>
                <w:lang w:val="en-US" w:eastAsia="zh-CN"/>
              </w:rPr>
              <w:t>、响叶杨</w:t>
            </w:r>
            <w:r>
              <w:rPr>
                <w:rFonts w:hint="default" w:ascii="Times New Roman" w:hAnsi="Times New Roman" w:eastAsia="宋体" w:cs="Times New Roman"/>
                <w:i/>
                <w:iCs/>
                <w:color w:val="auto"/>
                <w:lang w:val="en-US" w:eastAsia="zh-CN"/>
              </w:rPr>
              <w:t>Populus adenopoda</w:t>
            </w:r>
            <w:r>
              <w:rPr>
                <w:rFonts w:hint="default" w:ascii="Times New Roman" w:hAnsi="Times New Roman" w:eastAsia="宋体" w:cs="Times New Roman"/>
                <w:i w:val="0"/>
                <w:iCs w:val="0"/>
                <w:color w:val="auto"/>
                <w:lang w:val="en-US" w:eastAsia="zh-CN"/>
              </w:rPr>
              <w:t>、板凳果</w:t>
            </w:r>
            <w:r>
              <w:rPr>
                <w:rFonts w:hint="default" w:ascii="Times New Roman" w:hAnsi="Times New Roman" w:eastAsia="宋体" w:cs="Times New Roman"/>
                <w:i/>
                <w:iCs/>
                <w:color w:val="auto"/>
                <w:lang w:val="en-US" w:eastAsia="zh-CN"/>
              </w:rPr>
              <w:t>Pachysandra axillaris</w:t>
            </w:r>
            <w:r>
              <w:rPr>
                <w:rFonts w:hint="default" w:ascii="Times New Roman" w:hAnsi="Times New Roman" w:eastAsia="宋体" w:cs="Times New Roman"/>
                <w:i w:val="0"/>
                <w:iCs w:val="0"/>
                <w:color w:val="auto"/>
                <w:lang w:val="en-US" w:eastAsia="zh-CN"/>
              </w:rPr>
              <w:t>、小檗</w:t>
            </w:r>
            <w:r>
              <w:rPr>
                <w:rFonts w:hint="default" w:ascii="Times New Roman" w:hAnsi="Times New Roman" w:eastAsia="宋体" w:cs="Times New Roman"/>
                <w:b w:val="0"/>
                <w:bCs w:val="0"/>
                <w:i/>
                <w:iCs/>
                <w:color w:val="auto"/>
                <w:lang w:val="en-US" w:eastAsia="zh-CN"/>
              </w:rPr>
              <w:t>Berberis amurensis</w:t>
            </w:r>
            <w:r>
              <w:rPr>
                <w:rFonts w:hint="default" w:ascii="Times New Roman" w:hAnsi="Times New Roman" w:eastAsia="宋体" w:cs="Times New Roman"/>
                <w:color w:val="auto"/>
                <w:lang w:val="en-US" w:eastAsia="zh-CN"/>
              </w:rPr>
              <w:t>等。</w:t>
            </w:r>
          </w:p>
          <w:p w14:paraId="6B75F0C9">
            <w:pPr>
              <w:bidi w:val="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草本层高0.1-1.2 m，盖度40%~70%。以野艾蒿</w:t>
            </w:r>
            <w:r>
              <w:rPr>
                <w:rFonts w:hint="default" w:ascii="Times New Roman" w:hAnsi="Times New Roman" w:eastAsia="宋体" w:cs="Times New Roman"/>
                <w:i/>
                <w:iCs/>
                <w:color w:val="auto"/>
                <w:lang w:val="en-US" w:eastAsia="zh-CN"/>
              </w:rPr>
              <w:t>Artemisia lavandulifolia</w:t>
            </w:r>
            <w:r>
              <w:rPr>
                <w:rFonts w:hint="default" w:ascii="Times New Roman" w:hAnsi="Times New Roman" w:eastAsia="宋体" w:cs="Times New Roman"/>
                <w:color w:val="auto"/>
                <w:lang w:val="en-US" w:eastAsia="zh-CN"/>
              </w:rPr>
              <w:t>为优势，其他物种有西南蕨麻</w:t>
            </w:r>
            <w:r>
              <w:rPr>
                <w:rFonts w:hint="default" w:ascii="Times New Roman" w:hAnsi="Times New Roman" w:eastAsia="宋体" w:cs="Times New Roman"/>
                <w:i/>
                <w:iCs/>
                <w:color w:val="auto"/>
                <w:lang w:val="en-US" w:eastAsia="zh-CN"/>
              </w:rPr>
              <w:t>Argentina lineata</w:t>
            </w:r>
            <w:r>
              <w:rPr>
                <w:rFonts w:hint="default" w:ascii="Times New Roman" w:hAnsi="Times New Roman" w:eastAsia="宋体" w:cs="Times New Roman"/>
                <w:color w:val="auto"/>
                <w:lang w:val="en-US" w:eastAsia="zh-CN"/>
              </w:rPr>
              <w:t>、鼠曲草</w:t>
            </w:r>
            <w:r>
              <w:rPr>
                <w:rFonts w:hint="default" w:ascii="Times New Roman" w:hAnsi="Times New Roman" w:eastAsia="宋体" w:cs="Times New Roman"/>
                <w:i/>
                <w:iCs/>
                <w:color w:val="auto"/>
                <w:lang w:val="en-US" w:eastAsia="zh-CN"/>
              </w:rPr>
              <w:t>Pseudognaphalium affine</w:t>
            </w:r>
            <w:r>
              <w:rPr>
                <w:rFonts w:hint="default" w:ascii="Times New Roman" w:hAnsi="Times New Roman" w:eastAsia="宋体" w:cs="Times New Roman"/>
                <w:color w:val="auto"/>
                <w:lang w:val="en-US" w:eastAsia="zh-CN"/>
              </w:rPr>
              <w:t>、细柄草</w:t>
            </w:r>
            <w:r>
              <w:rPr>
                <w:rFonts w:hint="default" w:ascii="Times New Roman" w:hAnsi="Times New Roman" w:eastAsia="宋体" w:cs="Times New Roman"/>
                <w:i/>
                <w:iCs/>
                <w:color w:val="auto"/>
                <w:lang w:val="en-US" w:eastAsia="zh-CN"/>
              </w:rPr>
              <w:t>Capillipedium parviflorum</w:t>
            </w:r>
            <w:r>
              <w:rPr>
                <w:rFonts w:hint="default" w:ascii="Times New Roman" w:hAnsi="Times New Roman" w:eastAsia="宋体" w:cs="Times New Roman"/>
                <w:color w:val="auto"/>
                <w:lang w:val="en-US" w:eastAsia="zh-CN"/>
              </w:rPr>
              <w:t>、野青茅</w:t>
            </w:r>
            <w:r>
              <w:rPr>
                <w:rFonts w:hint="default" w:ascii="Times New Roman" w:hAnsi="Times New Roman" w:eastAsia="宋体" w:cs="Times New Roman"/>
                <w:i/>
                <w:iCs/>
                <w:color w:val="auto"/>
                <w:lang w:val="en-US" w:eastAsia="zh-CN"/>
              </w:rPr>
              <w:t>Deyeuxia pyramidalis</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eastAsia="zh-CN"/>
              </w:rPr>
              <w:t>商陆</w:t>
            </w:r>
            <w:r>
              <w:rPr>
                <w:rFonts w:hint="default" w:ascii="Times New Roman" w:hAnsi="Times New Roman" w:eastAsia="宋体" w:cs="Times New Roman"/>
                <w:i/>
                <w:iCs/>
                <w:color w:val="auto"/>
                <w:lang w:eastAsia="zh-CN"/>
              </w:rPr>
              <w:t>Phytolacca</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acinosa</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eastAsia="zh-CN"/>
              </w:rPr>
              <w:t>野雉尾金粉蕨</w:t>
            </w:r>
            <w:r>
              <w:rPr>
                <w:rFonts w:hint="default" w:ascii="Times New Roman" w:hAnsi="Times New Roman" w:eastAsia="宋体" w:cs="Times New Roman"/>
                <w:i/>
                <w:iCs/>
                <w:color w:val="auto"/>
                <w:lang w:eastAsia="zh-CN"/>
              </w:rPr>
              <w:t>Onychium</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japonicum</w:t>
            </w:r>
            <w:r>
              <w:rPr>
                <w:rFonts w:hint="default" w:ascii="Times New Roman" w:hAnsi="Times New Roman" w:eastAsia="宋体" w:cs="Times New Roman"/>
                <w:color w:val="auto"/>
                <w:lang w:val="en-US" w:eastAsia="zh-CN"/>
              </w:rPr>
              <w:t>、豨莶</w:t>
            </w:r>
            <w:r>
              <w:rPr>
                <w:rFonts w:hint="default" w:ascii="Times New Roman" w:hAnsi="Times New Roman" w:eastAsia="宋体" w:cs="Times New Roman"/>
                <w:i/>
                <w:iCs/>
                <w:color w:val="auto"/>
                <w:lang w:val="en-US" w:eastAsia="zh-CN"/>
              </w:rPr>
              <w:t>Sigesbeckia orientalis</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eastAsia="zh-CN"/>
              </w:rPr>
              <w:t>竹叶草</w:t>
            </w:r>
            <w:r>
              <w:rPr>
                <w:rFonts w:hint="default" w:ascii="Times New Roman" w:hAnsi="Times New Roman" w:eastAsia="宋体" w:cs="Times New Roman"/>
                <w:i/>
                <w:iCs/>
                <w:color w:val="auto"/>
                <w:lang w:eastAsia="zh-CN"/>
              </w:rPr>
              <w:t>Oplismenus</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compositus</w:t>
            </w:r>
            <w:r>
              <w:rPr>
                <w:rFonts w:hint="default" w:ascii="Times New Roman" w:hAnsi="Times New Roman" w:eastAsia="宋体" w:cs="Times New Roman"/>
                <w:i w:val="0"/>
                <w:iCs w:val="0"/>
                <w:color w:val="auto"/>
                <w:lang w:eastAsia="zh-CN"/>
              </w:rPr>
              <w:t>、益母草</w:t>
            </w:r>
            <w:r>
              <w:rPr>
                <w:rFonts w:hint="default" w:ascii="Times New Roman" w:hAnsi="Times New Roman" w:eastAsia="宋体" w:cs="Times New Roman"/>
                <w:i/>
                <w:iCs/>
                <w:color w:val="auto"/>
                <w:lang w:eastAsia="zh-CN"/>
              </w:rPr>
              <w:t>Leonurus japonicus</w:t>
            </w:r>
            <w:r>
              <w:rPr>
                <w:rFonts w:hint="default" w:ascii="Times New Roman" w:hAnsi="Times New Roman" w:eastAsia="宋体" w:cs="Times New Roman"/>
                <w:i w:val="0"/>
                <w:iCs w:val="0"/>
                <w:color w:val="auto"/>
                <w:lang w:eastAsia="zh-CN"/>
              </w:rPr>
              <w:t>、欧洲凤尾蕨</w:t>
            </w:r>
            <w:r>
              <w:rPr>
                <w:rFonts w:hint="default" w:ascii="Times New Roman" w:hAnsi="Times New Roman" w:eastAsia="宋体" w:cs="Times New Roman"/>
                <w:i/>
                <w:iCs/>
                <w:color w:val="auto"/>
                <w:lang w:eastAsia="zh-CN"/>
              </w:rPr>
              <w:t>Pteris cretica</w:t>
            </w:r>
            <w:r>
              <w:rPr>
                <w:rFonts w:hint="default" w:ascii="Times New Roman" w:hAnsi="Times New Roman" w:eastAsia="宋体" w:cs="Times New Roman"/>
                <w:i w:val="0"/>
                <w:iCs w:val="0"/>
                <w:color w:val="auto"/>
                <w:lang w:eastAsia="zh-CN"/>
              </w:rPr>
              <w:t>、毛轴蕨</w:t>
            </w:r>
            <w:r>
              <w:rPr>
                <w:rFonts w:hint="default" w:ascii="Times New Roman" w:hAnsi="Times New Roman" w:eastAsia="宋体" w:cs="Times New Roman"/>
                <w:i/>
                <w:iCs/>
                <w:color w:val="auto"/>
                <w:lang w:eastAsia="zh-CN"/>
              </w:rPr>
              <w:t>Pteridium revolutum</w:t>
            </w:r>
            <w:r>
              <w:rPr>
                <w:rFonts w:hint="default" w:ascii="Times New Roman" w:hAnsi="Times New Roman" w:eastAsia="宋体" w:cs="Times New Roman"/>
                <w:i w:val="0"/>
                <w:iCs w:val="0"/>
                <w:color w:val="auto"/>
                <w:lang w:eastAsia="zh-CN"/>
              </w:rPr>
              <w:t>、紫苏</w:t>
            </w:r>
            <w:r>
              <w:rPr>
                <w:rFonts w:hint="default" w:ascii="Times New Roman" w:hAnsi="Times New Roman" w:eastAsia="宋体" w:cs="Times New Roman"/>
                <w:i/>
                <w:iCs/>
                <w:color w:val="auto"/>
                <w:lang w:eastAsia="zh-CN"/>
              </w:rPr>
              <w:t>Perilla frutescens</w:t>
            </w:r>
            <w:r>
              <w:rPr>
                <w:rFonts w:hint="default" w:ascii="Times New Roman" w:hAnsi="Times New Roman" w:eastAsia="宋体" w:cs="Times New Roman"/>
                <w:i w:val="0"/>
                <w:iCs w:val="0"/>
                <w:color w:val="auto"/>
                <w:lang w:eastAsia="zh-CN"/>
              </w:rPr>
              <w:t>、荩草</w:t>
            </w:r>
            <w:r>
              <w:rPr>
                <w:rFonts w:hint="default" w:ascii="Times New Roman" w:hAnsi="Times New Roman" w:eastAsia="宋体" w:cs="Times New Roman"/>
                <w:i/>
                <w:iCs/>
                <w:color w:val="auto"/>
                <w:lang w:eastAsia="zh-CN"/>
              </w:rPr>
              <w:t>Arthraxon hispidus</w:t>
            </w:r>
            <w:r>
              <w:rPr>
                <w:rFonts w:hint="default" w:ascii="Times New Roman" w:hAnsi="Times New Roman" w:eastAsia="宋体" w:cs="Times New Roman"/>
                <w:i w:val="0"/>
                <w:iCs w:val="0"/>
                <w:color w:val="auto"/>
                <w:lang w:eastAsia="zh-CN"/>
              </w:rPr>
              <w:t>、臭节草</w:t>
            </w:r>
            <w:r>
              <w:rPr>
                <w:rFonts w:hint="default" w:ascii="Times New Roman" w:hAnsi="Times New Roman" w:eastAsia="宋体" w:cs="Times New Roman"/>
                <w:i/>
                <w:iCs/>
                <w:color w:val="auto"/>
                <w:lang w:eastAsia="zh-CN"/>
              </w:rPr>
              <w:t>Boenninghausenia albiflora</w:t>
            </w:r>
            <w:r>
              <w:rPr>
                <w:rFonts w:hint="default" w:ascii="Times New Roman" w:hAnsi="Times New Roman" w:eastAsia="宋体" w:cs="Times New Roman"/>
                <w:color w:val="auto"/>
                <w:lang w:val="en-US" w:eastAsia="zh-CN"/>
              </w:rPr>
              <w:t>等。</w:t>
            </w:r>
          </w:p>
          <w:p w14:paraId="1ADEA25C">
            <w:pPr>
              <w:ind w:firstLine="480"/>
              <w:rPr>
                <w:color w:val="auto"/>
              </w:rPr>
            </w:pPr>
            <w:r>
              <w:rPr>
                <w:color w:val="auto"/>
              </w:rPr>
              <w:t>Ⅲ</w:t>
            </w:r>
            <w:r>
              <w:rPr>
                <w:rFonts w:hint="default"/>
                <w:color w:val="auto"/>
              </w:rPr>
              <w:t>.</w:t>
            </w:r>
            <w:r>
              <w:rPr>
                <w:color w:val="auto"/>
              </w:rPr>
              <w:t xml:space="preserve"> 暖温性稀树灌木草丛</w:t>
            </w:r>
          </w:p>
          <w:p w14:paraId="37F882B1">
            <w:pPr>
              <w:ind w:firstLine="480"/>
              <w:rPr>
                <w:color w:val="auto"/>
              </w:rPr>
            </w:pPr>
            <w:r>
              <w:rPr>
                <w:rFonts w:hint="default"/>
                <w:bCs/>
                <w:color w:val="auto"/>
                <w:kern w:val="0"/>
                <w:sz w:val="24"/>
                <w:szCs w:val="24"/>
              </w:rPr>
              <w:t>暖温性稀树灌木草丛广泛分布于云南的中部、北部、西北部、东北部及东南部的广大山地上，是云南高原</w:t>
            </w:r>
            <w:r>
              <w:rPr>
                <w:bCs/>
                <w:color w:val="auto"/>
                <w:kern w:val="0"/>
                <w:sz w:val="24"/>
                <w:szCs w:val="24"/>
              </w:rPr>
              <w:t>1500</w:t>
            </w:r>
            <w:r>
              <w:rPr>
                <w:rFonts w:hint="default"/>
                <w:bCs/>
                <w:color w:val="auto"/>
                <w:kern w:val="0"/>
                <w:sz w:val="24"/>
                <w:szCs w:val="24"/>
              </w:rPr>
              <w:t>～</w:t>
            </w:r>
            <w:r>
              <w:rPr>
                <w:bCs/>
                <w:color w:val="auto"/>
                <w:kern w:val="0"/>
                <w:sz w:val="24"/>
                <w:szCs w:val="24"/>
              </w:rPr>
              <w:t>2500</w:t>
            </w:r>
            <w:r>
              <w:rPr>
                <w:rFonts w:hint="default"/>
                <w:bCs/>
                <w:color w:val="auto"/>
                <w:kern w:val="0"/>
                <w:sz w:val="24"/>
                <w:szCs w:val="24"/>
              </w:rPr>
              <w:t>米的海拔地段上广布的植被，分布区域的气候一般为暖温性山地气候，</w:t>
            </w:r>
            <w:r>
              <w:rPr>
                <w:rFonts w:hAnsi="Times New Roman"/>
                <w:color w:val="auto"/>
                <w:sz w:val="24"/>
                <w:szCs w:val="24"/>
              </w:rPr>
              <w:t>是在原有森林长期不断地受到砍伐或火烧下所形成的一类次生植被。群落以草丛为主，其间散生灌木和乔木</w:t>
            </w:r>
            <w:r>
              <w:rPr>
                <w:rFonts w:hint="default" w:hAnsi="Times New Roman"/>
                <w:color w:val="auto"/>
              </w:rPr>
              <w:t>，</w:t>
            </w:r>
            <w:r>
              <w:rPr>
                <w:rFonts w:hAnsi="Times New Roman"/>
                <w:color w:val="auto"/>
                <w:sz w:val="24"/>
                <w:szCs w:val="24"/>
              </w:rPr>
              <w:t>灌木一般低矮，有时高度不及草丛</w:t>
            </w:r>
            <w:r>
              <w:rPr>
                <w:rFonts w:hint="default" w:hAnsi="Times New Roman"/>
                <w:color w:val="auto"/>
              </w:rPr>
              <w:t>，</w:t>
            </w:r>
            <w:r>
              <w:rPr>
                <w:rFonts w:hAnsi="Times New Roman"/>
                <w:color w:val="auto"/>
                <w:sz w:val="24"/>
                <w:szCs w:val="24"/>
              </w:rPr>
              <w:t>散生的乔木一般生长不良，不规则地在成片草丛上散布着。稀树灌木草丛所具有的明显的次生性质，首先表现在群落结构并不稳定，乔木、灌木和草丛三者的比例常随地而异。有时有灌木而无乔木，或有乔木而少见灌木，或局部地区乔灌木均无而为一片草丛等。所有的草本、灌木、乔木都为喜阳耐旱的种类，而且在耐土壤贫瘠、耐放牧、耐践踏、耐火烧、萌发力强等方面，都有相似之处。</w:t>
            </w:r>
          </w:p>
          <w:p w14:paraId="24125F30">
            <w:pPr>
              <w:numPr>
                <w:ilvl w:val="0"/>
                <w:numId w:val="0"/>
              </w:numPr>
              <w:ind w:left="0" w:leftChars="0"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（4）</w:t>
            </w:r>
            <w:r>
              <w:rPr>
                <w:rFonts w:hint="default" w:ascii="Times New Roman" w:hAnsi="Times New Roman" w:eastAsia="宋体" w:cs="Times New Roman"/>
                <w:color w:val="auto"/>
                <w:lang w:val="en-US" w:eastAsia="zh-CN"/>
              </w:rPr>
              <w:t>滇榛-野拔子灌丛</w:t>
            </w:r>
          </w:p>
          <w:p w14:paraId="3B0C3DA5">
            <w:pPr>
              <w:bidi w:val="0"/>
              <w:ind w:left="0" w:leftChars="0"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该灌丛分布于2#风机处中心位置，群落高0.5-1.5 m，盖度20%~40%。以滇榛</w:t>
            </w:r>
            <w:r>
              <w:rPr>
                <w:rFonts w:hint="default" w:ascii="Times New Roman" w:hAnsi="Times New Roman" w:eastAsia="宋体" w:cs="Times New Roman"/>
                <w:i/>
                <w:iCs/>
                <w:color w:val="auto"/>
                <w:lang w:val="en-US" w:eastAsia="zh-CN"/>
              </w:rPr>
              <w:t>Corylus yunnanensis</w:t>
            </w:r>
            <w:r>
              <w:rPr>
                <w:rFonts w:hint="default" w:ascii="Times New Roman" w:hAnsi="Times New Roman" w:eastAsia="宋体" w:cs="Times New Roman"/>
                <w:color w:val="auto"/>
                <w:lang w:val="en-US" w:eastAsia="zh-CN"/>
              </w:rPr>
              <w:t>和野拔子</w:t>
            </w:r>
            <w:r>
              <w:rPr>
                <w:rFonts w:hint="default" w:ascii="Times New Roman" w:hAnsi="Times New Roman" w:eastAsia="宋体" w:cs="Times New Roman"/>
                <w:i/>
                <w:iCs/>
                <w:color w:val="auto"/>
                <w:lang w:val="en-US" w:eastAsia="zh-CN"/>
              </w:rPr>
              <w:t>Elsholtzia rugulosa</w:t>
            </w:r>
            <w:r>
              <w:rPr>
                <w:rFonts w:hint="default" w:ascii="Times New Roman" w:hAnsi="Times New Roman" w:eastAsia="宋体" w:cs="Times New Roman"/>
                <w:color w:val="auto"/>
                <w:lang w:val="en-US" w:eastAsia="zh-CN"/>
              </w:rPr>
              <w:t>为优势种，周围分布少量的乔木华山松</w:t>
            </w:r>
            <w:r>
              <w:rPr>
                <w:rFonts w:hint="default" w:ascii="Times New Roman" w:hAnsi="Times New Roman" w:eastAsia="宋体" w:cs="Times New Roman"/>
                <w:i/>
                <w:iCs/>
                <w:color w:val="auto"/>
                <w:lang w:val="en-US" w:eastAsia="zh-CN"/>
              </w:rPr>
              <w:t>Pinus armandi</w:t>
            </w:r>
            <w:r>
              <w:rPr>
                <w:rFonts w:hint="default" w:ascii="Times New Roman" w:hAnsi="Times New Roman" w:eastAsia="宋体" w:cs="Times New Roman"/>
                <w:color w:val="auto"/>
                <w:lang w:val="en-US" w:eastAsia="zh-CN"/>
              </w:rPr>
              <w:t>和黄背栎</w:t>
            </w:r>
            <w:r>
              <w:rPr>
                <w:rFonts w:hint="default" w:ascii="Times New Roman" w:hAnsi="Times New Roman" w:eastAsia="宋体" w:cs="Times New Roman"/>
                <w:i/>
                <w:iCs/>
                <w:color w:val="auto"/>
                <w:lang w:val="en-US" w:eastAsia="zh-CN"/>
              </w:rPr>
              <w:t>Quercus pannosa</w:t>
            </w:r>
            <w:r>
              <w:rPr>
                <w:rFonts w:hint="default" w:ascii="Times New Roman" w:hAnsi="Times New Roman" w:eastAsia="宋体" w:cs="Times New Roman"/>
                <w:color w:val="auto"/>
                <w:lang w:val="en-US" w:eastAsia="zh-CN"/>
              </w:rPr>
              <w:t>；灌木层其他物种有川滇金丝桃</w:t>
            </w:r>
            <w:r>
              <w:rPr>
                <w:rFonts w:hint="default" w:ascii="Times New Roman" w:hAnsi="Times New Roman" w:eastAsia="宋体" w:cs="Times New Roman"/>
                <w:i/>
                <w:iCs/>
                <w:color w:val="auto"/>
                <w:lang w:val="en-US" w:eastAsia="zh-CN"/>
              </w:rPr>
              <w:t>Hypericum forrestii</w:t>
            </w:r>
            <w:r>
              <w:rPr>
                <w:rFonts w:hint="default" w:ascii="Times New Roman" w:hAnsi="Times New Roman" w:eastAsia="宋体" w:cs="Times New Roman"/>
                <w:color w:val="auto"/>
                <w:lang w:val="en-US" w:eastAsia="zh-CN"/>
              </w:rPr>
              <w:t>、</w:t>
            </w:r>
            <w:r>
              <w:rPr>
                <w:rFonts w:hint="default" w:ascii="Times New Roman" w:hAnsi="Times New Roman" w:eastAsia="宋体" w:cs="Times New Roman"/>
                <w:color w:val="auto"/>
                <w:lang w:eastAsia="zh-CN"/>
              </w:rPr>
              <w:t>尼泊尔桤木</w:t>
            </w:r>
            <w:r>
              <w:rPr>
                <w:rFonts w:hint="default" w:ascii="Times New Roman" w:hAnsi="Times New Roman" w:eastAsia="宋体" w:cs="Times New Roman"/>
                <w:i/>
                <w:iCs/>
                <w:color w:val="auto"/>
                <w:lang w:eastAsia="zh-CN"/>
              </w:rPr>
              <w:t>Alnus</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nepalensis</w:t>
            </w:r>
            <w:r>
              <w:rPr>
                <w:rFonts w:hint="default" w:ascii="Times New Roman" w:hAnsi="Times New Roman" w:eastAsia="宋体" w:cs="Times New Roman"/>
                <w:color w:val="auto"/>
                <w:lang w:val="en-US" w:eastAsia="zh-CN"/>
              </w:rPr>
              <w:t>等。草本层高0.1~0.6 m，以鼠曲草</w:t>
            </w:r>
            <w:r>
              <w:rPr>
                <w:rFonts w:hint="default" w:ascii="Times New Roman" w:hAnsi="Times New Roman" w:eastAsia="宋体" w:cs="Times New Roman"/>
                <w:i/>
                <w:iCs/>
                <w:color w:val="auto"/>
                <w:lang w:val="en-US" w:eastAsia="zh-CN"/>
              </w:rPr>
              <w:t>Pseudognaphalium affine</w:t>
            </w:r>
            <w:r>
              <w:rPr>
                <w:rFonts w:hint="default" w:ascii="Times New Roman" w:hAnsi="Times New Roman" w:eastAsia="宋体" w:cs="Times New Roman"/>
                <w:color w:val="auto"/>
                <w:lang w:val="en-US" w:eastAsia="zh-CN"/>
              </w:rPr>
              <w:t>为优势，其他物种有野艾蒿</w:t>
            </w:r>
            <w:r>
              <w:rPr>
                <w:rFonts w:hint="default" w:ascii="Times New Roman" w:hAnsi="Times New Roman" w:eastAsia="宋体" w:cs="Times New Roman"/>
                <w:i/>
                <w:iCs/>
                <w:color w:val="auto"/>
                <w:lang w:val="en-US" w:eastAsia="zh-CN"/>
              </w:rPr>
              <w:t>Artemisia lavandulifolia</w:t>
            </w:r>
            <w:r>
              <w:rPr>
                <w:rFonts w:hint="default" w:ascii="Times New Roman" w:hAnsi="Times New Roman" w:eastAsia="宋体" w:cs="Times New Roman"/>
                <w:color w:val="auto"/>
                <w:lang w:val="en-US" w:eastAsia="zh-CN"/>
              </w:rPr>
              <w:t>、西南蕨麻</w:t>
            </w:r>
            <w:r>
              <w:rPr>
                <w:rFonts w:hint="default" w:ascii="Times New Roman" w:hAnsi="Times New Roman" w:eastAsia="宋体" w:cs="Times New Roman"/>
                <w:i/>
                <w:iCs/>
                <w:color w:val="auto"/>
                <w:lang w:val="en-US" w:eastAsia="zh-CN"/>
              </w:rPr>
              <w:t>Argentina lineata</w:t>
            </w:r>
            <w:r>
              <w:rPr>
                <w:rFonts w:hint="default" w:ascii="Times New Roman" w:hAnsi="Times New Roman" w:eastAsia="宋体" w:cs="Times New Roman"/>
                <w:color w:val="auto"/>
                <w:lang w:val="en-US" w:eastAsia="zh-CN"/>
              </w:rPr>
              <w:t>、野青茅</w:t>
            </w:r>
            <w:r>
              <w:rPr>
                <w:rFonts w:hint="default" w:ascii="Times New Roman" w:hAnsi="Times New Roman" w:eastAsia="宋体" w:cs="Times New Roman"/>
                <w:i/>
                <w:iCs/>
                <w:color w:val="auto"/>
                <w:lang w:val="en-US" w:eastAsia="zh-CN"/>
              </w:rPr>
              <w:t>Deyeuxia pyramidalis</w:t>
            </w:r>
            <w:r>
              <w:rPr>
                <w:rFonts w:hint="default" w:ascii="Times New Roman" w:hAnsi="Times New Roman" w:eastAsia="宋体" w:cs="Times New Roman"/>
                <w:color w:val="auto"/>
                <w:lang w:val="en-US" w:eastAsia="zh-CN"/>
              </w:rPr>
              <w:t>等。</w:t>
            </w:r>
          </w:p>
          <w:p w14:paraId="4FFE1B96">
            <w:pPr>
              <w:numPr>
                <w:ilvl w:val="0"/>
                <w:numId w:val="0"/>
              </w:numPr>
              <w:ind w:left="0" w:leftChars="0"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4"/>
                <w:szCs w:val="24"/>
                <w:lang w:val="en-US" w:eastAsia="zh-CN" w:bidi="ar-SA"/>
              </w:rPr>
              <w:t>（5）</w:t>
            </w:r>
            <w:r>
              <w:rPr>
                <w:rFonts w:hint="default" w:ascii="Times New Roman" w:hAnsi="Times New Roman" w:eastAsia="宋体" w:cs="Times New Roman"/>
                <w:color w:val="auto"/>
                <w:lang w:val="en-US" w:eastAsia="zh-CN"/>
              </w:rPr>
              <w:t>毛轴蕨草丛</w:t>
            </w:r>
          </w:p>
          <w:p w14:paraId="4990B8B1">
            <w:pPr>
              <w:tabs>
                <w:tab w:val="left" w:pos="5040"/>
              </w:tabs>
              <w:bidi w:val="0"/>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该草丛分布于3#风机处中心位置和部分进场道路，群落高0.5-1 m，盖度50%~90%。草丛以毛轴蕨为绝对优势，周边分布着少量</w:t>
            </w:r>
            <w:r>
              <w:rPr>
                <w:rFonts w:hint="default" w:ascii="Times New Roman" w:hAnsi="Times New Roman" w:eastAsia="宋体" w:cs="Times New Roman"/>
                <w:color w:val="auto"/>
                <w:lang w:eastAsia="zh-CN"/>
              </w:rPr>
              <w:t>尼泊尔桤木</w:t>
            </w:r>
            <w:r>
              <w:rPr>
                <w:rFonts w:hint="default" w:ascii="Times New Roman" w:hAnsi="Times New Roman" w:eastAsia="宋体" w:cs="Times New Roman"/>
                <w:i/>
                <w:iCs/>
                <w:color w:val="auto"/>
                <w:lang w:eastAsia="zh-CN"/>
              </w:rPr>
              <w:t>Alnus</w:t>
            </w:r>
            <w:r>
              <w:rPr>
                <w:rFonts w:hint="default" w:ascii="Times New Roman" w:hAnsi="Times New Roman" w:eastAsia="宋体" w:cs="Times New Roman"/>
                <w:i/>
                <w:iCs/>
                <w:color w:val="auto"/>
                <w:lang w:val="en-US" w:eastAsia="zh-CN"/>
              </w:rPr>
              <w:t xml:space="preserve"> </w:t>
            </w:r>
            <w:r>
              <w:rPr>
                <w:rFonts w:hint="default" w:ascii="Times New Roman" w:hAnsi="Times New Roman" w:eastAsia="宋体" w:cs="Times New Roman"/>
                <w:i/>
                <w:iCs/>
                <w:color w:val="auto"/>
                <w:lang w:eastAsia="zh-CN"/>
              </w:rPr>
              <w:t>nepalensis</w:t>
            </w:r>
            <w:r>
              <w:rPr>
                <w:rFonts w:hint="default" w:ascii="Times New Roman" w:hAnsi="Times New Roman" w:eastAsia="宋体" w:cs="Times New Roman"/>
                <w:color w:val="auto"/>
                <w:lang w:val="en-US" w:eastAsia="zh-CN"/>
              </w:rPr>
              <w:t>和华山松</w:t>
            </w:r>
            <w:r>
              <w:rPr>
                <w:rFonts w:hint="default" w:ascii="Times New Roman" w:hAnsi="Times New Roman" w:eastAsia="宋体" w:cs="Times New Roman"/>
                <w:i/>
                <w:iCs/>
                <w:color w:val="auto"/>
                <w:lang w:val="en-US" w:eastAsia="zh-CN"/>
              </w:rPr>
              <w:t>Pinus armandi</w:t>
            </w:r>
            <w:r>
              <w:rPr>
                <w:rFonts w:hint="default" w:ascii="Times New Roman" w:hAnsi="Times New Roman" w:eastAsia="宋体" w:cs="Times New Roman"/>
                <w:color w:val="auto"/>
                <w:lang w:val="en-US" w:eastAsia="zh-CN"/>
              </w:rPr>
              <w:t>。灌木层有川滇金丝桃</w:t>
            </w:r>
            <w:r>
              <w:rPr>
                <w:rFonts w:hint="default" w:ascii="Times New Roman" w:hAnsi="Times New Roman" w:eastAsia="宋体" w:cs="Times New Roman"/>
                <w:i/>
                <w:iCs/>
                <w:color w:val="auto"/>
                <w:lang w:val="en-US" w:eastAsia="zh-CN"/>
              </w:rPr>
              <w:t>Hypericum forrestii</w:t>
            </w:r>
            <w:r>
              <w:rPr>
                <w:rFonts w:hint="default" w:ascii="Times New Roman" w:hAnsi="Times New Roman" w:eastAsia="宋体" w:cs="Times New Roman"/>
                <w:i w:val="0"/>
                <w:iCs w:val="0"/>
                <w:color w:val="auto"/>
                <w:lang w:val="en-US" w:eastAsia="zh-CN"/>
              </w:rPr>
              <w:t>、</w:t>
            </w:r>
            <w:r>
              <w:rPr>
                <w:rFonts w:hint="default" w:ascii="Times New Roman" w:hAnsi="Times New Roman" w:eastAsia="宋体" w:cs="Times New Roman"/>
                <w:color w:val="auto"/>
                <w:lang w:val="en-US" w:eastAsia="zh-CN"/>
              </w:rPr>
              <w:t>滇榛</w:t>
            </w:r>
            <w:r>
              <w:rPr>
                <w:rFonts w:hint="default" w:ascii="Times New Roman" w:hAnsi="Times New Roman" w:eastAsia="宋体" w:cs="Times New Roman"/>
                <w:i/>
                <w:iCs/>
                <w:color w:val="auto"/>
                <w:lang w:val="en-US" w:eastAsia="zh-CN"/>
              </w:rPr>
              <w:t>Corylus yunnanensis</w:t>
            </w:r>
            <w:r>
              <w:rPr>
                <w:rFonts w:hint="default" w:ascii="Times New Roman" w:hAnsi="Times New Roman" w:eastAsia="宋体" w:cs="Times New Roman"/>
                <w:i w:val="0"/>
                <w:iCs w:val="0"/>
                <w:color w:val="auto"/>
                <w:lang w:val="en-US" w:eastAsia="zh-CN"/>
              </w:rPr>
              <w:t>、小檗</w:t>
            </w:r>
            <w:r>
              <w:rPr>
                <w:rFonts w:hint="default" w:ascii="Times New Roman" w:hAnsi="Times New Roman" w:eastAsia="宋体" w:cs="Times New Roman"/>
                <w:b w:val="0"/>
                <w:bCs w:val="0"/>
                <w:i/>
                <w:iCs/>
                <w:color w:val="auto"/>
                <w:lang w:val="en-US" w:eastAsia="zh-CN"/>
              </w:rPr>
              <w:t>Berberis amurensis</w:t>
            </w:r>
            <w:r>
              <w:rPr>
                <w:rFonts w:hint="default" w:ascii="Times New Roman" w:hAnsi="Times New Roman" w:eastAsia="宋体" w:cs="Times New Roman"/>
                <w:i w:val="0"/>
                <w:iCs w:val="0"/>
                <w:color w:val="auto"/>
                <w:lang w:eastAsia="zh-CN"/>
              </w:rPr>
              <w:t>、</w:t>
            </w:r>
            <w:r>
              <w:rPr>
                <w:rFonts w:hint="default" w:ascii="Times New Roman" w:hAnsi="Times New Roman" w:eastAsia="宋体" w:cs="Times New Roman"/>
                <w:i w:val="0"/>
                <w:iCs w:val="0"/>
                <w:color w:val="auto"/>
                <w:lang w:val="en-US" w:eastAsia="zh-CN"/>
              </w:rPr>
              <w:t>火棘</w:t>
            </w:r>
            <w:r>
              <w:rPr>
                <w:rFonts w:hint="default" w:ascii="Times New Roman" w:hAnsi="Times New Roman" w:eastAsia="宋体" w:cs="Times New Roman"/>
                <w:i/>
                <w:iCs/>
                <w:color w:val="auto"/>
                <w:lang w:val="en-US" w:eastAsia="zh-CN"/>
              </w:rPr>
              <w:t>Pyracantha fortuneana</w:t>
            </w:r>
            <w:r>
              <w:rPr>
                <w:rFonts w:hint="default" w:ascii="Times New Roman" w:hAnsi="Times New Roman" w:eastAsia="宋体" w:cs="Times New Roman"/>
                <w:i w:val="0"/>
                <w:iCs w:val="0"/>
                <w:color w:val="auto"/>
                <w:lang w:val="en-US" w:eastAsia="zh-CN"/>
              </w:rPr>
              <w:t>等</w:t>
            </w:r>
            <w:r>
              <w:rPr>
                <w:rFonts w:hint="default" w:ascii="Times New Roman" w:hAnsi="Times New Roman" w:eastAsia="宋体" w:cs="Times New Roman"/>
                <w:color w:val="auto"/>
                <w:lang w:val="en-US" w:eastAsia="zh-CN"/>
              </w:rPr>
              <w:t>。草本层其他物种有鼠曲草</w:t>
            </w:r>
            <w:r>
              <w:rPr>
                <w:rFonts w:hint="default" w:ascii="Times New Roman" w:hAnsi="Times New Roman" w:eastAsia="宋体" w:cs="Times New Roman"/>
                <w:i/>
                <w:iCs/>
                <w:color w:val="auto"/>
                <w:lang w:val="en-US" w:eastAsia="zh-CN"/>
              </w:rPr>
              <w:t>Pseudognaphalium affine</w:t>
            </w:r>
            <w:r>
              <w:rPr>
                <w:rFonts w:hint="default" w:ascii="Times New Roman" w:hAnsi="Times New Roman" w:eastAsia="宋体" w:cs="Times New Roman"/>
                <w:color w:val="auto"/>
                <w:lang w:val="en-US" w:eastAsia="zh-CN"/>
              </w:rPr>
              <w:t>、黑穗画眉草</w:t>
            </w:r>
            <w:r>
              <w:rPr>
                <w:rFonts w:hint="default" w:ascii="Times New Roman" w:hAnsi="Times New Roman" w:eastAsia="宋体" w:cs="Times New Roman"/>
                <w:i/>
                <w:iCs/>
                <w:color w:val="auto"/>
                <w:lang w:val="en-US" w:eastAsia="zh-CN"/>
              </w:rPr>
              <w:t>Eragrostis nigra</w:t>
            </w:r>
            <w:r>
              <w:rPr>
                <w:rFonts w:hint="default" w:ascii="Times New Roman" w:hAnsi="Times New Roman" w:eastAsia="宋体" w:cs="Times New Roman"/>
                <w:color w:val="auto"/>
                <w:lang w:val="en-US" w:eastAsia="zh-CN"/>
              </w:rPr>
              <w:t>、黄毛草莓</w:t>
            </w:r>
            <w:r>
              <w:rPr>
                <w:rFonts w:hint="default" w:ascii="Times New Roman" w:hAnsi="Times New Roman" w:eastAsia="宋体" w:cs="Times New Roman"/>
                <w:i/>
                <w:iCs/>
                <w:color w:val="auto"/>
                <w:lang w:val="en-US" w:eastAsia="zh-CN"/>
              </w:rPr>
              <w:t>Fragaria nilgerrensis</w:t>
            </w:r>
            <w:r>
              <w:rPr>
                <w:rFonts w:hint="default" w:ascii="Times New Roman" w:hAnsi="Times New Roman" w:eastAsia="宋体" w:cs="Times New Roman"/>
                <w:color w:val="auto"/>
                <w:lang w:val="en-US" w:eastAsia="zh-CN"/>
              </w:rPr>
              <w:t>、西南蕨麻</w:t>
            </w:r>
            <w:r>
              <w:rPr>
                <w:rFonts w:hint="default" w:ascii="Times New Roman" w:hAnsi="Times New Roman" w:eastAsia="宋体" w:cs="Times New Roman"/>
                <w:i/>
                <w:iCs/>
                <w:color w:val="auto"/>
                <w:lang w:val="en-US" w:eastAsia="zh-CN"/>
              </w:rPr>
              <w:t>Argentina lineata</w:t>
            </w:r>
            <w:r>
              <w:rPr>
                <w:rFonts w:hint="default" w:ascii="Times New Roman" w:hAnsi="Times New Roman" w:eastAsia="宋体" w:cs="Times New Roman"/>
                <w:color w:val="auto"/>
                <w:lang w:val="en-US" w:eastAsia="zh-CN"/>
              </w:rPr>
              <w:t>、野艾蒿</w:t>
            </w:r>
            <w:r>
              <w:rPr>
                <w:rFonts w:hint="default" w:ascii="Times New Roman" w:hAnsi="Times New Roman" w:eastAsia="宋体" w:cs="Times New Roman"/>
                <w:i/>
                <w:iCs/>
                <w:color w:val="auto"/>
                <w:lang w:val="en-US" w:eastAsia="zh-CN"/>
              </w:rPr>
              <w:t>Artemisia lavandulifolia</w:t>
            </w:r>
            <w:r>
              <w:rPr>
                <w:rFonts w:hint="default" w:ascii="Times New Roman" w:hAnsi="Times New Roman" w:eastAsia="宋体" w:cs="Times New Roman"/>
                <w:i w:val="0"/>
                <w:iCs w:val="0"/>
                <w:color w:val="auto"/>
                <w:lang w:val="en-US" w:eastAsia="zh-CN"/>
              </w:rPr>
              <w:t>、六叶葎</w:t>
            </w:r>
            <w:r>
              <w:rPr>
                <w:rFonts w:hint="default" w:ascii="Times New Roman" w:hAnsi="Times New Roman" w:eastAsia="宋体" w:cs="Times New Roman"/>
                <w:i/>
                <w:iCs/>
                <w:color w:val="auto"/>
                <w:lang w:val="en-US" w:eastAsia="zh-CN"/>
              </w:rPr>
              <w:t>Galium hoffmeisteri</w:t>
            </w:r>
            <w:r>
              <w:rPr>
                <w:rFonts w:hint="default" w:ascii="Times New Roman" w:hAnsi="Times New Roman" w:eastAsia="宋体" w:cs="Times New Roman"/>
                <w:i w:val="0"/>
                <w:iCs w:val="0"/>
                <w:color w:val="auto"/>
                <w:lang w:val="en-US" w:eastAsia="zh-CN"/>
              </w:rPr>
              <w:t>、车前</w:t>
            </w:r>
            <w:r>
              <w:rPr>
                <w:rFonts w:hint="default" w:ascii="Times New Roman" w:hAnsi="Times New Roman" w:eastAsia="宋体" w:cs="Times New Roman"/>
                <w:i/>
                <w:iCs/>
                <w:color w:val="auto"/>
                <w:lang w:val="en-US" w:eastAsia="zh-CN"/>
              </w:rPr>
              <w:t>Plantago asiatica</w:t>
            </w:r>
            <w:r>
              <w:rPr>
                <w:rFonts w:hint="default" w:ascii="Times New Roman" w:hAnsi="Times New Roman" w:eastAsia="宋体" w:cs="Times New Roman"/>
                <w:i w:val="0"/>
                <w:iCs w:val="0"/>
                <w:color w:val="auto"/>
                <w:lang w:val="en-US" w:eastAsia="zh-CN"/>
              </w:rPr>
              <w:t>、细柄草</w:t>
            </w:r>
            <w:r>
              <w:rPr>
                <w:rFonts w:hint="default" w:ascii="Times New Roman" w:hAnsi="Times New Roman" w:eastAsia="宋体" w:cs="Times New Roman"/>
                <w:i/>
                <w:iCs/>
                <w:color w:val="auto"/>
                <w:lang w:val="en-US" w:eastAsia="zh-CN"/>
              </w:rPr>
              <w:t>Capillipedium parviflorum</w:t>
            </w:r>
            <w:r>
              <w:rPr>
                <w:rFonts w:hint="default" w:ascii="Times New Roman" w:hAnsi="Times New Roman" w:eastAsia="宋体" w:cs="Times New Roman"/>
                <w:color w:val="auto"/>
                <w:lang w:val="en-US" w:eastAsia="zh-CN"/>
              </w:rPr>
              <w:t>等。</w:t>
            </w:r>
          </w:p>
          <w:p w14:paraId="317C7637">
            <w:pPr>
              <w:numPr>
                <w:ilvl w:val="0"/>
                <w:numId w:val="0"/>
              </w:numPr>
              <w:ind w:leftChars="0" w:firstLine="48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（6）鼠曲草-西南蕨麻草丛</w:t>
            </w:r>
          </w:p>
          <w:p w14:paraId="059340B4">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lang w:val="en-US" w:eastAsia="zh-CN"/>
              </w:rPr>
              <w:t>该草丛分布于开关站中心位置，群落高0.1-0.5 m，盖度10%~40%。以鼠曲草</w:t>
            </w:r>
            <w:r>
              <w:rPr>
                <w:rFonts w:hint="default" w:ascii="Times New Roman" w:hAnsi="Times New Roman" w:eastAsia="宋体" w:cs="Times New Roman"/>
                <w:i/>
                <w:iCs/>
                <w:color w:val="auto"/>
                <w:lang w:val="en-US" w:eastAsia="zh-CN"/>
              </w:rPr>
              <w:t>Pseudognaphalium affine</w:t>
            </w:r>
            <w:r>
              <w:rPr>
                <w:rFonts w:hint="default" w:ascii="Times New Roman" w:hAnsi="Times New Roman" w:eastAsia="宋体" w:cs="Times New Roman"/>
                <w:color w:val="auto"/>
                <w:lang w:val="en-US" w:eastAsia="zh-CN"/>
              </w:rPr>
              <w:t>和西南蕨麻</w:t>
            </w:r>
            <w:r>
              <w:rPr>
                <w:rFonts w:hint="default" w:ascii="Times New Roman" w:hAnsi="Times New Roman" w:eastAsia="宋体" w:cs="Times New Roman"/>
                <w:i/>
                <w:iCs/>
                <w:color w:val="auto"/>
                <w:lang w:val="en-US" w:eastAsia="zh-CN"/>
              </w:rPr>
              <w:t>Argentina lineata</w:t>
            </w:r>
            <w:r>
              <w:rPr>
                <w:rFonts w:hint="default" w:ascii="Times New Roman" w:hAnsi="Times New Roman" w:eastAsia="宋体" w:cs="Times New Roman"/>
                <w:color w:val="auto"/>
                <w:lang w:val="en-US" w:eastAsia="zh-CN"/>
              </w:rPr>
              <w:t>为绝对优势。其他物种有珠光香青Anaphalis margaritacea、野青茅</w:t>
            </w:r>
            <w:r>
              <w:rPr>
                <w:rFonts w:hint="default" w:ascii="Times New Roman" w:hAnsi="Times New Roman" w:eastAsia="宋体" w:cs="Times New Roman"/>
                <w:i/>
                <w:iCs/>
                <w:color w:val="auto"/>
                <w:lang w:val="en-US" w:eastAsia="zh-CN"/>
              </w:rPr>
              <w:t>Deyeuxia pyramidalis</w:t>
            </w:r>
            <w:r>
              <w:rPr>
                <w:rFonts w:hint="default" w:ascii="Times New Roman" w:hAnsi="Times New Roman" w:eastAsia="宋体" w:cs="Times New Roman"/>
                <w:color w:val="auto"/>
                <w:lang w:val="en-US" w:eastAsia="zh-CN"/>
              </w:rPr>
              <w:t>、野艾蒿</w:t>
            </w:r>
            <w:r>
              <w:rPr>
                <w:rFonts w:hint="default" w:ascii="Times New Roman" w:hAnsi="Times New Roman" w:eastAsia="宋体" w:cs="Times New Roman"/>
                <w:i/>
                <w:iCs/>
                <w:color w:val="auto"/>
                <w:lang w:val="en-US" w:eastAsia="zh-CN"/>
              </w:rPr>
              <w:t>Artemisia lavandulifolia</w:t>
            </w:r>
            <w:r>
              <w:rPr>
                <w:rFonts w:hint="default" w:ascii="Times New Roman" w:hAnsi="Times New Roman" w:eastAsia="宋体" w:cs="Times New Roman"/>
                <w:color w:val="auto"/>
                <w:lang w:val="en-US" w:eastAsia="zh-CN"/>
              </w:rPr>
              <w:t>、黑穗画眉草</w:t>
            </w:r>
            <w:r>
              <w:rPr>
                <w:rFonts w:hint="default" w:ascii="Times New Roman" w:hAnsi="Times New Roman" w:eastAsia="宋体" w:cs="Times New Roman"/>
                <w:i/>
                <w:iCs/>
                <w:color w:val="auto"/>
                <w:lang w:val="en-US" w:eastAsia="zh-CN"/>
              </w:rPr>
              <w:t>Eragrostis nigra</w:t>
            </w:r>
            <w:r>
              <w:rPr>
                <w:rFonts w:hint="default" w:ascii="Times New Roman" w:hAnsi="Times New Roman" w:eastAsia="宋体" w:cs="Times New Roman"/>
                <w:i w:val="0"/>
                <w:iCs w:val="0"/>
                <w:color w:val="auto"/>
                <w:lang w:val="en-US" w:eastAsia="zh-CN"/>
              </w:rPr>
              <w:t>、大蓟</w:t>
            </w:r>
            <w:r>
              <w:rPr>
                <w:rFonts w:hint="default" w:ascii="Times New Roman" w:hAnsi="Times New Roman" w:eastAsia="宋体" w:cs="Times New Roman"/>
                <w:i/>
                <w:iCs/>
                <w:color w:val="auto"/>
                <w:lang w:val="en-US" w:eastAsia="zh-CN"/>
              </w:rPr>
              <w:t>Cirsium spicatum</w:t>
            </w:r>
            <w:r>
              <w:rPr>
                <w:rFonts w:hint="default" w:ascii="Times New Roman" w:hAnsi="Times New Roman" w:eastAsia="宋体" w:cs="Times New Roman"/>
                <w:i w:val="0"/>
                <w:iCs w:val="0"/>
                <w:color w:val="auto"/>
                <w:lang w:val="en-US" w:eastAsia="zh-CN"/>
              </w:rPr>
              <w:t>、蛇含委陵菜</w:t>
            </w:r>
            <w:r>
              <w:rPr>
                <w:rFonts w:hint="default" w:ascii="Times New Roman" w:hAnsi="Times New Roman" w:eastAsia="宋体" w:cs="Times New Roman"/>
                <w:i/>
                <w:iCs/>
                <w:color w:val="auto"/>
                <w:lang w:val="en-US" w:eastAsia="zh-CN"/>
              </w:rPr>
              <w:t>Potent</w:t>
            </w:r>
            <w:r>
              <w:rPr>
                <w:rFonts w:hint="default" w:ascii="Times New Roman" w:hAnsi="Times New Roman" w:eastAsia="宋体" w:cs="Times New Roman"/>
                <w:i/>
                <w:iCs/>
                <w:color w:val="auto"/>
                <w:highlight w:val="none"/>
                <w:lang w:val="en-US" w:eastAsia="zh-CN"/>
              </w:rPr>
              <w:t>illa kleiniana</w:t>
            </w:r>
            <w:r>
              <w:rPr>
                <w:rFonts w:hint="default" w:ascii="Times New Roman" w:hAnsi="Times New Roman" w:eastAsia="宋体" w:cs="Times New Roman"/>
                <w:color w:val="auto"/>
                <w:highlight w:val="none"/>
                <w:lang w:val="en-US" w:eastAsia="zh-CN"/>
              </w:rPr>
              <w:t>等。</w:t>
            </w:r>
          </w:p>
          <w:p w14:paraId="453DD266">
            <w:pPr>
              <w:numPr>
                <w:ilvl w:val="0"/>
                <w:numId w:val="4"/>
              </w:numPr>
              <w:adjustRightInd w:val="0"/>
              <w:snapToGrid w:val="0"/>
              <w:spacing w:line="360" w:lineRule="auto"/>
              <w:ind w:firstLine="482" w:firstLineChars="200"/>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评价区植被类型面积</w:t>
            </w:r>
          </w:p>
          <w:p w14:paraId="0B71F572">
            <w:pPr>
              <w:adjustRightInd w:val="0"/>
              <w:spacing w:line="360" w:lineRule="auto"/>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highlight w:val="none"/>
              </w:rPr>
              <w:t>项目评价区总面积</w:t>
            </w:r>
            <w:r>
              <w:rPr>
                <w:rFonts w:hint="eastAsia" w:cs="Times New Roman"/>
                <w:color w:val="auto"/>
                <w:highlight w:val="none"/>
                <w:lang w:val="en-US" w:eastAsia="zh-CN"/>
              </w:rPr>
              <w:t>98.26</w:t>
            </w:r>
            <w:r>
              <w:rPr>
                <w:rFonts w:hint="default" w:ascii="Times New Roman" w:hAnsi="Times New Roman" w:eastAsia="宋体" w:cs="Times New Roman"/>
                <w:color w:val="auto"/>
              </w:rPr>
              <w:t>hm²。在评价区内，</w:t>
            </w:r>
            <w:r>
              <w:rPr>
                <w:rFonts w:hint="default" w:ascii="Times New Roman" w:hAnsi="Times New Roman" w:eastAsia="宋体" w:cs="Times New Roman"/>
                <w:color w:val="auto"/>
                <w:lang w:val="en-US" w:eastAsia="zh-CN"/>
              </w:rPr>
              <w:t>天然</w:t>
            </w:r>
            <w:r>
              <w:rPr>
                <w:rFonts w:hint="default" w:ascii="Times New Roman" w:hAnsi="Times New Roman" w:eastAsia="宋体" w:cs="Times New Roman"/>
                <w:color w:val="auto"/>
              </w:rPr>
              <w:t>植被面积</w:t>
            </w:r>
            <w:r>
              <w:rPr>
                <w:rFonts w:hint="default" w:ascii="Times New Roman" w:hAnsi="Times New Roman" w:eastAsia="宋体" w:cs="Times New Roman"/>
                <w:color w:val="auto"/>
                <w:lang w:val="en-US" w:eastAsia="zh-CN"/>
              </w:rPr>
              <w:t>92.49</w:t>
            </w:r>
            <w:r>
              <w:rPr>
                <w:rFonts w:hint="default" w:ascii="Times New Roman" w:hAnsi="Times New Roman" w:eastAsia="宋体" w:cs="Times New Roman"/>
                <w:color w:val="auto"/>
              </w:rPr>
              <w:t>hm²，</w:t>
            </w:r>
            <w:r>
              <w:rPr>
                <w:rFonts w:hint="default" w:ascii="Times New Roman" w:hAnsi="Times New Roman" w:eastAsia="宋体" w:cs="Times New Roman"/>
                <w:color w:val="auto"/>
                <w:lang w:val="en-US" w:eastAsia="zh-CN"/>
              </w:rPr>
              <w:t>耕地植被面积4.08</w:t>
            </w:r>
            <w:r>
              <w:rPr>
                <w:rFonts w:hint="default" w:ascii="Times New Roman" w:hAnsi="Times New Roman" w:eastAsia="宋体" w:cs="Times New Roman"/>
                <w:color w:val="auto"/>
              </w:rPr>
              <w:t>hm²。天然植被中以</w:t>
            </w:r>
            <w:r>
              <w:rPr>
                <w:rFonts w:hint="default" w:ascii="Times New Roman" w:hAnsi="Times New Roman" w:eastAsia="宋体" w:cs="Times New Roman"/>
                <w:color w:val="auto"/>
                <w:lang w:val="en-US" w:eastAsia="zh-CN"/>
              </w:rPr>
              <w:t>暖温性针叶林</w:t>
            </w:r>
            <w:r>
              <w:rPr>
                <w:rFonts w:hint="default" w:ascii="Times New Roman" w:hAnsi="Times New Roman" w:eastAsia="宋体" w:cs="Times New Roman"/>
                <w:color w:val="auto"/>
              </w:rPr>
              <w:t>面积最大为</w:t>
            </w:r>
            <w:r>
              <w:rPr>
                <w:rFonts w:hint="default" w:ascii="Times New Roman" w:hAnsi="Times New Roman" w:eastAsia="宋体" w:cs="Times New Roman"/>
                <w:color w:val="auto"/>
                <w:lang w:val="en-US" w:eastAsia="zh-CN"/>
              </w:rPr>
              <w:t>62.86</w:t>
            </w:r>
            <w:r>
              <w:rPr>
                <w:rFonts w:hint="default" w:ascii="Times New Roman" w:hAnsi="Times New Roman" w:eastAsia="宋体" w:cs="Times New Roman"/>
                <w:color w:val="auto"/>
              </w:rPr>
              <w:t>hm²，占评价区总面积的</w:t>
            </w:r>
            <w:r>
              <w:rPr>
                <w:rFonts w:hint="default" w:ascii="Times New Roman" w:hAnsi="Times New Roman" w:eastAsia="宋体" w:cs="Times New Roman"/>
                <w:color w:val="auto"/>
                <w:lang w:val="en-US" w:eastAsia="zh-CN"/>
              </w:rPr>
              <w:t>63.97</w:t>
            </w:r>
            <w:r>
              <w:rPr>
                <w:rFonts w:hint="default" w:ascii="Times New Roman" w:hAnsi="Times New Roman" w:eastAsia="宋体" w:cs="Times New Roman"/>
                <w:color w:val="auto"/>
              </w:rPr>
              <w:t>%。</w:t>
            </w:r>
          </w:p>
          <w:p w14:paraId="3861C688">
            <w:pPr>
              <w:keepNext w:val="0"/>
              <w:keepLines w:val="0"/>
              <w:pageBreakBefore w:val="0"/>
              <w:widowControl w:val="0"/>
              <w:kinsoku/>
              <w:wordWrap/>
              <w:overflowPunct/>
              <w:topLinePunct w:val="0"/>
              <w:autoSpaceDE/>
              <w:autoSpaceDN/>
              <w:bidi w:val="0"/>
              <w:adjustRightInd w:val="0"/>
              <w:snapToGrid w:val="0"/>
              <w:spacing w:line="240" w:lineRule="auto"/>
              <w:ind w:firstLine="480"/>
              <w:jc w:val="center"/>
              <w:textAlignment w:val="baseline"/>
              <w:rPr>
                <w:rFonts w:hint="default" w:ascii="Times New Roman" w:hAnsi="Times New Roman" w:eastAsia="宋体" w:cs="Times New Roman"/>
                <w:b/>
                <w:color w:val="auto"/>
              </w:rPr>
            </w:pPr>
            <w:r>
              <w:rPr>
                <w:rFonts w:hint="default" w:ascii="Times New Roman" w:hAnsi="Times New Roman" w:eastAsia="宋体" w:cs="Times New Roman"/>
                <w:b/>
                <w:color w:val="auto"/>
                <w:sz w:val="21"/>
                <w:szCs w:val="21"/>
              </w:rPr>
              <w:t xml:space="preserve">表3-3 评价区各植被类型面积统计表  </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1698"/>
              <w:gridCol w:w="2426"/>
              <w:gridCol w:w="1634"/>
              <w:gridCol w:w="1704"/>
            </w:tblGrid>
            <w:tr w14:paraId="4F23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02" w:type="pct"/>
                  <w:shd w:val="clear" w:color="auto" w:fill="auto"/>
                  <w:vAlign w:val="center"/>
                </w:tcPr>
                <w:p w14:paraId="503A9CD1">
                  <w:pPr>
                    <w:ind w:left="0" w:leftChars="0" w:firstLine="0" w:firstLineChars="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kern w:val="2"/>
                      <w:sz w:val="21"/>
                      <w:szCs w:val="21"/>
                      <w:lang w:val="en-US" w:eastAsia="zh-CN" w:bidi="ar-SA"/>
                    </w:rPr>
                    <w:t>植被类型</w:t>
                  </w:r>
                </w:p>
              </w:tc>
              <w:tc>
                <w:tcPr>
                  <w:tcW w:w="978" w:type="pct"/>
                  <w:shd w:val="clear" w:color="auto" w:fill="auto"/>
                  <w:vAlign w:val="center"/>
                </w:tcPr>
                <w:p w14:paraId="18900085">
                  <w:pPr>
                    <w:ind w:left="0" w:leftChars="0" w:firstLine="0" w:firstLineChars="0"/>
                    <w:jc w:val="center"/>
                    <w:rPr>
                      <w:rFonts w:hint="default" w:ascii="Times New Roman" w:hAnsi="Times New Roman" w:eastAsia="宋体" w:cs="Times New Roman"/>
                      <w:b/>
                      <w:bCs/>
                      <w:color w:val="auto"/>
                      <w:kern w:val="2"/>
                      <w:sz w:val="21"/>
                      <w:szCs w:val="21"/>
                      <w:lang w:val="en-US" w:eastAsia="zh-CN" w:bidi="ar-SA"/>
                    </w:rPr>
                  </w:pPr>
                  <w:r>
                    <w:rPr>
                      <w:rFonts w:hint="default" w:ascii="Times New Roman" w:hAnsi="Times New Roman" w:eastAsia="宋体" w:cs="Times New Roman"/>
                      <w:b/>
                      <w:bCs/>
                      <w:color w:val="auto"/>
                      <w:sz w:val="21"/>
                      <w:szCs w:val="21"/>
                    </w:rPr>
                    <w:t>植被型</w:t>
                  </w:r>
                </w:p>
              </w:tc>
              <w:tc>
                <w:tcPr>
                  <w:tcW w:w="1395" w:type="pct"/>
                  <w:shd w:val="clear" w:color="auto" w:fill="auto"/>
                  <w:vAlign w:val="center"/>
                </w:tcPr>
                <w:p w14:paraId="15795F46">
                  <w:pPr>
                    <w:ind w:left="0" w:leftChars="0" w:firstLine="0" w:firstLineChars="0"/>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rPr>
                    <w:t>植被亚型</w:t>
                  </w:r>
                </w:p>
              </w:tc>
              <w:tc>
                <w:tcPr>
                  <w:tcW w:w="941" w:type="pct"/>
                  <w:shd w:val="clear" w:color="auto" w:fill="auto"/>
                  <w:vAlign w:val="center"/>
                </w:tcPr>
                <w:p w14:paraId="20FFA0A9">
                  <w:pPr>
                    <w:ind w:left="0" w:lef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面积（hm</w:t>
                  </w:r>
                  <w:r>
                    <w:rPr>
                      <w:rFonts w:hint="default" w:ascii="Times New Roman" w:hAnsi="Times New Roman" w:eastAsia="宋体" w:cs="Times New Roman"/>
                      <w:b/>
                      <w:bCs/>
                      <w:color w:val="auto"/>
                      <w:sz w:val="21"/>
                      <w:szCs w:val="21"/>
                      <w:vertAlign w:val="superscript"/>
                      <w:lang w:val="en-US" w:eastAsia="zh-CN"/>
                    </w:rPr>
                    <w:t>2</w:t>
                  </w:r>
                  <w:r>
                    <w:rPr>
                      <w:rFonts w:hint="default" w:ascii="Times New Roman" w:hAnsi="Times New Roman" w:eastAsia="宋体" w:cs="Times New Roman"/>
                      <w:b/>
                      <w:bCs/>
                      <w:color w:val="auto"/>
                      <w:sz w:val="21"/>
                      <w:szCs w:val="21"/>
                      <w:vertAlign w:val="baseline"/>
                      <w:lang w:val="en-US" w:eastAsia="zh-CN"/>
                    </w:rPr>
                    <w:t>）</w:t>
                  </w:r>
                </w:p>
              </w:tc>
              <w:tc>
                <w:tcPr>
                  <w:tcW w:w="981" w:type="pct"/>
                  <w:shd w:val="clear" w:color="auto" w:fill="auto"/>
                  <w:vAlign w:val="center"/>
                </w:tcPr>
                <w:p w14:paraId="10CFC5E6">
                  <w:pPr>
                    <w:ind w:left="0" w:lef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百分比（%）</w:t>
                  </w:r>
                </w:p>
              </w:tc>
            </w:tr>
            <w:tr w14:paraId="78AE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02" w:type="pct"/>
                  <w:vMerge w:val="restart"/>
                  <w:vAlign w:val="center"/>
                </w:tcPr>
                <w:p w14:paraId="260F933F">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陆生植被</w:t>
                  </w:r>
                </w:p>
              </w:tc>
              <w:tc>
                <w:tcPr>
                  <w:tcW w:w="978" w:type="pct"/>
                  <w:vAlign w:val="center"/>
                </w:tcPr>
                <w:p w14:paraId="4B91CA98">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暖性针叶林</w:t>
                  </w:r>
                </w:p>
              </w:tc>
              <w:tc>
                <w:tcPr>
                  <w:tcW w:w="1395" w:type="pct"/>
                  <w:vAlign w:val="center"/>
                </w:tcPr>
                <w:p w14:paraId="5FC04A5A">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暖温性针叶林</w:t>
                  </w:r>
                </w:p>
              </w:tc>
              <w:tc>
                <w:tcPr>
                  <w:tcW w:w="941" w:type="pct"/>
                  <w:vAlign w:val="center"/>
                </w:tcPr>
                <w:p w14:paraId="4FEC0CAE">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62.86</w:t>
                  </w:r>
                </w:p>
              </w:tc>
              <w:tc>
                <w:tcPr>
                  <w:tcW w:w="981" w:type="pct"/>
                  <w:vAlign w:val="center"/>
                </w:tcPr>
                <w:p w14:paraId="2F086CAE">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63.97</w:t>
                  </w:r>
                </w:p>
              </w:tc>
            </w:tr>
            <w:tr w14:paraId="5DE5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02" w:type="pct"/>
                  <w:vMerge w:val="continue"/>
                  <w:vAlign w:val="center"/>
                </w:tcPr>
                <w:p w14:paraId="014817FB">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78" w:type="pct"/>
                  <w:vAlign w:val="center"/>
                </w:tcPr>
                <w:p w14:paraId="61C8218E">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落叶阔叶林</w:t>
                  </w:r>
                </w:p>
              </w:tc>
              <w:tc>
                <w:tcPr>
                  <w:tcW w:w="1395" w:type="pct"/>
                  <w:vAlign w:val="center"/>
                </w:tcPr>
                <w:p w14:paraId="233B22C6">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典型落叶阔叶林</w:t>
                  </w:r>
                </w:p>
              </w:tc>
              <w:tc>
                <w:tcPr>
                  <w:tcW w:w="941" w:type="pct"/>
                  <w:vAlign w:val="center"/>
                </w:tcPr>
                <w:p w14:paraId="24172DE9">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7.87</w:t>
                  </w:r>
                </w:p>
              </w:tc>
              <w:tc>
                <w:tcPr>
                  <w:tcW w:w="981" w:type="pct"/>
                  <w:vAlign w:val="center"/>
                </w:tcPr>
                <w:p w14:paraId="0D41633E">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8.01</w:t>
                  </w:r>
                </w:p>
              </w:tc>
            </w:tr>
            <w:tr w14:paraId="54C8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702" w:type="pct"/>
                  <w:vMerge w:val="continue"/>
                  <w:vAlign w:val="center"/>
                </w:tcPr>
                <w:p w14:paraId="109B06BF">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978" w:type="pct"/>
                  <w:vAlign w:val="center"/>
                </w:tcPr>
                <w:p w14:paraId="4E01CBDB">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稀树灌木草丛</w:t>
                  </w:r>
                </w:p>
              </w:tc>
              <w:tc>
                <w:tcPr>
                  <w:tcW w:w="1395" w:type="pct"/>
                  <w:vAlign w:val="center"/>
                </w:tcPr>
                <w:p w14:paraId="7513377D">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暖温性稀树灌木草丛</w:t>
                  </w:r>
                </w:p>
              </w:tc>
              <w:tc>
                <w:tcPr>
                  <w:tcW w:w="941" w:type="pct"/>
                  <w:vAlign w:val="center"/>
                </w:tcPr>
                <w:p w14:paraId="55A80E20">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21.76</w:t>
                  </w:r>
                </w:p>
              </w:tc>
              <w:tc>
                <w:tcPr>
                  <w:tcW w:w="981" w:type="pct"/>
                  <w:vAlign w:val="center"/>
                </w:tcPr>
                <w:p w14:paraId="67F184E6">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22.14</w:t>
                  </w:r>
                </w:p>
              </w:tc>
            </w:tr>
            <w:tr w14:paraId="5EF0A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02" w:type="pct"/>
                  <w:vMerge w:val="restart"/>
                  <w:vAlign w:val="center"/>
                </w:tcPr>
                <w:p w14:paraId="408E5DA1">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 xml:space="preserve">其他植被  </w:t>
                  </w:r>
                </w:p>
              </w:tc>
              <w:tc>
                <w:tcPr>
                  <w:tcW w:w="2374" w:type="pct"/>
                  <w:gridSpan w:val="2"/>
                  <w:vAlign w:val="center"/>
                </w:tcPr>
                <w:p w14:paraId="6C393121">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耕地植被</w:t>
                  </w:r>
                </w:p>
              </w:tc>
              <w:tc>
                <w:tcPr>
                  <w:tcW w:w="941" w:type="pct"/>
                  <w:vAlign w:val="center"/>
                </w:tcPr>
                <w:p w14:paraId="08D6C60D">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4.08</w:t>
                  </w:r>
                </w:p>
              </w:tc>
              <w:tc>
                <w:tcPr>
                  <w:tcW w:w="981" w:type="pct"/>
                  <w:vAlign w:val="center"/>
                </w:tcPr>
                <w:p w14:paraId="263788FC">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4.15</w:t>
                  </w:r>
                </w:p>
              </w:tc>
            </w:tr>
            <w:tr w14:paraId="7508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02" w:type="pct"/>
                  <w:vMerge w:val="continue"/>
                  <w:vAlign w:val="center"/>
                </w:tcPr>
                <w:p w14:paraId="2E068852">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p>
              </w:tc>
              <w:tc>
                <w:tcPr>
                  <w:tcW w:w="2374" w:type="pct"/>
                  <w:gridSpan w:val="2"/>
                  <w:vAlign w:val="center"/>
                </w:tcPr>
                <w:p w14:paraId="2C3E32B1">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非植被</w:t>
                  </w:r>
                </w:p>
              </w:tc>
              <w:tc>
                <w:tcPr>
                  <w:tcW w:w="941" w:type="pct"/>
                  <w:vAlign w:val="center"/>
                </w:tcPr>
                <w:p w14:paraId="2FAD593E">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1.69</w:t>
                  </w:r>
                </w:p>
              </w:tc>
              <w:tc>
                <w:tcPr>
                  <w:tcW w:w="981" w:type="pct"/>
                  <w:vAlign w:val="center"/>
                </w:tcPr>
                <w:p w14:paraId="3D018C9B">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1.72</w:t>
                  </w:r>
                </w:p>
              </w:tc>
            </w:tr>
            <w:tr w14:paraId="680D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3077" w:type="pct"/>
                  <w:gridSpan w:val="3"/>
                  <w:vAlign w:val="center"/>
                </w:tcPr>
                <w:p w14:paraId="031A28DF">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总计</w:t>
                  </w:r>
                </w:p>
              </w:tc>
              <w:tc>
                <w:tcPr>
                  <w:tcW w:w="941" w:type="pct"/>
                  <w:vAlign w:val="center"/>
                </w:tcPr>
                <w:p w14:paraId="607EA9D6">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eastAsia" w:cs="Times New Roman"/>
                      <w:color w:val="auto"/>
                      <w:sz w:val="21"/>
                      <w:szCs w:val="21"/>
                      <w:vertAlign w:val="baseline"/>
                      <w:lang w:val="en-US" w:eastAsia="zh-CN"/>
                    </w:rPr>
                    <w:t>98.26</w:t>
                  </w:r>
                </w:p>
              </w:tc>
              <w:tc>
                <w:tcPr>
                  <w:tcW w:w="981" w:type="pct"/>
                  <w:vAlign w:val="center"/>
                </w:tcPr>
                <w:p w14:paraId="2DC15286">
                  <w:pPr>
                    <w:bidi w:val="0"/>
                    <w:ind w:left="0" w:leftChars="0" w:firstLine="0" w:firstLineChars="0"/>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100</w:t>
                  </w:r>
                </w:p>
              </w:tc>
            </w:tr>
          </w:tbl>
          <w:p w14:paraId="07294A22">
            <w:pPr>
              <w:numPr>
                <w:ilvl w:val="0"/>
                <w:numId w:val="0"/>
              </w:numPr>
              <w:adjustRightInd w:val="0"/>
              <w:snapToGrid w:val="0"/>
              <w:spacing w:line="360" w:lineRule="auto"/>
              <w:ind w:firstLine="482" w:firstLineChars="200"/>
              <w:rPr>
                <w:rFonts w:hint="default" w:ascii="Times New Roman" w:hAnsi="Times New Roman" w:eastAsia="宋体" w:cs="Times New Roman"/>
                <w:b/>
                <w:color w:val="auto"/>
                <w:highlight w:val="none"/>
                <w:lang w:eastAsia="zh-CN"/>
              </w:rPr>
            </w:pPr>
            <w:r>
              <w:rPr>
                <w:rFonts w:hint="default" w:ascii="Times New Roman" w:hAnsi="Times New Roman" w:eastAsia="宋体" w:cs="Times New Roman"/>
                <w:b/>
                <w:color w:val="auto"/>
                <w:highlight w:val="none"/>
                <w:lang w:val="en-US" w:eastAsia="zh-CN"/>
              </w:rPr>
              <w:t>8、</w:t>
            </w:r>
            <w:r>
              <w:rPr>
                <w:rFonts w:hint="default" w:ascii="Times New Roman" w:hAnsi="Times New Roman" w:eastAsia="宋体" w:cs="Times New Roman"/>
                <w:b/>
                <w:color w:val="auto"/>
                <w:highlight w:val="none"/>
              </w:rPr>
              <w:t>评价区植被</w:t>
            </w:r>
            <w:r>
              <w:rPr>
                <w:rFonts w:hint="default" w:ascii="Times New Roman" w:hAnsi="Times New Roman" w:eastAsia="宋体" w:cs="Times New Roman"/>
                <w:b/>
                <w:color w:val="auto"/>
                <w:highlight w:val="none"/>
                <w:lang w:val="en-US" w:eastAsia="zh-CN"/>
              </w:rPr>
              <w:t>资源</w:t>
            </w:r>
          </w:p>
          <w:p w14:paraId="00187B7A">
            <w:pPr>
              <w:ind w:firstLine="480"/>
              <w:rPr>
                <w:color w:val="auto"/>
                <w:lang w:val="zh-CN"/>
              </w:rPr>
            </w:pPr>
            <w:r>
              <w:rPr>
                <w:color w:val="auto"/>
              </w:rPr>
              <w:t>（1）植物种类组成</w:t>
            </w:r>
          </w:p>
          <w:p w14:paraId="5C3B673C">
            <w:pPr>
              <w:ind w:firstLine="480"/>
              <w:rPr>
                <w:color w:val="auto"/>
              </w:rPr>
            </w:pPr>
            <w:r>
              <w:rPr>
                <w:color w:val="auto"/>
                <w:lang w:val="zh-CN"/>
              </w:rPr>
              <w:t>根据实地调查和查阅资料</w:t>
            </w:r>
            <w:r>
              <w:rPr>
                <w:color w:val="auto"/>
              </w:rPr>
              <w:t>，评价区域内共有维管束植物61科，134属200种</w:t>
            </w:r>
            <w:r>
              <w:rPr>
                <w:rFonts w:hint="default"/>
                <w:color w:val="auto"/>
              </w:rPr>
              <w:t>，</w:t>
            </w:r>
            <w:r>
              <w:rPr>
                <w:color w:val="auto"/>
              </w:rPr>
              <w:t>具体</w:t>
            </w:r>
            <w:r>
              <w:rPr>
                <w:rFonts w:hint="default"/>
                <w:color w:val="auto"/>
              </w:rPr>
              <w:t>分布情况</w:t>
            </w:r>
            <w:r>
              <w:rPr>
                <w:color w:val="auto"/>
              </w:rPr>
              <w:t>见下表。</w:t>
            </w:r>
          </w:p>
          <w:p w14:paraId="4F4AB91B">
            <w:pPr>
              <w:spacing w:line="240" w:lineRule="auto"/>
              <w:ind w:firstLine="422"/>
              <w:jc w:val="center"/>
              <w:textAlignment w:val="baseline"/>
              <w:rPr>
                <w:b/>
                <w:color w:val="auto"/>
                <w:sz w:val="21"/>
                <w:szCs w:val="21"/>
              </w:rPr>
            </w:pPr>
            <w:r>
              <w:rPr>
                <w:rFonts w:hint="default"/>
                <w:b/>
                <w:color w:val="auto"/>
                <w:sz w:val="21"/>
                <w:szCs w:val="21"/>
              </w:rPr>
              <w:t>表3-4 植被类型一览表</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4"/>
              <w:gridCol w:w="1598"/>
              <w:gridCol w:w="1641"/>
              <w:gridCol w:w="1738"/>
            </w:tblGrid>
            <w:tr w14:paraId="407A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1" w:hRule="atLeast"/>
                <w:jc w:val="center"/>
              </w:trPr>
              <w:tc>
                <w:tcPr>
                  <w:tcW w:w="2133" w:type="pct"/>
                  <w:vAlign w:val="center"/>
                </w:tcPr>
                <w:p w14:paraId="023EAE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b/>
                      <w:bCs/>
                      <w:color w:val="auto"/>
                      <w:sz w:val="21"/>
                      <w:szCs w:val="21"/>
                    </w:rPr>
                    <w:t>类型</w:t>
                  </w:r>
                </w:p>
              </w:tc>
              <w:tc>
                <w:tcPr>
                  <w:tcW w:w="920" w:type="pct"/>
                  <w:vAlign w:val="center"/>
                </w:tcPr>
                <w:p w14:paraId="41E66A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b/>
                      <w:bCs/>
                      <w:color w:val="auto"/>
                      <w:sz w:val="21"/>
                      <w:szCs w:val="21"/>
                    </w:rPr>
                    <w:t>科</w:t>
                  </w:r>
                </w:p>
              </w:tc>
              <w:tc>
                <w:tcPr>
                  <w:tcW w:w="945" w:type="pct"/>
                  <w:vAlign w:val="center"/>
                </w:tcPr>
                <w:p w14:paraId="102A55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b/>
                      <w:bCs/>
                      <w:color w:val="auto"/>
                      <w:sz w:val="21"/>
                      <w:szCs w:val="21"/>
                    </w:rPr>
                    <w:t>属</w:t>
                  </w:r>
                </w:p>
              </w:tc>
              <w:tc>
                <w:tcPr>
                  <w:tcW w:w="1001" w:type="pct"/>
                  <w:vAlign w:val="center"/>
                </w:tcPr>
                <w:p w14:paraId="56821B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b/>
                      <w:bCs/>
                      <w:color w:val="auto"/>
                      <w:sz w:val="21"/>
                      <w:szCs w:val="21"/>
                    </w:rPr>
                    <w:t>种</w:t>
                  </w:r>
                </w:p>
              </w:tc>
            </w:tr>
            <w:tr w14:paraId="2348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33" w:type="pct"/>
                  <w:vAlign w:val="center"/>
                </w:tcPr>
                <w:p w14:paraId="66345F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蕨类植物</w:t>
                  </w:r>
                </w:p>
              </w:tc>
              <w:tc>
                <w:tcPr>
                  <w:tcW w:w="920" w:type="pct"/>
                  <w:vAlign w:val="center"/>
                </w:tcPr>
                <w:p w14:paraId="5092096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7</w:t>
                  </w:r>
                </w:p>
              </w:tc>
              <w:tc>
                <w:tcPr>
                  <w:tcW w:w="945" w:type="pct"/>
                  <w:vAlign w:val="center"/>
                </w:tcPr>
                <w:p w14:paraId="2A5CD6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9</w:t>
                  </w:r>
                </w:p>
              </w:tc>
              <w:tc>
                <w:tcPr>
                  <w:tcW w:w="1001" w:type="pct"/>
                  <w:vAlign w:val="center"/>
                </w:tcPr>
                <w:p w14:paraId="3B719F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11</w:t>
                  </w:r>
                </w:p>
              </w:tc>
            </w:tr>
            <w:tr w14:paraId="0B85D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33" w:type="pct"/>
                  <w:vAlign w:val="center"/>
                </w:tcPr>
                <w:p w14:paraId="3025E4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裸子植物</w:t>
                  </w:r>
                </w:p>
              </w:tc>
              <w:tc>
                <w:tcPr>
                  <w:tcW w:w="920" w:type="pct"/>
                  <w:vAlign w:val="center"/>
                </w:tcPr>
                <w:p w14:paraId="505FCE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3</w:t>
                  </w:r>
                </w:p>
              </w:tc>
              <w:tc>
                <w:tcPr>
                  <w:tcW w:w="945" w:type="pct"/>
                  <w:vAlign w:val="center"/>
                </w:tcPr>
                <w:p w14:paraId="01BDBC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4</w:t>
                  </w:r>
                </w:p>
              </w:tc>
              <w:tc>
                <w:tcPr>
                  <w:tcW w:w="1001" w:type="pct"/>
                  <w:vAlign w:val="center"/>
                </w:tcPr>
                <w:p w14:paraId="4697B1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7</w:t>
                  </w:r>
                </w:p>
              </w:tc>
            </w:tr>
            <w:tr w14:paraId="31297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2133" w:type="pct"/>
                  <w:vAlign w:val="center"/>
                </w:tcPr>
                <w:p w14:paraId="17DD2F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被子植物</w:t>
                  </w:r>
                </w:p>
              </w:tc>
              <w:tc>
                <w:tcPr>
                  <w:tcW w:w="920" w:type="pct"/>
                  <w:vAlign w:val="center"/>
                </w:tcPr>
                <w:p w14:paraId="580E42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51</w:t>
                  </w:r>
                </w:p>
              </w:tc>
              <w:tc>
                <w:tcPr>
                  <w:tcW w:w="945" w:type="pct"/>
                  <w:vAlign w:val="center"/>
                </w:tcPr>
                <w:p w14:paraId="5DFBFB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121</w:t>
                  </w:r>
                </w:p>
              </w:tc>
              <w:tc>
                <w:tcPr>
                  <w:tcW w:w="1001" w:type="pct"/>
                  <w:vAlign w:val="center"/>
                </w:tcPr>
                <w:p w14:paraId="1443A7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182</w:t>
                  </w:r>
                </w:p>
              </w:tc>
            </w:tr>
            <w:tr w14:paraId="64C3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2133" w:type="pct"/>
                  <w:vAlign w:val="center"/>
                </w:tcPr>
                <w:p w14:paraId="7A0C03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合计</w:t>
                  </w:r>
                </w:p>
              </w:tc>
              <w:tc>
                <w:tcPr>
                  <w:tcW w:w="920" w:type="pct"/>
                  <w:vAlign w:val="center"/>
                </w:tcPr>
                <w:p w14:paraId="72CB3D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61</w:t>
                  </w:r>
                </w:p>
              </w:tc>
              <w:tc>
                <w:tcPr>
                  <w:tcW w:w="945" w:type="pct"/>
                  <w:vAlign w:val="center"/>
                </w:tcPr>
                <w:p w14:paraId="010B74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134</w:t>
                  </w:r>
                </w:p>
              </w:tc>
              <w:tc>
                <w:tcPr>
                  <w:tcW w:w="1001" w:type="pct"/>
                  <w:vAlign w:val="center"/>
                </w:tcPr>
                <w:p w14:paraId="06CEF2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color w:val="auto"/>
                      <w:sz w:val="21"/>
                      <w:szCs w:val="21"/>
                    </w:rPr>
                    <w:t>200</w:t>
                  </w:r>
                </w:p>
              </w:tc>
            </w:tr>
          </w:tbl>
          <w:p w14:paraId="0945487A">
            <w:pPr>
              <w:ind w:firstLine="480" w:firstLineChars="0"/>
              <w:rPr>
                <w:rFonts w:hint="default"/>
                <w:color w:val="auto"/>
              </w:rPr>
            </w:pPr>
            <w:r>
              <w:rPr>
                <w:color w:val="auto"/>
              </w:rPr>
              <w:t>（2）植物区系特征</w:t>
            </w:r>
          </w:p>
          <w:p w14:paraId="43DEC190">
            <w:pPr>
              <w:widowControl/>
              <w:adjustRightInd/>
              <w:snapToGrid/>
              <w:ind w:firstLine="480"/>
              <w:jc w:val="left"/>
              <w:rPr>
                <w:rFonts w:hint="default"/>
                <w:bCs w:val="0"/>
                <w:color w:val="auto"/>
                <w:kern w:val="0"/>
              </w:rPr>
            </w:pPr>
            <w:r>
              <w:rPr>
                <w:bCs/>
                <w:color w:val="auto"/>
              </w:rPr>
              <w:t>根据《中国种子植物</w:t>
            </w:r>
            <w:r>
              <w:rPr>
                <w:rFonts w:hint="default"/>
                <w:bCs/>
                <w:color w:val="auto"/>
              </w:rPr>
              <w:t>科</w:t>
            </w:r>
            <w:r>
              <w:rPr>
                <w:bCs/>
                <w:color w:val="auto"/>
              </w:rPr>
              <w:t>的分布区类型》（吴征镒，1991），</w:t>
            </w:r>
            <w:r>
              <w:rPr>
                <w:rFonts w:ascii="Times New Roman" w:hAnsi="Times New Roman" w:cs="Times New Roman"/>
                <w:color w:val="auto"/>
                <w:kern w:val="0"/>
              </w:rPr>
              <w:t>本次调查共记录种子植物54科，依据吴征镒种子植物分布区类型可划分为9类地理成分，区系类型多样，具有典型的亚热带山地过渡特征。区内世界广布成分11科，适应性强、分布广泛。剔除世界广布类群后，热带成分占比55.81%，以泛热带成分为主，体现出较强的热带区系亲缘背景；温带成分占比44.19%，以北温带成分为主体，兼具东亚</w:t>
            </w:r>
            <w:r>
              <w:rPr>
                <w:rFonts w:ascii="Times New Roman" w:hAnsi="Times New Roman" w:cs="Times New Roman"/>
                <w:color w:val="auto"/>
                <w:kern w:val="0"/>
              </w:rPr>
              <w:noBreakHyphen/>
            </w:r>
            <w:r>
              <w:rPr>
                <w:rFonts w:ascii="Times New Roman" w:hAnsi="Times New Roman" w:cs="Times New Roman"/>
                <w:color w:val="auto"/>
                <w:kern w:val="0"/>
              </w:rPr>
              <w:t>北美间断等古老区系成分。总体来看，该区域植物区系热带、温带成分交汇融合，区系组成复杂，生境异质性较高，植被群落稳定性良好。</w:t>
            </w:r>
          </w:p>
          <w:p w14:paraId="7E8CDFA6">
            <w:pPr>
              <w:spacing w:line="240" w:lineRule="auto"/>
              <w:ind w:firstLine="422"/>
              <w:jc w:val="center"/>
              <w:textAlignment w:val="baseline"/>
              <w:rPr>
                <w:b/>
                <w:color w:val="auto"/>
                <w:sz w:val="21"/>
                <w:szCs w:val="21"/>
              </w:rPr>
            </w:pPr>
            <w:r>
              <w:rPr>
                <w:rFonts w:hint="default"/>
                <w:b/>
                <w:color w:val="auto"/>
                <w:sz w:val="21"/>
                <w:szCs w:val="21"/>
              </w:rPr>
              <w:t>表3-5评价区内种子植物科的分布区类型统计</w:t>
            </w:r>
          </w:p>
          <w:tbl>
            <w:tblPr>
              <w:tblStyle w:val="20"/>
              <w:tblW w:w="4998" w:type="pct"/>
              <w:jc w:val="center"/>
              <w:tblLayout w:type="autofit"/>
              <w:tblCellMar>
                <w:top w:w="0" w:type="dxa"/>
                <w:left w:w="108" w:type="dxa"/>
                <w:bottom w:w="0" w:type="dxa"/>
                <w:right w:w="108" w:type="dxa"/>
              </w:tblCellMar>
            </w:tblPr>
            <w:tblGrid>
              <w:gridCol w:w="3873"/>
              <w:gridCol w:w="1342"/>
              <w:gridCol w:w="3476"/>
            </w:tblGrid>
            <w:tr w14:paraId="4B1329CC">
              <w:tblPrEx>
                <w:tblCellMar>
                  <w:top w:w="0" w:type="dxa"/>
                  <w:left w:w="108" w:type="dxa"/>
                  <w:bottom w:w="0" w:type="dxa"/>
                  <w:right w:w="108" w:type="dxa"/>
                </w:tblCellMar>
              </w:tblPrEx>
              <w:trPr>
                <w:trHeight w:val="42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74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分布区类型</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AE3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rFonts w:hint="default"/>
                      <w:b/>
                      <w:bCs/>
                      <w:color w:val="auto"/>
                      <w:kern w:val="0"/>
                      <w:sz w:val="21"/>
                      <w:szCs w:val="21"/>
                      <w:lang w:bidi="ar"/>
                    </w:rPr>
                    <w:t>科</w:t>
                  </w:r>
                  <w:r>
                    <w:rPr>
                      <w:b/>
                      <w:bCs/>
                      <w:color w:val="auto"/>
                      <w:kern w:val="0"/>
                      <w:sz w:val="21"/>
                      <w:szCs w:val="21"/>
                      <w:lang w:bidi="ar"/>
                    </w:rPr>
                    <w:t>数量</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5E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占种子植物</w:t>
                  </w:r>
                  <w:r>
                    <w:rPr>
                      <w:rFonts w:hint="default"/>
                      <w:b/>
                      <w:bCs/>
                      <w:color w:val="auto"/>
                      <w:kern w:val="0"/>
                      <w:sz w:val="21"/>
                      <w:szCs w:val="21"/>
                      <w:lang w:bidi="ar"/>
                    </w:rPr>
                    <w:t>科</w:t>
                  </w:r>
                  <w:r>
                    <w:rPr>
                      <w:b/>
                      <w:bCs/>
                      <w:color w:val="auto"/>
                      <w:kern w:val="0"/>
                      <w:sz w:val="21"/>
                      <w:szCs w:val="21"/>
                      <w:lang w:bidi="ar"/>
                    </w:rPr>
                    <w:t>比例 (%)</w:t>
                  </w:r>
                </w:p>
              </w:tc>
            </w:tr>
            <w:tr w14:paraId="55E0E4F0">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FC1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1</w:t>
                  </w:r>
                  <w:r>
                    <w:rPr>
                      <w:color w:val="auto"/>
                      <w:kern w:val="0"/>
                      <w:sz w:val="21"/>
                      <w:szCs w:val="21"/>
                      <w:lang w:bidi="ar"/>
                    </w:rPr>
                    <w:t>.世界分布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70B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11</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F43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color w:val="auto"/>
                      <w:sz w:val="21"/>
                      <w:szCs w:val="21"/>
                    </w:rPr>
                  </w:pPr>
                  <w:r>
                    <w:rPr>
                      <w:rFonts w:hint="default"/>
                      <w:b/>
                      <w:bCs/>
                      <w:color w:val="auto"/>
                      <w:sz w:val="21"/>
                      <w:szCs w:val="21"/>
                    </w:rPr>
                    <w:t>—</w:t>
                  </w:r>
                </w:p>
              </w:tc>
            </w:tr>
            <w:tr w14:paraId="68B2A954">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5DE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2</w:t>
                  </w:r>
                  <w:r>
                    <w:rPr>
                      <w:color w:val="auto"/>
                      <w:kern w:val="0"/>
                      <w:sz w:val="21"/>
                      <w:szCs w:val="21"/>
                      <w:lang w:bidi="ar"/>
                    </w:rPr>
                    <w:t>.泛热带分布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C8A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16</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CC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 xml:space="preserve">37.21 </w:t>
                  </w:r>
                </w:p>
              </w:tc>
            </w:tr>
            <w:tr w14:paraId="484092FC">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13D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3</w:t>
                  </w:r>
                  <w:r>
                    <w:rPr>
                      <w:color w:val="auto"/>
                      <w:kern w:val="0"/>
                      <w:sz w:val="21"/>
                      <w:szCs w:val="21"/>
                      <w:lang w:bidi="ar"/>
                    </w:rPr>
                    <w:t>.热带亚洲</w:t>
                  </w:r>
                  <w:r>
                    <w:rPr>
                      <w:color w:val="auto"/>
                      <w:kern w:val="0"/>
                      <w:sz w:val="21"/>
                      <w:szCs w:val="21"/>
                      <w:lang w:bidi="ar"/>
                    </w:rPr>
                    <w:noBreakHyphen/>
                  </w:r>
                  <w:r>
                    <w:rPr>
                      <w:color w:val="auto"/>
                      <w:kern w:val="0"/>
                      <w:sz w:val="21"/>
                      <w:szCs w:val="21"/>
                      <w:lang w:bidi="ar"/>
                    </w:rPr>
                    <w:t>热带美洲间断</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222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4</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318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 xml:space="preserve">9.30 </w:t>
                  </w:r>
                </w:p>
              </w:tc>
            </w:tr>
            <w:tr w14:paraId="70920E08">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42C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color w:val="auto"/>
                      <w:sz w:val="21"/>
                      <w:szCs w:val="21"/>
                    </w:rPr>
                  </w:pPr>
                  <w:r>
                    <w:rPr>
                      <w:rFonts w:hint="default"/>
                      <w:color w:val="auto"/>
                      <w:kern w:val="0"/>
                      <w:sz w:val="21"/>
                      <w:szCs w:val="21"/>
                      <w:lang w:bidi="ar"/>
                    </w:rPr>
                    <w:t>4</w:t>
                  </w:r>
                  <w:r>
                    <w:rPr>
                      <w:color w:val="auto"/>
                      <w:kern w:val="0"/>
                      <w:sz w:val="21"/>
                      <w:szCs w:val="21"/>
                      <w:lang w:bidi="ar"/>
                    </w:rPr>
                    <w:t>.旧世界热带</w:t>
                  </w:r>
                  <w:r>
                    <w:rPr>
                      <w:rFonts w:hint="default"/>
                      <w:color w:val="auto"/>
                      <w:kern w:val="0"/>
                      <w:sz w:val="21"/>
                      <w:szCs w:val="21"/>
                      <w:lang w:bidi="ar"/>
                    </w:rPr>
                    <w:t>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2C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2</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76D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 xml:space="preserve">4.65 </w:t>
                  </w:r>
                </w:p>
              </w:tc>
            </w:tr>
            <w:tr w14:paraId="1D98F5F3">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66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hint="default"/>
                      <w:color w:val="auto"/>
                      <w:kern w:val="0"/>
                      <w:sz w:val="21"/>
                      <w:szCs w:val="21"/>
                      <w:lang w:bidi="ar"/>
                    </w:rPr>
                    <w:t>7</w:t>
                  </w:r>
                  <w:r>
                    <w:rPr>
                      <w:color w:val="auto"/>
                      <w:kern w:val="0"/>
                      <w:sz w:val="21"/>
                      <w:szCs w:val="21"/>
                      <w:lang w:bidi="ar"/>
                    </w:rPr>
                    <w:t>.</w:t>
                  </w:r>
                  <w:r>
                    <w:rPr>
                      <w:rFonts w:hint="default"/>
                      <w:color w:val="auto"/>
                      <w:kern w:val="0"/>
                      <w:sz w:val="21"/>
                      <w:szCs w:val="21"/>
                      <w:lang w:bidi="ar"/>
                    </w:rPr>
                    <w:t>热带亚洲分布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462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color w:val="auto"/>
                      <w:kern w:val="0"/>
                      <w:sz w:val="21"/>
                      <w:szCs w:val="21"/>
                      <w:lang w:bidi="ar"/>
                    </w:rPr>
                    <w:t>2</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A46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eastAsia="等线"/>
                      <w:color w:val="auto"/>
                      <w:sz w:val="21"/>
                      <w:szCs w:val="21"/>
                    </w:rPr>
                    <w:t>4.65</w:t>
                  </w:r>
                </w:p>
              </w:tc>
            </w:tr>
            <w:tr w14:paraId="7B8B4BF3">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C03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8</w:t>
                  </w:r>
                  <w:r>
                    <w:rPr>
                      <w:color w:val="auto"/>
                      <w:kern w:val="0"/>
                      <w:sz w:val="21"/>
                      <w:szCs w:val="21"/>
                      <w:lang w:bidi="ar"/>
                    </w:rPr>
                    <w:t>.北温带分布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59A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13</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AF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30.23</w:t>
                  </w:r>
                </w:p>
              </w:tc>
            </w:tr>
            <w:tr w14:paraId="29D879D3">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D7B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color w:val="auto"/>
                      <w:kern w:val="0"/>
                      <w:sz w:val="21"/>
                      <w:szCs w:val="21"/>
                      <w:lang w:bidi="ar"/>
                    </w:rPr>
                  </w:pPr>
                  <w:r>
                    <w:rPr>
                      <w:rFonts w:hint="default"/>
                      <w:color w:val="auto"/>
                      <w:kern w:val="0"/>
                      <w:sz w:val="21"/>
                      <w:szCs w:val="21"/>
                      <w:lang w:bidi="ar"/>
                    </w:rPr>
                    <w:t>9</w:t>
                  </w:r>
                  <w:r>
                    <w:rPr>
                      <w:color w:val="auto"/>
                      <w:kern w:val="0"/>
                      <w:sz w:val="21"/>
                      <w:szCs w:val="21"/>
                      <w:lang w:bidi="ar"/>
                    </w:rPr>
                    <w:t>.</w:t>
                  </w:r>
                  <w:r>
                    <w:rPr>
                      <w:rFonts w:hint="default"/>
                      <w:color w:val="auto"/>
                      <w:kern w:val="0"/>
                      <w:sz w:val="21"/>
                      <w:szCs w:val="21"/>
                      <w:lang w:bidi="ar"/>
                    </w:rPr>
                    <w:t>东亚-北美间断</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141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hint="default"/>
                      <w:color w:val="auto"/>
                      <w:kern w:val="0"/>
                      <w:sz w:val="21"/>
                      <w:szCs w:val="21"/>
                      <w:lang w:bidi="ar"/>
                    </w:rPr>
                    <w:t>4</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A2E6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eastAsia="等线"/>
                      <w:color w:val="auto"/>
                      <w:sz w:val="21"/>
                      <w:szCs w:val="21"/>
                    </w:rPr>
                    <w:t xml:space="preserve">9.30 </w:t>
                  </w:r>
                </w:p>
              </w:tc>
            </w:tr>
            <w:tr w14:paraId="2AD89778">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66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1</w:t>
                  </w:r>
                  <w:r>
                    <w:rPr>
                      <w:color w:val="auto"/>
                      <w:kern w:val="0"/>
                      <w:sz w:val="21"/>
                      <w:szCs w:val="21"/>
                      <w:lang w:bidi="ar"/>
                    </w:rPr>
                    <w:t>0.旧世界温带</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446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70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2.33</w:t>
                  </w:r>
                </w:p>
              </w:tc>
            </w:tr>
            <w:tr w14:paraId="5B392C33">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CED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1</w:t>
                  </w:r>
                  <w:r>
                    <w:rPr>
                      <w:color w:val="auto"/>
                      <w:kern w:val="0"/>
                      <w:sz w:val="21"/>
                      <w:szCs w:val="21"/>
                      <w:lang w:bidi="ar"/>
                    </w:rPr>
                    <w:t>2.</w:t>
                  </w:r>
                  <w:r>
                    <w:rPr>
                      <w:rFonts w:hint="default"/>
                      <w:color w:val="auto"/>
                      <w:kern w:val="0"/>
                      <w:sz w:val="21"/>
                      <w:szCs w:val="21"/>
                      <w:lang w:bidi="ar"/>
                    </w:rPr>
                    <w:t>地中海、西亚至中亚分布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593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094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 xml:space="preserve">2.33 </w:t>
                  </w:r>
                </w:p>
              </w:tc>
            </w:tr>
            <w:tr w14:paraId="0802B54C">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0A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总计</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7A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54</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64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100</w:t>
                  </w:r>
                </w:p>
              </w:tc>
            </w:tr>
          </w:tbl>
          <w:p w14:paraId="1C2B4F78">
            <w:pPr>
              <w:ind w:left="0" w:leftChars="0" w:firstLine="480" w:firstLineChars="200"/>
              <w:jc w:val="left"/>
              <w:rPr>
                <w:color w:val="auto"/>
              </w:rPr>
            </w:pPr>
            <w:r>
              <w:rPr>
                <w:color w:val="auto"/>
              </w:rPr>
              <w:t>本次共记录种子植物125属，依据吴征镒种子植物属分布区类型可划分为11个分布区类型。剔除世界广布属后，温带成分63属，占非世界广布属的58.88%，以北温带成分为主体；热带成分44属，占非世界广布属的41.12%，泛热带属数量最多。区系体现</w:t>
            </w:r>
            <w:r>
              <w:rPr>
                <w:b w:val="0"/>
                <w:bCs w:val="0"/>
                <w:color w:val="auto"/>
              </w:rPr>
              <w:t>温带成分为主、兼具热带亲缘</w:t>
            </w:r>
            <w:r>
              <w:rPr>
                <w:color w:val="auto"/>
              </w:rPr>
              <w:t>的亚热带山地特征，南北区系交汇，生境异质性较高；其中紫茎泽兰属为外来入侵属。</w:t>
            </w:r>
          </w:p>
          <w:p w14:paraId="3C3A2E4A">
            <w:pPr>
              <w:keepNext w:val="0"/>
              <w:keepLines w:val="0"/>
              <w:pageBreakBefore w:val="0"/>
              <w:widowControl w:val="0"/>
              <w:kinsoku/>
              <w:wordWrap/>
              <w:overflowPunct/>
              <w:topLinePunct w:val="0"/>
              <w:autoSpaceDE/>
              <w:autoSpaceDN/>
              <w:bidi w:val="0"/>
              <w:adjustRightInd w:val="0"/>
              <w:snapToGrid w:val="0"/>
              <w:spacing w:line="240" w:lineRule="auto"/>
              <w:ind w:firstLine="482"/>
              <w:jc w:val="center"/>
              <w:textAlignment w:val="auto"/>
              <w:rPr>
                <w:rFonts w:hint="default"/>
                <w:b/>
                <w:bCs/>
                <w:color w:val="auto"/>
              </w:rPr>
            </w:pPr>
            <w:r>
              <w:rPr>
                <w:rFonts w:hint="default"/>
                <w:b/>
                <w:bCs/>
                <w:color w:val="auto"/>
              </w:rPr>
              <w:t>表3-</w:t>
            </w:r>
            <w:r>
              <w:rPr>
                <w:b/>
                <w:bCs/>
                <w:color w:val="auto"/>
              </w:rPr>
              <w:t>6</w:t>
            </w:r>
            <w:r>
              <w:rPr>
                <w:rFonts w:hint="default"/>
                <w:b/>
                <w:bCs/>
                <w:color w:val="auto"/>
              </w:rPr>
              <w:t>评价区内种子植物属的分布区类型统计</w:t>
            </w:r>
          </w:p>
          <w:tbl>
            <w:tblPr>
              <w:tblStyle w:val="20"/>
              <w:tblW w:w="4998" w:type="pct"/>
              <w:jc w:val="center"/>
              <w:tblLayout w:type="autofit"/>
              <w:tblCellMar>
                <w:top w:w="0" w:type="dxa"/>
                <w:left w:w="108" w:type="dxa"/>
                <w:bottom w:w="0" w:type="dxa"/>
                <w:right w:w="108" w:type="dxa"/>
              </w:tblCellMar>
            </w:tblPr>
            <w:tblGrid>
              <w:gridCol w:w="3873"/>
              <w:gridCol w:w="1342"/>
              <w:gridCol w:w="3476"/>
            </w:tblGrid>
            <w:tr w14:paraId="7B731973">
              <w:tblPrEx>
                <w:tblCellMar>
                  <w:top w:w="0" w:type="dxa"/>
                  <w:left w:w="108" w:type="dxa"/>
                  <w:bottom w:w="0" w:type="dxa"/>
                  <w:right w:w="108" w:type="dxa"/>
                </w:tblCellMar>
              </w:tblPrEx>
              <w:trPr>
                <w:trHeight w:val="42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AF2E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分布区类型</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181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rFonts w:hint="default"/>
                      <w:b/>
                      <w:bCs/>
                      <w:color w:val="auto"/>
                      <w:kern w:val="0"/>
                      <w:sz w:val="21"/>
                      <w:szCs w:val="21"/>
                      <w:lang w:bidi="ar"/>
                    </w:rPr>
                    <w:t>属</w:t>
                  </w:r>
                  <w:r>
                    <w:rPr>
                      <w:b/>
                      <w:bCs/>
                      <w:color w:val="auto"/>
                      <w:kern w:val="0"/>
                      <w:sz w:val="21"/>
                      <w:szCs w:val="21"/>
                      <w:lang w:bidi="ar"/>
                    </w:rPr>
                    <w:t>数量</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412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占种子植物</w:t>
                  </w:r>
                  <w:r>
                    <w:rPr>
                      <w:rFonts w:hint="default"/>
                      <w:b/>
                      <w:bCs/>
                      <w:color w:val="auto"/>
                      <w:kern w:val="0"/>
                      <w:sz w:val="21"/>
                      <w:szCs w:val="21"/>
                      <w:lang w:bidi="ar"/>
                    </w:rPr>
                    <w:t>属</w:t>
                  </w:r>
                  <w:r>
                    <w:rPr>
                      <w:b/>
                      <w:bCs/>
                      <w:color w:val="auto"/>
                      <w:kern w:val="0"/>
                      <w:sz w:val="21"/>
                      <w:szCs w:val="21"/>
                      <w:lang w:bidi="ar"/>
                    </w:rPr>
                    <w:t>比例 (%)</w:t>
                  </w:r>
                </w:p>
              </w:tc>
            </w:tr>
            <w:tr w14:paraId="2ED36906">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CE5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1</w:t>
                  </w:r>
                  <w:r>
                    <w:rPr>
                      <w:color w:val="auto"/>
                      <w:kern w:val="0"/>
                      <w:sz w:val="21"/>
                      <w:szCs w:val="21"/>
                      <w:lang w:bidi="ar"/>
                    </w:rPr>
                    <w:t>.世界分布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73E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18</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CC6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color w:val="auto"/>
                      <w:sz w:val="21"/>
                      <w:szCs w:val="21"/>
                    </w:rPr>
                  </w:pPr>
                  <w:r>
                    <w:rPr>
                      <w:rFonts w:hint="default"/>
                      <w:b/>
                      <w:bCs/>
                      <w:color w:val="auto"/>
                      <w:sz w:val="21"/>
                      <w:szCs w:val="21"/>
                    </w:rPr>
                    <w:t>—</w:t>
                  </w:r>
                </w:p>
              </w:tc>
            </w:tr>
            <w:tr w14:paraId="23744518">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D4E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2</w:t>
                  </w:r>
                  <w:r>
                    <w:rPr>
                      <w:color w:val="auto"/>
                      <w:kern w:val="0"/>
                      <w:sz w:val="21"/>
                      <w:szCs w:val="21"/>
                      <w:lang w:bidi="ar"/>
                    </w:rPr>
                    <w:t>.泛热带分布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894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28</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C2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26.17</w:t>
                  </w:r>
                </w:p>
              </w:tc>
            </w:tr>
            <w:tr w14:paraId="7FE15EF5">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5B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3</w:t>
                  </w:r>
                  <w:r>
                    <w:rPr>
                      <w:color w:val="auto"/>
                      <w:kern w:val="0"/>
                      <w:sz w:val="21"/>
                      <w:szCs w:val="21"/>
                      <w:lang w:bidi="ar"/>
                    </w:rPr>
                    <w:t>.热带亚洲</w:t>
                  </w:r>
                  <w:r>
                    <w:rPr>
                      <w:color w:val="auto"/>
                      <w:kern w:val="0"/>
                      <w:sz w:val="21"/>
                      <w:szCs w:val="21"/>
                      <w:lang w:bidi="ar"/>
                    </w:rPr>
                    <w:noBreakHyphen/>
                  </w:r>
                  <w:r>
                    <w:rPr>
                      <w:color w:val="auto"/>
                      <w:kern w:val="0"/>
                      <w:sz w:val="21"/>
                      <w:szCs w:val="21"/>
                      <w:lang w:bidi="ar"/>
                    </w:rPr>
                    <w:t>热带美洲间断</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EB8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3</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A6D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2.80</w:t>
                  </w:r>
                </w:p>
              </w:tc>
            </w:tr>
            <w:tr w14:paraId="5EFBB30F">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A4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color w:val="auto"/>
                      <w:sz w:val="21"/>
                      <w:szCs w:val="21"/>
                    </w:rPr>
                  </w:pPr>
                  <w:r>
                    <w:rPr>
                      <w:rFonts w:hint="default"/>
                      <w:color w:val="auto"/>
                      <w:kern w:val="0"/>
                      <w:sz w:val="21"/>
                      <w:szCs w:val="21"/>
                      <w:lang w:bidi="ar"/>
                    </w:rPr>
                    <w:t>4</w:t>
                  </w:r>
                  <w:r>
                    <w:rPr>
                      <w:color w:val="auto"/>
                      <w:kern w:val="0"/>
                      <w:sz w:val="21"/>
                      <w:szCs w:val="21"/>
                      <w:lang w:bidi="ar"/>
                    </w:rPr>
                    <w:t>.旧世界热带</w:t>
                  </w:r>
                  <w:r>
                    <w:rPr>
                      <w:rFonts w:hint="default"/>
                      <w:color w:val="auto"/>
                      <w:kern w:val="0"/>
                      <w:sz w:val="21"/>
                      <w:szCs w:val="21"/>
                      <w:lang w:bidi="ar"/>
                    </w:rPr>
                    <w:t>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58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2</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309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1.87</w:t>
                  </w:r>
                </w:p>
              </w:tc>
            </w:tr>
            <w:tr w14:paraId="5AC0FCEE">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159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color w:val="auto"/>
                      <w:sz w:val="21"/>
                      <w:szCs w:val="21"/>
                    </w:rPr>
                  </w:pPr>
                  <w:r>
                    <w:rPr>
                      <w:rFonts w:hint="default"/>
                      <w:color w:val="auto"/>
                      <w:kern w:val="0"/>
                      <w:sz w:val="21"/>
                      <w:szCs w:val="21"/>
                      <w:lang w:bidi="ar"/>
                    </w:rPr>
                    <w:t>6</w:t>
                  </w:r>
                  <w:r>
                    <w:rPr>
                      <w:color w:val="auto"/>
                      <w:kern w:val="0"/>
                      <w:sz w:val="21"/>
                      <w:szCs w:val="21"/>
                      <w:lang w:bidi="ar"/>
                    </w:rPr>
                    <w:t>.热带亚洲</w:t>
                  </w:r>
                  <w:r>
                    <w:rPr>
                      <w:rFonts w:hint="default"/>
                      <w:color w:val="auto"/>
                      <w:kern w:val="0"/>
                      <w:sz w:val="21"/>
                      <w:szCs w:val="21"/>
                      <w:lang w:bidi="ar"/>
                    </w:rPr>
                    <w:t>至热带非洲分布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2D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2</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27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1.87</w:t>
                  </w:r>
                </w:p>
              </w:tc>
            </w:tr>
            <w:tr w14:paraId="50AC1372">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F7A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hint="default"/>
                      <w:color w:val="auto"/>
                      <w:kern w:val="0"/>
                      <w:sz w:val="21"/>
                      <w:szCs w:val="21"/>
                      <w:lang w:bidi="ar"/>
                    </w:rPr>
                    <w:t>7</w:t>
                  </w:r>
                  <w:r>
                    <w:rPr>
                      <w:color w:val="auto"/>
                      <w:kern w:val="0"/>
                      <w:sz w:val="21"/>
                      <w:szCs w:val="21"/>
                      <w:lang w:bidi="ar"/>
                    </w:rPr>
                    <w:t>.</w:t>
                  </w:r>
                  <w:r>
                    <w:rPr>
                      <w:rFonts w:hint="default"/>
                      <w:color w:val="auto"/>
                      <w:kern w:val="0"/>
                      <w:sz w:val="21"/>
                      <w:szCs w:val="21"/>
                      <w:lang w:bidi="ar"/>
                    </w:rPr>
                    <w:t>热带亚洲分布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28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color w:val="auto"/>
                      <w:kern w:val="0"/>
                      <w:sz w:val="21"/>
                      <w:szCs w:val="21"/>
                      <w:lang w:bidi="ar"/>
                    </w:rPr>
                    <w:t>9</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819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eastAsia="等线"/>
                      <w:color w:val="auto"/>
                      <w:sz w:val="21"/>
                      <w:szCs w:val="21"/>
                    </w:rPr>
                    <w:t>8.41</w:t>
                  </w:r>
                </w:p>
              </w:tc>
            </w:tr>
            <w:tr w14:paraId="4967A87D">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736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8</w:t>
                  </w:r>
                  <w:r>
                    <w:rPr>
                      <w:color w:val="auto"/>
                      <w:kern w:val="0"/>
                      <w:sz w:val="21"/>
                      <w:szCs w:val="21"/>
                      <w:lang w:bidi="ar"/>
                    </w:rPr>
                    <w:t>.北温带分布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ABD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33</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2E5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30.84</w:t>
                  </w:r>
                </w:p>
              </w:tc>
            </w:tr>
            <w:tr w14:paraId="4331681E">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15B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color w:val="auto"/>
                      <w:kern w:val="0"/>
                      <w:sz w:val="21"/>
                      <w:szCs w:val="21"/>
                      <w:lang w:bidi="ar"/>
                    </w:rPr>
                  </w:pPr>
                  <w:r>
                    <w:rPr>
                      <w:rFonts w:hint="default"/>
                      <w:color w:val="auto"/>
                      <w:kern w:val="0"/>
                      <w:sz w:val="21"/>
                      <w:szCs w:val="21"/>
                      <w:lang w:bidi="ar"/>
                    </w:rPr>
                    <w:t>9</w:t>
                  </w:r>
                  <w:r>
                    <w:rPr>
                      <w:color w:val="auto"/>
                      <w:kern w:val="0"/>
                      <w:sz w:val="21"/>
                      <w:szCs w:val="21"/>
                      <w:lang w:bidi="ar"/>
                    </w:rPr>
                    <w:t>.</w:t>
                  </w:r>
                  <w:r>
                    <w:rPr>
                      <w:rFonts w:hint="default"/>
                      <w:color w:val="auto"/>
                      <w:kern w:val="0"/>
                      <w:sz w:val="21"/>
                      <w:szCs w:val="21"/>
                      <w:lang w:bidi="ar"/>
                    </w:rPr>
                    <w:t>东亚和北美洲间断分布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603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color w:val="auto"/>
                      <w:kern w:val="0"/>
                      <w:sz w:val="21"/>
                      <w:szCs w:val="21"/>
                      <w:lang w:bidi="ar"/>
                    </w:rPr>
                    <w:t>11</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243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eastAsia="等线"/>
                      <w:color w:val="auto"/>
                      <w:sz w:val="21"/>
                      <w:szCs w:val="21"/>
                    </w:rPr>
                    <w:t>10.28</w:t>
                  </w:r>
                </w:p>
              </w:tc>
            </w:tr>
            <w:tr w14:paraId="1A4AD799">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A23C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color w:val="auto"/>
                      <w:kern w:val="0"/>
                      <w:sz w:val="21"/>
                      <w:szCs w:val="21"/>
                      <w:lang w:bidi="ar"/>
                    </w:rPr>
                  </w:pPr>
                  <w:r>
                    <w:rPr>
                      <w:rFonts w:hint="default"/>
                      <w:color w:val="auto"/>
                      <w:kern w:val="0"/>
                      <w:sz w:val="21"/>
                      <w:szCs w:val="21"/>
                      <w:lang w:bidi="ar"/>
                    </w:rPr>
                    <w:t>1</w:t>
                  </w:r>
                  <w:r>
                    <w:rPr>
                      <w:color w:val="auto"/>
                      <w:kern w:val="0"/>
                      <w:sz w:val="21"/>
                      <w:szCs w:val="21"/>
                      <w:lang w:bidi="ar"/>
                    </w:rPr>
                    <w:t>0.</w:t>
                  </w:r>
                  <w:r>
                    <w:rPr>
                      <w:rFonts w:hint="default"/>
                      <w:color w:val="auto"/>
                      <w:kern w:val="0"/>
                      <w:sz w:val="21"/>
                      <w:szCs w:val="21"/>
                      <w:lang w:bidi="ar"/>
                    </w:rPr>
                    <w:t>旧世界温带分布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74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color w:val="auto"/>
                      <w:kern w:val="0"/>
                      <w:sz w:val="21"/>
                      <w:szCs w:val="21"/>
                      <w:lang w:bidi="ar"/>
                    </w:rPr>
                    <w:t>10</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56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eastAsia="等线"/>
                      <w:color w:val="auto"/>
                      <w:sz w:val="21"/>
                      <w:szCs w:val="21"/>
                    </w:rPr>
                    <w:t>9.35</w:t>
                  </w:r>
                </w:p>
              </w:tc>
            </w:tr>
            <w:tr w14:paraId="593650CB">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198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hint="default"/>
                      <w:color w:val="auto"/>
                      <w:kern w:val="0"/>
                      <w:sz w:val="21"/>
                      <w:szCs w:val="21"/>
                      <w:lang w:bidi="ar"/>
                    </w:rPr>
                    <w:t>1</w:t>
                  </w:r>
                  <w:r>
                    <w:rPr>
                      <w:color w:val="auto"/>
                      <w:kern w:val="0"/>
                      <w:sz w:val="21"/>
                      <w:szCs w:val="21"/>
                      <w:lang w:bidi="ar"/>
                    </w:rPr>
                    <w:t>2.</w:t>
                  </w:r>
                  <w:r>
                    <w:rPr>
                      <w:rFonts w:hint="default"/>
                      <w:color w:val="auto"/>
                      <w:kern w:val="0"/>
                      <w:sz w:val="21"/>
                      <w:szCs w:val="21"/>
                      <w:lang w:bidi="ar"/>
                    </w:rPr>
                    <w:t>地中海-西亚-中亚分布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53A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kern w:val="0"/>
                      <w:sz w:val="21"/>
                      <w:szCs w:val="21"/>
                      <w:lang w:bidi="ar"/>
                    </w:rPr>
                  </w:pPr>
                  <w:r>
                    <w:rPr>
                      <w:rFonts w:hint="default"/>
                      <w:color w:val="auto"/>
                      <w:kern w:val="0"/>
                      <w:sz w:val="21"/>
                      <w:szCs w:val="21"/>
                      <w:lang w:bidi="ar"/>
                    </w:rPr>
                    <w:t>1</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3EA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eastAsia="等线"/>
                      <w:color w:val="auto"/>
                      <w:sz w:val="21"/>
                      <w:szCs w:val="21"/>
                    </w:rPr>
                  </w:pPr>
                  <w:r>
                    <w:rPr>
                      <w:rFonts w:eastAsia="等线"/>
                      <w:color w:val="auto"/>
                      <w:sz w:val="21"/>
                      <w:szCs w:val="21"/>
                    </w:rPr>
                    <w:t>0.93</w:t>
                  </w:r>
                </w:p>
              </w:tc>
            </w:tr>
            <w:tr w14:paraId="0717653E">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2E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hint="default"/>
                      <w:color w:val="auto"/>
                      <w:kern w:val="0"/>
                      <w:sz w:val="21"/>
                      <w:szCs w:val="21"/>
                      <w:lang w:bidi="ar"/>
                    </w:rPr>
                    <w:t>1</w:t>
                  </w:r>
                  <w:r>
                    <w:rPr>
                      <w:color w:val="auto"/>
                      <w:kern w:val="0"/>
                      <w:sz w:val="21"/>
                      <w:szCs w:val="21"/>
                      <w:lang w:bidi="ar"/>
                    </w:rPr>
                    <w:t>4.东亚分布</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AF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8</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E1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rFonts w:eastAsia="等线"/>
                      <w:color w:val="auto"/>
                      <w:sz w:val="21"/>
                      <w:szCs w:val="21"/>
                    </w:rPr>
                    <w:t>7.48</w:t>
                  </w:r>
                </w:p>
              </w:tc>
            </w:tr>
            <w:tr w14:paraId="070F65E3">
              <w:tblPrEx>
                <w:tblCellMar>
                  <w:top w:w="0" w:type="dxa"/>
                  <w:left w:w="108" w:type="dxa"/>
                  <w:bottom w:w="0" w:type="dxa"/>
                  <w:right w:w="108" w:type="dxa"/>
                </w:tblCellMar>
              </w:tblPrEx>
              <w:trPr>
                <w:trHeight w:val="280" w:hRule="atLeast"/>
                <w:jc w:val="center"/>
              </w:trPr>
              <w:tc>
                <w:tcPr>
                  <w:tcW w:w="22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7AD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总计</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6AA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b/>
                      <w:bCs/>
                      <w:color w:val="auto"/>
                      <w:sz w:val="21"/>
                      <w:szCs w:val="21"/>
                    </w:rPr>
                  </w:pPr>
                  <w:r>
                    <w:rPr>
                      <w:b/>
                      <w:bCs/>
                      <w:color w:val="auto"/>
                      <w:kern w:val="0"/>
                      <w:sz w:val="21"/>
                      <w:szCs w:val="21"/>
                      <w:lang w:bidi="ar"/>
                    </w:rPr>
                    <w:t>125</w:t>
                  </w:r>
                </w:p>
              </w:tc>
              <w:tc>
                <w:tcPr>
                  <w:tcW w:w="20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3E2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color w:val="auto"/>
                      <w:sz w:val="21"/>
                      <w:szCs w:val="21"/>
                    </w:rPr>
                  </w:pPr>
                  <w:r>
                    <w:rPr>
                      <w:color w:val="auto"/>
                      <w:kern w:val="0"/>
                      <w:sz w:val="21"/>
                      <w:szCs w:val="21"/>
                      <w:lang w:bidi="ar"/>
                    </w:rPr>
                    <w:t>100</w:t>
                  </w:r>
                </w:p>
              </w:tc>
            </w:tr>
          </w:tbl>
          <w:p w14:paraId="386F308B">
            <w:pPr>
              <w:spacing w:line="360" w:lineRule="auto"/>
              <w:ind w:left="0" w:leftChars="0" w:firstLine="240" w:firstLineChars="100"/>
              <w:rPr>
                <w:rFonts w:hint="default" w:ascii="Times New Roman" w:hAnsi="Times New Roman" w:eastAsia="宋体" w:cs="Times New Roman"/>
                <w:bCs/>
                <w:color w:val="auto"/>
                <w:highlight w:val="none"/>
              </w:rPr>
            </w:pPr>
            <w:r>
              <w:rPr>
                <w:rFonts w:hint="default" w:ascii="Times New Roman" w:hAnsi="Times New Roman" w:eastAsia="宋体" w:cs="Times New Roman"/>
                <w:bCs/>
                <w:color w:val="auto"/>
                <w:highlight w:val="none"/>
              </w:rPr>
              <w:t>（3）生物多样性现状</w:t>
            </w:r>
          </w:p>
          <w:p w14:paraId="19595083">
            <w:pPr>
              <w:spacing w:line="360" w:lineRule="auto"/>
              <w:ind w:firstLine="480" w:firstLineChars="200"/>
              <w:rPr>
                <w:rFonts w:hint="eastAsia"/>
                <w:bCs/>
                <w:color w:val="auto"/>
              </w:rPr>
            </w:pPr>
            <w:r>
              <w:rPr>
                <w:rFonts w:hint="eastAsia"/>
                <w:bCs/>
                <w:color w:val="auto"/>
              </w:rPr>
              <w:t>1）生态系统多样性</w:t>
            </w:r>
          </w:p>
          <w:p w14:paraId="5180FE96">
            <w:pPr>
              <w:spacing w:line="360" w:lineRule="auto"/>
              <w:ind w:firstLine="480" w:firstLineChars="200"/>
              <w:rPr>
                <w:rFonts w:hint="eastAsia"/>
                <w:bCs/>
                <w:color w:val="auto"/>
                <w:lang w:val="en-US" w:eastAsia="zh-CN"/>
              </w:rPr>
            </w:pPr>
            <w:r>
              <w:rPr>
                <w:rFonts w:hint="eastAsia"/>
                <w:bCs/>
                <w:color w:val="auto"/>
                <w:lang w:val="en-US" w:eastAsia="zh-CN"/>
              </w:rPr>
              <w:t>根据调查，评价区内生态系统类型共有5种，群落结构简单，物种分布较少。具体生态类型分布情况见下表。</w:t>
            </w:r>
          </w:p>
          <w:p w14:paraId="6AC34CF6">
            <w:pPr>
              <w:keepNext w:val="0"/>
              <w:keepLines w:val="0"/>
              <w:pageBreakBefore w:val="0"/>
              <w:widowControl w:val="0"/>
              <w:kinsoku/>
              <w:wordWrap/>
              <w:overflowPunct/>
              <w:topLinePunct w:val="0"/>
              <w:autoSpaceDE/>
              <w:autoSpaceDN/>
              <w:bidi w:val="0"/>
              <w:adjustRightInd w:val="0"/>
              <w:snapToGrid w:val="0"/>
              <w:spacing w:line="240" w:lineRule="auto"/>
              <w:ind w:firstLine="480"/>
              <w:jc w:val="center"/>
              <w:textAlignment w:val="baseline"/>
              <w:rPr>
                <w:rFonts w:hint="default" w:ascii="Times New Roman" w:hAnsi="Times New Roman" w:eastAsia="宋体" w:cs="Times New Roman"/>
                <w:b/>
                <w:color w:val="auto"/>
                <w:sz w:val="21"/>
                <w:szCs w:val="21"/>
                <w:lang w:val="en-US" w:eastAsia="zh-CN"/>
              </w:rPr>
            </w:pPr>
            <w:r>
              <w:rPr>
                <w:rFonts w:hint="eastAsia" w:ascii="Times New Roman" w:hAnsi="Times New Roman" w:eastAsia="宋体" w:cs="Times New Roman"/>
                <w:b/>
                <w:color w:val="auto"/>
                <w:sz w:val="21"/>
                <w:szCs w:val="21"/>
                <w:lang w:val="en-US" w:eastAsia="zh-CN"/>
              </w:rPr>
              <w:t>表</w:t>
            </w:r>
            <w:r>
              <w:rPr>
                <w:rFonts w:hint="eastAsia" w:cs="Times New Roman"/>
                <w:b/>
                <w:color w:val="auto"/>
                <w:sz w:val="21"/>
                <w:szCs w:val="21"/>
                <w:lang w:val="en-US" w:eastAsia="zh-CN"/>
              </w:rPr>
              <w:t>3-7</w:t>
            </w:r>
            <w:r>
              <w:rPr>
                <w:rFonts w:hint="eastAsia" w:ascii="Times New Roman" w:hAnsi="Times New Roman" w:eastAsia="宋体" w:cs="Times New Roman"/>
                <w:b/>
                <w:color w:val="auto"/>
                <w:sz w:val="21"/>
                <w:szCs w:val="21"/>
                <w:lang w:val="en-US" w:eastAsia="zh-CN"/>
              </w:rPr>
              <w:t>评价区内生态系统类型统计</w:t>
            </w:r>
          </w:p>
          <w:tbl>
            <w:tblPr>
              <w:tblStyle w:val="2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40"/>
              <w:gridCol w:w="1796"/>
              <w:gridCol w:w="1796"/>
              <w:gridCol w:w="2960"/>
            </w:tblGrid>
            <w:tr w14:paraId="3C5EB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8" w:hRule="atLeast"/>
                <w:jc w:val="center"/>
              </w:trPr>
              <w:tc>
                <w:tcPr>
                  <w:tcW w:w="22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2B85">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生态系统类型</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72FAF">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面积（</w:t>
                  </w:r>
                  <w:r>
                    <w:rPr>
                      <w:rStyle w:val="56"/>
                      <w:rFonts w:eastAsia="宋体"/>
                      <w:color w:val="auto"/>
                      <w:sz w:val="21"/>
                      <w:szCs w:val="21"/>
                      <w:lang w:val="en-US" w:eastAsia="zh-CN" w:bidi="ar"/>
                    </w:rPr>
                    <w:t>hm</w:t>
                  </w:r>
                  <w:r>
                    <w:rPr>
                      <w:rStyle w:val="57"/>
                      <w:color w:val="auto"/>
                      <w:sz w:val="21"/>
                      <w:szCs w:val="21"/>
                      <w:lang w:val="en-US" w:eastAsia="zh-CN" w:bidi="ar"/>
                    </w:rPr>
                    <w:t>²）</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EE66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占评价区总面积（</w:t>
                  </w:r>
                  <w:r>
                    <w:rPr>
                      <w:rStyle w:val="56"/>
                      <w:rFonts w:eastAsia="宋体"/>
                      <w:color w:val="auto"/>
                      <w:sz w:val="21"/>
                      <w:szCs w:val="21"/>
                      <w:lang w:val="en-US" w:eastAsia="zh-CN" w:bidi="ar"/>
                    </w:rPr>
                    <w:t>%</w:t>
                  </w:r>
                  <w:r>
                    <w:rPr>
                      <w:rStyle w:val="57"/>
                      <w:color w:val="auto"/>
                      <w:sz w:val="21"/>
                      <w:szCs w:val="21"/>
                      <w:lang w:val="en-US" w:eastAsia="zh-CN" w:bidi="ar"/>
                    </w:rPr>
                    <w:t>）</w:t>
                  </w:r>
                </w:p>
              </w:tc>
            </w:tr>
            <w:tr w14:paraId="3EEA1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2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7304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森林生态系统</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0537">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阔叶林</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541F0">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7.87</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9A2D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8.01</w:t>
                  </w:r>
                </w:p>
              </w:tc>
            </w:tr>
            <w:tr w14:paraId="0D12B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03084">
                  <w:pPr>
                    <w:keepNext w:val="0"/>
                    <w:keepLines w:val="0"/>
                    <w:pageBreakBefore w:val="0"/>
                    <w:kinsoku/>
                    <w:wordWrap/>
                    <w:overflowPunct/>
                    <w:topLinePunct w:val="0"/>
                    <w:autoSpaceDE/>
                    <w:autoSpaceDN/>
                    <w:bidi w:val="0"/>
                    <w:adjustRightInd w:val="0"/>
                    <w:snapToGrid w:val="0"/>
                    <w:spacing w:line="240" w:lineRule="auto"/>
                    <w:jc w:val="center"/>
                    <w:rPr>
                      <w:rFonts w:hint="eastAsia" w:ascii="宋体" w:hAnsi="宋体" w:eastAsia="宋体" w:cs="宋体"/>
                      <w:i w:val="0"/>
                      <w:iCs w:val="0"/>
                      <w:color w:val="auto"/>
                      <w:sz w:val="21"/>
                      <w:szCs w:val="21"/>
                      <w:u w:val="none"/>
                    </w:rPr>
                  </w:pP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78E23">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针叶林</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D4F5">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62.86</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9F1C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63.97</w:t>
                  </w:r>
                </w:p>
              </w:tc>
            </w:tr>
            <w:tr w14:paraId="6884D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1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45F88">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灌丛生态系统</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633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阔叶灌丛</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FA6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15.64</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77E27">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15.92</w:t>
                  </w:r>
                </w:p>
              </w:tc>
            </w:tr>
            <w:tr w14:paraId="4DA63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1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E9EC">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草地生态系统</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D6BC2">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稀疏草地</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9445">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6.12</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7F990">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6.23</w:t>
                  </w:r>
                </w:p>
              </w:tc>
            </w:tr>
            <w:tr w14:paraId="0140A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1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DE97">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农田生态系统</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226C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耕地</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DED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4.08</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D3AA7">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4.15</w:t>
                  </w:r>
                </w:p>
              </w:tc>
            </w:tr>
            <w:tr w14:paraId="7B88F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3" w:hRule="atLeast"/>
                <w:jc w:val="center"/>
              </w:trPr>
              <w:tc>
                <w:tcPr>
                  <w:tcW w:w="12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7315">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城镇生态系统</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BC29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工矿交通</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A308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1.69</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975C6">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1.72</w:t>
                  </w:r>
                </w:p>
              </w:tc>
            </w:tr>
            <w:tr w14:paraId="099B2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226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58AF8">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合计</w:t>
                  </w:r>
                </w:p>
              </w:tc>
              <w:tc>
                <w:tcPr>
                  <w:tcW w:w="10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1E4EA">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98.26</w:t>
                  </w:r>
                </w:p>
              </w:tc>
              <w:tc>
                <w:tcPr>
                  <w:tcW w:w="17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DA526">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r>
          </w:tbl>
          <w:p w14:paraId="68AF0AD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720" w:firstLineChars="300"/>
              <w:textAlignment w:val="auto"/>
              <w:rPr>
                <w:bCs/>
                <w:color w:val="auto"/>
              </w:rPr>
            </w:pPr>
            <w:r>
              <w:rPr>
                <w:rFonts w:hint="eastAsia"/>
                <w:bCs/>
                <w:color w:val="auto"/>
              </w:rPr>
              <w:t>2）物种丰富度</w:t>
            </w:r>
          </w:p>
          <w:p w14:paraId="2201386A">
            <w:pPr>
              <w:ind w:firstLine="480"/>
              <w:rPr>
                <w:bCs/>
                <w:color w:val="auto"/>
              </w:rPr>
            </w:pPr>
            <w:r>
              <w:rPr>
                <w:bCs/>
                <w:color w:val="auto"/>
              </w:rPr>
              <w:t>评价区维管束植物资源共计61科134属200种，植物物种组成较为丰富，区系类型多样，植被生境具有较好的完整性与自然性。其中蕨类植物7科9属11种，物种数量相对较少，体现区域山地林下阴湿生境的蕨类植被特征；裸子植物3科4属7种，包含松科、柏科等山地代表性裸子植物类群，反映评价区具备一定的山地针叶植被基底；被子植物共计51科121属182种，构成区域植物群落的绝对主体，物种数量占绝对优势，科属组成丰富，优势类群明显。总体来看，评价区植物物种多样性较高，植物区系成分复杂，植被群落结构完整，区域自然生境异质性较高，陆生植物生态系统稳定性较好。</w:t>
            </w:r>
          </w:p>
          <w:p w14:paraId="1A9B84EC">
            <w:pPr>
              <w:spacing w:line="360" w:lineRule="auto"/>
              <w:ind w:firstLine="480" w:firstLineChars="200"/>
              <w:rPr>
                <w:rFonts w:hint="eastAsia"/>
                <w:bCs/>
                <w:color w:val="auto"/>
                <w:lang w:val="en-US" w:eastAsia="zh-CN"/>
              </w:rPr>
            </w:pPr>
            <w:r>
              <w:rPr>
                <w:rFonts w:hint="eastAsia"/>
                <w:bCs/>
                <w:color w:val="auto"/>
                <w:lang w:val="en-US" w:eastAsia="zh-CN"/>
              </w:rPr>
              <w:t>3）生物群落多样性</w:t>
            </w:r>
          </w:p>
          <w:p w14:paraId="179DC381">
            <w:pPr>
              <w:spacing w:line="360" w:lineRule="auto"/>
              <w:ind w:firstLine="480" w:firstLineChars="200"/>
              <w:rPr>
                <w:rFonts w:hint="eastAsia"/>
                <w:bCs/>
                <w:color w:val="auto"/>
                <w:lang w:val="en-US" w:eastAsia="zh-CN"/>
              </w:rPr>
            </w:pPr>
            <w:r>
              <w:rPr>
                <w:rFonts w:hint="eastAsia"/>
                <w:bCs/>
                <w:color w:val="auto"/>
                <w:lang w:val="en-US" w:eastAsia="zh-CN"/>
              </w:rPr>
              <w:t>评价区内生态系统天然植物群落分布有6个群落，从生物群落看较为丰富，但涉及的物种种类并不多，群落结构简单。</w:t>
            </w:r>
          </w:p>
          <w:p w14:paraId="0738CFC6">
            <w:pPr>
              <w:spacing w:line="360" w:lineRule="auto"/>
              <w:ind w:firstLine="480" w:firstLineChars="200"/>
              <w:rPr>
                <w:rFonts w:hint="eastAsia"/>
                <w:bCs/>
                <w:color w:val="auto"/>
                <w:lang w:val="en-US" w:eastAsia="zh-CN"/>
              </w:rPr>
            </w:pPr>
            <w:r>
              <w:rPr>
                <w:rFonts w:hint="eastAsia"/>
                <w:bCs/>
                <w:color w:val="auto"/>
                <w:lang w:val="en-US" w:eastAsia="zh-CN"/>
              </w:rPr>
              <w:t>4）遗传多样性</w:t>
            </w:r>
          </w:p>
          <w:p w14:paraId="2A85A1A9">
            <w:pPr>
              <w:spacing w:line="360" w:lineRule="auto"/>
              <w:ind w:firstLine="480" w:firstLineChars="200"/>
              <w:rPr>
                <w:rFonts w:hint="default"/>
                <w:bCs/>
                <w:color w:val="auto"/>
                <w:lang w:val="en-US" w:eastAsia="zh-CN"/>
              </w:rPr>
            </w:pPr>
            <w:r>
              <w:rPr>
                <w:rFonts w:hint="eastAsia"/>
                <w:bCs/>
                <w:color w:val="auto"/>
                <w:lang w:val="en-US" w:eastAsia="zh-CN"/>
              </w:rPr>
              <w:t>本次评价采用形态学水平开展评价区遗传多样性分析。评价区共记录陆生维管束植物200种（61科134属），涵盖蕨类、裸子植物、被子植物类群；</w:t>
            </w:r>
            <w:r>
              <w:rPr>
                <w:rFonts w:hint="default"/>
                <w:bCs/>
                <w:color w:val="auto"/>
              </w:rPr>
              <w:t>陆生脊椎动物</w:t>
            </w:r>
            <w:r>
              <w:rPr>
                <w:bCs/>
                <w:color w:val="auto"/>
              </w:rPr>
              <w:t>4</w:t>
            </w:r>
            <w:r>
              <w:rPr>
                <w:rFonts w:hint="eastAsia"/>
                <w:bCs/>
                <w:color w:val="auto"/>
                <w:lang w:val="en-US" w:eastAsia="zh-CN"/>
              </w:rPr>
              <w:t>6</w:t>
            </w:r>
            <w:r>
              <w:rPr>
                <w:rFonts w:hint="default"/>
                <w:bCs/>
                <w:color w:val="auto"/>
              </w:rPr>
              <w:t>种（</w:t>
            </w:r>
            <w:r>
              <w:rPr>
                <w:bCs/>
                <w:color w:val="auto"/>
              </w:rPr>
              <w:t>16</w:t>
            </w:r>
            <w:r>
              <w:rPr>
                <w:rFonts w:hint="default"/>
                <w:bCs/>
                <w:color w:val="auto"/>
              </w:rPr>
              <w:t>目</w:t>
            </w:r>
            <w:r>
              <w:rPr>
                <w:bCs/>
                <w:color w:val="auto"/>
              </w:rPr>
              <w:t>3</w:t>
            </w:r>
            <w:r>
              <w:rPr>
                <w:rFonts w:hint="eastAsia"/>
                <w:bCs/>
                <w:color w:val="auto"/>
                <w:lang w:val="en-US" w:eastAsia="zh-CN"/>
              </w:rPr>
              <w:t>0</w:t>
            </w:r>
            <w:r>
              <w:rPr>
                <w:rFonts w:hint="default"/>
                <w:bCs/>
                <w:color w:val="auto"/>
              </w:rPr>
              <w:t>科）</w:t>
            </w:r>
            <w:r>
              <w:rPr>
                <w:rFonts w:hint="eastAsia"/>
                <w:bCs/>
                <w:color w:val="auto"/>
                <w:lang w:val="en-US" w:eastAsia="zh-CN"/>
              </w:rPr>
              <w:t>，包含鸟类、爬行动物、哺乳动物，生物类群组成完整。本项目为小型风电项目，仅布设3台风机，工程占地与扰动范围有限。评价区原生植被类型较为简单，现状存在放牧、捡拾菌子等轻微、常态化人为活动。调查结果表明，区域各类动植物有效种群规模稳定，满足最小生存种群要求，种群性别比例均衡、生活史完整，未出现遗传退化、性状异常等不良特征。现有放牧、捡拾菌子等干扰强度微弱，未阻碍物种种群繁衍与基因交流，种群遗传结构整体稳定。</w:t>
            </w:r>
          </w:p>
          <w:p w14:paraId="308738E4">
            <w:pPr>
              <w:ind w:left="0"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9、评价区重要野生植物现状</w:t>
            </w:r>
          </w:p>
          <w:p w14:paraId="7E03DA01">
            <w:pPr>
              <w:ind w:left="0"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现场调查和查阅相关资料，评价区内未发现有古树名木，没有分布《国家重点保护野生植物（2021年）》、《云南省重点保护野生植物（2023年）》、《云南省极小种群野生植物保护名录（2021版）》中记载的物种，也未发现有中国或云南特有物种。</w:t>
            </w:r>
          </w:p>
          <w:p w14:paraId="221EC02A">
            <w:pPr>
              <w:numPr>
                <w:ilvl w:val="0"/>
                <w:numId w:val="5"/>
              </w:numPr>
              <w:ind w:left="0"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外来入侵物种</w:t>
            </w:r>
          </w:p>
          <w:p w14:paraId="3819F82D">
            <w:pPr>
              <w:ind w:left="0" w:leftChars="0"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调查，评价区存在入侵物种情况如下表。调查群落中共检出3种外来入侵植物，全部为菊科一年生草本：小蓬草、大白花鬼针草、粗毛牛膝菊；3种均为人为干扰生境的典型入侵杂草，多出现在林缘、路边、受干扰的次生坡地；该群落蕨类、木本、多数草本均为本土物种，入侵物种均集中在草本层，反映群落受到一定程度人为干扰。</w:t>
            </w:r>
          </w:p>
          <w:p w14:paraId="50AFCB9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b/>
                <w:bCs/>
                <w:color w:val="auto"/>
                <w:sz w:val="21"/>
                <w:szCs w:val="21"/>
                <w:lang w:val="en-US" w:eastAsia="zh-CN"/>
              </w:rPr>
              <w:t>表</w:t>
            </w:r>
            <w:r>
              <w:rPr>
                <w:rFonts w:hint="eastAsia" w:cs="Times New Roman"/>
                <w:b/>
                <w:bCs/>
                <w:color w:val="auto"/>
                <w:sz w:val="21"/>
                <w:szCs w:val="21"/>
                <w:lang w:val="en-US" w:eastAsia="zh-CN"/>
              </w:rPr>
              <w:t>3-8</w:t>
            </w:r>
            <w:r>
              <w:rPr>
                <w:rFonts w:hint="default" w:ascii="Times New Roman" w:hAnsi="Times New Roman" w:eastAsia="宋体" w:cs="Times New Roman"/>
                <w:b/>
                <w:bCs/>
                <w:color w:val="auto"/>
                <w:sz w:val="21"/>
                <w:szCs w:val="21"/>
                <w:lang w:val="en-US" w:eastAsia="zh-CN"/>
              </w:rPr>
              <w:t>评价区内外来入侵物种统计表</w:t>
            </w:r>
          </w:p>
          <w:tbl>
            <w:tblPr>
              <w:tblStyle w:val="2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7"/>
              <w:gridCol w:w="1695"/>
              <w:gridCol w:w="1325"/>
              <w:gridCol w:w="2073"/>
              <w:gridCol w:w="2471"/>
            </w:tblGrid>
            <w:tr w14:paraId="392AD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1428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中文名</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A323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拉丁名</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D472D">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原产地</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BEBFD">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入侵等级</w:t>
                  </w:r>
                </w:p>
              </w:tc>
              <w:tc>
                <w:tcPr>
                  <w:tcW w:w="1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191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生境特点</w:t>
                  </w:r>
                </w:p>
              </w:tc>
            </w:tr>
            <w:tr w14:paraId="43791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AC1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小蓬草</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6E6F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Erigeron canadensis</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E78C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北美</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0B22">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恶性入侵 1 级</w:t>
                  </w:r>
                </w:p>
              </w:tc>
              <w:tc>
                <w:tcPr>
                  <w:tcW w:w="1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6A1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林缘、弃耕地、公路边坡、次生灌丛</w:t>
                  </w:r>
                </w:p>
              </w:tc>
            </w:tr>
            <w:tr w14:paraId="689F0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1609A">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大白花鬼针草</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68E8A">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Bidens alba</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E661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美洲热带</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E76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恶性入侵 1 级</w:t>
                  </w:r>
                </w:p>
              </w:tc>
              <w:tc>
                <w:tcPr>
                  <w:tcW w:w="1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9A7D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荒坡、路边、受干扰林下</w:t>
                  </w:r>
                </w:p>
              </w:tc>
            </w:tr>
            <w:tr w14:paraId="61B1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117C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粗毛牛膝菊</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928D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iCs/>
                      <w:color w:val="auto"/>
                      <w:sz w:val="21"/>
                      <w:szCs w:val="21"/>
                      <w:u w:val="none"/>
                    </w:rPr>
                  </w:pPr>
                  <w:r>
                    <w:rPr>
                      <w:rFonts w:hint="default" w:ascii="Times New Roman" w:hAnsi="Times New Roman" w:eastAsia="宋体" w:cs="Times New Roman"/>
                      <w:i/>
                      <w:iCs/>
                      <w:color w:val="auto"/>
                      <w:kern w:val="0"/>
                      <w:sz w:val="21"/>
                      <w:szCs w:val="21"/>
                      <w:u w:val="none"/>
                      <w:lang w:val="en-US" w:eastAsia="zh-CN" w:bidi="ar"/>
                    </w:rPr>
                    <w:t>Galinsoga quadriradiata</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845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中南美洲</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EC21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强入侵</w:t>
                  </w:r>
                </w:p>
              </w:tc>
              <w:tc>
                <w:tcPr>
                  <w:tcW w:w="1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01C9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林窗、农地、人为干扰山地</w:t>
                  </w:r>
                </w:p>
              </w:tc>
            </w:tr>
            <w:tr w14:paraId="4C49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D25FA">
                  <w:pPr>
                    <w:widowControl/>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b w:val="0"/>
                      <w:bCs w:val="0"/>
                      <w:color w:val="auto"/>
                      <w:kern w:val="0"/>
                      <w:sz w:val="21"/>
                      <w:szCs w:val="21"/>
                      <w:lang w:bidi="ar"/>
                    </w:rPr>
                    <w:t>紫茎泽兰</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BBFEB">
                  <w:pPr>
                    <w:widowControl/>
                    <w:ind w:firstLine="0" w:firstLineChars="0"/>
                    <w:jc w:val="center"/>
                    <w:textAlignment w:val="center"/>
                    <w:rPr>
                      <w:rFonts w:hint="default" w:ascii="Times New Roman" w:hAnsi="Times New Roman" w:eastAsia="宋体" w:cs="Times New Roman"/>
                      <w:b w:val="0"/>
                      <w:bCs w:val="0"/>
                      <w:i w:val="0"/>
                      <w:iCs w:val="0"/>
                      <w:color w:val="auto"/>
                      <w:kern w:val="0"/>
                      <w:sz w:val="24"/>
                      <w:szCs w:val="24"/>
                      <w:lang w:val="en-US" w:eastAsia="zh-CN" w:bidi="ar-SA"/>
                    </w:rPr>
                  </w:pPr>
                  <w:r>
                    <w:rPr>
                      <w:rFonts w:ascii="Times New Roman" w:hAnsi="Times New Roman" w:cs="Times New Roman"/>
                      <w:b w:val="0"/>
                      <w:bCs w:val="0"/>
                      <w:i/>
                      <w:iCs/>
                      <w:color w:val="auto"/>
                      <w:kern w:val="0"/>
                      <w:sz w:val="21"/>
                      <w:szCs w:val="21"/>
                      <w:lang w:bidi="ar"/>
                    </w:rPr>
                    <w:t>Ageratina adenophora</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1110">
                  <w:pPr>
                    <w:widowControl/>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b w:val="0"/>
                      <w:bCs w:val="0"/>
                      <w:color w:val="auto"/>
                      <w:kern w:val="0"/>
                      <w:sz w:val="21"/>
                      <w:szCs w:val="21"/>
                      <w:lang w:bidi="ar"/>
                    </w:rPr>
                    <w:t>中美洲</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6967">
                  <w:pPr>
                    <w:widowControl/>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b w:val="0"/>
                      <w:bCs w:val="0"/>
                      <w:color w:val="auto"/>
                      <w:kern w:val="0"/>
                      <w:sz w:val="21"/>
                      <w:szCs w:val="21"/>
                      <w:lang w:bidi="ar"/>
                    </w:rPr>
                    <w:t>恶性入侵1级</w:t>
                  </w:r>
                </w:p>
              </w:tc>
              <w:tc>
                <w:tcPr>
                  <w:tcW w:w="1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1E15">
                  <w:pPr>
                    <w:widowControl/>
                    <w:adjustRightInd/>
                    <w:snapToGrid/>
                    <w:spacing w:line="240" w:lineRule="auto"/>
                    <w:ind w:firstLine="0" w:firstLineChars="0"/>
                    <w:jc w:val="left"/>
                    <w:rPr>
                      <w:rFonts w:ascii="Times New Roman" w:hAnsi="Times New Roman" w:cs="Times New Roman"/>
                      <w:b w:val="0"/>
                      <w:bCs w:val="0"/>
                      <w:color w:val="auto"/>
                      <w:kern w:val="0"/>
                      <w:sz w:val="21"/>
                      <w:szCs w:val="21"/>
                      <w:lang w:bidi="ar"/>
                    </w:rPr>
                  </w:pPr>
                  <w:r>
                    <w:rPr>
                      <w:rFonts w:ascii="Times New Roman" w:hAnsi="Times New Roman" w:cs="Times New Roman"/>
                      <w:b w:val="0"/>
                      <w:bCs w:val="0"/>
                      <w:color w:val="auto"/>
                      <w:kern w:val="0"/>
                      <w:sz w:val="21"/>
                      <w:szCs w:val="21"/>
                      <w:lang w:bidi="ar"/>
                    </w:rPr>
                    <w:t>山地林缘、疏林下、荒坡、道路边坡、弃耕地</w:t>
                  </w:r>
                </w:p>
                <w:p w14:paraId="74167F73">
                  <w:pPr>
                    <w:widowControl/>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p>
              </w:tc>
            </w:tr>
            <w:tr w14:paraId="56387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CD6EF">
                  <w:pPr>
                    <w:widowControl/>
                    <w:adjustRightInd/>
                    <w:snapToGrid/>
                    <w:spacing w:line="240" w:lineRule="auto"/>
                    <w:ind w:firstLine="0" w:firstLineChars="0"/>
                    <w:jc w:val="left"/>
                    <w:textAlignment w:val="auto"/>
                    <w:rPr>
                      <w:rFonts w:hint="default" w:ascii="Times New Roman" w:hAnsi="Times New Roman" w:eastAsia="宋体" w:cs="Times New Roman"/>
                      <w:b w:val="0"/>
                      <w:bCs w:val="0"/>
                      <w:color w:val="auto"/>
                      <w:kern w:val="0"/>
                      <w:sz w:val="24"/>
                      <w:szCs w:val="24"/>
                      <w:lang w:val="en-US" w:eastAsia="zh-CN" w:bidi="ar-SA"/>
                    </w:rPr>
                  </w:pPr>
                  <w:r>
                    <w:rPr>
                      <w:rFonts w:ascii="Times New Roman" w:hAnsi="Times New Roman" w:cs="Times New Roman"/>
                      <w:b w:val="0"/>
                      <w:bCs w:val="0"/>
                      <w:color w:val="auto"/>
                      <w:kern w:val="0"/>
                      <w:sz w:val="21"/>
                      <w:szCs w:val="21"/>
                    </w:rPr>
                    <w:t>藿香蓟</w:t>
                  </w:r>
                </w:p>
              </w:tc>
              <w:tc>
                <w:tcPr>
                  <w:tcW w:w="9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64BC4">
                  <w:pPr>
                    <w:widowControl/>
                    <w:ind w:firstLine="0" w:firstLineChars="0"/>
                    <w:jc w:val="center"/>
                    <w:textAlignment w:val="center"/>
                    <w:rPr>
                      <w:rFonts w:hint="default" w:ascii="Times New Roman" w:hAnsi="Times New Roman" w:eastAsia="宋体" w:cs="Times New Roman"/>
                      <w:b w:val="0"/>
                      <w:bCs w:val="0"/>
                      <w:i/>
                      <w:iCs/>
                      <w:color w:val="auto"/>
                      <w:kern w:val="0"/>
                      <w:sz w:val="21"/>
                      <w:szCs w:val="21"/>
                      <w:lang w:val="en-US" w:eastAsia="zh-CN" w:bidi="ar"/>
                    </w:rPr>
                  </w:pPr>
                  <w:r>
                    <w:rPr>
                      <w:rFonts w:ascii="Times New Roman" w:hAnsi="Times New Roman" w:cs="Times New Roman"/>
                      <w:b w:val="0"/>
                      <w:bCs w:val="0"/>
                      <w:i/>
                      <w:iCs/>
                      <w:color w:val="auto"/>
                      <w:kern w:val="0"/>
                      <w:sz w:val="21"/>
                      <w:szCs w:val="21"/>
                      <w:lang w:bidi="ar"/>
                    </w:rPr>
                    <w:t>Ageratum conyzoides</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2F74">
                  <w:pPr>
                    <w:widowControl/>
                    <w:adjustRightInd/>
                    <w:snapToGrid/>
                    <w:spacing w:line="240" w:lineRule="auto"/>
                    <w:ind w:firstLine="0" w:firstLineChars="0"/>
                    <w:jc w:val="left"/>
                    <w:textAlignment w:val="auto"/>
                    <w:rPr>
                      <w:rFonts w:hint="default" w:ascii="Times New Roman" w:hAnsi="Times New Roman" w:eastAsia="宋体" w:cs="Times New Roman"/>
                      <w:b w:val="0"/>
                      <w:bCs w:val="0"/>
                      <w:color w:val="auto"/>
                      <w:kern w:val="0"/>
                      <w:sz w:val="21"/>
                      <w:szCs w:val="21"/>
                      <w:lang w:val="en-US" w:eastAsia="zh-CN" w:bidi="ar"/>
                    </w:rPr>
                  </w:pPr>
                  <w:r>
                    <w:rPr>
                      <w:rFonts w:ascii="Times New Roman" w:hAnsi="Times New Roman" w:cs="Times New Roman"/>
                      <w:b w:val="0"/>
                      <w:bCs w:val="0"/>
                      <w:color w:val="auto"/>
                      <w:kern w:val="0"/>
                      <w:sz w:val="21"/>
                      <w:szCs w:val="21"/>
                    </w:rPr>
                    <w:t>中南美洲</w:t>
                  </w:r>
                </w:p>
              </w:tc>
              <w:tc>
                <w:tcPr>
                  <w:tcW w:w="11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22957">
                  <w:pPr>
                    <w:widowControl/>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b w:val="0"/>
                      <w:bCs w:val="0"/>
                      <w:color w:val="auto"/>
                      <w:kern w:val="0"/>
                      <w:sz w:val="21"/>
                      <w:szCs w:val="21"/>
                      <w:lang w:bidi="ar"/>
                    </w:rPr>
                    <w:t>恶性入侵1级</w:t>
                  </w:r>
                </w:p>
              </w:tc>
              <w:tc>
                <w:tcPr>
                  <w:tcW w:w="1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4DE5">
                  <w:pPr>
                    <w:widowControl/>
                    <w:adjustRightInd/>
                    <w:snapToGrid/>
                    <w:spacing w:line="240" w:lineRule="auto"/>
                    <w:ind w:firstLine="0" w:firstLineChars="0"/>
                    <w:jc w:val="left"/>
                    <w:rPr>
                      <w:rFonts w:ascii="Times New Roman" w:hAnsi="Times New Roman" w:cs="Times New Roman"/>
                      <w:b w:val="0"/>
                      <w:bCs w:val="0"/>
                      <w:color w:val="auto"/>
                      <w:kern w:val="0"/>
                      <w:sz w:val="21"/>
                      <w:szCs w:val="21"/>
                      <w:lang w:bidi="ar"/>
                    </w:rPr>
                  </w:pPr>
                  <w:r>
                    <w:rPr>
                      <w:rFonts w:ascii="Times New Roman" w:hAnsi="Times New Roman" w:cs="Times New Roman"/>
                      <w:b w:val="0"/>
                      <w:bCs w:val="0"/>
                      <w:color w:val="auto"/>
                      <w:kern w:val="0"/>
                      <w:sz w:val="21"/>
                      <w:szCs w:val="21"/>
                      <w:lang w:bidi="ar"/>
                    </w:rPr>
                    <w:t>山地林缘、林下空地、山坡草地、田埂、荒地</w:t>
                  </w:r>
                </w:p>
                <w:p w14:paraId="60C0B17A">
                  <w:pPr>
                    <w:widowControl/>
                    <w:adjustRightInd/>
                    <w:snapToGrid/>
                    <w:spacing w:line="240" w:lineRule="auto"/>
                    <w:ind w:firstLine="0" w:firstLineChars="0"/>
                    <w:jc w:val="left"/>
                    <w:rPr>
                      <w:rFonts w:hint="default" w:ascii="Times New Roman" w:hAnsi="Times New Roman" w:eastAsia="宋体" w:cs="Times New Roman"/>
                      <w:b w:val="0"/>
                      <w:bCs w:val="0"/>
                      <w:color w:val="auto"/>
                      <w:kern w:val="0"/>
                      <w:sz w:val="21"/>
                      <w:szCs w:val="21"/>
                      <w:lang w:val="en-US" w:eastAsia="zh-CN" w:bidi="ar"/>
                    </w:rPr>
                  </w:pPr>
                </w:p>
              </w:tc>
            </w:tr>
          </w:tbl>
          <w:p w14:paraId="02506FC9">
            <w:pPr>
              <w:pStyle w:val="18"/>
              <w:numPr>
                <w:ilvl w:val="0"/>
                <w:numId w:val="6"/>
              </w:numP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动物现状调查</w:t>
            </w:r>
          </w:p>
          <w:p w14:paraId="24188E93">
            <w:pPr>
              <w:numPr>
                <w:ilvl w:val="0"/>
                <w:numId w:val="0"/>
              </w:numPr>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rPr>
              <w:t>本项目为风电建设项目，无涉水工程，不对水生生态进行调查和评价，仅对陆生脊椎动物进行调查和评价。</w:t>
            </w:r>
          </w:p>
          <w:p w14:paraId="6184A753">
            <w:pPr>
              <w:numPr>
                <w:ilvl w:val="0"/>
                <w:numId w:val="0"/>
              </w:numPr>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1、调查方法</w:t>
            </w:r>
          </w:p>
          <w:p w14:paraId="15A5BEA2">
            <w:pPr>
              <w:numPr>
                <w:ilvl w:val="0"/>
                <w:numId w:val="0"/>
              </w:numPr>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本项目涉及风机数量较少，因在调查陆生植被期间未遇见动物种类，所以动物资源调查主要采取资料收集为主。</w:t>
            </w:r>
          </w:p>
          <w:p w14:paraId="144C1BA8">
            <w:pPr>
              <w:numPr>
                <w:ilvl w:val="0"/>
                <w:numId w:val="0"/>
              </w:numPr>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（1）资料收集</w:t>
            </w:r>
          </w:p>
          <w:p w14:paraId="68490AB1">
            <w:pPr>
              <w:numPr>
                <w:ilvl w:val="0"/>
                <w:numId w:val="0"/>
              </w:numPr>
              <w:ind w:firstLine="480"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通过走访</w:t>
            </w:r>
            <w:r>
              <w:rPr>
                <w:rFonts w:hint="default" w:ascii="Times New Roman" w:hAnsi="Times New Roman" w:eastAsia="宋体" w:cs="Times New Roman"/>
                <w:color w:val="auto"/>
                <w:lang w:val="en-US" w:eastAsia="zh-CN"/>
              </w:rPr>
              <w:t>宣威市</w:t>
            </w:r>
            <w:r>
              <w:rPr>
                <w:rFonts w:hint="default" w:ascii="Times New Roman" w:hAnsi="Times New Roman" w:eastAsia="宋体" w:cs="Times New Roman"/>
                <w:color w:val="auto"/>
              </w:rPr>
              <w:t>林草、生态环境、自然资源等主管部门，收集和查阅近5年内相关区域的野生动物活动记录，包括当地野生动物调查报告、野生动物研究论文、野生动物采集信息、自然保护区的监测数据、民间鸟类和其他野生动物观察记录等二手资料。结合调查范围的地理位置和生境特点，根据《中国两栖动物及其分布彩色图鉴》、《云南两栖爬行动物》、《中国爬行动物图鉴》、《中国鸟类野外手册》、《中国鸟类图志》、《中国哺乳动物多样性及地理分布》、《中国哺乳动物原色图鉴》、《中国西南野生动物图谱》等书籍文献，以及中国观鸟记录中心（birdreport.cn）、中国两栖类（amphibiachina.org）等在线数据库中记录的动物生境、分布区、分布点、标本采集地点等各类记录，判定调查范围内可能分布的常见野生动物。</w:t>
            </w:r>
          </w:p>
          <w:p w14:paraId="7EBD9ECC">
            <w:pPr>
              <w:numPr>
                <w:ilvl w:val="0"/>
                <w:numId w:val="0"/>
              </w:numPr>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2、动物现状</w:t>
            </w:r>
          </w:p>
          <w:p w14:paraId="21F7215E">
            <w:pPr>
              <w:pStyle w:val="19"/>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（1）陆生脊椎动物现状</w:t>
            </w:r>
          </w:p>
          <w:p w14:paraId="03C83B3B">
            <w:pPr>
              <w:pStyle w:val="19"/>
              <w:ind w:left="0" w:leftChars="0" w:firstLine="480"/>
              <w:rPr>
                <w:color w:val="auto"/>
                <w:highlight w:val="none"/>
              </w:rPr>
            </w:pPr>
            <w:r>
              <w:rPr>
                <w:color w:val="auto"/>
              </w:rPr>
              <w:t>根据宣威市林草局2022年公布的宣威市国家重点保护野生动物名录以及查阅相关文献资料，评价区内分布的陆生脊椎动物有</w:t>
            </w:r>
            <w:r>
              <w:rPr>
                <w:color w:val="auto"/>
                <w:highlight w:val="none"/>
              </w:rPr>
              <w:t>16目3</w:t>
            </w:r>
            <w:r>
              <w:rPr>
                <w:rFonts w:hint="eastAsia"/>
                <w:color w:val="auto"/>
                <w:highlight w:val="none"/>
                <w:lang w:val="en-US" w:eastAsia="zh-CN"/>
              </w:rPr>
              <w:t>0</w:t>
            </w:r>
            <w:r>
              <w:rPr>
                <w:color w:val="auto"/>
                <w:highlight w:val="none"/>
              </w:rPr>
              <w:t>科4</w:t>
            </w:r>
            <w:r>
              <w:rPr>
                <w:rFonts w:hint="eastAsia"/>
                <w:color w:val="auto"/>
                <w:highlight w:val="none"/>
                <w:lang w:val="en-US" w:eastAsia="zh-CN"/>
              </w:rPr>
              <w:t>6</w:t>
            </w:r>
            <w:r>
              <w:rPr>
                <w:color w:val="auto"/>
                <w:highlight w:val="none"/>
              </w:rPr>
              <w:t>种。其中哺乳动物6目10科13种</w:t>
            </w:r>
            <w:r>
              <w:rPr>
                <w:rFonts w:hint="eastAsia"/>
                <w:color w:val="auto"/>
                <w:highlight w:val="none"/>
              </w:rPr>
              <w:t>，</w:t>
            </w:r>
            <w:r>
              <w:rPr>
                <w:color w:val="auto"/>
                <w:highlight w:val="none"/>
              </w:rPr>
              <w:t>鸟类有8目1</w:t>
            </w:r>
            <w:r>
              <w:rPr>
                <w:rFonts w:hint="eastAsia"/>
                <w:color w:val="auto"/>
                <w:highlight w:val="none"/>
                <w:lang w:val="en-US" w:eastAsia="zh-CN"/>
              </w:rPr>
              <w:t>4</w:t>
            </w:r>
            <w:r>
              <w:rPr>
                <w:color w:val="auto"/>
                <w:highlight w:val="none"/>
              </w:rPr>
              <w:t>科2</w:t>
            </w:r>
            <w:r>
              <w:rPr>
                <w:rFonts w:hint="eastAsia"/>
                <w:color w:val="auto"/>
                <w:highlight w:val="none"/>
                <w:lang w:val="en-US" w:eastAsia="zh-CN"/>
              </w:rPr>
              <w:t>1</w:t>
            </w:r>
            <w:r>
              <w:rPr>
                <w:color w:val="auto"/>
                <w:highlight w:val="none"/>
              </w:rPr>
              <w:t>种</w:t>
            </w:r>
            <w:r>
              <w:rPr>
                <w:rFonts w:hint="eastAsia"/>
                <w:color w:val="auto"/>
                <w:highlight w:val="none"/>
              </w:rPr>
              <w:t>，两栖类</w:t>
            </w:r>
            <w:r>
              <w:rPr>
                <w:color w:val="auto"/>
                <w:highlight w:val="none"/>
              </w:rPr>
              <w:t>1目3科5种</w:t>
            </w:r>
            <w:r>
              <w:rPr>
                <w:rFonts w:hint="eastAsia"/>
                <w:color w:val="auto"/>
                <w:highlight w:val="none"/>
              </w:rPr>
              <w:t>，爬行类</w:t>
            </w:r>
            <w:r>
              <w:rPr>
                <w:color w:val="auto"/>
                <w:highlight w:val="none"/>
              </w:rPr>
              <w:t>1目3科7种</w:t>
            </w:r>
            <w:r>
              <w:rPr>
                <w:rFonts w:hint="eastAsia"/>
                <w:color w:val="auto"/>
                <w:highlight w:val="none"/>
              </w:rPr>
              <w:t>，</w:t>
            </w:r>
            <w:r>
              <w:rPr>
                <w:color w:val="auto"/>
                <w:highlight w:val="none"/>
              </w:rPr>
              <w:t>见表3-</w:t>
            </w:r>
            <w:r>
              <w:rPr>
                <w:rFonts w:hint="eastAsia"/>
                <w:color w:val="auto"/>
                <w:highlight w:val="none"/>
                <w:lang w:val="en-US" w:eastAsia="zh-CN"/>
              </w:rPr>
              <w:t>9</w:t>
            </w:r>
            <w:r>
              <w:rPr>
                <w:color w:val="auto"/>
                <w:highlight w:val="none"/>
              </w:rPr>
              <w:t>。</w:t>
            </w:r>
          </w:p>
          <w:p w14:paraId="7572CC12">
            <w:pPr>
              <w:spacing w:line="240" w:lineRule="auto"/>
              <w:ind w:firstLine="422"/>
              <w:jc w:val="center"/>
              <w:rPr>
                <w:color w:val="auto"/>
                <w:highlight w:val="none"/>
              </w:rPr>
            </w:pPr>
            <w:r>
              <w:rPr>
                <w:b/>
                <w:color w:val="auto"/>
                <w:sz w:val="21"/>
                <w:szCs w:val="21"/>
                <w:highlight w:val="none"/>
              </w:rPr>
              <w:t>表3-</w:t>
            </w:r>
            <w:r>
              <w:rPr>
                <w:rFonts w:hint="eastAsia"/>
                <w:b/>
                <w:color w:val="auto"/>
                <w:sz w:val="21"/>
                <w:szCs w:val="21"/>
                <w:highlight w:val="none"/>
                <w:lang w:val="en-US" w:eastAsia="zh-CN"/>
              </w:rPr>
              <w:t>9</w:t>
            </w:r>
            <w:r>
              <w:rPr>
                <w:b/>
                <w:color w:val="auto"/>
                <w:sz w:val="21"/>
                <w:szCs w:val="21"/>
                <w:highlight w:val="none"/>
              </w:rPr>
              <w:t xml:space="preserve"> 陆栖脊椎动物各纲下分类阶元数量</w:t>
            </w:r>
          </w:p>
          <w:tbl>
            <w:tblPr>
              <w:tblStyle w:val="20"/>
              <w:tblW w:w="81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26"/>
              <w:gridCol w:w="1626"/>
              <w:gridCol w:w="1628"/>
              <w:gridCol w:w="1629"/>
              <w:gridCol w:w="1627"/>
            </w:tblGrid>
            <w:tr w14:paraId="1408C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blHeader/>
                <w:jc w:val="center"/>
              </w:trPr>
              <w:tc>
                <w:tcPr>
                  <w:tcW w:w="999" w:type="pct"/>
                  <w:noWrap/>
                  <w:tcMar>
                    <w:top w:w="15" w:type="dxa"/>
                    <w:left w:w="15" w:type="dxa"/>
                    <w:bottom w:w="0" w:type="dxa"/>
                    <w:right w:w="15" w:type="dxa"/>
                  </w:tcMar>
                  <w:vAlign w:val="center"/>
                </w:tcPr>
                <w:p w14:paraId="229B9DEB">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种类</w:t>
                  </w:r>
                </w:p>
              </w:tc>
              <w:tc>
                <w:tcPr>
                  <w:tcW w:w="999" w:type="pct"/>
                  <w:noWrap/>
                  <w:tcMar>
                    <w:top w:w="15" w:type="dxa"/>
                    <w:left w:w="15" w:type="dxa"/>
                    <w:bottom w:w="0" w:type="dxa"/>
                    <w:right w:w="15" w:type="dxa"/>
                  </w:tcMar>
                  <w:vAlign w:val="center"/>
                </w:tcPr>
                <w:p w14:paraId="509F775D">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目</w:t>
                  </w:r>
                </w:p>
              </w:tc>
              <w:tc>
                <w:tcPr>
                  <w:tcW w:w="1000" w:type="pct"/>
                  <w:noWrap/>
                  <w:tcMar>
                    <w:top w:w="15" w:type="dxa"/>
                    <w:left w:w="15" w:type="dxa"/>
                    <w:bottom w:w="0" w:type="dxa"/>
                    <w:right w:w="15" w:type="dxa"/>
                  </w:tcMar>
                  <w:vAlign w:val="center"/>
                </w:tcPr>
                <w:p w14:paraId="5A9DF7AF">
                  <w:pPr>
                    <w:spacing w:line="240" w:lineRule="auto"/>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科</w:t>
                  </w:r>
                </w:p>
              </w:tc>
              <w:tc>
                <w:tcPr>
                  <w:tcW w:w="1001" w:type="pct"/>
                  <w:noWrap/>
                  <w:tcMar>
                    <w:top w:w="15" w:type="dxa"/>
                    <w:left w:w="15" w:type="dxa"/>
                    <w:bottom w:w="0" w:type="dxa"/>
                    <w:right w:w="15" w:type="dxa"/>
                  </w:tcMar>
                  <w:vAlign w:val="center"/>
                </w:tcPr>
                <w:p w14:paraId="0A843FA5">
                  <w:pPr>
                    <w:spacing w:line="240" w:lineRule="auto"/>
                    <w:ind w:firstLine="0" w:firstLineChars="0"/>
                    <w:jc w:val="center"/>
                    <w:rPr>
                      <w:rFonts w:hint="default"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lang w:val="en-US" w:eastAsia="zh-CN"/>
                    </w:rPr>
                    <w:t>属</w:t>
                  </w:r>
                </w:p>
              </w:tc>
              <w:tc>
                <w:tcPr>
                  <w:tcW w:w="999" w:type="pct"/>
                  <w:shd w:val="clear" w:color="auto" w:fill="auto"/>
                  <w:noWrap/>
                  <w:tcMar>
                    <w:top w:w="15" w:type="dxa"/>
                    <w:left w:w="15" w:type="dxa"/>
                    <w:bottom w:w="0" w:type="dxa"/>
                    <w:right w:w="15" w:type="dxa"/>
                  </w:tcMar>
                  <w:vAlign w:val="center"/>
                </w:tcPr>
                <w:p w14:paraId="4193D81D">
                  <w:pPr>
                    <w:spacing w:line="240" w:lineRule="auto"/>
                    <w:ind w:firstLine="0" w:firstLineChars="0"/>
                    <w:jc w:val="center"/>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cs="Times New Roman"/>
                      <w:b/>
                      <w:bCs/>
                      <w:color w:val="auto"/>
                      <w:sz w:val="21"/>
                      <w:szCs w:val="21"/>
                      <w:highlight w:val="none"/>
                    </w:rPr>
                    <w:t>种</w:t>
                  </w:r>
                </w:p>
              </w:tc>
            </w:tr>
            <w:tr w14:paraId="09797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999" w:type="pct"/>
                  <w:noWrap/>
                  <w:tcMar>
                    <w:top w:w="15" w:type="dxa"/>
                    <w:left w:w="15" w:type="dxa"/>
                    <w:bottom w:w="0" w:type="dxa"/>
                    <w:right w:w="15" w:type="dxa"/>
                  </w:tcMar>
                  <w:vAlign w:val="center"/>
                </w:tcPr>
                <w:p w14:paraId="00C30886">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哺乳纲</w:t>
                  </w:r>
                </w:p>
              </w:tc>
              <w:tc>
                <w:tcPr>
                  <w:tcW w:w="999" w:type="pct"/>
                  <w:noWrap/>
                  <w:tcMar>
                    <w:top w:w="15" w:type="dxa"/>
                    <w:left w:w="15" w:type="dxa"/>
                    <w:bottom w:w="0" w:type="dxa"/>
                    <w:right w:w="15" w:type="dxa"/>
                  </w:tcMar>
                  <w:vAlign w:val="center"/>
                </w:tcPr>
                <w:p w14:paraId="2E91A5CE">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1000" w:type="pct"/>
                  <w:noWrap/>
                  <w:tcMar>
                    <w:top w:w="15" w:type="dxa"/>
                    <w:left w:w="15" w:type="dxa"/>
                    <w:bottom w:w="0" w:type="dxa"/>
                    <w:right w:w="15" w:type="dxa"/>
                  </w:tcMar>
                  <w:vAlign w:val="center"/>
                </w:tcPr>
                <w:p w14:paraId="149B6313">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1001" w:type="pct"/>
                  <w:noWrap/>
                  <w:tcMar>
                    <w:top w:w="15" w:type="dxa"/>
                    <w:left w:w="15" w:type="dxa"/>
                    <w:bottom w:w="0" w:type="dxa"/>
                    <w:right w:w="15" w:type="dxa"/>
                  </w:tcMar>
                  <w:vAlign w:val="center"/>
                </w:tcPr>
                <w:p w14:paraId="24F7FB7B">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13</w:t>
                  </w:r>
                </w:p>
              </w:tc>
              <w:tc>
                <w:tcPr>
                  <w:tcW w:w="999" w:type="pct"/>
                  <w:shd w:val="clear" w:color="auto" w:fill="auto"/>
                  <w:noWrap/>
                  <w:tcMar>
                    <w:top w:w="15" w:type="dxa"/>
                    <w:left w:w="15" w:type="dxa"/>
                    <w:bottom w:w="0" w:type="dxa"/>
                    <w:right w:w="15" w:type="dxa"/>
                  </w:tcMar>
                  <w:vAlign w:val="center"/>
                </w:tcPr>
                <w:p w14:paraId="5133B12E">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13</w:t>
                  </w:r>
                </w:p>
              </w:tc>
            </w:tr>
            <w:tr w14:paraId="71B4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999" w:type="pct"/>
                  <w:noWrap/>
                  <w:tcMar>
                    <w:top w:w="15" w:type="dxa"/>
                    <w:left w:w="15" w:type="dxa"/>
                    <w:bottom w:w="0" w:type="dxa"/>
                    <w:right w:w="15" w:type="dxa"/>
                  </w:tcMar>
                  <w:vAlign w:val="center"/>
                </w:tcPr>
                <w:p w14:paraId="1B3DCD1E">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鸟纲</w:t>
                  </w:r>
                </w:p>
              </w:tc>
              <w:tc>
                <w:tcPr>
                  <w:tcW w:w="999" w:type="pct"/>
                  <w:noWrap/>
                  <w:tcMar>
                    <w:top w:w="15" w:type="dxa"/>
                    <w:left w:w="15" w:type="dxa"/>
                    <w:bottom w:w="0" w:type="dxa"/>
                    <w:right w:w="15" w:type="dxa"/>
                  </w:tcMar>
                  <w:vAlign w:val="center"/>
                </w:tcPr>
                <w:p w14:paraId="483184F3">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1000" w:type="pct"/>
                  <w:noWrap/>
                  <w:tcMar>
                    <w:top w:w="15" w:type="dxa"/>
                    <w:left w:w="15" w:type="dxa"/>
                    <w:bottom w:w="0" w:type="dxa"/>
                    <w:right w:w="15" w:type="dxa"/>
                  </w:tcMar>
                  <w:vAlign w:val="center"/>
                </w:tcPr>
                <w:p w14:paraId="28EDF07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14</w:t>
                  </w:r>
                </w:p>
              </w:tc>
              <w:tc>
                <w:tcPr>
                  <w:tcW w:w="1001" w:type="pct"/>
                  <w:noWrap/>
                  <w:tcMar>
                    <w:top w:w="15" w:type="dxa"/>
                    <w:left w:w="15" w:type="dxa"/>
                    <w:bottom w:w="0" w:type="dxa"/>
                    <w:right w:w="15" w:type="dxa"/>
                  </w:tcMar>
                  <w:vAlign w:val="center"/>
                </w:tcPr>
                <w:p w14:paraId="058C6E0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21</w:t>
                  </w:r>
                </w:p>
              </w:tc>
              <w:tc>
                <w:tcPr>
                  <w:tcW w:w="999" w:type="pct"/>
                  <w:shd w:val="clear" w:color="auto" w:fill="auto"/>
                  <w:noWrap/>
                  <w:tcMar>
                    <w:top w:w="15" w:type="dxa"/>
                    <w:left w:w="15" w:type="dxa"/>
                    <w:bottom w:w="0" w:type="dxa"/>
                    <w:right w:w="15" w:type="dxa"/>
                  </w:tcMar>
                  <w:vAlign w:val="center"/>
                </w:tcPr>
                <w:p w14:paraId="31627C00">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21</w:t>
                  </w:r>
                </w:p>
              </w:tc>
            </w:tr>
            <w:tr w14:paraId="27A47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999" w:type="pct"/>
                  <w:noWrap/>
                  <w:tcMar>
                    <w:top w:w="15" w:type="dxa"/>
                    <w:left w:w="15" w:type="dxa"/>
                    <w:bottom w:w="0" w:type="dxa"/>
                    <w:right w:w="15" w:type="dxa"/>
                  </w:tcMar>
                  <w:vAlign w:val="center"/>
                </w:tcPr>
                <w:p w14:paraId="40C73849">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两栖纲</w:t>
                  </w:r>
                </w:p>
              </w:tc>
              <w:tc>
                <w:tcPr>
                  <w:tcW w:w="999" w:type="pct"/>
                  <w:noWrap/>
                  <w:tcMar>
                    <w:top w:w="15" w:type="dxa"/>
                    <w:left w:w="15" w:type="dxa"/>
                    <w:bottom w:w="0" w:type="dxa"/>
                    <w:right w:w="15" w:type="dxa"/>
                  </w:tcMar>
                  <w:vAlign w:val="center"/>
                </w:tcPr>
                <w:p w14:paraId="28C8C414">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000" w:type="pct"/>
                  <w:noWrap/>
                  <w:tcMar>
                    <w:top w:w="15" w:type="dxa"/>
                    <w:left w:w="15" w:type="dxa"/>
                    <w:bottom w:w="0" w:type="dxa"/>
                    <w:right w:w="15" w:type="dxa"/>
                  </w:tcMar>
                  <w:vAlign w:val="center"/>
                </w:tcPr>
                <w:p w14:paraId="506C30CF">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001" w:type="pct"/>
                  <w:noWrap/>
                  <w:tcMar>
                    <w:top w:w="15" w:type="dxa"/>
                    <w:left w:w="15" w:type="dxa"/>
                    <w:bottom w:w="0" w:type="dxa"/>
                    <w:right w:w="15" w:type="dxa"/>
                  </w:tcMar>
                  <w:vAlign w:val="center"/>
                </w:tcPr>
                <w:p w14:paraId="22B1606E">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999" w:type="pct"/>
                  <w:shd w:val="clear" w:color="auto" w:fill="auto"/>
                  <w:noWrap/>
                  <w:tcMar>
                    <w:top w:w="15" w:type="dxa"/>
                    <w:left w:w="15" w:type="dxa"/>
                    <w:bottom w:w="0" w:type="dxa"/>
                    <w:right w:w="15" w:type="dxa"/>
                  </w:tcMar>
                  <w:vAlign w:val="center"/>
                </w:tcPr>
                <w:p w14:paraId="5FAFCEE5">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5</w:t>
                  </w:r>
                </w:p>
              </w:tc>
            </w:tr>
            <w:tr w14:paraId="4C2F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jc w:val="center"/>
              </w:trPr>
              <w:tc>
                <w:tcPr>
                  <w:tcW w:w="999" w:type="pct"/>
                  <w:noWrap/>
                  <w:tcMar>
                    <w:top w:w="15" w:type="dxa"/>
                    <w:left w:w="15" w:type="dxa"/>
                    <w:bottom w:w="0" w:type="dxa"/>
                    <w:right w:w="15" w:type="dxa"/>
                  </w:tcMar>
                  <w:vAlign w:val="center"/>
                </w:tcPr>
                <w:p w14:paraId="3E34188C">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爬行纲</w:t>
                  </w:r>
                </w:p>
              </w:tc>
              <w:tc>
                <w:tcPr>
                  <w:tcW w:w="999" w:type="pct"/>
                  <w:noWrap/>
                  <w:tcMar>
                    <w:top w:w="15" w:type="dxa"/>
                    <w:left w:w="15" w:type="dxa"/>
                    <w:bottom w:w="0" w:type="dxa"/>
                    <w:right w:w="15" w:type="dxa"/>
                  </w:tcMar>
                  <w:vAlign w:val="center"/>
                </w:tcPr>
                <w:p w14:paraId="0A0A115C">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1000" w:type="pct"/>
                  <w:noWrap/>
                  <w:tcMar>
                    <w:top w:w="15" w:type="dxa"/>
                    <w:left w:w="15" w:type="dxa"/>
                    <w:bottom w:w="0" w:type="dxa"/>
                    <w:right w:w="15" w:type="dxa"/>
                  </w:tcMar>
                  <w:vAlign w:val="center"/>
                </w:tcPr>
                <w:p w14:paraId="26E17673">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1001" w:type="pct"/>
                  <w:noWrap/>
                  <w:tcMar>
                    <w:top w:w="15" w:type="dxa"/>
                    <w:left w:w="15" w:type="dxa"/>
                    <w:bottom w:w="0" w:type="dxa"/>
                    <w:right w:w="15" w:type="dxa"/>
                  </w:tcMar>
                  <w:vAlign w:val="center"/>
                </w:tcPr>
                <w:p w14:paraId="6EF1182F">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7</w:t>
                  </w:r>
                </w:p>
              </w:tc>
              <w:tc>
                <w:tcPr>
                  <w:tcW w:w="999" w:type="pct"/>
                  <w:shd w:val="clear" w:color="auto" w:fill="auto"/>
                  <w:noWrap/>
                  <w:tcMar>
                    <w:top w:w="15" w:type="dxa"/>
                    <w:left w:w="15" w:type="dxa"/>
                    <w:bottom w:w="0" w:type="dxa"/>
                    <w:right w:w="15" w:type="dxa"/>
                  </w:tcMar>
                  <w:vAlign w:val="center"/>
                </w:tcPr>
                <w:p w14:paraId="55963B0B">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7</w:t>
                  </w:r>
                </w:p>
              </w:tc>
            </w:tr>
            <w:tr w14:paraId="0A5C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7" w:hRule="atLeast"/>
                <w:jc w:val="center"/>
              </w:trPr>
              <w:tc>
                <w:tcPr>
                  <w:tcW w:w="999" w:type="pct"/>
                  <w:noWrap/>
                  <w:tcMar>
                    <w:top w:w="15" w:type="dxa"/>
                    <w:left w:w="15" w:type="dxa"/>
                    <w:bottom w:w="0" w:type="dxa"/>
                    <w:right w:w="15" w:type="dxa"/>
                  </w:tcMar>
                  <w:vAlign w:val="center"/>
                </w:tcPr>
                <w:p w14:paraId="33F9BF39">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小计</w:t>
                  </w:r>
                </w:p>
              </w:tc>
              <w:tc>
                <w:tcPr>
                  <w:tcW w:w="999" w:type="pct"/>
                  <w:noWrap/>
                  <w:tcMar>
                    <w:top w:w="15" w:type="dxa"/>
                    <w:left w:w="15" w:type="dxa"/>
                    <w:bottom w:w="0" w:type="dxa"/>
                    <w:right w:w="15" w:type="dxa"/>
                  </w:tcMar>
                  <w:vAlign w:val="center"/>
                </w:tcPr>
                <w:p w14:paraId="02E8540D">
                  <w:pPr>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16</w:t>
                  </w:r>
                </w:p>
              </w:tc>
              <w:tc>
                <w:tcPr>
                  <w:tcW w:w="1000" w:type="pct"/>
                  <w:noWrap/>
                  <w:tcMar>
                    <w:top w:w="15" w:type="dxa"/>
                    <w:left w:w="15" w:type="dxa"/>
                    <w:bottom w:w="0" w:type="dxa"/>
                    <w:right w:w="15" w:type="dxa"/>
                  </w:tcMar>
                  <w:vAlign w:val="center"/>
                </w:tcPr>
                <w:p w14:paraId="590A9F70">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30</w:t>
                  </w:r>
                </w:p>
              </w:tc>
              <w:tc>
                <w:tcPr>
                  <w:tcW w:w="1001" w:type="pct"/>
                  <w:noWrap/>
                  <w:tcMar>
                    <w:top w:w="15" w:type="dxa"/>
                    <w:left w:w="15" w:type="dxa"/>
                    <w:bottom w:w="0" w:type="dxa"/>
                    <w:right w:w="15" w:type="dxa"/>
                  </w:tcMar>
                  <w:vAlign w:val="center"/>
                </w:tcPr>
                <w:p w14:paraId="1B8E68F5">
                  <w:pPr>
                    <w:spacing w:line="240" w:lineRule="auto"/>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45</w:t>
                  </w:r>
                </w:p>
              </w:tc>
              <w:tc>
                <w:tcPr>
                  <w:tcW w:w="999" w:type="pct"/>
                  <w:shd w:val="clear" w:color="auto" w:fill="auto"/>
                  <w:noWrap/>
                  <w:tcMar>
                    <w:top w:w="15" w:type="dxa"/>
                    <w:left w:w="15" w:type="dxa"/>
                    <w:bottom w:w="0" w:type="dxa"/>
                    <w:right w:w="15" w:type="dxa"/>
                  </w:tcMar>
                  <w:vAlign w:val="center"/>
                </w:tcPr>
                <w:p w14:paraId="5C875347">
                  <w:pPr>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4</w:t>
                  </w:r>
                  <w:r>
                    <w:rPr>
                      <w:rFonts w:hint="default" w:ascii="Times New Roman" w:hAnsi="Times New Roman" w:cs="Times New Roman"/>
                      <w:color w:val="auto"/>
                      <w:sz w:val="21"/>
                      <w:szCs w:val="21"/>
                      <w:highlight w:val="none"/>
                      <w:lang w:val="en-US" w:eastAsia="zh-CN"/>
                    </w:rPr>
                    <w:t>6</w:t>
                  </w:r>
                </w:p>
              </w:tc>
            </w:tr>
          </w:tbl>
          <w:p w14:paraId="5792F3B4">
            <w:pPr>
              <w:spacing w:line="240" w:lineRule="auto"/>
              <w:ind w:firstLine="0" w:firstLineChars="0"/>
              <w:jc w:val="both"/>
              <w:rPr>
                <w:color w:val="auto"/>
              </w:rPr>
            </w:pPr>
          </w:p>
          <w:p w14:paraId="7C3FEC73">
            <w:pPr>
              <w:pStyle w:val="19"/>
              <w:numPr>
                <w:ilvl w:val="0"/>
                <w:numId w:val="0"/>
              </w:numPr>
              <w:ind w:left="0" w:leftChars="0" w:firstLine="480"/>
              <w:rPr>
                <w:color w:val="auto"/>
              </w:rPr>
            </w:pPr>
            <w:r>
              <w:rPr>
                <w:rFonts w:hint="eastAsia"/>
                <w:color w:val="auto"/>
                <w:highlight w:val="lightGray"/>
                <w:lang w:eastAsia="zh-CN"/>
              </w:rPr>
              <w:t>（</w:t>
            </w:r>
            <w:r>
              <w:rPr>
                <w:rFonts w:hint="eastAsia"/>
                <w:color w:val="auto"/>
                <w:highlight w:val="lightGray"/>
                <w:lang w:val="en-US" w:eastAsia="zh-CN"/>
              </w:rPr>
              <w:t>1</w:t>
            </w:r>
            <w:r>
              <w:rPr>
                <w:rFonts w:hint="eastAsia"/>
                <w:color w:val="auto"/>
                <w:highlight w:val="lightGray"/>
                <w:lang w:eastAsia="zh-CN"/>
              </w:rPr>
              <w:t>）</w:t>
            </w:r>
            <w:r>
              <w:rPr>
                <w:color w:val="auto"/>
              </w:rPr>
              <w:t>哺乳</w:t>
            </w:r>
            <w:r>
              <w:rPr>
                <w:rFonts w:hint="default"/>
                <w:color w:val="auto"/>
              </w:rPr>
              <w:t>纲</w:t>
            </w:r>
          </w:p>
          <w:p w14:paraId="636DAD05">
            <w:pPr>
              <w:ind w:firstLine="480"/>
              <w:rPr>
                <w:color w:val="auto"/>
              </w:rPr>
            </w:pPr>
            <w:r>
              <w:rPr>
                <w:color w:val="auto"/>
              </w:rPr>
              <w:t>在资料收集中，评价区内哺乳动物6目10科13种，见表3-9。评价区哺乳类动物区系以东洋界物种占优势，同时兼有古北界成分及两界广布种类，反映出滇东北乌蒙山山地动物地理过渡特征。东洋界成分共8种，为本区哺乳类主体，代表物种有猕猴、赤麂、果子狸、红白鼯鼠等；古北界成分1种为普通松鼠；野猪、黄鼬、褐家鼠、小家鼠为古北、东洋两界广布种，其中褐家鼠、小家鼠为伴人分布啮齿类。区内分布豹猫、猕猴2种国家 Ⅱ 级重点保护野生动物，其余多为“三有”保护动物。</w:t>
            </w:r>
          </w:p>
          <w:p w14:paraId="5F3EE350">
            <w:pPr>
              <w:spacing w:line="240" w:lineRule="auto"/>
              <w:ind w:firstLine="422"/>
              <w:jc w:val="center"/>
              <w:rPr>
                <w:b/>
                <w:color w:val="auto"/>
                <w:sz w:val="21"/>
                <w:szCs w:val="21"/>
              </w:rPr>
            </w:pPr>
            <w:r>
              <w:rPr>
                <w:b/>
                <w:color w:val="auto"/>
                <w:sz w:val="21"/>
                <w:szCs w:val="21"/>
              </w:rPr>
              <w:t>表3-</w:t>
            </w:r>
            <w:r>
              <w:rPr>
                <w:rFonts w:hint="eastAsia"/>
                <w:b/>
                <w:color w:val="auto"/>
                <w:sz w:val="21"/>
                <w:szCs w:val="21"/>
                <w:lang w:val="en-US" w:eastAsia="zh-CN"/>
              </w:rPr>
              <w:t>10</w:t>
            </w:r>
            <w:r>
              <w:rPr>
                <w:b/>
                <w:color w:val="auto"/>
                <w:sz w:val="21"/>
                <w:szCs w:val="21"/>
              </w:rPr>
              <w:t xml:space="preserve"> 评价区哺乳动物组成</w:t>
            </w:r>
          </w:p>
          <w:tbl>
            <w:tblPr>
              <w:tblStyle w:val="20"/>
              <w:tblW w:w="7912" w:type="dxa"/>
              <w:jc w:val="center"/>
              <w:tblLayout w:type="autofit"/>
              <w:tblCellMar>
                <w:top w:w="0" w:type="dxa"/>
                <w:left w:w="108" w:type="dxa"/>
                <w:bottom w:w="0" w:type="dxa"/>
                <w:right w:w="108" w:type="dxa"/>
              </w:tblCellMar>
            </w:tblPr>
            <w:tblGrid>
              <w:gridCol w:w="1040"/>
              <w:gridCol w:w="1040"/>
              <w:gridCol w:w="1040"/>
              <w:gridCol w:w="3400"/>
              <w:gridCol w:w="1392"/>
            </w:tblGrid>
            <w:tr w14:paraId="2AF9B587">
              <w:tblPrEx>
                <w:tblCellMar>
                  <w:top w:w="0" w:type="dxa"/>
                  <w:left w:w="108" w:type="dxa"/>
                  <w:bottom w:w="0" w:type="dxa"/>
                  <w:right w:w="108" w:type="dxa"/>
                </w:tblCellMar>
              </w:tblPrEx>
              <w:trPr>
                <w:trHeight w:val="280" w:hRule="atLeast"/>
                <w:jc w:val="center"/>
              </w:trPr>
              <w:tc>
                <w:tcPr>
                  <w:tcW w:w="104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54831">
                  <w:pPr>
                    <w:widowControl/>
                    <w:adjustRightInd/>
                    <w:snapToGrid/>
                    <w:spacing w:line="240" w:lineRule="auto"/>
                    <w:ind w:firstLine="0" w:firstLineChars="0"/>
                    <w:jc w:val="center"/>
                    <w:rPr>
                      <w:rFonts w:ascii="Times New Roman" w:hAnsi="Times New Roman"/>
                      <w:b/>
                      <w:bCs/>
                      <w:color w:val="auto"/>
                      <w:kern w:val="0"/>
                      <w:sz w:val="21"/>
                      <w:szCs w:val="21"/>
                    </w:rPr>
                  </w:pPr>
                  <w:r>
                    <w:rPr>
                      <w:rFonts w:hint="default" w:ascii="Times New Roman" w:hAnsi="Times New Roman" w:cs="Times New Roman"/>
                      <w:b/>
                      <w:bCs/>
                      <w:color w:val="auto"/>
                      <w:kern w:val="0"/>
                      <w:sz w:val="21"/>
                      <w:szCs w:val="21"/>
                    </w:rPr>
                    <w:t>类型</w:t>
                  </w:r>
                </w:p>
              </w:tc>
              <w:tc>
                <w:tcPr>
                  <w:tcW w:w="1040" w:type="dxa"/>
                  <w:tcBorders>
                    <w:top w:val="single" w:color="auto" w:sz="4" w:space="0"/>
                    <w:left w:val="nil"/>
                    <w:bottom w:val="single" w:color="auto" w:sz="4" w:space="0"/>
                    <w:right w:val="single" w:color="auto" w:sz="4" w:space="0"/>
                  </w:tcBorders>
                  <w:shd w:val="clear" w:color="auto" w:fill="auto"/>
                  <w:noWrap/>
                  <w:vAlign w:val="center"/>
                </w:tcPr>
                <w:p w14:paraId="1F8D8B91">
                  <w:pPr>
                    <w:widowControl/>
                    <w:adjustRightInd/>
                    <w:snapToGrid/>
                    <w:spacing w:line="240" w:lineRule="auto"/>
                    <w:ind w:firstLine="0" w:firstLineChars="0"/>
                    <w:jc w:val="center"/>
                    <w:rPr>
                      <w:rFonts w:hint="default" w:eastAsia="宋体"/>
                      <w:b/>
                      <w:bCs/>
                      <w:color w:val="auto"/>
                      <w:kern w:val="0"/>
                      <w:sz w:val="21"/>
                      <w:szCs w:val="21"/>
                    </w:rPr>
                  </w:pPr>
                  <w:r>
                    <w:rPr>
                      <w:rFonts w:hint="default" w:ascii="Times New Roman" w:hAnsi="Times New Roman" w:eastAsia="宋体"/>
                      <w:b/>
                      <w:bCs/>
                      <w:color w:val="auto"/>
                      <w:kern w:val="0"/>
                      <w:sz w:val="21"/>
                      <w:szCs w:val="21"/>
                    </w:rPr>
                    <w:t>目</w:t>
                  </w:r>
                </w:p>
              </w:tc>
              <w:tc>
                <w:tcPr>
                  <w:tcW w:w="1040" w:type="dxa"/>
                  <w:tcBorders>
                    <w:top w:val="single" w:color="auto" w:sz="4" w:space="0"/>
                    <w:left w:val="nil"/>
                    <w:bottom w:val="single" w:color="auto" w:sz="4" w:space="0"/>
                    <w:right w:val="single" w:color="auto" w:sz="4" w:space="0"/>
                  </w:tcBorders>
                  <w:shd w:val="clear" w:color="auto" w:fill="auto"/>
                  <w:noWrap/>
                  <w:vAlign w:val="center"/>
                </w:tcPr>
                <w:p w14:paraId="5AD30853">
                  <w:pPr>
                    <w:widowControl/>
                    <w:adjustRightInd/>
                    <w:snapToGrid/>
                    <w:spacing w:line="240" w:lineRule="auto"/>
                    <w:ind w:firstLine="0" w:firstLineChars="0"/>
                    <w:jc w:val="center"/>
                    <w:rPr>
                      <w:rFonts w:eastAsia="宋体"/>
                      <w:b/>
                      <w:bCs/>
                      <w:color w:val="auto"/>
                      <w:kern w:val="0"/>
                      <w:sz w:val="21"/>
                      <w:szCs w:val="21"/>
                    </w:rPr>
                  </w:pPr>
                  <w:r>
                    <w:rPr>
                      <w:rFonts w:hint="default" w:ascii="Times New Roman" w:hAnsi="Times New Roman" w:eastAsia="宋体"/>
                      <w:b/>
                      <w:bCs/>
                      <w:color w:val="auto"/>
                      <w:kern w:val="0"/>
                      <w:sz w:val="21"/>
                      <w:szCs w:val="21"/>
                    </w:rPr>
                    <w:t>科</w:t>
                  </w:r>
                </w:p>
              </w:tc>
              <w:tc>
                <w:tcPr>
                  <w:tcW w:w="3400" w:type="dxa"/>
                  <w:tcBorders>
                    <w:top w:val="single" w:color="auto" w:sz="4" w:space="0"/>
                    <w:left w:val="nil"/>
                    <w:bottom w:val="single" w:color="auto" w:sz="4" w:space="0"/>
                    <w:right w:val="single" w:color="auto" w:sz="4" w:space="0"/>
                  </w:tcBorders>
                  <w:shd w:val="clear" w:color="auto" w:fill="auto"/>
                  <w:noWrap/>
                  <w:vAlign w:val="center"/>
                </w:tcPr>
                <w:p w14:paraId="6C830911">
                  <w:pPr>
                    <w:widowControl/>
                    <w:adjustRightInd/>
                    <w:snapToGrid/>
                    <w:spacing w:line="240" w:lineRule="auto"/>
                    <w:ind w:firstLine="0" w:firstLineChars="0"/>
                    <w:jc w:val="center"/>
                    <w:rPr>
                      <w:rFonts w:ascii="Times New Roman" w:hAnsi="Times New Roman"/>
                      <w:b/>
                      <w:bCs/>
                      <w:color w:val="auto"/>
                      <w:kern w:val="0"/>
                      <w:sz w:val="21"/>
                      <w:szCs w:val="21"/>
                    </w:rPr>
                  </w:pPr>
                  <w:r>
                    <w:rPr>
                      <w:rFonts w:hint="default" w:ascii="Times New Roman" w:hAnsi="Times New Roman" w:cs="Times New Roman"/>
                      <w:b/>
                      <w:bCs/>
                      <w:color w:val="auto"/>
                      <w:kern w:val="0"/>
                      <w:sz w:val="21"/>
                      <w:szCs w:val="21"/>
                    </w:rPr>
                    <w:t>种</w:t>
                  </w:r>
                </w:p>
              </w:tc>
              <w:tc>
                <w:tcPr>
                  <w:tcW w:w="1392" w:type="dxa"/>
                  <w:tcBorders>
                    <w:top w:val="single" w:color="auto" w:sz="4" w:space="0"/>
                    <w:left w:val="nil"/>
                    <w:bottom w:val="single" w:color="auto" w:sz="4" w:space="0"/>
                    <w:right w:val="single" w:color="auto" w:sz="4" w:space="0"/>
                  </w:tcBorders>
                  <w:shd w:val="clear" w:color="auto" w:fill="auto"/>
                  <w:noWrap/>
                  <w:vAlign w:val="center"/>
                </w:tcPr>
                <w:p w14:paraId="4DA9BF7A">
                  <w:pPr>
                    <w:widowControl/>
                    <w:adjustRightInd/>
                    <w:snapToGrid/>
                    <w:spacing w:line="240" w:lineRule="auto"/>
                    <w:ind w:firstLine="0" w:firstLineChars="0"/>
                    <w:jc w:val="center"/>
                    <w:rPr>
                      <w:rFonts w:hint="default" w:eastAsia="宋体"/>
                      <w:b/>
                      <w:bCs/>
                      <w:color w:val="auto"/>
                      <w:kern w:val="0"/>
                      <w:sz w:val="21"/>
                      <w:szCs w:val="21"/>
                    </w:rPr>
                  </w:pPr>
                  <w:r>
                    <w:rPr>
                      <w:rFonts w:hint="default" w:ascii="Times New Roman" w:hAnsi="Times New Roman" w:eastAsia="宋体"/>
                      <w:b/>
                      <w:bCs/>
                      <w:color w:val="auto"/>
                      <w:kern w:val="0"/>
                      <w:sz w:val="21"/>
                      <w:szCs w:val="21"/>
                    </w:rPr>
                    <w:t>保护级别</w:t>
                  </w:r>
                </w:p>
              </w:tc>
            </w:tr>
            <w:tr w14:paraId="041868C6">
              <w:tblPrEx>
                <w:tblCellMar>
                  <w:top w:w="0" w:type="dxa"/>
                  <w:left w:w="108" w:type="dxa"/>
                  <w:bottom w:w="0" w:type="dxa"/>
                  <w:right w:w="108" w:type="dxa"/>
                </w:tblCellMar>
              </w:tblPrEx>
              <w:trPr>
                <w:trHeight w:val="280" w:hRule="atLeast"/>
                <w:jc w:val="center"/>
              </w:trPr>
              <w:tc>
                <w:tcPr>
                  <w:tcW w:w="1040" w:type="dxa"/>
                  <w:vMerge w:val="restart"/>
                  <w:tcBorders>
                    <w:top w:val="nil"/>
                    <w:left w:val="single" w:color="auto" w:sz="4" w:space="0"/>
                    <w:bottom w:val="single" w:color="auto" w:sz="4" w:space="0"/>
                    <w:right w:val="single" w:color="auto" w:sz="4" w:space="0"/>
                  </w:tcBorders>
                  <w:shd w:val="clear" w:color="auto" w:fill="auto"/>
                  <w:noWrap/>
                  <w:vAlign w:val="center"/>
                </w:tcPr>
                <w:p w14:paraId="2DBB71C3">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哺乳类</w:t>
                  </w:r>
                </w:p>
              </w:tc>
              <w:tc>
                <w:tcPr>
                  <w:tcW w:w="1040" w:type="dxa"/>
                  <w:tcBorders>
                    <w:top w:val="nil"/>
                    <w:left w:val="nil"/>
                    <w:bottom w:val="single" w:color="auto" w:sz="4" w:space="0"/>
                    <w:right w:val="single" w:color="auto" w:sz="4" w:space="0"/>
                  </w:tcBorders>
                  <w:shd w:val="clear" w:color="auto" w:fill="auto"/>
                  <w:noWrap/>
                  <w:vAlign w:val="center"/>
                </w:tcPr>
                <w:p w14:paraId="2EA615AE">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食肉目</w:t>
                  </w:r>
                </w:p>
              </w:tc>
              <w:tc>
                <w:tcPr>
                  <w:tcW w:w="1040" w:type="dxa"/>
                  <w:tcBorders>
                    <w:top w:val="nil"/>
                    <w:left w:val="nil"/>
                    <w:bottom w:val="single" w:color="auto" w:sz="4" w:space="0"/>
                    <w:right w:val="single" w:color="auto" w:sz="4" w:space="0"/>
                  </w:tcBorders>
                  <w:shd w:val="clear" w:color="auto" w:fill="auto"/>
                  <w:noWrap/>
                  <w:vAlign w:val="center"/>
                </w:tcPr>
                <w:p w14:paraId="307DC5EA">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猫科</w:t>
                  </w:r>
                </w:p>
              </w:tc>
              <w:tc>
                <w:tcPr>
                  <w:tcW w:w="3400" w:type="dxa"/>
                  <w:tcBorders>
                    <w:top w:val="nil"/>
                    <w:left w:val="nil"/>
                    <w:bottom w:val="single" w:color="auto" w:sz="4" w:space="0"/>
                    <w:right w:val="single" w:color="auto" w:sz="4" w:space="0"/>
                  </w:tcBorders>
                  <w:shd w:val="clear" w:color="auto" w:fill="auto"/>
                  <w:noWrap/>
                  <w:vAlign w:val="center"/>
                </w:tcPr>
                <w:p w14:paraId="2AEA072C">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豹猫Prionailurus bengalensis</w:t>
                  </w:r>
                </w:p>
              </w:tc>
              <w:tc>
                <w:tcPr>
                  <w:tcW w:w="1392" w:type="dxa"/>
                  <w:tcBorders>
                    <w:top w:val="nil"/>
                    <w:left w:val="nil"/>
                    <w:bottom w:val="single" w:color="auto" w:sz="4" w:space="0"/>
                    <w:right w:val="single" w:color="auto" w:sz="4" w:space="0"/>
                  </w:tcBorders>
                  <w:shd w:val="clear" w:color="auto" w:fill="auto"/>
                  <w:noWrap/>
                  <w:vAlign w:val="center"/>
                </w:tcPr>
                <w:p w14:paraId="2493A1E9">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国家</w:t>
                  </w:r>
                  <w:r>
                    <w:rPr>
                      <w:rFonts w:eastAsia="宋体"/>
                      <w:color w:val="auto"/>
                      <w:kern w:val="0"/>
                      <w:sz w:val="21"/>
                      <w:szCs w:val="21"/>
                    </w:rPr>
                    <w:t xml:space="preserve"> </w:t>
                  </w:r>
                  <w:r>
                    <w:rPr>
                      <w:rFonts w:hint="default" w:ascii="Times New Roman" w:hAnsi="Times New Roman" w:eastAsia="宋体"/>
                      <w:color w:val="auto"/>
                      <w:kern w:val="0"/>
                      <w:sz w:val="21"/>
                      <w:szCs w:val="21"/>
                    </w:rPr>
                    <w:t>Ⅱ</w:t>
                  </w:r>
                  <w:r>
                    <w:rPr>
                      <w:rFonts w:eastAsia="宋体"/>
                      <w:color w:val="auto"/>
                      <w:kern w:val="0"/>
                      <w:sz w:val="21"/>
                      <w:szCs w:val="21"/>
                    </w:rPr>
                    <w:t xml:space="preserve"> </w:t>
                  </w:r>
                  <w:r>
                    <w:rPr>
                      <w:rFonts w:hint="default" w:ascii="Times New Roman" w:hAnsi="Times New Roman" w:eastAsia="宋体"/>
                      <w:color w:val="auto"/>
                      <w:kern w:val="0"/>
                      <w:sz w:val="21"/>
                      <w:szCs w:val="21"/>
                    </w:rPr>
                    <w:t>级</w:t>
                  </w:r>
                </w:p>
              </w:tc>
            </w:tr>
            <w:tr w14:paraId="1B269619">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56047870">
                  <w:pPr>
                    <w:widowControl/>
                    <w:adjustRightInd/>
                    <w:snapToGrid/>
                    <w:spacing w:line="240" w:lineRule="auto"/>
                    <w:ind w:firstLine="0" w:firstLineChars="0"/>
                    <w:jc w:val="center"/>
                    <w:rPr>
                      <w:rFonts w:eastAsia="宋体"/>
                      <w:color w:val="auto"/>
                      <w:kern w:val="0"/>
                      <w:sz w:val="21"/>
                      <w:szCs w:val="21"/>
                    </w:rPr>
                  </w:pPr>
                </w:p>
              </w:tc>
              <w:tc>
                <w:tcPr>
                  <w:tcW w:w="1040" w:type="dxa"/>
                  <w:tcBorders>
                    <w:top w:val="nil"/>
                    <w:left w:val="nil"/>
                    <w:bottom w:val="single" w:color="auto" w:sz="4" w:space="0"/>
                    <w:right w:val="single" w:color="auto" w:sz="4" w:space="0"/>
                  </w:tcBorders>
                  <w:shd w:val="clear" w:color="auto" w:fill="auto"/>
                  <w:noWrap/>
                  <w:vAlign w:val="center"/>
                </w:tcPr>
                <w:p w14:paraId="39CB7799">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灵长目</w:t>
                  </w:r>
                </w:p>
              </w:tc>
              <w:tc>
                <w:tcPr>
                  <w:tcW w:w="1040" w:type="dxa"/>
                  <w:tcBorders>
                    <w:top w:val="nil"/>
                    <w:left w:val="nil"/>
                    <w:bottom w:val="single" w:color="auto" w:sz="4" w:space="0"/>
                    <w:right w:val="single" w:color="auto" w:sz="4" w:space="0"/>
                  </w:tcBorders>
                  <w:shd w:val="clear" w:color="auto" w:fill="auto"/>
                  <w:noWrap/>
                  <w:vAlign w:val="center"/>
                </w:tcPr>
                <w:p w14:paraId="7F503170">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猴科</w:t>
                  </w:r>
                </w:p>
              </w:tc>
              <w:tc>
                <w:tcPr>
                  <w:tcW w:w="3400" w:type="dxa"/>
                  <w:tcBorders>
                    <w:top w:val="nil"/>
                    <w:left w:val="nil"/>
                    <w:bottom w:val="single" w:color="auto" w:sz="4" w:space="0"/>
                    <w:right w:val="single" w:color="auto" w:sz="4" w:space="0"/>
                  </w:tcBorders>
                  <w:shd w:val="clear" w:color="auto" w:fill="auto"/>
                  <w:noWrap/>
                  <w:vAlign w:val="center"/>
                </w:tcPr>
                <w:p w14:paraId="14F5E19B">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猕猴Macaca mulatta</w:t>
                  </w:r>
                </w:p>
              </w:tc>
              <w:tc>
                <w:tcPr>
                  <w:tcW w:w="1392" w:type="dxa"/>
                  <w:tcBorders>
                    <w:top w:val="nil"/>
                    <w:left w:val="nil"/>
                    <w:bottom w:val="single" w:color="auto" w:sz="4" w:space="0"/>
                    <w:right w:val="single" w:color="auto" w:sz="4" w:space="0"/>
                  </w:tcBorders>
                  <w:shd w:val="clear" w:color="auto" w:fill="auto"/>
                  <w:noWrap/>
                  <w:vAlign w:val="center"/>
                </w:tcPr>
                <w:p w14:paraId="5AA2E3CE">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国家</w:t>
                  </w:r>
                  <w:r>
                    <w:rPr>
                      <w:rFonts w:eastAsia="宋体"/>
                      <w:color w:val="auto"/>
                      <w:kern w:val="0"/>
                      <w:sz w:val="21"/>
                      <w:szCs w:val="21"/>
                    </w:rPr>
                    <w:t xml:space="preserve"> </w:t>
                  </w:r>
                  <w:r>
                    <w:rPr>
                      <w:rFonts w:hint="default" w:ascii="Times New Roman" w:hAnsi="Times New Roman" w:eastAsia="宋体"/>
                      <w:color w:val="auto"/>
                      <w:kern w:val="0"/>
                      <w:sz w:val="21"/>
                      <w:szCs w:val="21"/>
                    </w:rPr>
                    <w:t>Ⅱ</w:t>
                  </w:r>
                  <w:r>
                    <w:rPr>
                      <w:rFonts w:eastAsia="宋体"/>
                      <w:color w:val="auto"/>
                      <w:kern w:val="0"/>
                      <w:sz w:val="21"/>
                      <w:szCs w:val="21"/>
                    </w:rPr>
                    <w:t xml:space="preserve"> </w:t>
                  </w:r>
                  <w:r>
                    <w:rPr>
                      <w:rFonts w:hint="default" w:ascii="Times New Roman" w:hAnsi="Times New Roman" w:eastAsia="宋体"/>
                      <w:color w:val="auto"/>
                      <w:kern w:val="0"/>
                      <w:sz w:val="21"/>
                      <w:szCs w:val="21"/>
                    </w:rPr>
                    <w:t>级</w:t>
                  </w:r>
                </w:p>
              </w:tc>
            </w:tr>
            <w:tr w14:paraId="6F11A91D">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3A190A32">
                  <w:pPr>
                    <w:widowControl/>
                    <w:adjustRightInd/>
                    <w:snapToGrid/>
                    <w:spacing w:line="240" w:lineRule="auto"/>
                    <w:ind w:firstLine="0" w:firstLineChars="0"/>
                    <w:jc w:val="center"/>
                    <w:rPr>
                      <w:rFonts w:eastAsia="宋体"/>
                      <w:color w:val="auto"/>
                      <w:kern w:val="0"/>
                      <w:sz w:val="21"/>
                      <w:szCs w:val="21"/>
                    </w:rPr>
                  </w:pPr>
                </w:p>
              </w:tc>
              <w:tc>
                <w:tcPr>
                  <w:tcW w:w="1040" w:type="dxa"/>
                  <w:vMerge w:val="restart"/>
                  <w:tcBorders>
                    <w:top w:val="nil"/>
                    <w:left w:val="single" w:color="auto" w:sz="4" w:space="0"/>
                    <w:bottom w:val="single" w:color="auto" w:sz="4" w:space="0"/>
                    <w:right w:val="single" w:color="auto" w:sz="4" w:space="0"/>
                  </w:tcBorders>
                  <w:shd w:val="clear" w:color="auto" w:fill="auto"/>
                  <w:noWrap/>
                  <w:vAlign w:val="center"/>
                </w:tcPr>
                <w:p w14:paraId="7BBC09E3">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偶蹄目</w:t>
                  </w:r>
                </w:p>
              </w:tc>
              <w:tc>
                <w:tcPr>
                  <w:tcW w:w="1040" w:type="dxa"/>
                  <w:tcBorders>
                    <w:top w:val="nil"/>
                    <w:left w:val="nil"/>
                    <w:bottom w:val="single" w:color="auto" w:sz="4" w:space="0"/>
                    <w:right w:val="single" w:color="auto" w:sz="4" w:space="0"/>
                  </w:tcBorders>
                  <w:shd w:val="clear" w:color="auto" w:fill="auto"/>
                  <w:noWrap/>
                  <w:vAlign w:val="center"/>
                </w:tcPr>
                <w:p w14:paraId="4F045C3D">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鹿科</w:t>
                  </w:r>
                </w:p>
              </w:tc>
              <w:tc>
                <w:tcPr>
                  <w:tcW w:w="3400" w:type="dxa"/>
                  <w:tcBorders>
                    <w:top w:val="nil"/>
                    <w:left w:val="nil"/>
                    <w:bottom w:val="single" w:color="auto" w:sz="4" w:space="0"/>
                    <w:right w:val="single" w:color="auto" w:sz="4" w:space="0"/>
                  </w:tcBorders>
                  <w:shd w:val="clear" w:color="auto" w:fill="auto"/>
                  <w:noWrap/>
                  <w:vAlign w:val="center"/>
                </w:tcPr>
                <w:p w14:paraId="4333B218">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赤麂Muntiacus muntjak</w:t>
                  </w:r>
                </w:p>
              </w:tc>
              <w:tc>
                <w:tcPr>
                  <w:tcW w:w="1392" w:type="dxa"/>
                  <w:tcBorders>
                    <w:top w:val="nil"/>
                    <w:left w:val="nil"/>
                    <w:bottom w:val="single" w:color="auto" w:sz="4" w:space="0"/>
                    <w:right w:val="single" w:color="auto" w:sz="4" w:space="0"/>
                  </w:tcBorders>
                  <w:shd w:val="clear" w:color="auto" w:fill="auto"/>
                  <w:noWrap/>
                  <w:vAlign w:val="center"/>
                </w:tcPr>
                <w:p w14:paraId="6C0019CE">
                  <w:pPr>
                    <w:widowControl/>
                    <w:adjustRightInd/>
                    <w:snapToGrid/>
                    <w:spacing w:line="240" w:lineRule="auto"/>
                    <w:ind w:firstLine="0" w:firstLineChars="0"/>
                    <w:jc w:val="center"/>
                    <w:rPr>
                      <w:rFonts w:eastAsia="宋体"/>
                      <w:color w:val="auto"/>
                      <w:kern w:val="0"/>
                      <w:sz w:val="21"/>
                      <w:szCs w:val="21"/>
                    </w:rPr>
                  </w:pPr>
                </w:p>
              </w:tc>
            </w:tr>
            <w:tr w14:paraId="78C41FA6">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4466D5CA">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3667974F">
                  <w:pPr>
                    <w:widowControl/>
                    <w:adjustRightInd/>
                    <w:snapToGrid/>
                    <w:spacing w:line="240" w:lineRule="auto"/>
                    <w:ind w:firstLine="0" w:firstLineChars="0"/>
                    <w:jc w:val="center"/>
                    <w:rPr>
                      <w:rFonts w:eastAsia="宋体"/>
                      <w:color w:val="auto"/>
                      <w:kern w:val="0"/>
                      <w:sz w:val="21"/>
                      <w:szCs w:val="21"/>
                    </w:rPr>
                  </w:pPr>
                </w:p>
              </w:tc>
              <w:tc>
                <w:tcPr>
                  <w:tcW w:w="1040" w:type="dxa"/>
                  <w:tcBorders>
                    <w:top w:val="nil"/>
                    <w:left w:val="nil"/>
                    <w:bottom w:val="single" w:color="auto" w:sz="4" w:space="0"/>
                    <w:right w:val="single" w:color="auto" w:sz="4" w:space="0"/>
                  </w:tcBorders>
                  <w:shd w:val="clear" w:color="auto" w:fill="auto"/>
                  <w:noWrap/>
                  <w:vAlign w:val="center"/>
                </w:tcPr>
                <w:p w14:paraId="0AE896B3">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猪科</w:t>
                  </w:r>
                </w:p>
              </w:tc>
              <w:tc>
                <w:tcPr>
                  <w:tcW w:w="3400" w:type="dxa"/>
                  <w:tcBorders>
                    <w:top w:val="nil"/>
                    <w:left w:val="nil"/>
                    <w:bottom w:val="single" w:color="auto" w:sz="4" w:space="0"/>
                    <w:right w:val="single" w:color="auto" w:sz="4" w:space="0"/>
                  </w:tcBorders>
                  <w:shd w:val="clear" w:color="auto" w:fill="auto"/>
                  <w:noWrap/>
                  <w:vAlign w:val="center"/>
                </w:tcPr>
                <w:p w14:paraId="70FEAD80">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野猪Sus scrofa</w:t>
                  </w:r>
                </w:p>
              </w:tc>
              <w:tc>
                <w:tcPr>
                  <w:tcW w:w="1392" w:type="dxa"/>
                  <w:tcBorders>
                    <w:top w:val="nil"/>
                    <w:left w:val="nil"/>
                    <w:bottom w:val="single" w:color="auto" w:sz="4" w:space="0"/>
                    <w:right w:val="single" w:color="auto" w:sz="4" w:space="0"/>
                  </w:tcBorders>
                  <w:shd w:val="clear" w:color="auto" w:fill="auto"/>
                  <w:noWrap/>
                  <w:vAlign w:val="center"/>
                </w:tcPr>
                <w:p w14:paraId="343268C8">
                  <w:pPr>
                    <w:widowControl/>
                    <w:adjustRightInd/>
                    <w:snapToGrid/>
                    <w:spacing w:line="240" w:lineRule="auto"/>
                    <w:ind w:firstLine="0" w:firstLineChars="0"/>
                    <w:jc w:val="center"/>
                    <w:rPr>
                      <w:rFonts w:eastAsia="宋体"/>
                      <w:color w:val="auto"/>
                      <w:kern w:val="0"/>
                      <w:sz w:val="21"/>
                      <w:szCs w:val="21"/>
                    </w:rPr>
                  </w:pPr>
                </w:p>
              </w:tc>
            </w:tr>
            <w:tr w14:paraId="767D0B28">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007B1213">
                  <w:pPr>
                    <w:widowControl/>
                    <w:adjustRightInd/>
                    <w:snapToGrid/>
                    <w:spacing w:line="240" w:lineRule="auto"/>
                    <w:ind w:firstLine="0" w:firstLineChars="0"/>
                    <w:jc w:val="center"/>
                    <w:rPr>
                      <w:rFonts w:eastAsia="宋体"/>
                      <w:color w:val="auto"/>
                      <w:kern w:val="0"/>
                      <w:sz w:val="21"/>
                      <w:szCs w:val="21"/>
                    </w:rPr>
                  </w:pPr>
                </w:p>
              </w:tc>
              <w:tc>
                <w:tcPr>
                  <w:tcW w:w="1040" w:type="dxa"/>
                  <w:vMerge w:val="restart"/>
                  <w:tcBorders>
                    <w:top w:val="nil"/>
                    <w:left w:val="single" w:color="auto" w:sz="4" w:space="0"/>
                    <w:bottom w:val="single" w:color="auto" w:sz="4" w:space="0"/>
                    <w:right w:val="single" w:color="auto" w:sz="4" w:space="0"/>
                  </w:tcBorders>
                  <w:shd w:val="clear" w:color="auto" w:fill="auto"/>
                  <w:noWrap/>
                  <w:vAlign w:val="center"/>
                </w:tcPr>
                <w:p w14:paraId="12DD23F1">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食肉目</w:t>
                  </w:r>
                </w:p>
              </w:tc>
              <w:tc>
                <w:tcPr>
                  <w:tcW w:w="1040" w:type="dxa"/>
                  <w:tcBorders>
                    <w:top w:val="nil"/>
                    <w:left w:val="nil"/>
                    <w:bottom w:val="single" w:color="auto" w:sz="4" w:space="0"/>
                    <w:right w:val="single" w:color="auto" w:sz="4" w:space="0"/>
                  </w:tcBorders>
                  <w:shd w:val="clear" w:color="auto" w:fill="auto"/>
                  <w:noWrap/>
                  <w:vAlign w:val="center"/>
                </w:tcPr>
                <w:p w14:paraId="1D048844">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灵猫科</w:t>
                  </w:r>
                </w:p>
              </w:tc>
              <w:tc>
                <w:tcPr>
                  <w:tcW w:w="3400" w:type="dxa"/>
                  <w:tcBorders>
                    <w:top w:val="nil"/>
                    <w:left w:val="nil"/>
                    <w:bottom w:val="single" w:color="auto" w:sz="4" w:space="0"/>
                    <w:right w:val="single" w:color="auto" w:sz="4" w:space="0"/>
                  </w:tcBorders>
                  <w:shd w:val="clear" w:color="auto" w:fill="auto"/>
                  <w:noWrap/>
                  <w:vAlign w:val="center"/>
                </w:tcPr>
                <w:p w14:paraId="589F4EEB">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果子狸Paguma larvata</w:t>
                  </w:r>
                </w:p>
              </w:tc>
              <w:tc>
                <w:tcPr>
                  <w:tcW w:w="1392" w:type="dxa"/>
                  <w:tcBorders>
                    <w:top w:val="nil"/>
                    <w:left w:val="nil"/>
                    <w:bottom w:val="single" w:color="auto" w:sz="4" w:space="0"/>
                    <w:right w:val="single" w:color="auto" w:sz="4" w:space="0"/>
                  </w:tcBorders>
                  <w:shd w:val="clear" w:color="auto" w:fill="auto"/>
                  <w:noWrap/>
                  <w:vAlign w:val="center"/>
                </w:tcPr>
                <w:p w14:paraId="0715FD89">
                  <w:pPr>
                    <w:widowControl/>
                    <w:adjustRightInd/>
                    <w:snapToGrid/>
                    <w:spacing w:line="240" w:lineRule="auto"/>
                    <w:ind w:firstLine="0" w:firstLineChars="0"/>
                    <w:jc w:val="center"/>
                    <w:rPr>
                      <w:rFonts w:eastAsia="宋体"/>
                      <w:color w:val="auto"/>
                      <w:kern w:val="0"/>
                      <w:sz w:val="21"/>
                      <w:szCs w:val="21"/>
                    </w:rPr>
                  </w:pPr>
                </w:p>
              </w:tc>
            </w:tr>
            <w:tr w14:paraId="2186DBB3">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0E4B033C">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61168DC3">
                  <w:pPr>
                    <w:widowControl/>
                    <w:adjustRightInd/>
                    <w:snapToGrid/>
                    <w:spacing w:line="240" w:lineRule="auto"/>
                    <w:ind w:firstLine="0" w:firstLineChars="0"/>
                    <w:jc w:val="center"/>
                    <w:rPr>
                      <w:rFonts w:eastAsia="宋体"/>
                      <w:color w:val="auto"/>
                      <w:kern w:val="0"/>
                      <w:sz w:val="21"/>
                      <w:szCs w:val="21"/>
                    </w:rPr>
                  </w:pPr>
                </w:p>
              </w:tc>
              <w:tc>
                <w:tcPr>
                  <w:tcW w:w="1040" w:type="dxa"/>
                  <w:tcBorders>
                    <w:top w:val="nil"/>
                    <w:left w:val="nil"/>
                    <w:bottom w:val="single" w:color="auto" w:sz="4" w:space="0"/>
                    <w:right w:val="single" w:color="auto" w:sz="4" w:space="0"/>
                  </w:tcBorders>
                  <w:shd w:val="clear" w:color="auto" w:fill="auto"/>
                  <w:noWrap/>
                  <w:vAlign w:val="center"/>
                </w:tcPr>
                <w:p w14:paraId="2420828F">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鼬科</w:t>
                  </w:r>
                </w:p>
              </w:tc>
              <w:tc>
                <w:tcPr>
                  <w:tcW w:w="3400" w:type="dxa"/>
                  <w:tcBorders>
                    <w:top w:val="nil"/>
                    <w:left w:val="nil"/>
                    <w:bottom w:val="single" w:color="auto" w:sz="4" w:space="0"/>
                    <w:right w:val="single" w:color="auto" w:sz="4" w:space="0"/>
                  </w:tcBorders>
                  <w:shd w:val="clear" w:color="auto" w:fill="auto"/>
                  <w:noWrap/>
                  <w:vAlign w:val="center"/>
                </w:tcPr>
                <w:p w14:paraId="27129D8F">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黄鼬Mustela sibirica</w:t>
                  </w:r>
                </w:p>
              </w:tc>
              <w:tc>
                <w:tcPr>
                  <w:tcW w:w="1392" w:type="dxa"/>
                  <w:tcBorders>
                    <w:top w:val="nil"/>
                    <w:left w:val="nil"/>
                    <w:bottom w:val="single" w:color="auto" w:sz="4" w:space="0"/>
                    <w:right w:val="single" w:color="auto" w:sz="4" w:space="0"/>
                  </w:tcBorders>
                  <w:shd w:val="clear" w:color="auto" w:fill="auto"/>
                  <w:noWrap/>
                  <w:vAlign w:val="center"/>
                </w:tcPr>
                <w:p w14:paraId="4266BE60">
                  <w:pPr>
                    <w:widowControl/>
                    <w:adjustRightInd/>
                    <w:snapToGrid/>
                    <w:spacing w:line="240" w:lineRule="auto"/>
                    <w:ind w:firstLine="0" w:firstLineChars="0"/>
                    <w:jc w:val="center"/>
                    <w:rPr>
                      <w:rFonts w:eastAsia="宋体"/>
                      <w:color w:val="auto"/>
                      <w:kern w:val="0"/>
                      <w:sz w:val="21"/>
                      <w:szCs w:val="21"/>
                    </w:rPr>
                  </w:pPr>
                </w:p>
              </w:tc>
            </w:tr>
            <w:tr w14:paraId="07B7E128">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310F2516">
                  <w:pPr>
                    <w:widowControl/>
                    <w:adjustRightInd/>
                    <w:snapToGrid/>
                    <w:spacing w:line="240" w:lineRule="auto"/>
                    <w:ind w:firstLine="0" w:firstLineChars="0"/>
                    <w:jc w:val="center"/>
                    <w:rPr>
                      <w:rFonts w:eastAsia="宋体"/>
                      <w:color w:val="auto"/>
                      <w:kern w:val="0"/>
                      <w:sz w:val="21"/>
                      <w:szCs w:val="21"/>
                    </w:rPr>
                  </w:pPr>
                </w:p>
              </w:tc>
              <w:tc>
                <w:tcPr>
                  <w:tcW w:w="1040" w:type="dxa"/>
                  <w:tcBorders>
                    <w:top w:val="nil"/>
                    <w:left w:val="nil"/>
                    <w:bottom w:val="single" w:color="auto" w:sz="4" w:space="0"/>
                    <w:right w:val="single" w:color="auto" w:sz="4" w:space="0"/>
                  </w:tcBorders>
                  <w:shd w:val="clear" w:color="auto" w:fill="auto"/>
                  <w:noWrap/>
                  <w:vAlign w:val="center"/>
                </w:tcPr>
                <w:p w14:paraId="1C1C5FE5">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兔形目</w:t>
                  </w:r>
                </w:p>
              </w:tc>
              <w:tc>
                <w:tcPr>
                  <w:tcW w:w="1040" w:type="dxa"/>
                  <w:tcBorders>
                    <w:top w:val="nil"/>
                    <w:left w:val="nil"/>
                    <w:bottom w:val="single" w:color="auto" w:sz="4" w:space="0"/>
                    <w:right w:val="single" w:color="auto" w:sz="4" w:space="0"/>
                  </w:tcBorders>
                  <w:shd w:val="clear" w:color="auto" w:fill="auto"/>
                  <w:noWrap/>
                  <w:vAlign w:val="center"/>
                </w:tcPr>
                <w:p w14:paraId="79BD144F">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兔科</w:t>
                  </w:r>
                </w:p>
              </w:tc>
              <w:tc>
                <w:tcPr>
                  <w:tcW w:w="3400" w:type="dxa"/>
                  <w:tcBorders>
                    <w:top w:val="nil"/>
                    <w:left w:val="nil"/>
                    <w:bottom w:val="single" w:color="auto" w:sz="4" w:space="0"/>
                    <w:right w:val="single" w:color="auto" w:sz="4" w:space="0"/>
                  </w:tcBorders>
                  <w:shd w:val="clear" w:color="auto" w:fill="auto"/>
                  <w:noWrap/>
                  <w:vAlign w:val="center"/>
                </w:tcPr>
                <w:p w14:paraId="209BFEB3">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华南兔Lepus sinensis</w:t>
                  </w:r>
                </w:p>
              </w:tc>
              <w:tc>
                <w:tcPr>
                  <w:tcW w:w="1392" w:type="dxa"/>
                  <w:tcBorders>
                    <w:top w:val="nil"/>
                    <w:left w:val="nil"/>
                    <w:bottom w:val="single" w:color="auto" w:sz="4" w:space="0"/>
                    <w:right w:val="single" w:color="auto" w:sz="4" w:space="0"/>
                  </w:tcBorders>
                  <w:shd w:val="clear" w:color="auto" w:fill="auto"/>
                  <w:noWrap/>
                  <w:vAlign w:val="center"/>
                </w:tcPr>
                <w:p w14:paraId="72FDE4E0">
                  <w:pPr>
                    <w:widowControl/>
                    <w:adjustRightInd/>
                    <w:snapToGrid/>
                    <w:spacing w:line="240" w:lineRule="auto"/>
                    <w:ind w:firstLine="0" w:firstLineChars="0"/>
                    <w:jc w:val="center"/>
                    <w:rPr>
                      <w:rFonts w:eastAsia="宋体"/>
                      <w:color w:val="auto"/>
                      <w:kern w:val="0"/>
                      <w:sz w:val="21"/>
                      <w:szCs w:val="21"/>
                    </w:rPr>
                  </w:pPr>
                </w:p>
              </w:tc>
            </w:tr>
            <w:tr w14:paraId="3C7AB31C">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6F143A05">
                  <w:pPr>
                    <w:widowControl/>
                    <w:adjustRightInd/>
                    <w:snapToGrid/>
                    <w:spacing w:line="240" w:lineRule="auto"/>
                    <w:ind w:firstLine="0" w:firstLineChars="0"/>
                    <w:jc w:val="center"/>
                    <w:rPr>
                      <w:rFonts w:eastAsia="宋体"/>
                      <w:color w:val="auto"/>
                      <w:kern w:val="0"/>
                      <w:sz w:val="21"/>
                      <w:szCs w:val="21"/>
                    </w:rPr>
                  </w:pPr>
                </w:p>
              </w:tc>
              <w:tc>
                <w:tcPr>
                  <w:tcW w:w="1040" w:type="dxa"/>
                  <w:vMerge w:val="restart"/>
                  <w:tcBorders>
                    <w:top w:val="nil"/>
                    <w:left w:val="single" w:color="auto" w:sz="4" w:space="0"/>
                    <w:bottom w:val="single" w:color="auto" w:sz="4" w:space="0"/>
                    <w:right w:val="single" w:color="auto" w:sz="4" w:space="0"/>
                  </w:tcBorders>
                  <w:shd w:val="clear" w:color="auto" w:fill="auto"/>
                  <w:noWrap/>
                  <w:vAlign w:val="center"/>
                </w:tcPr>
                <w:p w14:paraId="624BED30">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啮齿目</w:t>
                  </w:r>
                </w:p>
              </w:tc>
              <w:tc>
                <w:tcPr>
                  <w:tcW w:w="1040" w:type="dxa"/>
                  <w:vMerge w:val="restart"/>
                  <w:tcBorders>
                    <w:top w:val="nil"/>
                    <w:left w:val="nil"/>
                    <w:right w:val="single" w:color="auto" w:sz="4" w:space="0"/>
                  </w:tcBorders>
                  <w:shd w:val="clear" w:color="auto" w:fill="auto"/>
                  <w:noWrap/>
                  <w:vAlign w:val="center"/>
                </w:tcPr>
                <w:p w14:paraId="6FE0DD7B">
                  <w:pPr>
                    <w:widowControl/>
                    <w:adjustRightInd/>
                    <w:snapToGrid/>
                    <w:spacing w:line="240" w:lineRule="auto"/>
                    <w:ind w:firstLine="0" w:firstLineChars="0"/>
                    <w:jc w:val="center"/>
                    <w:rPr>
                      <w:rFonts w:hint="default" w:eastAsia="宋体"/>
                      <w:color w:val="auto"/>
                      <w:kern w:val="0"/>
                      <w:sz w:val="21"/>
                      <w:szCs w:val="21"/>
                    </w:rPr>
                  </w:pPr>
                  <w:r>
                    <w:rPr>
                      <w:rFonts w:hint="default" w:ascii="Times New Roman" w:hAnsi="Times New Roman" w:eastAsia="宋体"/>
                      <w:color w:val="auto"/>
                      <w:kern w:val="0"/>
                      <w:sz w:val="21"/>
                      <w:szCs w:val="21"/>
                    </w:rPr>
                    <w:t>松鼠科</w:t>
                  </w:r>
                </w:p>
              </w:tc>
              <w:tc>
                <w:tcPr>
                  <w:tcW w:w="3400" w:type="dxa"/>
                  <w:tcBorders>
                    <w:top w:val="nil"/>
                    <w:left w:val="nil"/>
                    <w:bottom w:val="single" w:color="auto" w:sz="4" w:space="0"/>
                    <w:right w:val="single" w:color="auto" w:sz="4" w:space="0"/>
                  </w:tcBorders>
                  <w:shd w:val="clear" w:color="auto" w:fill="auto"/>
                  <w:noWrap/>
                  <w:vAlign w:val="center"/>
                </w:tcPr>
                <w:p w14:paraId="64B1ABB8">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红白鼯鼠Petaurista alborufus</w:t>
                  </w:r>
                </w:p>
              </w:tc>
              <w:tc>
                <w:tcPr>
                  <w:tcW w:w="1392" w:type="dxa"/>
                  <w:tcBorders>
                    <w:top w:val="nil"/>
                    <w:left w:val="nil"/>
                    <w:bottom w:val="single" w:color="auto" w:sz="4" w:space="0"/>
                    <w:right w:val="single" w:color="auto" w:sz="4" w:space="0"/>
                  </w:tcBorders>
                  <w:shd w:val="clear" w:color="auto" w:fill="auto"/>
                  <w:noWrap/>
                  <w:vAlign w:val="center"/>
                </w:tcPr>
                <w:p w14:paraId="21434572">
                  <w:pPr>
                    <w:widowControl/>
                    <w:adjustRightInd/>
                    <w:snapToGrid/>
                    <w:spacing w:line="240" w:lineRule="auto"/>
                    <w:ind w:firstLine="0" w:firstLineChars="0"/>
                    <w:jc w:val="center"/>
                    <w:rPr>
                      <w:rFonts w:eastAsia="宋体"/>
                      <w:color w:val="auto"/>
                      <w:kern w:val="0"/>
                      <w:sz w:val="21"/>
                      <w:szCs w:val="21"/>
                    </w:rPr>
                  </w:pPr>
                </w:p>
              </w:tc>
            </w:tr>
            <w:tr w14:paraId="55BAEE0E">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7BB23B28">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7B622080">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left w:val="nil"/>
                    <w:right w:val="single" w:color="auto" w:sz="4" w:space="0"/>
                  </w:tcBorders>
                  <w:shd w:val="clear" w:color="auto" w:fill="auto"/>
                  <w:noWrap/>
                  <w:vAlign w:val="center"/>
                </w:tcPr>
                <w:p w14:paraId="27534883">
                  <w:pPr>
                    <w:widowControl w:val="0"/>
                    <w:adjustRightInd w:val="0"/>
                    <w:snapToGrid w:val="0"/>
                    <w:spacing w:line="240" w:lineRule="auto"/>
                    <w:ind w:firstLine="420" w:firstLineChars="200"/>
                    <w:jc w:val="center"/>
                    <w:rPr>
                      <w:rFonts w:eastAsia="宋体"/>
                      <w:color w:val="auto"/>
                      <w:kern w:val="0"/>
                      <w:sz w:val="21"/>
                      <w:szCs w:val="21"/>
                    </w:rPr>
                  </w:pPr>
                </w:p>
              </w:tc>
              <w:tc>
                <w:tcPr>
                  <w:tcW w:w="3400" w:type="dxa"/>
                  <w:tcBorders>
                    <w:top w:val="nil"/>
                    <w:left w:val="nil"/>
                    <w:bottom w:val="single" w:color="auto" w:sz="4" w:space="0"/>
                    <w:right w:val="single" w:color="auto" w:sz="4" w:space="0"/>
                  </w:tcBorders>
                  <w:shd w:val="clear" w:color="auto" w:fill="auto"/>
                  <w:noWrap/>
                  <w:vAlign w:val="center"/>
                </w:tcPr>
                <w:p w14:paraId="27E5DA7D">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岩松鼠Sciurotamias davidianus</w:t>
                  </w:r>
                </w:p>
              </w:tc>
              <w:tc>
                <w:tcPr>
                  <w:tcW w:w="1392" w:type="dxa"/>
                  <w:tcBorders>
                    <w:top w:val="nil"/>
                    <w:left w:val="nil"/>
                    <w:bottom w:val="single" w:color="auto" w:sz="4" w:space="0"/>
                    <w:right w:val="single" w:color="auto" w:sz="4" w:space="0"/>
                  </w:tcBorders>
                  <w:shd w:val="clear" w:color="auto" w:fill="auto"/>
                  <w:noWrap/>
                  <w:vAlign w:val="center"/>
                </w:tcPr>
                <w:p w14:paraId="63DECBAC">
                  <w:pPr>
                    <w:widowControl/>
                    <w:adjustRightInd/>
                    <w:snapToGrid/>
                    <w:spacing w:line="240" w:lineRule="auto"/>
                    <w:ind w:firstLine="0" w:firstLineChars="0"/>
                    <w:jc w:val="center"/>
                    <w:rPr>
                      <w:rFonts w:eastAsia="宋体"/>
                      <w:color w:val="auto"/>
                      <w:kern w:val="0"/>
                      <w:sz w:val="21"/>
                      <w:szCs w:val="21"/>
                    </w:rPr>
                  </w:pPr>
                </w:p>
              </w:tc>
            </w:tr>
            <w:tr w14:paraId="53256953">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4443A338">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46129C79">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left w:val="nil"/>
                    <w:bottom w:val="single" w:color="auto" w:sz="4" w:space="0"/>
                    <w:right w:val="single" w:color="auto" w:sz="4" w:space="0"/>
                  </w:tcBorders>
                  <w:shd w:val="clear" w:color="auto" w:fill="auto"/>
                  <w:noWrap/>
                  <w:vAlign w:val="center"/>
                </w:tcPr>
                <w:p w14:paraId="02F0C13C">
                  <w:pPr>
                    <w:widowControl/>
                    <w:adjustRightInd/>
                    <w:snapToGrid/>
                    <w:spacing w:line="240" w:lineRule="auto"/>
                    <w:ind w:firstLine="0" w:firstLineChars="0"/>
                    <w:jc w:val="center"/>
                    <w:rPr>
                      <w:rFonts w:eastAsia="宋体"/>
                      <w:color w:val="auto"/>
                      <w:kern w:val="0"/>
                      <w:sz w:val="21"/>
                      <w:szCs w:val="21"/>
                    </w:rPr>
                  </w:pPr>
                </w:p>
              </w:tc>
              <w:tc>
                <w:tcPr>
                  <w:tcW w:w="3400" w:type="dxa"/>
                  <w:tcBorders>
                    <w:top w:val="nil"/>
                    <w:left w:val="nil"/>
                    <w:bottom w:val="single" w:color="auto" w:sz="4" w:space="0"/>
                    <w:right w:val="single" w:color="auto" w:sz="4" w:space="0"/>
                  </w:tcBorders>
                  <w:shd w:val="clear" w:color="auto" w:fill="auto"/>
                  <w:noWrap/>
                  <w:vAlign w:val="center"/>
                </w:tcPr>
                <w:p w14:paraId="2A9117D0">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普通松鼠Sciurus vulgaris</w:t>
                  </w:r>
                </w:p>
              </w:tc>
              <w:tc>
                <w:tcPr>
                  <w:tcW w:w="1392" w:type="dxa"/>
                  <w:tcBorders>
                    <w:top w:val="nil"/>
                    <w:left w:val="nil"/>
                    <w:bottom w:val="single" w:color="auto" w:sz="4" w:space="0"/>
                    <w:right w:val="single" w:color="auto" w:sz="4" w:space="0"/>
                  </w:tcBorders>
                  <w:shd w:val="clear" w:color="auto" w:fill="auto"/>
                  <w:noWrap/>
                  <w:vAlign w:val="center"/>
                </w:tcPr>
                <w:p w14:paraId="3B937960">
                  <w:pPr>
                    <w:widowControl/>
                    <w:adjustRightInd/>
                    <w:snapToGrid/>
                    <w:spacing w:line="240" w:lineRule="auto"/>
                    <w:ind w:firstLine="0" w:firstLineChars="0"/>
                    <w:jc w:val="center"/>
                    <w:rPr>
                      <w:rFonts w:eastAsia="宋体"/>
                      <w:color w:val="auto"/>
                      <w:kern w:val="0"/>
                      <w:sz w:val="21"/>
                      <w:szCs w:val="21"/>
                    </w:rPr>
                  </w:pPr>
                </w:p>
              </w:tc>
            </w:tr>
            <w:tr w14:paraId="688FE480">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2A2D7658">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64D7B114">
                  <w:pPr>
                    <w:widowControl/>
                    <w:adjustRightInd/>
                    <w:snapToGrid/>
                    <w:spacing w:line="240" w:lineRule="auto"/>
                    <w:ind w:firstLine="0" w:firstLineChars="0"/>
                    <w:jc w:val="center"/>
                    <w:rPr>
                      <w:rFonts w:eastAsia="宋体"/>
                      <w:color w:val="auto"/>
                      <w:kern w:val="0"/>
                      <w:sz w:val="21"/>
                      <w:szCs w:val="21"/>
                    </w:rPr>
                  </w:pPr>
                </w:p>
              </w:tc>
              <w:tc>
                <w:tcPr>
                  <w:tcW w:w="1040" w:type="dxa"/>
                  <w:tcBorders>
                    <w:top w:val="nil"/>
                    <w:left w:val="nil"/>
                    <w:bottom w:val="single" w:color="auto" w:sz="4" w:space="0"/>
                    <w:right w:val="single" w:color="auto" w:sz="4" w:space="0"/>
                  </w:tcBorders>
                  <w:shd w:val="clear" w:color="auto" w:fill="auto"/>
                  <w:noWrap/>
                  <w:vAlign w:val="center"/>
                </w:tcPr>
                <w:p w14:paraId="682089DA">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豪猪科</w:t>
                  </w:r>
                </w:p>
              </w:tc>
              <w:tc>
                <w:tcPr>
                  <w:tcW w:w="3400" w:type="dxa"/>
                  <w:tcBorders>
                    <w:top w:val="nil"/>
                    <w:left w:val="nil"/>
                    <w:bottom w:val="single" w:color="auto" w:sz="4" w:space="0"/>
                    <w:right w:val="single" w:color="auto" w:sz="4" w:space="0"/>
                  </w:tcBorders>
                  <w:shd w:val="clear" w:color="auto" w:fill="auto"/>
                  <w:noWrap/>
                  <w:vAlign w:val="center"/>
                </w:tcPr>
                <w:p w14:paraId="159F47C4">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豪猪Hystrix brachyura</w:t>
                  </w:r>
                </w:p>
              </w:tc>
              <w:tc>
                <w:tcPr>
                  <w:tcW w:w="1392" w:type="dxa"/>
                  <w:tcBorders>
                    <w:top w:val="nil"/>
                    <w:left w:val="nil"/>
                    <w:bottom w:val="single" w:color="auto" w:sz="4" w:space="0"/>
                    <w:right w:val="single" w:color="auto" w:sz="4" w:space="0"/>
                  </w:tcBorders>
                  <w:shd w:val="clear" w:color="auto" w:fill="auto"/>
                  <w:noWrap/>
                  <w:vAlign w:val="center"/>
                </w:tcPr>
                <w:p w14:paraId="7D0FCF18">
                  <w:pPr>
                    <w:widowControl/>
                    <w:adjustRightInd/>
                    <w:snapToGrid/>
                    <w:spacing w:line="240" w:lineRule="auto"/>
                    <w:ind w:firstLine="0" w:firstLineChars="0"/>
                    <w:jc w:val="center"/>
                    <w:rPr>
                      <w:rFonts w:eastAsia="宋体"/>
                      <w:color w:val="auto"/>
                      <w:kern w:val="0"/>
                      <w:sz w:val="21"/>
                      <w:szCs w:val="21"/>
                    </w:rPr>
                  </w:pPr>
                </w:p>
              </w:tc>
            </w:tr>
            <w:tr w14:paraId="78487097">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11850651">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35058987">
                  <w:pPr>
                    <w:widowControl/>
                    <w:adjustRightInd/>
                    <w:snapToGrid/>
                    <w:spacing w:line="240" w:lineRule="auto"/>
                    <w:ind w:firstLine="0" w:firstLineChars="0"/>
                    <w:jc w:val="center"/>
                    <w:rPr>
                      <w:rFonts w:eastAsia="宋体"/>
                      <w:color w:val="auto"/>
                      <w:kern w:val="0"/>
                      <w:sz w:val="21"/>
                      <w:szCs w:val="21"/>
                    </w:rPr>
                  </w:pPr>
                </w:p>
              </w:tc>
              <w:tc>
                <w:tcPr>
                  <w:tcW w:w="1040" w:type="dxa"/>
                  <w:vMerge w:val="restart"/>
                  <w:tcBorders>
                    <w:top w:val="nil"/>
                    <w:left w:val="nil"/>
                    <w:right w:val="single" w:color="auto" w:sz="4" w:space="0"/>
                  </w:tcBorders>
                  <w:shd w:val="clear" w:color="auto" w:fill="auto"/>
                  <w:noWrap/>
                  <w:vAlign w:val="center"/>
                </w:tcPr>
                <w:p w14:paraId="6275EA89">
                  <w:pPr>
                    <w:widowControl/>
                    <w:adjustRightInd/>
                    <w:snapToGrid/>
                    <w:spacing w:line="240" w:lineRule="auto"/>
                    <w:ind w:firstLine="0" w:firstLineChars="0"/>
                    <w:jc w:val="center"/>
                    <w:rPr>
                      <w:rFonts w:hint="default" w:eastAsia="宋体"/>
                      <w:color w:val="auto"/>
                      <w:kern w:val="0"/>
                      <w:sz w:val="21"/>
                      <w:szCs w:val="21"/>
                    </w:rPr>
                  </w:pPr>
                  <w:r>
                    <w:rPr>
                      <w:rFonts w:hint="default" w:ascii="Times New Roman" w:hAnsi="Times New Roman" w:eastAsia="宋体"/>
                      <w:color w:val="auto"/>
                      <w:kern w:val="0"/>
                      <w:sz w:val="21"/>
                      <w:szCs w:val="21"/>
                    </w:rPr>
                    <w:t>鼠科</w:t>
                  </w:r>
                </w:p>
              </w:tc>
              <w:tc>
                <w:tcPr>
                  <w:tcW w:w="3400" w:type="dxa"/>
                  <w:tcBorders>
                    <w:top w:val="nil"/>
                    <w:left w:val="nil"/>
                    <w:bottom w:val="single" w:color="auto" w:sz="4" w:space="0"/>
                    <w:right w:val="single" w:color="auto" w:sz="4" w:space="0"/>
                  </w:tcBorders>
                  <w:shd w:val="clear" w:color="auto" w:fill="auto"/>
                  <w:noWrap/>
                  <w:vAlign w:val="center"/>
                </w:tcPr>
                <w:p w14:paraId="618F2BF8">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褐家鼠Rattus norvegicus</w:t>
                  </w:r>
                </w:p>
              </w:tc>
              <w:tc>
                <w:tcPr>
                  <w:tcW w:w="1392" w:type="dxa"/>
                  <w:tcBorders>
                    <w:top w:val="nil"/>
                    <w:left w:val="nil"/>
                    <w:bottom w:val="single" w:color="auto" w:sz="4" w:space="0"/>
                    <w:right w:val="single" w:color="auto" w:sz="4" w:space="0"/>
                  </w:tcBorders>
                  <w:shd w:val="clear" w:color="auto" w:fill="auto"/>
                  <w:noWrap/>
                  <w:vAlign w:val="center"/>
                </w:tcPr>
                <w:p w14:paraId="71E3012F">
                  <w:pPr>
                    <w:widowControl/>
                    <w:adjustRightInd/>
                    <w:snapToGrid/>
                    <w:spacing w:line="240" w:lineRule="auto"/>
                    <w:ind w:firstLine="0" w:firstLineChars="0"/>
                    <w:jc w:val="center"/>
                    <w:rPr>
                      <w:rFonts w:eastAsia="宋体"/>
                      <w:color w:val="auto"/>
                      <w:kern w:val="0"/>
                      <w:sz w:val="21"/>
                      <w:szCs w:val="21"/>
                    </w:rPr>
                  </w:pPr>
                </w:p>
              </w:tc>
            </w:tr>
            <w:tr w14:paraId="4C716B6D">
              <w:tblPrEx>
                <w:tblCellMar>
                  <w:top w:w="0" w:type="dxa"/>
                  <w:left w:w="108" w:type="dxa"/>
                  <w:bottom w:w="0" w:type="dxa"/>
                  <w:right w:w="108" w:type="dxa"/>
                </w:tblCellMar>
              </w:tblPrEx>
              <w:trPr>
                <w:trHeight w:val="280" w:hRule="atLeast"/>
                <w:jc w:val="center"/>
              </w:trPr>
              <w:tc>
                <w:tcPr>
                  <w:tcW w:w="1040" w:type="dxa"/>
                  <w:vMerge w:val="continue"/>
                  <w:tcBorders>
                    <w:top w:val="nil"/>
                    <w:left w:val="single" w:color="auto" w:sz="4" w:space="0"/>
                    <w:bottom w:val="single" w:color="auto" w:sz="4" w:space="0"/>
                    <w:right w:val="single" w:color="auto" w:sz="4" w:space="0"/>
                  </w:tcBorders>
                  <w:vAlign w:val="center"/>
                </w:tcPr>
                <w:p w14:paraId="630F9CB9">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top w:val="nil"/>
                    <w:left w:val="single" w:color="auto" w:sz="4" w:space="0"/>
                    <w:bottom w:val="single" w:color="auto" w:sz="4" w:space="0"/>
                    <w:right w:val="single" w:color="auto" w:sz="4" w:space="0"/>
                  </w:tcBorders>
                  <w:vAlign w:val="center"/>
                </w:tcPr>
                <w:p w14:paraId="4D784AC4">
                  <w:pPr>
                    <w:widowControl/>
                    <w:adjustRightInd/>
                    <w:snapToGrid/>
                    <w:spacing w:line="240" w:lineRule="auto"/>
                    <w:ind w:firstLine="0" w:firstLineChars="0"/>
                    <w:jc w:val="center"/>
                    <w:rPr>
                      <w:rFonts w:eastAsia="宋体"/>
                      <w:color w:val="auto"/>
                      <w:kern w:val="0"/>
                      <w:sz w:val="21"/>
                      <w:szCs w:val="21"/>
                    </w:rPr>
                  </w:pPr>
                </w:p>
              </w:tc>
              <w:tc>
                <w:tcPr>
                  <w:tcW w:w="1040" w:type="dxa"/>
                  <w:vMerge w:val="continue"/>
                  <w:tcBorders>
                    <w:left w:val="nil"/>
                    <w:bottom w:val="single" w:color="auto" w:sz="4" w:space="0"/>
                    <w:right w:val="single" w:color="auto" w:sz="4" w:space="0"/>
                  </w:tcBorders>
                  <w:shd w:val="clear" w:color="auto" w:fill="auto"/>
                  <w:noWrap/>
                  <w:vAlign w:val="center"/>
                </w:tcPr>
                <w:p w14:paraId="49052713">
                  <w:pPr>
                    <w:widowControl/>
                    <w:adjustRightInd/>
                    <w:snapToGrid/>
                    <w:spacing w:line="240" w:lineRule="auto"/>
                    <w:ind w:firstLine="0" w:firstLineChars="0"/>
                    <w:jc w:val="center"/>
                    <w:rPr>
                      <w:rFonts w:eastAsia="宋体"/>
                      <w:color w:val="auto"/>
                      <w:kern w:val="0"/>
                      <w:sz w:val="21"/>
                      <w:szCs w:val="21"/>
                    </w:rPr>
                  </w:pPr>
                </w:p>
              </w:tc>
              <w:tc>
                <w:tcPr>
                  <w:tcW w:w="3400" w:type="dxa"/>
                  <w:tcBorders>
                    <w:top w:val="nil"/>
                    <w:left w:val="nil"/>
                    <w:bottom w:val="single" w:color="auto" w:sz="4" w:space="0"/>
                    <w:right w:val="single" w:color="auto" w:sz="4" w:space="0"/>
                  </w:tcBorders>
                  <w:shd w:val="clear" w:color="auto" w:fill="auto"/>
                  <w:noWrap/>
                  <w:vAlign w:val="center"/>
                </w:tcPr>
                <w:p w14:paraId="518F8901">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小家鼠Mus musculus</w:t>
                  </w:r>
                </w:p>
              </w:tc>
              <w:tc>
                <w:tcPr>
                  <w:tcW w:w="1392" w:type="dxa"/>
                  <w:tcBorders>
                    <w:top w:val="nil"/>
                    <w:left w:val="nil"/>
                    <w:bottom w:val="single" w:color="auto" w:sz="4" w:space="0"/>
                    <w:right w:val="single" w:color="auto" w:sz="4" w:space="0"/>
                  </w:tcBorders>
                  <w:shd w:val="clear" w:color="auto" w:fill="auto"/>
                  <w:noWrap/>
                  <w:vAlign w:val="center"/>
                </w:tcPr>
                <w:p w14:paraId="77853DF0">
                  <w:pPr>
                    <w:widowControl/>
                    <w:adjustRightInd/>
                    <w:snapToGrid/>
                    <w:spacing w:line="240" w:lineRule="auto"/>
                    <w:ind w:firstLine="0" w:firstLineChars="0"/>
                    <w:jc w:val="center"/>
                    <w:rPr>
                      <w:rFonts w:eastAsia="宋体"/>
                      <w:color w:val="auto"/>
                      <w:kern w:val="0"/>
                      <w:sz w:val="21"/>
                      <w:szCs w:val="21"/>
                    </w:rPr>
                  </w:pPr>
                </w:p>
              </w:tc>
            </w:tr>
          </w:tbl>
          <w:p w14:paraId="5A6411F6">
            <w:pPr>
              <w:spacing w:line="240" w:lineRule="auto"/>
              <w:ind w:firstLine="480"/>
              <w:jc w:val="center"/>
              <w:rPr>
                <w:rFonts w:hint="default"/>
                <w:color w:val="auto"/>
              </w:rPr>
            </w:pPr>
          </w:p>
          <w:p w14:paraId="6650631A">
            <w:pPr>
              <w:pStyle w:val="19"/>
              <w:keepNext w:val="0"/>
              <w:keepLines w:val="0"/>
              <w:pageBreakBefore w:val="0"/>
              <w:widowControl w:val="0"/>
              <w:numPr>
                <w:ilvl w:val="0"/>
                <w:numId w:val="2"/>
              </w:numPr>
              <w:kinsoku/>
              <w:wordWrap/>
              <w:overflowPunct/>
              <w:topLinePunct w:val="0"/>
              <w:autoSpaceDE/>
              <w:autoSpaceDN/>
              <w:bidi w:val="0"/>
              <w:adjustRightInd w:val="0"/>
              <w:snapToGrid w:val="0"/>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lang w:val="en-US" w:eastAsia="zh-CN"/>
              </w:rPr>
              <w:t>鸟类</w:t>
            </w:r>
          </w:p>
          <w:p w14:paraId="0160AF10">
            <w:pPr>
              <w:pStyle w:val="18"/>
              <w:spacing w:line="360" w:lineRule="auto"/>
              <w:ind w:firstLine="480" w:firstLineChars="200"/>
              <w:rPr>
                <w:color w:val="auto"/>
                <w:sz w:val="24"/>
                <w:szCs w:val="24"/>
              </w:rPr>
            </w:pPr>
            <w:r>
              <w:rPr>
                <w:color w:val="auto"/>
                <w:sz w:val="24"/>
                <w:szCs w:val="24"/>
              </w:rPr>
              <w:t>在资料收集中，评价区内鸟类有8目1</w:t>
            </w:r>
            <w:r>
              <w:rPr>
                <w:rFonts w:hint="eastAsia"/>
                <w:color w:val="auto"/>
                <w:sz w:val="24"/>
                <w:szCs w:val="24"/>
                <w:lang w:val="en-US" w:eastAsia="zh-CN"/>
              </w:rPr>
              <w:t>4</w:t>
            </w:r>
            <w:r>
              <w:rPr>
                <w:color w:val="auto"/>
                <w:sz w:val="24"/>
                <w:szCs w:val="24"/>
              </w:rPr>
              <w:t>科2</w:t>
            </w:r>
            <w:r>
              <w:rPr>
                <w:rFonts w:hint="eastAsia"/>
                <w:color w:val="auto"/>
                <w:sz w:val="24"/>
                <w:szCs w:val="24"/>
                <w:lang w:val="en-US" w:eastAsia="zh-CN"/>
              </w:rPr>
              <w:t>1</w:t>
            </w:r>
            <w:r>
              <w:rPr>
                <w:color w:val="auto"/>
                <w:sz w:val="24"/>
                <w:szCs w:val="24"/>
              </w:rPr>
              <w:t>种，见表3-10。评价区鸟类动物区系以东洋界成分为主，同时分布较多古北</w:t>
            </w:r>
            <w:r>
              <w:rPr>
                <w:color w:val="auto"/>
                <w:sz w:val="24"/>
                <w:szCs w:val="24"/>
              </w:rPr>
              <w:noBreakHyphen/>
            </w:r>
            <w:r>
              <w:rPr>
                <w:color w:val="auto"/>
                <w:sz w:val="24"/>
                <w:szCs w:val="24"/>
              </w:rPr>
              <w:t>东洋两界广布种及古北界迁徙鸟类，体现滇东北山地动物地理过渡特征。东洋界成分共10种，以白腹锦鸡、画眉、红嘴蓝鹊等为代表；沼泽山雀、三道眉草鹀为古北界成分；猛禽、广布性雀形目鸟类多为两界广布种。</w:t>
            </w:r>
            <w:r>
              <w:rPr>
                <w:rFonts w:hint="default" w:ascii="Times New Roman" w:hAnsi="Times New Roman" w:cs="Times New Roman"/>
                <w:color w:val="auto"/>
                <w:sz w:val="24"/>
                <w:szCs w:val="24"/>
              </w:rPr>
              <w:t>评价区分布白腹锦鸡、红隼</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等8种国家Ⅱ级保护鸟类，其余为三有保护动物</w:t>
            </w:r>
            <w:r>
              <w:rPr>
                <w:color w:val="auto"/>
                <w:sz w:val="24"/>
                <w:szCs w:val="24"/>
              </w:rPr>
              <w:t>。</w:t>
            </w:r>
          </w:p>
          <w:p w14:paraId="38659B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b/>
                <w:color w:val="auto"/>
                <w:sz w:val="21"/>
                <w:szCs w:val="21"/>
              </w:rPr>
              <w:t>表3-</w:t>
            </w:r>
            <w:r>
              <w:rPr>
                <w:rFonts w:hint="eastAsia" w:cs="Times New Roman"/>
                <w:b/>
                <w:color w:val="auto"/>
                <w:sz w:val="21"/>
                <w:szCs w:val="21"/>
                <w:lang w:val="en-US" w:eastAsia="zh-CN"/>
              </w:rPr>
              <w:t>11</w:t>
            </w:r>
            <w:r>
              <w:rPr>
                <w:rFonts w:hint="default" w:ascii="Times New Roman" w:hAnsi="Times New Roman" w:eastAsia="宋体" w:cs="Times New Roman"/>
                <w:b/>
                <w:color w:val="auto"/>
                <w:sz w:val="21"/>
                <w:szCs w:val="21"/>
              </w:rPr>
              <w:t xml:space="preserve">  评价区</w:t>
            </w:r>
            <w:r>
              <w:rPr>
                <w:rFonts w:hint="default" w:ascii="Times New Roman" w:hAnsi="Times New Roman" w:eastAsia="宋体" w:cs="Times New Roman"/>
                <w:b/>
                <w:color w:val="auto"/>
                <w:sz w:val="21"/>
                <w:szCs w:val="21"/>
                <w:lang w:val="en-US" w:eastAsia="zh-CN"/>
              </w:rPr>
              <w:t>鸟类</w:t>
            </w:r>
            <w:r>
              <w:rPr>
                <w:rFonts w:hint="default" w:ascii="Times New Roman" w:hAnsi="Times New Roman" w:eastAsia="宋体" w:cs="Times New Roman"/>
                <w:b/>
                <w:color w:val="auto"/>
                <w:sz w:val="21"/>
                <w:szCs w:val="21"/>
              </w:rPr>
              <w:t>动物组成</w:t>
            </w:r>
          </w:p>
          <w:tbl>
            <w:tblPr>
              <w:tblStyle w:val="20"/>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240"/>
              <w:gridCol w:w="1103"/>
              <w:gridCol w:w="3941"/>
              <w:gridCol w:w="1447"/>
            </w:tblGrid>
            <w:tr w14:paraId="125F9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B4CAFC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类型</w:t>
                  </w:r>
                </w:p>
              </w:tc>
              <w:tc>
                <w:tcPr>
                  <w:tcW w:w="713" w:type="pct"/>
                  <w:tcBorders>
                    <w:top w:val="single" w:color="000000" w:sz="8" w:space="0"/>
                    <w:left w:val="nil"/>
                    <w:bottom w:val="single" w:color="000000" w:sz="8" w:space="0"/>
                    <w:right w:val="single" w:color="000000" w:sz="8" w:space="0"/>
                  </w:tcBorders>
                  <w:shd w:val="clear" w:color="auto" w:fill="auto"/>
                  <w:noWrap/>
                  <w:vAlign w:val="center"/>
                </w:tcPr>
                <w:p w14:paraId="43B1DDD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目</w:t>
                  </w:r>
                </w:p>
              </w:tc>
              <w:tc>
                <w:tcPr>
                  <w:tcW w:w="634" w:type="pct"/>
                  <w:tcBorders>
                    <w:top w:val="single" w:color="000000" w:sz="8" w:space="0"/>
                    <w:left w:val="nil"/>
                    <w:bottom w:val="single" w:color="000000" w:sz="8" w:space="0"/>
                    <w:right w:val="single" w:color="000000" w:sz="8" w:space="0"/>
                  </w:tcBorders>
                  <w:shd w:val="clear" w:color="auto" w:fill="auto"/>
                  <w:noWrap/>
                  <w:vAlign w:val="center"/>
                </w:tcPr>
                <w:p w14:paraId="3FB8BDE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科</w:t>
                  </w:r>
                </w:p>
              </w:tc>
              <w:tc>
                <w:tcPr>
                  <w:tcW w:w="2266" w:type="pct"/>
                  <w:tcBorders>
                    <w:top w:val="single" w:color="000000" w:sz="8" w:space="0"/>
                    <w:left w:val="nil"/>
                    <w:bottom w:val="single" w:color="000000" w:sz="8" w:space="0"/>
                    <w:right w:val="single" w:color="000000" w:sz="8" w:space="0"/>
                  </w:tcBorders>
                  <w:shd w:val="clear" w:color="auto" w:fill="auto"/>
                  <w:noWrap/>
                  <w:vAlign w:val="center"/>
                </w:tcPr>
                <w:p w14:paraId="134D987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种</w:t>
                  </w:r>
                </w:p>
              </w:tc>
              <w:tc>
                <w:tcPr>
                  <w:tcW w:w="832" w:type="pct"/>
                  <w:tcBorders>
                    <w:top w:val="single" w:color="000000" w:sz="8" w:space="0"/>
                    <w:left w:val="nil"/>
                    <w:bottom w:val="single" w:color="000000" w:sz="8" w:space="0"/>
                    <w:right w:val="single" w:color="000000" w:sz="8" w:space="0"/>
                  </w:tcBorders>
                  <w:shd w:val="clear" w:color="auto" w:fill="auto"/>
                  <w:noWrap/>
                  <w:vAlign w:val="center"/>
                </w:tcPr>
                <w:p w14:paraId="4A4A2B2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保护等级</w:t>
                  </w:r>
                </w:p>
              </w:tc>
            </w:tr>
            <w:tr w14:paraId="18845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restart"/>
                  <w:tcBorders>
                    <w:top w:val="nil"/>
                    <w:left w:val="single" w:color="000000" w:sz="8" w:space="0"/>
                    <w:bottom w:val="single" w:color="000000" w:sz="8" w:space="0"/>
                    <w:right w:val="single" w:color="000000" w:sz="8" w:space="0"/>
                  </w:tcBorders>
                  <w:shd w:val="clear" w:color="auto" w:fill="auto"/>
                  <w:noWrap/>
                  <w:vAlign w:val="center"/>
                </w:tcPr>
                <w:p w14:paraId="4B49625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鸟纲</w:t>
                  </w:r>
                </w:p>
              </w:tc>
              <w:tc>
                <w:tcPr>
                  <w:tcW w:w="713" w:type="pct"/>
                  <w:vMerge w:val="restart"/>
                  <w:tcBorders>
                    <w:top w:val="nil"/>
                    <w:left w:val="nil"/>
                    <w:bottom w:val="single" w:color="000000" w:sz="8" w:space="0"/>
                    <w:right w:val="single" w:color="000000" w:sz="8" w:space="0"/>
                  </w:tcBorders>
                  <w:shd w:val="clear" w:color="auto" w:fill="auto"/>
                  <w:noWrap/>
                  <w:vAlign w:val="center"/>
                </w:tcPr>
                <w:p w14:paraId="05617AA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鸽形目</w:t>
                  </w:r>
                </w:p>
              </w:tc>
              <w:tc>
                <w:tcPr>
                  <w:tcW w:w="634" w:type="pct"/>
                  <w:vMerge w:val="restart"/>
                  <w:tcBorders>
                    <w:top w:val="nil"/>
                    <w:left w:val="nil"/>
                    <w:bottom w:val="single" w:color="000000" w:sz="8" w:space="0"/>
                    <w:right w:val="single" w:color="000000" w:sz="8" w:space="0"/>
                  </w:tcBorders>
                  <w:shd w:val="clear" w:color="auto" w:fill="auto"/>
                  <w:noWrap/>
                  <w:vAlign w:val="center"/>
                </w:tcPr>
                <w:p w14:paraId="4351FEA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鸠鸽科</w:t>
                  </w:r>
                </w:p>
              </w:tc>
              <w:tc>
                <w:tcPr>
                  <w:tcW w:w="2266" w:type="pct"/>
                  <w:tcBorders>
                    <w:top w:val="nil"/>
                    <w:left w:val="nil"/>
                    <w:bottom w:val="single" w:color="000000" w:sz="8" w:space="0"/>
                    <w:right w:val="single" w:color="000000" w:sz="8" w:space="0"/>
                  </w:tcBorders>
                  <w:shd w:val="clear" w:color="auto" w:fill="auto"/>
                  <w:noWrap/>
                  <w:vAlign w:val="center"/>
                </w:tcPr>
                <w:p w14:paraId="41E0254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山斑鸠Streptopelia orientalis</w:t>
                  </w:r>
                </w:p>
              </w:tc>
              <w:tc>
                <w:tcPr>
                  <w:tcW w:w="832" w:type="pct"/>
                  <w:tcBorders>
                    <w:top w:val="nil"/>
                    <w:left w:val="nil"/>
                    <w:bottom w:val="single" w:color="000000" w:sz="8" w:space="0"/>
                    <w:right w:val="single" w:color="000000" w:sz="8" w:space="0"/>
                  </w:tcBorders>
                  <w:shd w:val="clear" w:color="auto" w:fill="auto"/>
                  <w:noWrap/>
                  <w:vAlign w:val="center"/>
                </w:tcPr>
                <w:p w14:paraId="3732767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47D8D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4156BEB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674358C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0B0E8E9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279D5EB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珠颈斑鸠Spilopelia chinensis</w:t>
                  </w:r>
                </w:p>
              </w:tc>
              <w:tc>
                <w:tcPr>
                  <w:tcW w:w="832" w:type="pct"/>
                  <w:tcBorders>
                    <w:top w:val="nil"/>
                    <w:left w:val="nil"/>
                    <w:bottom w:val="single" w:color="000000" w:sz="8" w:space="0"/>
                    <w:right w:val="single" w:color="000000" w:sz="8" w:space="0"/>
                  </w:tcBorders>
                  <w:shd w:val="clear" w:color="auto" w:fill="auto"/>
                  <w:noWrap/>
                  <w:vAlign w:val="center"/>
                </w:tcPr>
                <w:p w14:paraId="3C4AB85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eastAsia="宋体" w:cs="Times New Roman"/>
                      <w:b w:val="0"/>
                      <w:bCs w:val="0"/>
                      <w:color w:val="auto"/>
                      <w:kern w:val="0"/>
                      <w:sz w:val="21"/>
                      <w:szCs w:val="21"/>
                      <w:lang w:val="en-US" w:eastAsia="zh-CN"/>
                    </w:rPr>
                    <w:t xml:space="preserve">  </w:t>
                  </w:r>
                </w:p>
              </w:tc>
            </w:tr>
            <w:tr w14:paraId="4F10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7"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1EA6696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tcBorders>
                    <w:top w:val="nil"/>
                    <w:left w:val="nil"/>
                    <w:bottom w:val="single" w:color="000000" w:sz="8" w:space="0"/>
                    <w:right w:val="single" w:color="000000" w:sz="8" w:space="0"/>
                  </w:tcBorders>
                  <w:shd w:val="clear" w:color="auto" w:fill="auto"/>
                  <w:noWrap/>
                  <w:vAlign w:val="center"/>
                </w:tcPr>
                <w:p w14:paraId="00DAE03C">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鸡形目</w:t>
                  </w:r>
                </w:p>
              </w:tc>
              <w:tc>
                <w:tcPr>
                  <w:tcW w:w="634" w:type="pct"/>
                  <w:tcBorders>
                    <w:top w:val="nil"/>
                    <w:left w:val="nil"/>
                    <w:bottom w:val="single" w:color="000000" w:sz="8" w:space="0"/>
                    <w:right w:val="single" w:color="000000" w:sz="8" w:space="0"/>
                  </w:tcBorders>
                  <w:shd w:val="clear" w:color="auto" w:fill="auto"/>
                  <w:noWrap/>
                  <w:vAlign w:val="center"/>
                </w:tcPr>
                <w:p w14:paraId="67E0338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雉科</w:t>
                  </w:r>
                </w:p>
              </w:tc>
              <w:tc>
                <w:tcPr>
                  <w:tcW w:w="2266" w:type="pct"/>
                  <w:tcBorders>
                    <w:top w:val="nil"/>
                    <w:left w:val="nil"/>
                    <w:bottom w:val="single" w:color="000000" w:sz="8" w:space="0"/>
                    <w:right w:val="single" w:color="000000" w:sz="8" w:space="0"/>
                  </w:tcBorders>
                  <w:shd w:val="clear" w:color="auto" w:fill="auto"/>
                  <w:noWrap/>
                  <w:vAlign w:val="center"/>
                </w:tcPr>
                <w:p w14:paraId="6CCD35EB">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白腹锦鸡Chrysolophus amherstiae</w:t>
                  </w:r>
                </w:p>
              </w:tc>
              <w:tc>
                <w:tcPr>
                  <w:tcW w:w="832" w:type="pct"/>
                  <w:tcBorders>
                    <w:top w:val="nil"/>
                    <w:left w:val="nil"/>
                    <w:bottom w:val="single" w:color="000000" w:sz="8" w:space="0"/>
                    <w:right w:val="single" w:color="000000" w:sz="8" w:space="0"/>
                  </w:tcBorders>
                  <w:shd w:val="clear" w:color="auto" w:fill="auto"/>
                  <w:noWrap/>
                  <w:vAlign w:val="center"/>
                </w:tcPr>
                <w:p w14:paraId="0ADF5FE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03BC2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6538C95F">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restart"/>
                  <w:tcBorders>
                    <w:top w:val="nil"/>
                    <w:left w:val="nil"/>
                    <w:bottom w:val="single" w:color="000000" w:sz="8" w:space="0"/>
                    <w:right w:val="single" w:color="000000" w:sz="8" w:space="0"/>
                  </w:tcBorders>
                  <w:shd w:val="clear" w:color="auto" w:fill="auto"/>
                  <w:noWrap/>
                  <w:vAlign w:val="center"/>
                </w:tcPr>
                <w:p w14:paraId="16B4E94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雀形目</w:t>
                  </w:r>
                </w:p>
              </w:tc>
              <w:tc>
                <w:tcPr>
                  <w:tcW w:w="634" w:type="pct"/>
                  <w:vMerge w:val="restart"/>
                  <w:tcBorders>
                    <w:top w:val="nil"/>
                    <w:left w:val="nil"/>
                    <w:bottom w:val="single" w:color="000000" w:sz="8" w:space="0"/>
                    <w:right w:val="single" w:color="000000" w:sz="8" w:space="0"/>
                  </w:tcBorders>
                  <w:shd w:val="clear" w:color="auto" w:fill="auto"/>
                  <w:noWrap/>
                  <w:vAlign w:val="center"/>
                </w:tcPr>
                <w:p w14:paraId="69D4AB26">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鸦科</w:t>
                  </w:r>
                </w:p>
              </w:tc>
              <w:tc>
                <w:tcPr>
                  <w:tcW w:w="2266" w:type="pct"/>
                  <w:tcBorders>
                    <w:top w:val="nil"/>
                    <w:left w:val="nil"/>
                    <w:bottom w:val="single" w:color="000000" w:sz="8" w:space="0"/>
                    <w:right w:val="single" w:color="000000" w:sz="8" w:space="0"/>
                  </w:tcBorders>
                  <w:shd w:val="clear" w:color="auto" w:fill="auto"/>
                  <w:noWrap/>
                  <w:vAlign w:val="center"/>
                </w:tcPr>
                <w:p w14:paraId="09FE15F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红嘴蓝鹊Urocissa erythroryncha</w:t>
                  </w:r>
                </w:p>
              </w:tc>
              <w:tc>
                <w:tcPr>
                  <w:tcW w:w="832" w:type="pct"/>
                  <w:tcBorders>
                    <w:top w:val="nil"/>
                    <w:left w:val="nil"/>
                    <w:bottom w:val="single" w:color="000000" w:sz="8" w:space="0"/>
                    <w:right w:val="single" w:color="000000" w:sz="8" w:space="0"/>
                  </w:tcBorders>
                  <w:shd w:val="clear" w:color="auto" w:fill="auto"/>
                  <w:noWrap/>
                  <w:vAlign w:val="center"/>
                </w:tcPr>
                <w:p w14:paraId="5C945F5F">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68C15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4CACBF28">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77E9599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0ADB7A0D">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24F764A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喜鹊Pica pica</w:t>
                  </w:r>
                </w:p>
              </w:tc>
              <w:tc>
                <w:tcPr>
                  <w:tcW w:w="832" w:type="pct"/>
                  <w:tcBorders>
                    <w:top w:val="nil"/>
                    <w:left w:val="nil"/>
                    <w:bottom w:val="single" w:color="000000" w:sz="8" w:space="0"/>
                    <w:right w:val="single" w:color="000000" w:sz="8" w:space="0"/>
                  </w:tcBorders>
                  <w:shd w:val="clear" w:color="auto" w:fill="auto"/>
                  <w:noWrap/>
                  <w:vAlign w:val="center"/>
                </w:tcPr>
                <w:p w14:paraId="00127DBF">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6C7AE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3B50B20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3160375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6F67478F">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22807716">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大嘴乌鸦Corvus macrorhynchos</w:t>
                  </w:r>
                </w:p>
              </w:tc>
              <w:tc>
                <w:tcPr>
                  <w:tcW w:w="832" w:type="pct"/>
                  <w:tcBorders>
                    <w:top w:val="nil"/>
                    <w:left w:val="nil"/>
                    <w:bottom w:val="single" w:color="000000" w:sz="8" w:space="0"/>
                    <w:right w:val="single" w:color="000000" w:sz="8" w:space="0"/>
                  </w:tcBorders>
                  <w:shd w:val="clear" w:color="auto" w:fill="auto"/>
                  <w:noWrap/>
                  <w:vAlign w:val="center"/>
                </w:tcPr>
                <w:p w14:paraId="535A4F5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40FAB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4121713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6975D90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2926865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鹡鸰科</w:t>
                  </w:r>
                </w:p>
              </w:tc>
              <w:tc>
                <w:tcPr>
                  <w:tcW w:w="2266" w:type="pct"/>
                  <w:tcBorders>
                    <w:top w:val="nil"/>
                    <w:left w:val="nil"/>
                    <w:bottom w:val="single" w:color="000000" w:sz="8" w:space="0"/>
                    <w:right w:val="single" w:color="000000" w:sz="8" w:space="0"/>
                  </w:tcBorders>
                  <w:shd w:val="clear" w:color="auto" w:fill="auto"/>
                  <w:noWrap/>
                  <w:vAlign w:val="center"/>
                </w:tcPr>
                <w:p w14:paraId="3C5C3AF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白鹡鸰Motacilla alba</w:t>
                  </w:r>
                </w:p>
              </w:tc>
              <w:tc>
                <w:tcPr>
                  <w:tcW w:w="832" w:type="pct"/>
                  <w:tcBorders>
                    <w:top w:val="nil"/>
                    <w:left w:val="nil"/>
                    <w:bottom w:val="single" w:color="000000" w:sz="8" w:space="0"/>
                    <w:right w:val="single" w:color="000000" w:sz="8" w:space="0"/>
                  </w:tcBorders>
                  <w:shd w:val="clear" w:color="auto" w:fill="auto"/>
                  <w:noWrap/>
                  <w:vAlign w:val="center"/>
                </w:tcPr>
                <w:p w14:paraId="19B720A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7B0C7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3082C058">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1ED62D3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3E3698AF">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雀科</w:t>
                  </w:r>
                </w:p>
              </w:tc>
              <w:tc>
                <w:tcPr>
                  <w:tcW w:w="2266" w:type="pct"/>
                  <w:tcBorders>
                    <w:top w:val="nil"/>
                    <w:left w:val="nil"/>
                    <w:bottom w:val="single" w:color="000000" w:sz="8" w:space="0"/>
                    <w:right w:val="single" w:color="000000" w:sz="8" w:space="0"/>
                  </w:tcBorders>
                  <w:shd w:val="clear" w:color="auto" w:fill="auto"/>
                  <w:noWrap/>
                  <w:vAlign w:val="center"/>
                </w:tcPr>
                <w:p w14:paraId="774A8AF4">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树麻雀Passer montanus</w:t>
                  </w:r>
                </w:p>
              </w:tc>
              <w:tc>
                <w:tcPr>
                  <w:tcW w:w="832" w:type="pct"/>
                  <w:tcBorders>
                    <w:top w:val="nil"/>
                    <w:left w:val="nil"/>
                    <w:bottom w:val="single" w:color="000000" w:sz="8" w:space="0"/>
                    <w:right w:val="single" w:color="000000" w:sz="8" w:space="0"/>
                  </w:tcBorders>
                  <w:shd w:val="clear" w:color="auto" w:fill="auto"/>
                  <w:noWrap/>
                  <w:vAlign w:val="center"/>
                </w:tcPr>
                <w:p w14:paraId="0192282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77ED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0867E558">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0BF11F8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restart"/>
                  <w:tcBorders>
                    <w:top w:val="nil"/>
                    <w:left w:val="nil"/>
                    <w:bottom w:val="single" w:color="000000" w:sz="8" w:space="0"/>
                    <w:right w:val="single" w:color="000000" w:sz="8" w:space="0"/>
                  </w:tcBorders>
                  <w:shd w:val="clear" w:color="auto" w:fill="auto"/>
                  <w:noWrap/>
                  <w:vAlign w:val="center"/>
                </w:tcPr>
                <w:p w14:paraId="3B5FC43B">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山雀科</w:t>
                  </w:r>
                </w:p>
              </w:tc>
              <w:tc>
                <w:tcPr>
                  <w:tcW w:w="2266" w:type="pct"/>
                  <w:tcBorders>
                    <w:top w:val="nil"/>
                    <w:left w:val="nil"/>
                    <w:bottom w:val="single" w:color="000000" w:sz="8" w:space="0"/>
                    <w:right w:val="single" w:color="000000" w:sz="8" w:space="0"/>
                  </w:tcBorders>
                  <w:shd w:val="clear" w:color="auto" w:fill="auto"/>
                  <w:noWrap/>
                  <w:vAlign w:val="center"/>
                </w:tcPr>
                <w:p w14:paraId="22D0FE7B">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大山雀Parus major</w:t>
                  </w:r>
                </w:p>
              </w:tc>
              <w:tc>
                <w:tcPr>
                  <w:tcW w:w="832" w:type="pct"/>
                  <w:tcBorders>
                    <w:top w:val="nil"/>
                    <w:left w:val="nil"/>
                    <w:bottom w:val="single" w:color="000000" w:sz="8" w:space="0"/>
                    <w:right w:val="single" w:color="000000" w:sz="8" w:space="0"/>
                  </w:tcBorders>
                  <w:shd w:val="clear" w:color="auto" w:fill="auto"/>
                  <w:noWrap/>
                  <w:vAlign w:val="center"/>
                </w:tcPr>
                <w:p w14:paraId="5C011BF4">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033F6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72373CC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62231534">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383A688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7AAB692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沼泽山雀Poecile palustris</w:t>
                  </w:r>
                </w:p>
              </w:tc>
              <w:tc>
                <w:tcPr>
                  <w:tcW w:w="832" w:type="pct"/>
                  <w:tcBorders>
                    <w:top w:val="nil"/>
                    <w:left w:val="nil"/>
                    <w:bottom w:val="single" w:color="000000" w:sz="8" w:space="0"/>
                    <w:right w:val="single" w:color="000000" w:sz="8" w:space="0"/>
                  </w:tcBorders>
                  <w:shd w:val="clear" w:color="auto" w:fill="auto"/>
                  <w:noWrap/>
                  <w:vAlign w:val="center"/>
                </w:tcPr>
                <w:p w14:paraId="0C21403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542E3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0041AE4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7391C27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6545020C">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燕雀科</w:t>
                  </w:r>
                </w:p>
              </w:tc>
              <w:tc>
                <w:tcPr>
                  <w:tcW w:w="2266" w:type="pct"/>
                  <w:tcBorders>
                    <w:top w:val="nil"/>
                    <w:left w:val="nil"/>
                    <w:bottom w:val="single" w:color="000000" w:sz="8" w:space="0"/>
                    <w:right w:val="single" w:color="000000" w:sz="8" w:space="0"/>
                  </w:tcBorders>
                  <w:shd w:val="clear" w:color="auto" w:fill="auto"/>
                  <w:noWrap/>
                  <w:vAlign w:val="center"/>
                </w:tcPr>
                <w:p w14:paraId="303385D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金翅雀Chloris sinica</w:t>
                  </w:r>
                </w:p>
              </w:tc>
              <w:tc>
                <w:tcPr>
                  <w:tcW w:w="832" w:type="pct"/>
                  <w:tcBorders>
                    <w:top w:val="nil"/>
                    <w:left w:val="nil"/>
                    <w:bottom w:val="single" w:color="000000" w:sz="8" w:space="0"/>
                    <w:right w:val="single" w:color="000000" w:sz="8" w:space="0"/>
                  </w:tcBorders>
                  <w:shd w:val="clear" w:color="auto" w:fill="auto"/>
                  <w:noWrap/>
                  <w:vAlign w:val="center"/>
                </w:tcPr>
                <w:p w14:paraId="1746D682">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210B9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5076D70D">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66B77E32">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712B51D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鹀科</w:t>
                  </w:r>
                </w:p>
              </w:tc>
              <w:tc>
                <w:tcPr>
                  <w:tcW w:w="2266" w:type="pct"/>
                  <w:tcBorders>
                    <w:top w:val="nil"/>
                    <w:left w:val="nil"/>
                    <w:bottom w:val="single" w:color="000000" w:sz="8" w:space="0"/>
                    <w:right w:val="single" w:color="000000" w:sz="8" w:space="0"/>
                  </w:tcBorders>
                  <w:shd w:val="clear" w:color="auto" w:fill="auto"/>
                  <w:noWrap/>
                  <w:vAlign w:val="center"/>
                </w:tcPr>
                <w:p w14:paraId="5ECFEF4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三道眉草鹀Emberiza cioides</w:t>
                  </w:r>
                </w:p>
              </w:tc>
              <w:tc>
                <w:tcPr>
                  <w:tcW w:w="832" w:type="pct"/>
                  <w:tcBorders>
                    <w:top w:val="nil"/>
                    <w:left w:val="nil"/>
                    <w:bottom w:val="single" w:color="000000" w:sz="8" w:space="0"/>
                    <w:right w:val="single" w:color="000000" w:sz="8" w:space="0"/>
                  </w:tcBorders>
                  <w:shd w:val="clear" w:color="auto" w:fill="auto"/>
                  <w:noWrap/>
                  <w:vAlign w:val="center"/>
                </w:tcPr>
                <w:p w14:paraId="2F94B8DB">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6420F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247BE76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19BE301D">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0984B1C4">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噪鹛科</w:t>
                  </w:r>
                </w:p>
              </w:tc>
              <w:tc>
                <w:tcPr>
                  <w:tcW w:w="2266" w:type="pct"/>
                  <w:tcBorders>
                    <w:top w:val="nil"/>
                    <w:left w:val="nil"/>
                    <w:bottom w:val="single" w:color="000000" w:sz="8" w:space="0"/>
                    <w:right w:val="single" w:color="000000" w:sz="8" w:space="0"/>
                  </w:tcBorders>
                  <w:shd w:val="clear" w:color="auto" w:fill="auto"/>
                  <w:noWrap/>
                  <w:vAlign w:val="center"/>
                </w:tcPr>
                <w:p w14:paraId="78E614C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画眉Garrulax canorus</w:t>
                  </w:r>
                </w:p>
              </w:tc>
              <w:tc>
                <w:tcPr>
                  <w:tcW w:w="832" w:type="pct"/>
                  <w:tcBorders>
                    <w:top w:val="nil"/>
                    <w:left w:val="nil"/>
                    <w:bottom w:val="single" w:color="000000" w:sz="8" w:space="0"/>
                    <w:right w:val="single" w:color="000000" w:sz="8" w:space="0"/>
                  </w:tcBorders>
                  <w:shd w:val="clear" w:color="auto" w:fill="auto"/>
                  <w:noWrap/>
                  <w:vAlign w:val="center"/>
                </w:tcPr>
                <w:p w14:paraId="28256FF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3A7E1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6"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73CAACFD">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719813D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5D1E6C9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伯劳科</w:t>
                  </w:r>
                </w:p>
              </w:tc>
              <w:tc>
                <w:tcPr>
                  <w:tcW w:w="2266" w:type="pct"/>
                  <w:tcBorders>
                    <w:top w:val="nil"/>
                    <w:left w:val="nil"/>
                    <w:bottom w:val="single" w:color="000000" w:sz="8" w:space="0"/>
                    <w:right w:val="single" w:color="000000" w:sz="8" w:space="0"/>
                  </w:tcBorders>
                  <w:shd w:val="clear" w:color="auto" w:fill="auto"/>
                  <w:noWrap/>
                  <w:vAlign w:val="center"/>
                </w:tcPr>
                <w:p w14:paraId="352D9114">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棕背伯劳Lanius schach</w:t>
                  </w:r>
                </w:p>
              </w:tc>
              <w:tc>
                <w:tcPr>
                  <w:tcW w:w="832" w:type="pct"/>
                  <w:tcBorders>
                    <w:top w:val="nil"/>
                    <w:left w:val="nil"/>
                    <w:bottom w:val="single" w:color="000000" w:sz="8" w:space="0"/>
                    <w:right w:val="single" w:color="000000" w:sz="8" w:space="0"/>
                  </w:tcBorders>
                  <w:shd w:val="clear" w:color="auto" w:fill="auto"/>
                  <w:noWrap/>
                  <w:vAlign w:val="center"/>
                </w:tcPr>
                <w:p w14:paraId="7B75A53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r>
            <w:tr w14:paraId="455FC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8"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31931C2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tcBorders>
                    <w:top w:val="nil"/>
                    <w:left w:val="nil"/>
                    <w:bottom w:val="single" w:color="000000" w:sz="8" w:space="0"/>
                    <w:right w:val="single" w:color="000000" w:sz="8" w:space="0"/>
                  </w:tcBorders>
                  <w:shd w:val="clear" w:color="auto" w:fill="auto"/>
                  <w:noWrap/>
                  <w:vAlign w:val="center"/>
                </w:tcPr>
                <w:p w14:paraId="1C32EB86">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隼形目</w:t>
                  </w:r>
                </w:p>
              </w:tc>
              <w:tc>
                <w:tcPr>
                  <w:tcW w:w="634" w:type="pct"/>
                  <w:tcBorders>
                    <w:top w:val="nil"/>
                    <w:left w:val="nil"/>
                    <w:bottom w:val="single" w:color="000000" w:sz="8" w:space="0"/>
                    <w:right w:val="single" w:color="000000" w:sz="8" w:space="0"/>
                  </w:tcBorders>
                  <w:shd w:val="clear" w:color="auto" w:fill="auto"/>
                  <w:noWrap/>
                  <w:vAlign w:val="center"/>
                </w:tcPr>
                <w:p w14:paraId="5746DEE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隼科</w:t>
                  </w:r>
                </w:p>
              </w:tc>
              <w:tc>
                <w:tcPr>
                  <w:tcW w:w="2266" w:type="pct"/>
                  <w:tcBorders>
                    <w:top w:val="nil"/>
                    <w:left w:val="nil"/>
                    <w:bottom w:val="single" w:color="000000" w:sz="8" w:space="0"/>
                    <w:right w:val="single" w:color="000000" w:sz="8" w:space="0"/>
                  </w:tcBorders>
                  <w:shd w:val="clear" w:color="auto" w:fill="auto"/>
                  <w:noWrap/>
                  <w:vAlign w:val="center"/>
                </w:tcPr>
                <w:p w14:paraId="66099446">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红隼Falco tinnunculus</w:t>
                  </w:r>
                </w:p>
              </w:tc>
              <w:tc>
                <w:tcPr>
                  <w:tcW w:w="832" w:type="pct"/>
                  <w:tcBorders>
                    <w:top w:val="nil"/>
                    <w:left w:val="nil"/>
                    <w:bottom w:val="single" w:color="000000" w:sz="8" w:space="0"/>
                    <w:right w:val="single" w:color="000000" w:sz="8" w:space="0"/>
                  </w:tcBorders>
                  <w:shd w:val="clear" w:color="auto" w:fill="auto"/>
                  <w:noWrap/>
                  <w:vAlign w:val="center"/>
                </w:tcPr>
                <w:p w14:paraId="0017F18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7B53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7C785738">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restart"/>
                  <w:tcBorders>
                    <w:top w:val="nil"/>
                    <w:left w:val="nil"/>
                    <w:bottom w:val="single" w:color="000000" w:sz="8" w:space="0"/>
                    <w:right w:val="single" w:color="000000" w:sz="8" w:space="0"/>
                  </w:tcBorders>
                  <w:shd w:val="clear" w:color="auto" w:fill="auto"/>
                  <w:noWrap/>
                  <w:vAlign w:val="center"/>
                </w:tcPr>
                <w:p w14:paraId="754CC5F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鸮形目</w:t>
                  </w:r>
                </w:p>
              </w:tc>
              <w:tc>
                <w:tcPr>
                  <w:tcW w:w="634" w:type="pct"/>
                  <w:tcBorders>
                    <w:top w:val="nil"/>
                    <w:left w:val="nil"/>
                    <w:bottom w:val="single" w:color="000000" w:sz="8" w:space="0"/>
                    <w:right w:val="single" w:color="000000" w:sz="8" w:space="0"/>
                  </w:tcBorders>
                  <w:shd w:val="clear" w:color="auto" w:fill="auto"/>
                  <w:noWrap/>
                  <w:vAlign w:val="center"/>
                </w:tcPr>
                <w:p w14:paraId="2968A47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鸱鸮科</w:t>
                  </w:r>
                </w:p>
              </w:tc>
              <w:tc>
                <w:tcPr>
                  <w:tcW w:w="2266" w:type="pct"/>
                  <w:tcBorders>
                    <w:top w:val="nil"/>
                    <w:left w:val="nil"/>
                    <w:bottom w:val="single" w:color="000000" w:sz="8" w:space="0"/>
                    <w:right w:val="single" w:color="000000" w:sz="8" w:space="0"/>
                  </w:tcBorders>
                  <w:shd w:val="clear" w:color="auto" w:fill="auto"/>
                  <w:noWrap/>
                  <w:vAlign w:val="center"/>
                </w:tcPr>
                <w:p w14:paraId="17E9FF8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领鸺鹠Glaucidium brodiei</w:t>
                  </w:r>
                </w:p>
              </w:tc>
              <w:tc>
                <w:tcPr>
                  <w:tcW w:w="832" w:type="pct"/>
                  <w:tcBorders>
                    <w:top w:val="nil"/>
                    <w:left w:val="nil"/>
                    <w:bottom w:val="single" w:color="000000" w:sz="8" w:space="0"/>
                    <w:right w:val="single" w:color="000000" w:sz="8" w:space="0"/>
                  </w:tcBorders>
                  <w:shd w:val="clear" w:color="auto" w:fill="auto"/>
                  <w:noWrap/>
                  <w:vAlign w:val="center"/>
                </w:tcPr>
                <w:p w14:paraId="4A835F9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1E421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3683DCA0">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581312A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tcBorders>
                    <w:top w:val="nil"/>
                    <w:left w:val="nil"/>
                    <w:bottom w:val="single" w:color="000000" w:sz="8" w:space="0"/>
                    <w:right w:val="single" w:color="000000" w:sz="8" w:space="0"/>
                  </w:tcBorders>
                  <w:shd w:val="clear" w:color="auto" w:fill="auto"/>
                  <w:noWrap/>
                  <w:vAlign w:val="center"/>
                </w:tcPr>
                <w:p w14:paraId="3C2D0EC6">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草鸮科</w:t>
                  </w:r>
                </w:p>
              </w:tc>
              <w:tc>
                <w:tcPr>
                  <w:tcW w:w="2266" w:type="pct"/>
                  <w:tcBorders>
                    <w:top w:val="nil"/>
                    <w:left w:val="nil"/>
                    <w:bottom w:val="single" w:color="000000" w:sz="8" w:space="0"/>
                    <w:right w:val="single" w:color="000000" w:sz="8" w:space="0"/>
                  </w:tcBorders>
                  <w:shd w:val="clear" w:color="auto" w:fill="auto"/>
                  <w:noWrap/>
                  <w:vAlign w:val="center"/>
                </w:tcPr>
                <w:p w14:paraId="3BB642D3">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草鸮Tyto longimembris</w:t>
                  </w:r>
                </w:p>
              </w:tc>
              <w:tc>
                <w:tcPr>
                  <w:tcW w:w="832" w:type="pct"/>
                  <w:tcBorders>
                    <w:top w:val="nil"/>
                    <w:left w:val="nil"/>
                    <w:bottom w:val="single" w:color="000000" w:sz="8" w:space="0"/>
                    <w:right w:val="single" w:color="000000" w:sz="8" w:space="0"/>
                  </w:tcBorders>
                  <w:shd w:val="clear" w:color="auto" w:fill="auto"/>
                  <w:noWrap/>
                  <w:vAlign w:val="center"/>
                </w:tcPr>
                <w:p w14:paraId="6CF6C41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2F7F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071E4C6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restart"/>
                  <w:tcBorders>
                    <w:top w:val="nil"/>
                    <w:left w:val="nil"/>
                    <w:bottom w:val="single" w:color="000000" w:sz="8" w:space="0"/>
                    <w:right w:val="single" w:color="000000" w:sz="8" w:space="0"/>
                  </w:tcBorders>
                  <w:shd w:val="clear" w:color="auto" w:fill="auto"/>
                  <w:noWrap/>
                  <w:vAlign w:val="center"/>
                </w:tcPr>
                <w:p w14:paraId="0E3F6848">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鹰形目</w:t>
                  </w:r>
                </w:p>
              </w:tc>
              <w:tc>
                <w:tcPr>
                  <w:tcW w:w="634" w:type="pct"/>
                  <w:vMerge w:val="restart"/>
                  <w:tcBorders>
                    <w:top w:val="nil"/>
                    <w:left w:val="nil"/>
                    <w:bottom w:val="single" w:color="000000" w:sz="8" w:space="0"/>
                    <w:right w:val="single" w:color="000000" w:sz="8" w:space="0"/>
                  </w:tcBorders>
                  <w:shd w:val="clear" w:color="auto" w:fill="auto"/>
                  <w:noWrap/>
                  <w:vAlign w:val="center"/>
                </w:tcPr>
                <w:p w14:paraId="0130AD72">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鹰科</w:t>
                  </w:r>
                </w:p>
              </w:tc>
              <w:tc>
                <w:tcPr>
                  <w:tcW w:w="2266" w:type="pct"/>
                  <w:tcBorders>
                    <w:top w:val="nil"/>
                    <w:left w:val="nil"/>
                    <w:bottom w:val="single" w:color="000000" w:sz="8" w:space="0"/>
                    <w:right w:val="single" w:color="000000" w:sz="8" w:space="0"/>
                  </w:tcBorders>
                  <w:shd w:val="clear" w:color="auto" w:fill="auto"/>
                  <w:noWrap/>
                  <w:vAlign w:val="center"/>
                </w:tcPr>
                <w:p w14:paraId="74FAA26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黑鸢Milvus migrans</w:t>
                  </w:r>
                </w:p>
              </w:tc>
              <w:tc>
                <w:tcPr>
                  <w:tcW w:w="832" w:type="pct"/>
                  <w:tcBorders>
                    <w:top w:val="nil"/>
                    <w:left w:val="nil"/>
                    <w:bottom w:val="single" w:color="000000" w:sz="8" w:space="0"/>
                    <w:right w:val="single" w:color="000000" w:sz="8" w:space="0"/>
                  </w:tcBorders>
                  <w:shd w:val="clear" w:color="auto" w:fill="auto"/>
                  <w:noWrap/>
                  <w:vAlign w:val="center"/>
                </w:tcPr>
                <w:p w14:paraId="3B3C9BDF">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5AD3A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667A4916">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19C3F46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7BCD0A5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4334E6C1">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普通鵟Buteo buteo</w:t>
                  </w:r>
                </w:p>
              </w:tc>
              <w:tc>
                <w:tcPr>
                  <w:tcW w:w="832" w:type="pct"/>
                  <w:tcBorders>
                    <w:top w:val="nil"/>
                    <w:left w:val="nil"/>
                    <w:bottom w:val="single" w:color="000000" w:sz="8" w:space="0"/>
                    <w:right w:val="single" w:color="000000" w:sz="8" w:space="0"/>
                  </w:tcBorders>
                  <w:shd w:val="clear" w:color="auto" w:fill="auto"/>
                  <w:noWrap/>
                  <w:vAlign w:val="center"/>
                </w:tcPr>
                <w:p w14:paraId="4FC71B0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58EA4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41E31BEC">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2DE3910A">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48EFC308">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52550C9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黑翅鸢Elanus caeruleus</w:t>
                  </w:r>
                </w:p>
              </w:tc>
              <w:tc>
                <w:tcPr>
                  <w:tcW w:w="832" w:type="pct"/>
                  <w:tcBorders>
                    <w:top w:val="nil"/>
                    <w:left w:val="nil"/>
                    <w:bottom w:val="single" w:color="000000" w:sz="8" w:space="0"/>
                    <w:right w:val="single" w:color="000000" w:sz="8" w:space="0"/>
                  </w:tcBorders>
                  <w:shd w:val="clear" w:color="auto" w:fill="auto"/>
                  <w:noWrap/>
                  <w:vAlign w:val="center"/>
                </w:tcPr>
                <w:p w14:paraId="4574CE47">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r w14:paraId="0AB0E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3" w:hRule="atLeast"/>
              </w:trPr>
              <w:tc>
                <w:tcPr>
                  <w:tcW w:w="552" w:type="pct"/>
                  <w:vMerge w:val="continue"/>
                  <w:tcBorders>
                    <w:top w:val="nil"/>
                    <w:left w:val="single" w:color="000000" w:sz="8" w:space="0"/>
                    <w:bottom w:val="single" w:color="000000" w:sz="8" w:space="0"/>
                    <w:right w:val="single" w:color="000000" w:sz="8" w:space="0"/>
                  </w:tcBorders>
                  <w:shd w:val="clear" w:color="auto" w:fill="auto"/>
                  <w:noWrap/>
                  <w:vAlign w:val="center"/>
                </w:tcPr>
                <w:p w14:paraId="362BDB9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713" w:type="pct"/>
                  <w:vMerge w:val="continue"/>
                  <w:tcBorders>
                    <w:top w:val="nil"/>
                    <w:left w:val="nil"/>
                    <w:bottom w:val="single" w:color="000000" w:sz="8" w:space="0"/>
                    <w:right w:val="single" w:color="000000" w:sz="8" w:space="0"/>
                  </w:tcBorders>
                  <w:shd w:val="clear" w:color="auto" w:fill="auto"/>
                  <w:noWrap/>
                  <w:vAlign w:val="center"/>
                </w:tcPr>
                <w:p w14:paraId="19525FBE">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634" w:type="pct"/>
                  <w:vMerge w:val="continue"/>
                  <w:tcBorders>
                    <w:top w:val="nil"/>
                    <w:left w:val="nil"/>
                    <w:bottom w:val="single" w:color="000000" w:sz="8" w:space="0"/>
                    <w:right w:val="single" w:color="000000" w:sz="8" w:space="0"/>
                  </w:tcBorders>
                  <w:shd w:val="clear" w:color="auto" w:fill="auto"/>
                  <w:noWrap/>
                  <w:vAlign w:val="center"/>
                </w:tcPr>
                <w:p w14:paraId="702D41F5">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p>
              </w:tc>
              <w:tc>
                <w:tcPr>
                  <w:tcW w:w="2266" w:type="pct"/>
                  <w:tcBorders>
                    <w:top w:val="nil"/>
                    <w:left w:val="nil"/>
                    <w:bottom w:val="single" w:color="000000" w:sz="8" w:space="0"/>
                    <w:right w:val="single" w:color="000000" w:sz="8" w:space="0"/>
                  </w:tcBorders>
                  <w:shd w:val="clear" w:color="auto" w:fill="auto"/>
                  <w:noWrap/>
                  <w:vAlign w:val="center"/>
                </w:tcPr>
                <w:p w14:paraId="6EDEDF8C">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松雀鹰Accipiter virgatus</w:t>
                  </w:r>
                </w:p>
              </w:tc>
              <w:tc>
                <w:tcPr>
                  <w:tcW w:w="832" w:type="pct"/>
                  <w:tcBorders>
                    <w:top w:val="nil"/>
                    <w:left w:val="nil"/>
                    <w:bottom w:val="single" w:color="000000" w:sz="8" w:space="0"/>
                    <w:right w:val="single" w:color="000000" w:sz="8" w:space="0"/>
                  </w:tcBorders>
                  <w:shd w:val="clear" w:color="auto" w:fill="auto"/>
                  <w:noWrap/>
                  <w:vAlign w:val="center"/>
                </w:tcPr>
                <w:p w14:paraId="19CED2C9">
                  <w:pPr>
                    <w:widowControl/>
                    <w:adjustRightInd/>
                    <w:snapToGrid/>
                    <w:spacing w:line="240" w:lineRule="auto"/>
                    <w:ind w:firstLine="0" w:firstLineChars="0"/>
                    <w:jc w:val="center"/>
                    <w:rPr>
                      <w:rFonts w:hint="default" w:ascii="Times New Roman" w:hAnsi="Times New Roman" w:eastAsia="宋体" w:cs="Times New Roman"/>
                      <w:b w:val="0"/>
                      <w:bCs w:val="0"/>
                      <w:color w:val="auto"/>
                      <w:kern w:val="0"/>
                      <w:sz w:val="21"/>
                      <w:szCs w:val="21"/>
                    </w:rPr>
                  </w:pPr>
                  <w:r>
                    <w:rPr>
                      <w:rFonts w:hint="default" w:ascii="Times New Roman" w:hAnsi="Times New Roman" w:eastAsia="宋体" w:cs="Times New Roman"/>
                      <w:b w:val="0"/>
                      <w:bCs w:val="0"/>
                      <w:color w:val="auto"/>
                      <w:kern w:val="0"/>
                      <w:sz w:val="21"/>
                      <w:szCs w:val="21"/>
                      <w:lang w:val="en-US" w:eastAsia="zh-CN"/>
                    </w:rPr>
                    <w:t>国家 Ⅱ 级</w:t>
                  </w:r>
                </w:p>
              </w:tc>
            </w:tr>
          </w:tbl>
          <w:p w14:paraId="19454B2A">
            <w:pPr>
              <w:ind w:firstLine="480" w:firstLineChars="0"/>
              <w:rPr>
                <w:color w:val="auto"/>
              </w:rPr>
            </w:pPr>
          </w:p>
          <w:p w14:paraId="3BC88053">
            <w:pPr>
              <w:ind w:firstLine="480" w:firstLineChars="0"/>
              <w:rPr>
                <w:color w:val="auto"/>
              </w:rPr>
            </w:pPr>
            <w:r>
              <w:rPr>
                <w:rFonts w:hint="eastAsia"/>
                <w:color w:val="auto"/>
              </w:rPr>
              <w:t>（3）两栖类</w:t>
            </w:r>
          </w:p>
          <w:p w14:paraId="55545AFE">
            <w:pPr>
              <w:ind w:firstLine="480" w:firstLineChars="0"/>
              <w:rPr>
                <w:rFonts w:hint="eastAsia"/>
                <w:color w:val="auto"/>
              </w:rPr>
            </w:pPr>
            <w:r>
              <w:rPr>
                <w:rFonts w:hint="eastAsia"/>
                <w:color w:val="auto"/>
              </w:rPr>
              <w:t>评价区内有两栖动物1目3科5种，见下表。</w:t>
            </w:r>
            <w:r>
              <w:rPr>
                <w:color w:val="auto"/>
              </w:rPr>
              <w:t>区系以东洋界物种占绝对优势，共4种，多为云贵高原、西南山地特有类群，代表种类有双团棘胸蛙、无指盘臭蛙、滇蛙等；中华大蟾蜍为古北</w:t>
            </w:r>
            <w:r>
              <w:rPr>
                <w:color w:val="auto"/>
              </w:rPr>
              <w:noBreakHyphen/>
            </w:r>
            <w:r>
              <w:rPr>
                <w:color w:val="auto"/>
              </w:rPr>
              <w:t>东洋两界广布种。</w:t>
            </w:r>
          </w:p>
          <w:p w14:paraId="1A4B1660">
            <w:pPr>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color w:val="auto"/>
                <w:sz w:val="21"/>
                <w:szCs w:val="21"/>
              </w:rPr>
            </w:pPr>
            <w:r>
              <w:rPr>
                <w:b/>
                <w:color w:val="auto"/>
                <w:sz w:val="21"/>
                <w:szCs w:val="21"/>
              </w:rPr>
              <w:t>表3-1</w:t>
            </w:r>
            <w:r>
              <w:rPr>
                <w:rFonts w:hint="eastAsia"/>
                <w:b/>
                <w:color w:val="auto"/>
                <w:sz w:val="21"/>
                <w:szCs w:val="21"/>
                <w:lang w:val="en-US" w:eastAsia="zh-CN"/>
              </w:rPr>
              <w:t>2</w:t>
            </w:r>
            <w:r>
              <w:rPr>
                <w:b/>
                <w:color w:val="auto"/>
                <w:sz w:val="21"/>
                <w:szCs w:val="21"/>
              </w:rPr>
              <w:t xml:space="preserve"> 评价区</w:t>
            </w:r>
            <w:r>
              <w:rPr>
                <w:rFonts w:hint="eastAsia"/>
                <w:b/>
                <w:color w:val="auto"/>
                <w:sz w:val="21"/>
                <w:szCs w:val="21"/>
              </w:rPr>
              <w:t>两栖</w:t>
            </w:r>
            <w:r>
              <w:rPr>
                <w:b/>
                <w:color w:val="auto"/>
                <w:sz w:val="21"/>
                <w:szCs w:val="21"/>
              </w:rPr>
              <w:t>类动物组成</w:t>
            </w:r>
          </w:p>
          <w:tbl>
            <w:tblPr>
              <w:tblStyle w:val="20"/>
              <w:tblW w:w="4998" w:type="pct"/>
              <w:tblInd w:w="0" w:type="dxa"/>
              <w:tblLayout w:type="autofit"/>
              <w:tblCellMar>
                <w:top w:w="0" w:type="dxa"/>
                <w:left w:w="108" w:type="dxa"/>
                <w:bottom w:w="0" w:type="dxa"/>
                <w:right w:w="108" w:type="dxa"/>
              </w:tblCellMar>
            </w:tblPr>
            <w:tblGrid>
              <w:gridCol w:w="1045"/>
              <w:gridCol w:w="1045"/>
              <w:gridCol w:w="1304"/>
              <w:gridCol w:w="3987"/>
              <w:gridCol w:w="1310"/>
            </w:tblGrid>
            <w:tr w14:paraId="3108757C">
              <w:tblPrEx>
                <w:tblCellMar>
                  <w:top w:w="0" w:type="dxa"/>
                  <w:left w:w="108" w:type="dxa"/>
                  <w:bottom w:w="0" w:type="dxa"/>
                  <w:right w:w="108" w:type="dxa"/>
                </w:tblCellMar>
              </w:tblPrEx>
              <w:trPr>
                <w:trHeight w:val="280" w:hRule="atLeast"/>
              </w:trPr>
              <w:tc>
                <w:tcPr>
                  <w:tcW w:w="60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B0755A">
                  <w:pPr>
                    <w:widowControl/>
                    <w:adjustRightInd/>
                    <w:snapToGrid/>
                    <w:spacing w:line="240" w:lineRule="auto"/>
                    <w:ind w:firstLine="0" w:firstLineChars="0"/>
                    <w:jc w:val="center"/>
                    <w:rPr>
                      <w:rFonts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类型</w:t>
                  </w:r>
                </w:p>
              </w:tc>
              <w:tc>
                <w:tcPr>
                  <w:tcW w:w="601" w:type="pct"/>
                  <w:tcBorders>
                    <w:top w:val="single" w:color="auto" w:sz="4" w:space="0"/>
                    <w:left w:val="nil"/>
                    <w:bottom w:val="single" w:color="auto" w:sz="4" w:space="0"/>
                    <w:right w:val="single" w:color="auto" w:sz="4" w:space="0"/>
                  </w:tcBorders>
                  <w:shd w:val="clear" w:color="auto" w:fill="auto"/>
                  <w:noWrap/>
                  <w:vAlign w:val="center"/>
                </w:tcPr>
                <w:p w14:paraId="20E6FC19">
                  <w:pPr>
                    <w:widowControl/>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目</w:t>
                  </w:r>
                </w:p>
              </w:tc>
              <w:tc>
                <w:tcPr>
                  <w:tcW w:w="750" w:type="pct"/>
                  <w:tcBorders>
                    <w:top w:val="single" w:color="auto" w:sz="4" w:space="0"/>
                    <w:left w:val="nil"/>
                    <w:bottom w:val="single" w:color="auto" w:sz="4" w:space="0"/>
                    <w:right w:val="single" w:color="auto" w:sz="4" w:space="0"/>
                  </w:tcBorders>
                  <w:shd w:val="clear" w:color="auto" w:fill="auto"/>
                  <w:noWrap/>
                  <w:vAlign w:val="center"/>
                </w:tcPr>
                <w:p w14:paraId="150B9017">
                  <w:pPr>
                    <w:widowControl/>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科</w:t>
                  </w:r>
                </w:p>
              </w:tc>
              <w:tc>
                <w:tcPr>
                  <w:tcW w:w="2293" w:type="pct"/>
                  <w:tcBorders>
                    <w:top w:val="single" w:color="auto" w:sz="4" w:space="0"/>
                    <w:left w:val="nil"/>
                    <w:bottom w:val="single" w:color="auto" w:sz="4" w:space="0"/>
                    <w:right w:val="single" w:color="auto" w:sz="4" w:space="0"/>
                  </w:tcBorders>
                  <w:shd w:val="clear" w:color="auto" w:fill="auto"/>
                  <w:noWrap/>
                  <w:vAlign w:val="center"/>
                </w:tcPr>
                <w:p w14:paraId="496AD9BB">
                  <w:pPr>
                    <w:widowControl/>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种</w:t>
                  </w:r>
                </w:p>
              </w:tc>
              <w:tc>
                <w:tcPr>
                  <w:tcW w:w="753" w:type="pct"/>
                  <w:tcBorders>
                    <w:top w:val="single" w:color="auto" w:sz="4" w:space="0"/>
                    <w:left w:val="nil"/>
                    <w:bottom w:val="single" w:color="auto" w:sz="4" w:space="0"/>
                    <w:right w:val="single" w:color="auto" w:sz="4" w:space="0"/>
                  </w:tcBorders>
                  <w:shd w:val="clear" w:color="auto" w:fill="auto"/>
                  <w:noWrap/>
                  <w:vAlign w:val="center"/>
                </w:tcPr>
                <w:p w14:paraId="21C849C8">
                  <w:pPr>
                    <w:widowControl/>
                    <w:adjustRightInd/>
                    <w:snapToGrid/>
                    <w:spacing w:line="240" w:lineRule="auto"/>
                    <w:ind w:firstLine="0" w:firstLineChars="0"/>
                    <w:jc w:val="center"/>
                    <w:rPr>
                      <w:rFonts w:hint="default" w:eastAsia="宋体"/>
                      <w:b/>
                      <w:bCs/>
                      <w:color w:val="auto"/>
                      <w:kern w:val="0"/>
                      <w:sz w:val="21"/>
                      <w:szCs w:val="21"/>
                    </w:rPr>
                  </w:pPr>
                  <w:r>
                    <w:rPr>
                      <w:rFonts w:hint="default" w:ascii="Times New Roman" w:hAnsi="Times New Roman" w:eastAsia="宋体"/>
                      <w:b/>
                      <w:bCs/>
                      <w:color w:val="auto"/>
                      <w:kern w:val="0"/>
                      <w:sz w:val="21"/>
                      <w:szCs w:val="21"/>
                    </w:rPr>
                    <w:t>保护等级</w:t>
                  </w:r>
                </w:p>
              </w:tc>
            </w:tr>
            <w:tr w14:paraId="2BA04EE8">
              <w:tblPrEx>
                <w:tblCellMar>
                  <w:top w:w="0" w:type="dxa"/>
                  <w:left w:w="108" w:type="dxa"/>
                  <w:bottom w:w="0" w:type="dxa"/>
                  <w:right w:w="108" w:type="dxa"/>
                </w:tblCellMar>
              </w:tblPrEx>
              <w:trPr>
                <w:trHeight w:val="280" w:hRule="atLeast"/>
              </w:trPr>
              <w:tc>
                <w:tcPr>
                  <w:tcW w:w="601" w:type="pct"/>
                  <w:vMerge w:val="restart"/>
                  <w:tcBorders>
                    <w:top w:val="nil"/>
                    <w:left w:val="single" w:color="auto" w:sz="4" w:space="0"/>
                    <w:bottom w:val="single" w:color="auto" w:sz="4" w:space="0"/>
                    <w:right w:val="single" w:color="auto" w:sz="4" w:space="0"/>
                  </w:tcBorders>
                  <w:shd w:val="clear" w:color="auto" w:fill="auto"/>
                  <w:noWrap/>
                  <w:vAlign w:val="center"/>
                </w:tcPr>
                <w:p w14:paraId="3A42FA2E">
                  <w:pPr>
                    <w:widowControl/>
                    <w:adjustRightInd/>
                    <w:snapToGrid/>
                    <w:spacing w:line="240" w:lineRule="auto"/>
                    <w:ind w:firstLine="0" w:firstLineChars="0"/>
                    <w:jc w:val="center"/>
                    <w:rPr>
                      <w:rFonts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两栖类</w:t>
                  </w:r>
                </w:p>
              </w:tc>
              <w:tc>
                <w:tcPr>
                  <w:tcW w:w="601" w:type="pct"/>
                  <w:vMerge w:val="restart"/>
                  <w:tcBorders>
                    <w:top w:val="nil"/>
                    <w:left w:val="single" w:color="auto" w:sz="4" w:space="0"/>
                    <w:bottom w:val="single" w:color="auto" w:sz="4" w:space="0"/>
                    <w:right w:val="single" w:color="auto" w:sz="4" w:space="0"/>
                  </w:tcBorders>
                  <w:shd w:val="clear" w:color="auto" w:fill="auto"/>
                  <w:noWrap/>
                  <w:vAlign w:val="center"/>
                </w:tcPr>
                <w:p w14:paraId="33941A42">
                  <w:pPr>
                    <w:widowControl/>
                    <w:adjustRightInd/>
                    <w:snapToGrid/>
                    <w:spacing w:line="240" w:lineRule="auto"/>
                    <w:ind w:firstLine="0" w:firstLineChars="0"/>
                    <w:jc w:val="center"/>
                    <w:rPr>
                      <w:rFonts w:hint="default" w:eastAsia="宋体"/>
                      <w:color w:val="auto"/>
                      <w:kern w:val="0"/>
                      <w:sz w:val="21"/>
                      <w:szCs w:val="21"/>
                    </w:rPr>
                  </w:pPr>
                  <w:r>
                    <w:rPr>
                      <w:rFonts w:hint="default" w:ascii="Times New Roman" w:hAnsi="Times New Roman" w:eastAsia="宋体"/>
                      <w:color w:val="auto"/>
                      <w:kern w:val="0"/>
                      <w:sz w:val="21"/>
                      <w:szCs w:val="21"/>
                    </w:rPr>
                    <w:t>无尾目</w:t>
                  </w:r>
                </w:p>
              </w:tc>
              <w:tc>
                <w:tcPr>
                  <w:tcW w:w="750" w:type="pct"/>
                  <w:tcBorders>
                    <w:top w:val="nil"/>
                    <w:left w:val="nil"/>
                    <w:bottom w:val="single" w:color="auto" w:sz="4" w:space="0"/>
                    <w:right w:val="single" w:color="auto" w:sz="4" w:space="0"/>
                  </w:tcBorders>
                  <w:shd w:val="clear" w:color="auto" w:fill="auto"/>
                  <w:noWrap/>
                  <w:vAlign w:val="center"/>
                </w:tcPr>
                <w:p w14:paraId="57F740E9">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叉舌蛙科</w:t>
                  </w:r>
                </w:p>
              </w:tc>
              <w:tc>
                <w:tcPr>
                  <w:tcW w:w="2293" w:type="pct"/>
                  <w:tcBorders>
                    <w:top w:val="nil"/>
                    <w:left w:val="nil"/>
                    <w:bottom w:val="single" w:color="auto" w:sz="4" w:space="0"/>
                    <w:right w:val="single" w:color="auto" w:sz="4" w:space="0"/>
                  </w:tcBorders>
                  <w:shd w:val="clear" w:color="auto" w:fill="auto"/>
                  <w:noWrap/>
                  <w:vAlign w:val="center"/>
                </w:tcPr>
                <w:p w14:paraId="02CB9B43">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双团棘胸蛙Nanorana yunnanensis</w:t>
                  </w:r>
                </w:p>
              </w:tc>
              <w:tc>
                <w:tcPr>
                  <w:tcW w:w="753" w:type="pct"/>
                  <w:tcBorders>
                    <w:top w:val="nil"/>
                    <w:left w:val="nil"/>
                    <w:bottom w:val="single" w:color="auto" w:sz="4" w:space="0"/>
                    <w:right w:val="single" w:color="auto" w:sz="4" w:space="0"/>
                  </w:tcBorders>
                  <w:shd w:val="clear" w:color="auto" w:fill="auto"/>
                  <w:noWrap/>
                  <w:vAlign w:val="center"/>
                </w:tcPr>
                <w:p w14:paraId="1B879B8B">
                  <w:pPr>
                    <w:widowControl/>
                    <w:adjustRightInd/>
                    <w:snapToGrid/>
                    <w:spacing w:line="240" w:lineRule="auto"/>
                    <w:ind w:firstLine="0" w:firstLineChars="0"/>
                    <w:jc w:val="center"/>
                    <w:rPr>
                      <w:rFonts w:hint="eastAsia" w:eastAsia="宋体"/>
                      <w:color w:val="auto"/>
                      <w:kern w:val="0"/>
                      <w:sz w:val="21"/>
                      <w:szCs w:val="21"/>
                      <w:lang w:val="en-US" w:eastAsia="zh-CN"/>
                    </w:rPr>
                  </w:pPr>
                  <w:r>
                    <w:rPr>
                      <w:rFonts w:hint="eastAsia" w:eastAsia="宋体"/>
                      <w:color w:val="auto"/>
                      <w:kern w:val="0"/>
                      <w:sz w:val="21"/>
                      <w:szCs w:val="21"/>
                      <w:lang w:val="en-US" w:eastAsia="zh-CN"/>
                    </w:rPr>
                    <w:t>/</w:t>
                  </w:r>
                </w:p>
              </w:tc>
            </w:tr>
            <w:tr w14:paraId="16571B4B">
              <w:tblPrEx>
                <w:tblCellMar>
                  <w:top w:w="0" w:type="dxa"/>
                  <w:left w:w="108" w:type="dxa"/>
                  <w:bottom w:w="0" w:type="dxa"/>
                  <w:right w:w="108" w:type="dxa"/>
                </w:tblCellMar>
              </w:tblPrEx>
              <w:trPr>
                <w:trHeight w:val="280" w:hRule="atLeast"/>
              </w:trPr>
              <w:tc>
                <w:tcPr>
                  <w:tcW w:w="601" w:type="pct"/>
                  <w:vMerge w:val="continue"/>
                  <w:tcBorders>
                    <w:top w:val="nil"/>
                    <w:left w:val="single" w:color="auto" w:sz="4" w:space="0"/>
                    <w:bottom w:val="single" w:color="auto" w:sz="4" w:space="0"/>
                    <w:right w:val="single" w:color="auto" w:sz="4" w:space="0"/>
                  </w:tcBorders>
                  <w:vAlign w:val="center"/>
                </w:tcPr>
                <w:p w14:paraId="561D75E2">
                  <w:pPr>
                    <w:widowControl/>
                    <w:adjustRightInd/>
                    <w:snapToGrid/>
                    <w:spacing w:line="240" w:lineRule="auto"/>
                    <w:ind w:firstLine="0" w:firstLineChars="0"/>
                    <w:jc w:val="center"/>
                    <w:rPr>
                      <w:rFonts w:ascii="Times New Roman" w:hAnsi="Times New Roman" w:eastAsia="宋体" w:cs="Times New Roman"/>
                      <w:color w:val="auto"/>
                      <w:kern w:val="0"/>
                      <w:sz w:val="21"/>
                      <w:szCs w:val="21"/>
                    </w:rPr>
                  </w:pPr>
                </w:p>
              </w:tc>
              <w:tc>
                <w:tcPr>
                  <w:tcW w:w="601" w:type="pct"/>
                  <w:vMerge w:val="continue"/>
                  <w:tcBorders>
                    <w:top w:val="nil"/>
                    <w:left w:val="single" w:color="auto" w:sz="4" w:space="0"/>
                    <w:bottom w:val="single" w:color="auto" w:sz="4" w:space="0"/>
                    <w:right w:val="single" w:color="auto" w:sz="4" w:space="0"/>
                  </w:tcBorders>
                  <w:vAlign w:val="center"/>
                </w:tcPr>
                <w:p w14:paraId="01FB2134">
                  <w:pPr>
                    <w:widowControl/>
                    <w:adjustRightInd/>
                    <w:snapToGrid/>
                    <w:spacing w:line="240" w:lineRule="auto"/>
                    <w:ind w:firstLine="0" w:firstLineChars="0"/>
                    <w:jc w:val="center"/>
                    <w:rPr>
                      <w:rFonts w:eastAsia="宋体"/>
                      <w:color w:val="auto"/>
                      <w:kern w:val="0"/>
                      <w:sz w:val="21"/>
                      <w:szCs w:val="21"/>
                    </w:rPr>
                  </w:pPr>
                </w:p>
              </w:tc>
              <w:tc>
                <w:tcPr>
                  <w:tcW w:w="750" w:type="pct"/>
                  <w:vMerge w:val="restart"/>
                  <w:tcBorders>
                    <w:top w:val="nil"/>
                    <w:left w:val="single" w:color="auto" w:sz="4" w:space="0"/>
                    <w:bottom w:val="single" w:color="auto" w:sz="4" w:space="0"/>
                    <w:right w:val="single" w:color="auto" w:sz="4" w:space="0"/>
                  </w:tcBorders>
                  <w:shd w:val="clear" w:color="auto" w:fill="auto"/>
                  <w:noWrap/>
                  <w:vAlign w:val="center"/>
                </w:tcPr>
                <w:p w14:paraId="0331F127">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蟾蜍科</w:t>
                  </w:r>
                </w:p>
              </w:tc>
              <w:tc>
                <w:tcPr>
                  <w:tcW w:w="2293" w:type="pct"/>
                  <w:tcBorders>
                    <w:top w:val="nil"/>
                    <w:left w:val="nil"/>
                    <w:bottom w:val="single" w:color="auto" w:sz="4" w:space="0"/>
                    <w:right w:val="single" w:color="auto" w:sz="4" w:space="0"/>
                  </w:tcBorders>
                  <w:shd w:val="clear" w:color="auto" w:fill="auto"/>
                  <w:noWrap/>
                  <w:vAlign w:val="center"/>
                </w:tcPr>
                <w:p w14:paraId="624EDBC0">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中华大蟾蜍Bufo gargarizans</w:t>
                  </w:r>
                </w:p>
              </w:tc>
              <w:tc>
                <w:tcPr>
                  <w:tcW w:w="753" w:type="pct"/>
                  <w:tcBorders>
                    <w:top w:val="nil"/>
                    <w:left w:val="nil"/>
                    <w:bottom w:val="single" w:color="auto" w:sz="4" w:space="0"/>
                    <w:right w:val="single" w:color="auto" w:sz="4" w:space="0"/>
                  </w:tcBorders>
                  <w:shd w:val="clear" w:color="auto" w:fill="auto"/>
                  <w:noWrap/>
                  <w:vAlign w:val="center"/>
                </w:tcPr>
                <w:p w14:paraId="1D35CFF6">
                  <w:pPr>
                    <w:widowControl/>
                    <w:adjustRightInd/>
                    <w:snapToGrid/>
                    <w:spacing w:line="240" w:lineRule="auto"/>
                    <w:ind w:firstLine="0" w:firstLineChars="0"/>
                    <w:jc w:val="center"/>
                    <w:rPr>
                      <w:rFonts w:hint="eastAsia" w:eastAsia="宋体"/>
                      <w:color w:val="auto"/>
                      <w:kern w:val="0"/>
                      <w:sz w:val="21"/>
                      <w:szCs w:val="21"/>
                      <w:lang w:val="en-US" w:eastAsia="zh-CN"/>
                    </w:rPr>
                  </w:pPr>
                  <w:r>
                    <w:rPr>
                      <w:rFonts w:hint="eastAsia" w:eastAsia="宋体"/>
                      <w:color w:val="auto"/>
                      <w:kern w:val="0"/>
                      <w:sz w:val="21"/>
                      <w:szCs w:val="21"/>
                      <w:lang w:val="en-US" w:eastAsia="zh-CN"/>
                    </w:rPr>
                    <w:t>/</w:t>
                  </w:r>
                </w:p>
              </w:tc>
            </w:tr>
            <w:tr w14:paraId="2B8B9B13">
              <w:tblPrEx>
                <w:tblCellMar>
                  <w:top w:w="0" w:type="dxa"/>
                  <w:left w:w="108" w:type="dxa"/>
                  <w:bottom w:w="0" w:type="dxa"/>
                  <w:right w:w="108" w:type="dxa"/>
                </w:tblCellMar>
              </w:tblPrEx>
              <w:trPr>
                <w:trHeight w:val="280" w:hRule="atLeast"/>
              </w:trPr>
              <w:tc>
                <w:tcPr>
                  <w:tcW w:w="601" w:type="pct"/>
                  <w:vMerge w:val="continue"/>
                  <w:tcBorders>
                    <w:top w:val="nil"/>
                    <w:left w:val="single" w:color="auto" w:sz="4" w:space="0"/>
                    <w:bottom w:val="single" w:color="auto" w:sz="4" w:space="0"/>
                    <w:right w:val="single" w:color="auto" w:sz="4" w:space="0"/>
                  </w:tcBorders>
                  <w:vAlign w:val="center"/>
                </w:tcPr>
                <w:p w14:paraId="5B6C1D58">
                  <w:pPr>
                    <w:widowControl/>
                    <w:adjustRightInd/>
                    <w:snapToGrid/>
                    <w:spacing w:line="240" w:lineRule="auto"/>
                    <w:ind w:firstLine="0" w:firstLineChars="0"/>
                    <w:jc w:val="center"/>
                    <w:rPr>
                      <w:rFonts w:ascii="Times New Roman" w:hAnsi="Times New Roman" w:eastAsia="宋体" w:cs="Times New Roman"/>
                      <w:color w:val="auto"/>
                      <w:kern w:val="0"/>
                      <w:sz w:val="21"/>
                      <w:szCs w:val="21"/>
                    </w:rPr>
                  </w:pPr>
                </w:p>
              </w:tc>
              <w:tc>
                <w:tcPr>
                  <w:tcW w:w="601" w:type="pct"/>
                  <w:vMerge w:val="continue"/>
                  <w:tcBorders>
                    <w:top w:val="nil"/>
                    <w:left w:val="single" w:color="auto" w:sz="4" w:space="0"/>
                    <w:bottom w:val="single" w:color="auto" w:sz="4" w:space="0"/>
                    <w:right w:val="single" w:color="auto" w:sz="4" w:space="0"/>
                  </w:tcBorders>
                  <w:vAlign w:val="center"/>
                </w:tcPr>
                <w:p w14:paraId="33920FDA">
                  <w:pPr>
                    <w:widowControl/>
                    <w:adjustRightInd/>
                    <w:snapToGrid/>
                    <w:spacing w:line="240" w:lineRule="auto"/>
                    <w:ind w:firstLine="0" w:firstLineChars="0"/>
                    <w:jc w:val="center"/>
                    <w:rPr>
                      <w:rFonts w:eastAsia="宋体"/>
                      <w:color w:val="auto"/>
                      <w:kern w:val="0"/>
                      <w:sz w:val="21"/>
                      <w:szCs w:val="21"/>
                    </w:rPr>
                  </w:pPr>
                </w:p>
              </w:tc>
              <w:tc>
                <w:tcPr>
                  <w:tcW w:w="750" w:type="pct"/>
                  <w:vMerge w:val="continue"/>
                  <w:tcBorders>
                    <w:top w:val="nil"/>
                    <w:left w:val="single" w:color="auto" w:sz="4" w:space="0"/>
                    <w:bottom w:val="single" w:color="auto" w:sz="4" w:space="0"/>
                    <w:right w:val="single" w:color="auto" w:sz="4" w:space="0"/>
                  </w:tcBorders>
                  <w:vAlign w:val="center"/>
                </w:tcPr>
                <w:p w14:paraId="6290D2E9">
                  <w:pPr>
                    <w:widowControl/>
                    <w:adjustRightInd/>
                    <w:snapToGrid/>
                    <w:spacing w:line="240" w:lineRule="auto"/>
                    <w:ind w:firstLine="0" w:firstLineChars="0"/>
                    <w:jc w:val="center"/>
                    <w:rPr>
                      <w:rFonts w:eastAsia="宋体"/>
                      <w:color w:val="auto"/>
                      <w:kern w:val="0"/>
                      <w:sz w:val="21"/>
                      <w:szCs w:val="21"/>
                    </w:rPr>
                  </w:pPr>
                </w:p>
              </w:tc>
              <w:tc>
                <w:tcPr>
                  <w:tcW w:w="2293" w:type="pct"/>
                  <w:tcBorders>
                    <w:top w:val="nil"/>
                    <w:left w:val="nil"/>
                    <w:bottom w:val="single" w:color="auto" w:sz="4" w:space="0"/>
                    <w:right w:val="single" w:color="auto" w:sz="4" w:space="0"/>
                  </w:tcBorders>
                  <w:shd w:val="clear" w:color="auto" w:fill="auto"/>
                  <w:noWrap/>
                  <w:vAlign w:val="center"/>
                </w:tcPr>
                <w:p w14:paraId="6CD6F3E6">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华西蟾蜍Bufo andrewsi</w:t>
                  </w:r>
                </w:p>
              </w:tc>
              <w:tc>
                <w:tcPr>
                  <w:tcW w:w="753" w:type="pct"/>
                  <w:tcBorders>
                    <w:top w:val="nil"/>
                    <w:left w:val="nil"/>
                    <w:bottom w:val="single" w:color="auto" w:sz="4" w:space="0"/>
                    <w:right w:val="single" w:color="auto" w:sz="4" w:space="0"/>
                  </w:tcBorders>
                  <w:shd w:val="clear" w:color="auto" w:fill="auto"/>
                  <w:noWrap/>
                  <w:vAlign w:val="center"/>
                </w:tcPr>
                <w:p w14:paraId="41CF32CC">
                  <w:pPr>
                    <w:widowControl/>
                    <w:adjustRightInd/>
                    <w:snapToGrid/>
                    <w:spacing w:line="240" w:lineRule="auto"/>
                    <w:ind w:firstLine="0" w:firstLineChars="0"/>
                    <w:jc w:val="center"/>
                    <w:rPr>
                      <w:rFonts w:hint="eastAsia" w:eastAsia="宋体"/>
                      <w:color w:val="auto"/>
                      <w:kern w:val="0"/>
                      <w:sz w:val="21"/>
                      <w:szCs w:val="21"/>
                      <w:lang w:val="en-US" w:eastAsia="zh-CN"/>
                    </w:rPr>
                  </w:pPr>
                  <w:r>
                    <w:rPr>
                      <w:rFonts w:hint="eastAsia" w:eastAsia="宋体"/>
                      <w:color w:val="auto"/>
                      <w:kern w:val="0"/>
                      <w:sz w:val="21"/>
                      <w:szCs w:val="21"/>
                      <w:lang w:val="en-US" w:eastAsia="zh-CN"/>
                    </w:rPr>
                    <w:t>/</w:t>
                  </w:r>
                </w:p>
              </w:tc>
            </w:tr>
            <w:tr w14:paraId="6C823015">
              <w:tblPrEx>
                <w:tblCellMar>
                  <w:top w:w="0" w:type="dxa"/>
                  <w:left w:w="108" w:type="dxa"/>
                  <w:bottom w:w="0" w:type="dxa"/>
                  <w:right w:w="108" w:type="dxa"/>
                </w:tblCellMar>
              </w:tblPrEx>
              <w:trPr>
                <w:trHeight w:val="280" w:hRule="atLeast"/>
              </w:trPr>
              <w:tc>
                <w:tcPr>
                  <w:tcW w:w="601" w:type="pct"/>
                  <w:vMerge w:val="continue"/>
                  <w:tcBorders>
                    <w:top w:val="nil"/>
                    <w:left w:val="single" w:color="auto" w:sz="4" w:space="0"/>
                    <w:bottom w:val="single" w:color="auto" w:sz="4" w:space="0"/>
                    <w:right w:val="single" w:color="auto" w:sz="4" w:space="0"/>
                  </w:tcBorders>
                  <w:vAlign w:val="center"/>
                </w:tcPr>
                <w:p w14:paraId="7EECF17A">
                  <w:pPr>
                    <w:widowControl/>
                    <w:adjustRightInd/>
                    <w:snapToGrid/>
                    <w:spacing w:line="240" w:lineRule="auto"/>
                    <w:ind w:firstLine="0" w:firstLineChars="0"/>
                    <w:jc w:val="center"/>
                    <w:rPr>
                      <w:rFonts w:ascii="Times New Roman" w:hAnsi="Times New Roman" w:eastAsia="宋体" w:cs="Times New Roman"/>
                      <w:color w:val="auto"/>
                      <w:kern w:val="0"/>
                      <w:sz w:val="21"/>
                      <w:szCs w:val="21"/>
                    </w:rPr>
                  </w:pPr>
                </w:p>
              </w:tc>
              <w:tc>
                <w:tcPr>
                  <w:tcW w:w="601" w:type="pct"/>
                  <w:vMerge w:val="continue"/>
                  <w:tcBorders>
                    <w:top w:val="nil"/>
                    <w:left w:val="single" w:color="auto" w:sz="4" w:space="0"/>
                    <w:bottom w:val="single" w:color="auto" w:sz="4" w:space="0"/>
                    <w:right w:val="single" w:color="auto" w:sz="4" w:space="0"/>
                  </w:tcBorders>
                  <w:vAlign w:val="center"/>
                </w:tcPr>
                <w:p w14:paraId="626C08AA">
                  <w:pPr>
                    <w:widowControl/>
                    <w:adjustRightInd/>
                    <w:snapToGrid/>
                    <w:spacing w:line="240" w:lineRule="auto"/>
                    <w:ind w:firstLine="0" w:firstLineChars="0"/>
                    <w:jc w:val="center"/>
                    <w:rPr>
                      <w:rFonts w:eastAsia="宋体"/>
                      <w:color w:val="auto"/>
                      <w:kern w:val="0"/>
                      <w:sz w:val="21"/>
                      <w:szCs w:val="21"/>
                    </w:rPr>
                  </w:pPr>
                </w:p>
              </w:tc>
              <w:tc>
                <w:tcPr>
                  <w:tcW w:w="750" w:type="pct"/>
                  <w:vMerge w:val="restart"/>
                  <w:tcBorders>
                    <w:top w:val="nil"/>
                    <w:left w:val="single" w:color="auto" w:sz="4" w:space="0"/>
                    <w:bottom w:val="single" w:color="auto" w:sz="4" w:space="0"/>
                    <w:right w:val="single" w:color="auto" w:sz="4" w:space="0"/>
                  </w:tcBorders>
                  <w:shd w:val="clear" w:color="auto" w:fill="auto"/>
                  <w:noWrap/>
                  <w:vAlign w:val="center"/>
                </w:tcPr>
                <w:p w14:paraId="09983DCC">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蛙科</w:t>
                  </w:r>
                </w:p>
              </w:tc>
              <w:tc>
                <w:tcPr>
                  <w:tcW w:w="2293" w:type="pct"/>
                  <w:tcBorders>
                    <w:top w:val="nil"/>
                    <w:left w:val="nil"/>
                    <w:bottom w:val="single" w:color="auto" w:sz="4" w:space="0"/>
                    <w:right w:val="single" w:color="auto" w:sz="4" w:space="0"/>
                  </w:tcBorders>
                  <w:shd w:val="clear" w:color="auto" w:fill="auto"/>
                  <w:noWrap/>
                  <w:vAlign w:val="center"/>
                </w:tcPr>
                <w:p w14:paraId="318FF2E5">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无指盘臭蛙Odorrana grahami</w:t>
                  </w:r>
                </w:p>
              </w:tc>
              <w:tc>
                <w:tcPr>
                  <w:tcW w:w="753" w:type="pct"/>
                  <w:tcBorders>
                    <w:top w:val="nil"/>
                    <w:left w:val="nil"/>
                    <w:bottom w:val="single" w:color="auto" w:sz="4" w:space="0"/>
                    <w:right w:val="single" w:color="auto" w:sz="4" w:space="0"/>
                  </w:tcBorders>
                  <w:shd w:val="clear" w:color="auto" w:fill="auto"/>
                  <w:noWrap/>
                  <w:vAlign w:val="center"/>
                </w:tcPr>
                <w:p w14:paraId="536EDF59">
                  <w:pPr>
                    <w:widowControl/>
                    <w:adjustRightInd/>
                    <w:snapToGrid/>
                    <w:spacing w:line="240" w:lineRule="auto"/>
                    <w:ind w:firstLine="0" w:firstLineChars="0"/>
                    <w:jc w:val="center"/>
                    <w:rPr>
                      <w:rFonts w:hint="eastAsia" w:eastAsia="宋体"/>
                      <w:color w:val="auto"/>
                      <w:kern w:val="0"/>
                      <w:sz w:val="21"/>
                      <w:szCs w:val="21"/>
                      <w:lang w:val="en-US" w:eastAsia="zh-CN"/>
                    </w:rPr>
                  </w:pPr>
                  <w:r>
                    <w:rPr>
                      <w:rFonts w:hint="eastAsia" w:eastAsia="宋体"/>
                      <w:color w:val="auto"/>
                      <w:kern w:val="0"/>
                      <w:sz w:val="21"/>
                      <w:szCs w:val="21"/>
                      <w:lang w:val="en-US" w:eastAsia="zh-CN"/>
                    </w:rPr>
                    <w:t>/</w:t>
                  </w:r>
                </w:p>
              </w:tc>
            </w:tr>
            <w:tr w14:paraId="0F9C42CF">
              <w:tblPrEx>
                <w:tblCellMar>
                  <w:top w:w="0" w:type="dxa"/>
                  <w:left w:w="108" w:type="dxa"/>
                  <w:bottom w:w="0" w:type="dxa"/>
                  <w:right w:w="108" w:type="dxa"/>
                </w:tblCellMar>
              </w:tblPrEx>
              <w:trPr>
                <w:trHeight w:val="280" w:hRule="atLeast"/>
              </w:trPr>
              <w:tc>
                <w:tcPr>
                  <w:tcW w:w="601" w:type="pct"/>
                  <w:vMerge w:val="continue"/>
                  <w:tcBorders>
                    <w:top w:val="nil"/>
                    <w:left w:val="single" w:color="auto" w:sz="4" w:space="0"/>
                    <w:bottom w:val="single" w:color="auto" w:sz="4" w:space="0"/>
                    <w:right w:val="single" w:color="auto" w:sz="4" w:space="0"/>
                  </w:tcBorders>
                  <w:vAlign w:val="center"/>
                </w:tcPr>
                <w:p w14:paraId="3F0D24D3">
                  <w:pPr>
                    <w:widowControl/>
                    <w:adjustRightInd/>
                    <w:snapToGrid/>
                    <w:spacing w:line="240" w:lineRule="auto"/>
                    <w:ind w:firstLine="0" w:firstLineChars="0"/>
                    <w:jc w:val="center"/>
                    <w:rPr>
                      <w:rFonts w:ascii="Times New Roman" w:hAnsi="Times New Roman" w:eastAsia="宋体" w:cs="Times New Roman"/>
                      <w:color w:val="auto"/>
                      <w:kern w:val="0"/>
                      <w:sz w:val="21"/>
                      <w:szCs w:val="21"/>
                    </w:rPr>
                  </w:pPr>
                </w:p>
              </w:tc>
              <w:tc>
                <w:tcPr>
                  <w:tcW w:w="601" w:type="pct"/>
                  <w:vMerge w:val="continue"/>
                  <w:tcBorders>
                    <w:top w:val="nil"/>
                    <w:left w:val="single" w:color="auto" w:sz="4" w:space="0"/>
                    <w:bottom w:val="single" w:color="auto" w:sz="4" w:space="0"/>
                    <w:right w:val="single" w:color="auto" w:sz="4" w:space="0"/>
                  </w:tcBorders>
                  <w:vAlign w:val="center"/>
                </w:tcPr>
                <w:p w14:paraId="04E0FC89">
                  <w:pPr>
                    <w:widowControl/>
                    <w:adjustRightInd/>
                    <w:snapToGrid/>
                    <w:spacing w:line="240" w:lineRule="auto"/>
                    <w:ind w:firstLine="0" w:firstLineChars="0"/>
                    <w:jc w:val="center"/>
                    <w:rPr>
                      <w:rFonts w:eastAsia="宋体"/>
                      <w:color w:val="auto"/>
                      <w:kern w:val="0"/>
                      <w:sz w:val="21"/>
                      <w:szCs w:val="21"/>
                    </w:rPr>
                  </w:pPr>
                </w:p>
              </w:tc>
              <w:tc>
                <w:tcPr>
                  <w:tcW w:w="750" w:type="pct"/>
                  <w:vMerge w:val="continue"/>
                  <w:tcBorders>
                    <w:top w:val="nil"/>
                    <w:left w:val="single" w:color="auto" w:sz="4" w:space="0"/>
                    <w:bottom w:val="single" w:color="auto" w:sz="4" w:space="0"/>
                    <w:right w:val="single" w:color="auto" w:sz="4" w:space="0"/>
                  </w:tcBorders>
                  <w:vAlign w:val="center"/>
                </w:tcPr>
                <w:p w14:paraId="13C9FA1B">
                  <w:pPr>
                    <w:widowControl/>
                    <w:adjustRightInd/>
                    <w:snapToGrid/>
                    <w:spacing w:line="240" w:lineRule="auto"/>
                    <w:ind w:firstLine="0" w:firstLineChars="0"/>
                    <w:jc w:val="center"/>
                    <w:rPr>
                      <w:rFonts w:eastAsia="宋体"/>
                      <w:color w:val="auto"/>
                      <w:kern w:val="0"/>
                      <w:sz w:val="21"/>
                      <w:szCs w:val="21"/>
                    </w:rPr>
                  </w:pPr>
                </w:p>
              </w:tc>
              <w:tc>
                <w:tcPr>
                  <w:tcW w:w="2293" w:type="pct"/>
                  <w:tcBorders>
                    <w:top w:val="nil"/>
                    <w:left w:val="nil"/>
                    <w:bottom w:val="single" w:color="auto" w:sz="4" w:space="0"/>
                    <w:right w:val="single" w:color="auto" w:sz="4" w:space="0"/>
                  </w:tcBorders>
                  <w:shd w:val="clear" w:color="auto" w:fill="auto"/>
                  <w:noWrap/>
                  <w:vAlign w:val="center"/>
                </w:tcPr>
                <w:p w14:paraId="6E189F4B">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滇蛙Nidirana pleuraden</w:t>
                  </w:r>
                </w:p>
              </w:tc>
              <w:tc>
                <w:tcPr>
                  <w:tcW w:w="753" w:type="pct"/>
                  <w:tcBorders>
                    <w:top w:val="nil"/>
                    <w:left w:val="nil"/>
                    <w:bottom w:val="single" w:color="auto" w:sz="4" w:space="0"/>
                    <w:right w:val="single" w:color="auto" w:sz="4" w:space="0"/>
                  </w:tcBorders>
                  <w:shd w:val="clear" w:color="auto" w:fill="auto"/>
                  <w:noWrap/>
                  <w:vAlign w:val="center"/>
                </w:tcPr>
                <w:p w14:paraId="30452DAF">
                  <w:pPr>
                    <w:widowControl/>
                    <w:adjustRightInd/>
                    <w:snapToGrid/>
                    <w:spacing w:line="240" w:lineRule="auto"/>
                    <w:ind w:firstLine="0" w:firstLineChars="0"/>
                    <w:jc w:val="center"/>
                    <w:rPr>
                      <w:rFonts w:hint="eastAsia" w:eastAsia="宋体"/>
                      <w:color w:val="auto"/>
                      <w:kern w:val="0"/>
                      <w:sz w:val="21"/>
                      <w:szCs w:val="21"/>
                      <w:lang w:val="en-US" w:eastAsia="zh-CN"/>
                    </w:rPr>
                  </w:pPr>
                  <w:r>
                    <w:rPr>
                      <w:rFonts w:hint="eastAsia" w:eastAsia="宋体"/>
                      <w:color w:val="auto"/>
                      <w:kern w:val="0"/>
                      <w:sz w:val="21"/>
                      <w:szCs w:val="21"/>
                      <w:lang w:val="en-US" w:eastAsia="zh-CN"/>
                    </w:rPr>
                    <w:t>/</w:t>
                  </w:r>
                </w:p>
              </w:tc>
            </w:tr>
          </w:tbl>
          <w:p w14:paraId="50FB85FC">
            <w:pPr>
              <w:ind w:left="0" w:leftChars="0" w:firstLine="0" w:firstLineChars="0"/>
              <w:rPr>
                <w:rFonts w:hint="eastAsia"/>
                <w:color w:val="auto"/>
              </w:rPr>
            </w:pPr>
          </w:p>
          <w:p w14:paraId="4B52E2DE">
            <w:pPr>
              <w:ind w:firstLine="480" w:firstLineChars="0"/>
              <w:rPr>
                <w:color w:val="auto"/>
              </w:rPr>
            </w:pPr>
            <w:r>
              <w:rPr>
                <w:rFonts w:hint="eastAsia"/>
                <w:color w:val="auto"/>
              </w:rPr>
              <w:t>（</w:t>
            </w:r>
            <w:r>
              <w:rPr>
                <w:color w:val="auto"/>
              </w:rPr>
              <w:t>4</w:t>
            </w:r>
            <w:r>
              <w:rPr>
                <w:rFonts w:hint="eastAsia"/>
                <w:color w:val="auto"/>
              </w:rPr>
              <w:t>）爬行类</w:t>
            </w:r>
          </w:p>
          <w:p w14:paraId="5E74A85E">
            <w:pPr>
              <w:ind w:firstLine="480" w:firstLineChars="0"/>
              <w:rPr>
                <w:color w:val="auto"/>
              </w:rPr>
            </w:pPr>
            <w:r>
              <w:rPr>
                <w:rFonts w:hint="eastAsia"/>
                <w:color w:val="auto"/>
              </w:rPr>
              <w:t>评价区内记录爬行动物1目3科7种，具体见下表。</w:t>
            </w:r>
            <w:r>
              <w:rPr>
                <w:color w:val="auto"/>
              </w:rPr>
              <w:t>区系组成上东洋界成分3种，主要为玉斑锦蛇、昆明滑蜥、多疣壁虎，其中昆明滑蜥为云贵高原特有类群；乌梢蛇、王锦蛇、黑眉锦蛇、虎斑颈槽蛇为古北</w:t>
            </w:r>
            <w:r>
              <w:rPr>
                <w:color w:val="auto"/>
              </w:rPr>
              <w:noBreakHyphen/>
            </w:r>
            <w:r>
              <w:rPr>
                <w:color w:val="auto"/>
              </w:rPr>
              <w:t>东洋两界广布种。爬行动物主要栖息于林缘乱石堆、灌草丛，温暖季节活动，冬季冬眠，对林地、灌丛生境依赖性较强。</w:t>
            </w:r>
          </w:p>
          <w:p w14:paraId="6A11DA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b/>
                <w:color w:val="auto"/>
                <w:sz w:val="21"/>
                <w:szCs w:val="21"/>
              </w:rPr>
              <w:t>表3-1</w:t>
            </w:r>
            <w:r>
              <w:rPr>
                <w:rFonts w:hint="eastAsia"/>
                <w:b/>
                <w:color w:val="auto"/>
                <w:sz w:val="21"/>
                <w:szCs w:val="21"/>
                <w:lang w:val="en-US" w:eastAsia="zh-CN"/>
              </w:rPr>
              <w:t>3</w:t>
            </w:r>
            <w:r>
              <w:rPr>
                <w:b/>
                <w:color w:val="auto"/>
                <w:sz w:val="21"/>
                <w:szCs w:val="21"/>
              </w:rPr>
              <w:t xml:space="preserve"> 评价区</w:t>
            </w:r>
            <w:r>
              <w:rPr>
                <w:rFonts w:hint="eastAsia"/>
                <w:b/>
                <w:color w:val="auto"/>
                <w:sz w:val="21"/>
                <w:szCs w:val="21"/>
              </w:rPr>
              <w:t>两栖</w:t>
            </w:r>
            <w:r>
              <w:rPr>
                <w:b/>
                <w:color w:val="auto"/>
                <w:sz w:val="21"/>
                <w:szCs w:val="21"/>
              </w:rPr>
              <w:t>类动物组成</w:t>
            </w:r>
          </w:p>
          <w:tbl>
            <w:tblPr>
              <w:tblStyle w:val="20"/>
              <w:tblW w:w="4998" w:type="pct"/>
              <w:tblInd w:w="0" w:type="dxa"/>
              <w:tblLayout w:type="autofit"/>
              <w:tblCellMar>
                <w:top w:w="0" w:type="dxa"/>
                <w:left w:w="108" w:type="dxa"/>
                <w:bottom w:w="0" w:type="dxa"/>
                <w:right w:w="108" w:type="dxa"/>
              </w:tblCellMar>
            </w:tblPr>
            <w:tblGrid>
              <w:gridCol w:w="1163"/>
              <w:gridCol w:w="1163"/>
              <w:gridCol w:w="1163"/>
              <w:gridCol w:w="3803"/>
              <w:gridCol w:w="1399"/>
            </w:tblGrid>
            <w:tr w14:paraId="75E8AEB8">
              <w:trPr>
                <w:trHeight w:val="280" w:hRule="atLeast"/>
              </w:trPr>
              <w:tc>
                <w:tcPr>
                  <w:tcW w:w="6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86D8B4">
                  <w:pPr>
                    <w:widowControl/>
                    <w:adjustRightInd/>
                    <w:snapToGrid/>
                    <w:spacing w:line="240" w:lineRule="auto"/>
                    <w:ind w:firstLine="0" w:firstLineChars="0"/>
                    <w:jc w:val="center"/>
                    <w:rPr>
                      <w:rFonts w:ascii="Times New Roman" w:hAnsi="Times New Roman" w:eastAsia="宋体" w:cs="Times New Roman"/>
                      <w:b/>
                      <w:bCs/>
                      <w:color w:val="auto"/>
                      <w:kern w:val="0"/>
                      <w:sz w:val="21"/>
                      <w:szCs w:val="21"/>
                    </w:rPr>
                  </w:pPr>
                  <w:r>
                    <w:rPr>
                      <w:rFonts w:hint="default" w:ascii="Times New Roman" w:hAnsi="Times New Roman" w:eastAsia="宋体" w:cs="Times New Roman"/>
                      <w:b/>
                      <w:bCs/>
                      <w:color w:val="auto"/>
                      <w:kern w:val="0"/>
                      <w:sz w:val="21"/>
                      <w:szCs w:val="21"/>
                    </w:rPr>
                    <w:t>类型</w:t>
                  </w:r>
                </w:p>
              </w:tc>
              <w:tc>
                <w:tcPr>
                  <w:tcW w:w="669" w:type="pct"/>
                  <w:tcBorders>
                    <w:top w:val="single" w:color="auto" w:sz="4" w:space="0"/>
                    <w:left w:val="nil"/>
                    <w:bottom w:val="single" w:color="auto" w:sz="4" w:space="0"/>
                    <w:right w:val="single" w:color="auto" w:sz="4" w:space="0"/>
                  </w:tcBorders>
                  <w:shd w:val="clear" w:color="auto" w:fill="auto"/>
                  <w:noWrap/>
                  <w:vAlign w:val="center"/>
                </w:tcPr>
                <w:p w14:paraId="6110C423">
                  <w:pPr>
                    <w:widowControl/>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目</w:t>
                  </w:r>
                </w:p>
              </w:tc>
              <w:tc>
                <w:tcPr>
                  <w:tcW w:w="669" w:type="pct"/>
                  <w:tcBorders>
                    <w:top w:val="single" w:color="auto" w:sz="4" w:space="0"/>
                    <w:left w:val="nil"/>
                    <w:bottom w:val="single" w:color="auto" w:sz="4" w:space="0"/>
                    <w:right w:val="single" w:color="auto" w:sz="4" w:space="0"/>
                  </w:tcBorders>
                  <w:shd w:val="clear" w:color="auto" w:fill="auto"/>
                  <w:noWrap/>
                  <w:vAlign w:val="center"/>
                </w:tcPr>
                <w:p w14:paraId="0BDF1C18">
                  <w:pPr>
                    <w:widowControl/>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科</w:t>
                  </w:r>
                </w:p>
              </w:tc>
              <w:tc>
                <w:tcPr>
                  <w:tcW w:w="2187" w:type="pct"/>
                  <w:tcBorders>
                    <w:top w:val="single" w:color="auto" w:sz="4" w:space="0"/>
                    <w:left w:val="nil"/>
                    <w:bottom w:val="single" w:color="auto" w:sz="4" w:space="0"/>
                    <w:right w:val="single" w:color="auto" w:sz="4" w:space="0"/>
                  </w:tcBorders>
                  <w:shd w:val="clear" w:color="auto" w:fill="auto"/>
                  <w:noWrap/>
                  <w:vAlign w:val="center"/>
                </w:tcPr>
                <w:p w14:paraId="7F46EB56">
                  <w:pPr>
                    <w:widowControl/>
                    <w:adjustRightInd/>
                    <w:snapToGrid/>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种</w:t>
                  </w:r>
                </w:p>
              </w:tc>
              <w:tc>
                <w:tcPr>
                  <w:tcW w:w="804" w:type="pct"/>
                  <w:tcBorders>
                    <w:top w:val="single" w:color="auto" w:sz="4" w:space="0"/>
                    <w:left w:val="nil"/>
                    <w:bottom w:val="single" w:color="auto" w:sz="4" w:space="0"/>
                    <w:right w:val="single" w:color="auto" w:sz="4" w:space="0"/>
                  </w:tcBorders>
                  <w:shd w:val="clear" w:color="auto" w:fill="auto"/>
                  <w:noWrap/>
                  <w:vAlign w:val="center"/>
                </w:tcPr>
                <w:p w14:paraId="570B1575">
                  <w:pPr>
                    <w:widowControl/>
                    <w:adjustRightInd/>
                    <w:snapToGrid/>
                    <w:spacing w:line="240" w:lineRule="auto"/>
                    <w:ind w:firstLine="0" w:firstLineChars="0"/>
                    <w:jc w:val="center"/>
                    <w:rPr>
                      <w:rFonts w:hint="default" w:eastAsia="宋体"/>
                      <w:b/>
                      <w:bCs/>
                      <w:color w:val="auto"/>
                      <w:kern w:val="0"/>
                      <w:sz w:val="21"/>
                      <w:szCs w:val="21"/>
                    </w:rPr>
                  </w:pPr>
                  <w:r>
                    <w:rPr>
                      <w:rFonts w:hint="default" w:ascii="Times New Roman" w:hAnsi="Times New Roman" w:eastAsia="宋体"/>
                      <w:b/>
                      <w:bCs/>
                      <w:color w:val="auto"/>
                      <w:kern w:val="0"/>
                      <w:sz w:val="21"/>
                      <w:szCs w:val="21"/>
                    </w:rPr>
                    <w:t>保护等级</w:t>
                  </w:r>
                </w:p>
              </w:tc>
            </w:tr>
            <w:tr w14:paraId="20BF72C2">
              <w:tblPrEx>
                <w:tblCellMar>
                  <w:top w:w="0" w:type="dxa"/>
                  <w:left w:w="108" w:type="dxa"/>
                  <w:bottom w:w="0" w:type="dxa"/>
                  <w:right w:w="108" w:type="dxa"/>
                </w:tblCellMar>
              </w:tblPrEx>
              <w:trPr>
                <w:trHeight w:val="280" w:hRule="atLeast"/>
              </w:trPr>
              <w:tc>
                <w:tcPr>
                  <w:tcW w:w="669" w:type="pct"/>
                  <w:vMerge w:val="restart"/>
                  <w:tcBorders>
                    <w:top w:val="nil"/>
                    <w:left w:val="single" w:color="auto" w:sz="4" w:space="0"/>
                    <w:bottom w:val="single" w:color="auto" w:sz="4" w:space="0"/>
                    <w:right w:val="single" w:color="auto" w:sz="4" w:space="0"/>
                  </w:tcBorders>
                  <w:shd w:val="clear" w:color="auto" w:fill="auto"/>
                  <w:noWrap/>
                  <w:vAlign w:val="center"/>
                </w:tcPr>
                <w:p w14:paraId="49CA7453">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爬行类</w:t>
                  </w:r>
                </w:p>
              </w:tc>
              <w:tc>
                <w:tcPr>
                  <w:tcW w:w="669" w:type="pct"/>
                  <w:vMerge w:val="restart"/>
                  <w:tcBorders>
                    <w:top w:val="nil"/>
                    <w:left w:val="single" w:color="auto" w:sz="4" w:space="0"/>
                    <w:bottom w:val="single" w:color="auto" w:sz="4" w:space="0"/>
                    <w:right w:val="single" w:color="auto" w:sz="4" w:space="0"/>
                  </w:tcBorders>
                  <w:shd w:val="clear" w:color="auto" w:fill="auto"/>
                  <w:noWrap/>
                  <w:vAlign w:val="center"/>
                </w:tcPr>
                <w:p w14:paraId="1D7BDFB3">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有鳞目</w:t>
                  </w:r>
                </w:p>
              </w:tc>
              <w:tc>
                <w:tcPr>
                  <w:tcW w:w="669" w:type="pct"/>
                  <w:vMerge w:val="restart"/>
                  <w:tcBorders>
                    <w:top w:val="nil"/>
                    <w:left w:val="single" w:color="auto" w:sz="4" w:space="0"/>
                    <w:bottom w:val="single" w:color="auto" w:sz="4" w:space="0"/>
                    <w:right w:val="single" w:color="auto" w:sz="4" w:space="0"/>
                  </w:tcBorders>
                  <w:shd w:val="clear" w:color="auto" w:fill="auto"/>
                  <w:noWrap/>
                  <w:vAlign w:val="center"/>
                </w:tcPr>
                <w:p w14:paraId="4E9C144A">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游蛇科</w:t>
                  </w:r>
                </w:p>
              </w:tc>
              <w:tc>
                <w:tcPr>
                  <w:tcW w:w="2187" w:type="pct"/>
                  <w:tcBorders>
                    <w:top w:val="nil"/>
                    <w:left w:val="nil"/>
                    <w:bottom w:val="single" w:color="auto" w:sz="4" w:space="0"/>
                    <w:right w:val="single" w:color="auto" w:sz="4" w:space="0"/>
                  </w:tcBorders>
                  <w:shd w:val="clear" w:color="auto" w:fill="auto"/>
                  <w:noWrap/>
                  <w:vAlign w:val="center"/>
                </w:tcPr>
                <w:p w14:paraId="76ED04CF">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乌梢蛇Ptyas dhumnades</w:t>
                  </w:r>
                </w:p>
              </w:tc>
              <w:tc>
                <w:tcPr>
                  <w:tcW w:w="804" w:type="pct"/>
                  <w:tcBorders>
                    <w:top w:val="nil"/>
                    <w:left w:val="nil"/>
                    <w:bottom w:val="single" w:color="auto" w:sz="4" w:space="0"/>
                    <w:right w:val="single" w:color="auto" w:sz="4" w:space="0"/>
                  </w:tcBorders>
                  <w:shd w:val="clear" w:color="auto" w:fill="auto"/>
                  <w:noWrap/>
                  <w:vAlign w:val="center"/>
                </w:tcPr>
                <w:p w14:paraId="1A0FD200">
                  <w:pPr>
                    <w:widowControl/>
                    <w:adjustRightInd/>
                    <w:snapToGrid/>
                    <w:spacing w:line="240" w:lineRule="auto"/>
                    <w:ind w:firstLine="0" w:firstLineChars="0"/>
                    <w:jc w:val="center"/>
                    <w:rPr>
                      <w:rFonts w:eastAsia="宋体"/>
                      <w:color w:val="auto"/>
                      <w:kern w:val="0"/>
                      <w:sz w:val="21"/>
                      <w:szCs w:val="21"/>
                    </w:rPr>
                  </w:pPr>
                </w:p>
              </w:tc>
            </w:tr>
            <w:tr w14:paraId="5A7E55F0">
              <w:trPr>
                <w:trHeight w:val="280" w:hRule="atLeast"/>
              </w:trPr>
              <w:tc>
                <w:tcPr>
                  <w:tcW w:w="669" w:type="pct"/>
                  <w:vMerge w:val="continue"/>
                  <w:tcBorders>
                    <w:top w:val="nil"/>
                    <w:left w:val="single" w:color="auto" w:sz="4" w:space="0"/>
                    <w:bottom w:val="single" w:color="auto" w:sz="4" w:space="0"/>
                    <w:right w:val="single" w:color="auto" w:sz="4" w:space="0"/>
                  </w:tcBorders>
                  <w:vAlign w:val="center"/>
                </w:tcPr>
                <w:p w14:paraId="47593E9A">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41457E5D">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37AEAAEC">
                  <w:pPr>
                    <w:widowControl/>
                    <w:adjustRightInd/>
                    <w:snapToGrid/>
                    <w:spacing w:line="240" w:lineRule="auto"/>
                    <w:ind w:firstLine="0" w:firstLineChars="0"/>
                    <w:jc w:val="center"/>
                    <w:rPr>
                      <w:rFonts w:eastAsia="宋体"/>
                      <w:color w:val="auto"/>
                      <w:kern w:val="0"/>
                      <w:sz w:val="21"/>
                      <w:szCs w:val="21"/>
                    </w:rPr>
                  </w:pPr>
                </w:p>
              </w:tc>
              <w:tc>
                <w:tcPr>
                  <w:tcW w:w="2187" w:type="pct"/>
                  <w:tcBorders>
                    <w:top w:val="nil"/>
                    <w:left w:val="nil"/>
                    <w:bottom w:val="single" w:color="auto" w:sz="4" w:space="0"/>
                    <w:right w:val="single" w:color="auto" w:sz="4" w:space="0"/>
                  </w:tcBorders>
                  <w:shd w:val="clear" w:color="auto" w:fill="auto"/>
                  <w:noWrap/>
                  <w:vAlign w:val="center"/>
                </w:tcPr>
                <w:p w14:paraId="724C263D">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王锦蛇Elaphe carinata</w:t>
                  </w:r>
                </w:p>
              </w:tc>
              <w:tc>
                <w:tcPr>
                  <w:tcW w:w="804" w:type="pct"/>
                  <w:tcBorders>
                    <w:top w:val="nil"/>
                    <w:left w:val="nil"/>
                    <w:bottom w:val="single" w:color="auto" w:sz="4" w:space="0"/>
                    <w:right w:val="single" w:color="auto" w:sz="4" w:space="0"/>
                  </w:tcBorders>
                  <w:shd w:val="clear" w:color="auto" w:fill="auto"/>
                  <w:noWrap/>
                  <w:vAlign w:val="center"/>
                </w:tcPr>
                <w:p w14:paraId="069E98D3">
                  <w:pPr>
                    <w:widowControl/>
                    <w:adjustRightInd/>
                    <w:snapToGrid/>
                    <w:spacing w:line="240" w:lineRule="auto"/>
                    <w:ind w:firstLine="0" w:firstLineChars="0"/>
                    <w:jc w:val="center"/>
                    <w:rPr>
                      <w:rFonts w:eastAsia="宋体"/>
                      <w:color w:val="auto"/>
                      <w:kern w:val="0"/>
                      <w:sz w:val="21"/>
                      <w:szCs w:val="21"/>
                    </w:rPr>
                  </w:pPr>
                </w:p>
              </w:tc>
            </w:tr>
            <w:tr w14:paraId="38AD5D91">
              <w:tblPrEx>
                <w:tblCellMar>
                  <w:top w:w="0" w:type="dxa"/>
                  <w:left w:w="108" w:type="dxa"/>
                  <w:bottom w:w="0" w:type="dxa"/>
                  <w:right w:w="108" w:type="dxa"/>
                </w:tblCellMar>
              </w:tblPrEx>
              <w:trPr>
                <w:trHeight w:val="280" w:hRule="atLeast"/>
              </w:trPr>
              <w:tc>
                <w:tcPr>
                  <w:tcW w:w="669" w:type="pct"/>
                  <w:vMerge w:val="continue"/>
                  <w:tcBorders>
                    <w:top w:val="nil"/>
                    <w:left w:val="single" w:color="auto" w:sz="4" w:space="0"/>
                    <w:bottom w:val="single" w:color="auto" w:sz="4" w:space="0"/>
                    <w:right w:val="single" w:color="auto" w:sz="4" w:space="0"/>
                  </w:tcBorders>
                  <w:vAlign w:val="center"/>
                </w:tcPr>
                <w:p w14:paraId="1D846711">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4E1E47A2">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1B94DD08">
                  <w:pPr>
                    <w:widowControl/>
                    <w:adjustRightInd/>
                    <w:snapToGrid/>
                    <w:spacing w:line="240" w:lineRule="auto"/>
                    <w:ind w:firstLine="0" w:firstLineChars="0"/>
                    <w:jc w:val="center"/>
                    <w:rPr>
                      <w:rFonts w:eastAsia="宋体"/>
                      <w:color w:val="auto"/>
                      <w:kern w:val="0"/>
                      <w:sz w:val="21"/>
                      <w:szCs w:val="21"/>
                    </w:rPr>
                  </w:pPr>
                </w:p>
              </w:tc>
              <w:tc>
                <w:tcPr>
                  <w:tcW w:w="2187" w:type="pct"/>
                  <w:tcBorders>
                    <w:top w:val="nil"/>
                    <w:left w:val="nil"/>
                    <w:bottom w:val="single" w:color="auto" w:sz="4" w:space="0"/>
                    <w:right w:val="single" w:color="auto" w:sz="4" w:space="0"/>
                  </w:tcBorders>
                  <w:shd w:val="clear" w:color="auto" w:fill="auto"/>
                  <w:noWrap/>
                  <w:vAlign w:val="center"/>
                </w:tcPr>
                <w:p w14:paraId="6B7D0C88">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玉斑锦蛇Euprepiophis mandarinus</w:t>
                  </w:r>
                </w:p>
              </w:tc>
              <w:tc>
                <w:tcPr>
                  <w:tcW w:w="804" w:type="pct"/>
                  <w:tcBorders>
                    <w:top w:val="nil"/>
                    <w:left w:val="nil"/>
                    <w:bottom w:val="single" w:color="auto" w:sz="4" w:space="0"/>
                    <w:right w:val="single" w:color="auto" w:sz="4" w:space="0"/>
                  </w:tcBorders>
                  <w:shd w:val="clear" w:color="auto" w:fill="auto"/>
                  <w:noWrap/>
                  <w:vAlign w:val="center"/>
                </w:tcPr>
                <w:p w14:paraId="549DF6EE">
                  <w:pPr>
                    <w:widowControl/>
                    <w:adjustRightInd/>
                    <w:snapToGrid/>
                    <w:spacing w:line="240" w:lineRule="auto"/>
                    <w:ind w:firstLine="0" w:firstLineChars="0"/>
                    <w:jc w:val="center"/>
                    <w:rPr>
                      <w:rFonts w:eastAsia="宋体"/>
                      <w:color w:val="auto"/>
                      <w:kern w:val="0"/>
                      <w:sz w:val="21"/>
                      <w:szCs w:val="21"/>
                    </w:rPr>
                  </w:pPr>
                </w:p>
              </w:tc>
            </w:tr>
            <w:tr w14:paraId="69AC06FF">
              <w:tblPrEx>
                <w:tblCellMar>
                  <w:top w:w="0" w:type="dxa"/>
                  <w:left w:w="108" w:type="dxa"/>
                  <w:bottom w:w="0" w:type="dxa"/>
                  <w:right w:w="108" w:type="dxa"/>
                </w:tblCellMar>
              </w:tblPrEx>
              <w:trPr>
                <w:trHeight w:val="280" w:hRule="atLeast"/>
              </w:trPr>
              <w:tc>
                <w:tcPr>
                  <w:tcW w:w="669" w:type="pct"/>
                  <w:vMerge w:val="continue"/>
                  <w:tcBorders>
                    <w:top w:val="nil"/>
                    <w:left w:val="single" w:color="auto" w:sz="4" w:space="0"/>
                    <w:bottom w:val="single" w:color="auto" w:sz="4" w:space="0"/>
                    <w:right w:val="single" w:color="auto" w:sz="4" w:space="0"/>
                  </w:tcBorders>
                  <w:vAlign w:val="center"/>
                </w:tcPr>
                <w:p w14:paraId="3A0D50CC">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0F7BC86B">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5BB7D319">
                  <w:pPr>
                    <w:widowControl/>
                    <w:adjustRightInd/>
                    <w:snapToGrid/>
                    <w:spacing w:line="240" w:lineRule="auto"/>
                    <w:ind w:firstLine="0" w:firstLineChars="0"/>
                    <w:jc w:val="center"/>
                    <w:rPr>
                      <w:rFonts w:eastAsia="宋体"/>
                      <w:color w:val="auto"/>
                      <w:kern w:val="0"/>
                      <w:sz w:val="21"/>
                      <w:szCs w:val="21"/>
                    </w:rPr>
                  </w:pPr>
                </w:p>
              </w:tc>
              <w:tc>
                <w:tcPr>
                  <w:tcW w:w="2187" w:type="pct"/>
                  <w:tcBorders>
                    <w:top w:val="nil"/>
                    <w:left w:val="nil"/>
                    <w:bottom w:val="single" w:color="auto" w:sz="4" w:space="0"/>
                    <w:right w:val="single" w:color="auto" w:sz="4" w:space="0"/>
                  </w:tcBorders>
                  <w:shd w:val="clear" w:color="auto" w:fill="auto"/>
                  <w:noWrap/>
                  <w:vAlign w:val="center"/>
                </w:tcPr>
                <w:p w14:paraId="6061064E">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黑眉锦蛇Orthriophis taeniurus</w:t>
                  </w:r>
                </w:p>
              </w:tc>
              <w:tc>
                <w:tcPr>
                  <w:tcW w:w="804" w:type="pct"/>
                  <w:tcBorders>
                    <w:top w:val="nil"/>
                    <w:left w:val="nil"/>
                    <w:bottom w:val="single" w:color="auto" w:sz="4" w:space="0"/>
                    <w:right w:val="single" w:color="auto" w:sz="4" w:space="0"/>
                  </w:tcBorders>
                  <w:shd w:val="clear" w:color="auto" w:fill="auto"/>
                  <w:noWrap/>
                  <w:vAlign w:val="center"/>
                </w:tcPr>
                <w:p w14:paraId="28CB0286">
                  <w:pPr>
                    <w:widowControl/>
                    <w:adjustRightInd/>
                    <w:snapToGrid/>
                    <w:spacing w:line="240" w:lineRule="auto"/>
                    <w:ind w:firstLine="0" w:firstLineChars="0"/>
                    <w:jc w:val="center"/>
                    <w:rPr>
                      <w:rFonts w:eastAsia="宋体"/>
                      <w:color w:val="auto"/>
                      <w:kern w:val="0"/>
                      <w:sz w:val="21"/>
                      <w:szCs w:val="21"/>
                    </w:rPr>
                  </w:pPr>
                </w:p>
              </w:tc>
            </w:tr>
            <w:tr w14:paraId="372308BC">
              <w:tblPrEx>
                <w:tblCellMar>
                  <w:top w:w="0" w:type="dxa"/>
                  <w:left w:w="108" w:type="dxa"/>
                  <w:bottom w:w="0" w:type="dxa"/>
                  <w:right w:w="108" w:type="dxa"/>
                </w:tblCellMar>
              </w:tblPrEx>
              <w:trPr>
                <w:trHeight w:val="280" w:hRule="atLeast"/>
              </w:trPr>
              <w:tc>
                <w:tcPr>
                  <w:tcW w:w="669" w:type="pct"/>
                  <w:vMerge w:val="continue"/>
                  <w:tcBorders>
                    <w:top w:val="nil"/>
                    <w:left w:val="single" w:color="auto" w:sz="4" w:space="0"/>
                    <w:bottom w:val="single" w:color="auto" w:sz="4" w:space="0"/>
                    <w:right w:val="single" w:color="auto" w:sz="4" w:space="0"/>
                  </w:tcBorders>
                  <w:vAlign w:val="center"/>
                </w:tcPr>
                <w:p w14:paraId="22E4F42B">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520C7103">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75958B61">
                  <w:pPr>
                    <w:widowControl/>
                    <w:adjustRightInd/>
                    <w:snapToGrid/>
                    <w:spacing w:line="240" w:lineRule="auto"/>
                    <w:ind w:firstLine="0" w:firstLineChars="0"/>
                    <w:jc w:val="center"/>
                    <w:rPr>
                      <w:rFonts w:eastAsia="宋体"/>
                      <w:color w:val="auto"/>
                      <w:kern w:val="0"/>
                      <w:sz w:val="21"/>
                      <w:szCs w:val="21"/>
                    </w:rPr>
                  </w:pPr>
                </w:p>
              </w:tc>
              <w:tc>
                <w:tcPr>
                  <w:tcW w:w="2187" w:type="pct"/>
                  <w:tcBorders>
                    <w:top w:val="nil"/>
                    <w:left w:val="nil"/>
                    <w:bottom w:val="single" w:color="auto" w:sz="4" w:space="0"/>
                    <w:right w:val="single" w:color="auto" w:sz="4" w:space="0"/>
                  </w:tcBorders>
                  <w:shd w:val="clear" w:color="auto" w:fill="auto"/>
                  <w:noWrap/>
                  <w:vAlign w:val="center"/>
                </w:tcPr>
                <w:p w14:paraId="2BD9BB1A">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虎斑颈槽蛇Rhabdophis tigrinus</w:t>
                  </w:r>
                </w:p>
              </w:tc>
              <w:tc>
                <w:tcPr>
                  <w:tcW w:w="804" w:type="pct"/>
                  <w:tcBorders>
                    <w:top w:val="nil"/>
                    <w:left w:val="nil"/>
                    <w:bottom w:val="single" w:color="auto" w:sz="4" w:space="0"/>
                    <w:right w:val="single" w:color="auto" w:sz="4" w:space="0"/>
                  </w:tcBorders>
                  <w:shd w:val="clear" w:color="auto" w:fill="auto"/>
                  <w:noWrap/>
                  <w:vAlign w:val="center"/>
                </w:tcPr>
                <w:p w14:paraId="27085B6A">
                  <w:pPr>
                    <w:widowControl/>
                    <w:adjustRightInd/>
                    <w:snapToGrid/>
                    <w:spacing w:line="240" w:lineRule="auto"/>
                    <w:ind w:firstLine="0" w:firstLineChars="0"/>
                    <w:jc w:val="center"/>
                    <w:rPr>
                      <w:rFonts w:eastAsia="宋体"/>
                      <w:color w:val="auto"/>
                      <w:kern w:val="0"/>
                      <w:sz w:val="21"/>
                      <w:szCs w:val="21"/>
                    </w:rPr>
                  </w:pPr>
                </w:p>
              </w:tc>
            </w:tr>
            <w:tr w14:paraId="24F2C1D5">
              <w:tblPrEx>
                <w:tblCellMar>
                  <w:top w:w="0" w:type="dxa"/>
                  <w:left w:w="108" w:type="dxa"/>
                  <w:bottom w:w="0" w:type="dxa"/>
                  <w:right w:w="108" w:type="dxa"/>
                </w:tblCellMar>
              </w:tblPrEx>
              <w:trPr>
                <w:trHeight w:val="280" w:hRule="atLeast"/>
              </w:trPr>
              <w:tc>
                <w:tcPr>
                  <w:tcW w:w="669" w:type="pct"/>
                  <w:vMerge w:val="continue"/>
                  <w:tcBorders>
                    <w:top w:val="nil"/>
                    <w:left w:val="single" w:color="auto" w:sz="4" w:space="0"/>
                    <w:bottom w:val="single" w:color="auto" w:sz="4" w:space="0"/>
                    <w:right w:val="single" w:color="auto" w:sz="4" w:space="0"/>
                  </w:tcBorders>
                  <w:vAlign w:val="center"/>
                </w:tcPr>
                <w:p w14:paraId="71FC134B">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7400F528">
                  <w:pPr>
                    <w:widowControl/>
                    <w:adjustRightInd/>
                    <w:snapToGrid/>
                    <w:spacing w:line="240" w:lineRule="auto"/>
                    <w:ind w:firstLine="0" w:firstLineChars="0"/>
                    <w:jc w:val="center"/>
                    <w:rPr>
                      <w:rFonts w:eastAsia="宋体"/>
                      <w:color w:val="auto"/>
                      <w:kern w:val="0"/>
                      <w:sz w:val="21"/>
                      <w:szCs w:val="21"/>
                    </w:rPr>
                  </w:pPr>
                </w:p>
              </w:tc>
              <w:tc>
                <w:tcPr>
                  <w:tcW w:w="669" w:type="pct"/>
                  <w:tcBorders>
                    <w:top w:val="nil"/>
                    <w:left w:val="nil"/>
                    <w:bottom w:val="single" w:color="auto" w:sz="4" w:space="0"/>
                    <w:right w:val="single" w:color="auto" w:sz="4" w:space="0"/>
                  </w:tcBorders>
                  <w:shd w:val="clear" w:color="auto" w:fill="auto"/>
                  <w:noWrap/>
                  <w:vAlign w:val="center"/>
                </w:tcPr>
                <w:p w14:paraId="7DD9C148">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石龙子科</w:t>
                  </w:r>
                </w:p>
              </w:tc>
              <w:tc>
                <w:tcPr>
                  <w:tcW w:w="2187" w:type="pct"/>
                  <w:tcBorders>
                    <w:top w:val="nil"/>
                    <w:left w:val="nil"/>
                    <w:bottom w:val="single" w:color="auto" w:sz="4" w:space="0"/>
                    <w:right w:val="single" w:color="auto" w:sz="4" w:space="0"/>
                  </w:tcBorders>
                  <w:shd w:val="clear" w:color="auto" w:fill="auto"/>
                  <w:noWrap/>
                  <w:vAlign w:val="center"/>
                </w:tcPr>
                <w:p w14:paraId="505BB950">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昆明滑蜥Scincella schmidti</w:t>
                  </w:r>
                </w:p>
              </w:tc>
              <w:tc>
                <w:tcPr>
                  <w:tcW w:w="804" w:type="pct"/>
                  <w:tcBorders>
                    <w:top w:val="nil"/>
                    <w:left w:val="nil"/>
                    <w:bottom w:val="single" w:color="auto" w:sz="4" w:space="0"/>
                    <w:right w:val="single" w:color="auto" w:sz="4" w:space="0"/>
                  </w:tcBorders>
                  <w:shd w:val="clear" w:color="auto" w:fill="auto"/>
                  <w:noWrap/>
                  <w:vAlign w:val="center"/>
                </w:tcPr>
                <w:p w14:paraId="13FBA26A">
                  <w:pPr>
                    <w:widowControl/>
                    <w:adjustRightInd/>
                    <w:snapToGrid/>
                    <w:spacing w:line="240" w:lineRule="auto"/>
                    <w:ind w:firstLine="0" w:firstLineChars="0"/>
                    <w:jc w:val="center"/>
                    <w:rPr>
                      <w:rFonts w:eastAsia="宋体"/>
                      <w:color w:val="auto"/>
                      <w:kern w:val="0"/>
                      <w:sz w:val="21"/>
                      <w:szCs w:val="21"/>
                    </w:rPr>
                  </w:pPr>
                </w:p>
              </w:tc>
            </w:tr>
            <w:tr w14:paraId="2E812A8C">
              <w:tblPrEx>
                <w:tblCellMar>
                  <w:top w:w="0" w:type="dxa"/>
                  <w:left w:w="108" w:type="dxa"/>
                  <w:bottom w:w="0" w:type="dxa"/>
                  <w:right w:w="108" w:type="dxa"/>
                </w:tblCellMar>
              </w:tblPrEx>
              <w:trPr>
                <w:trHeight w:val="280" w:hRule="atLeast"/>
              </w:trPr>
              <w:tc>
                <w:tcPr>
                  <w:tcW w:w="669" w:type="pct"/>
                  <w:vMerge w:val="continue"/>
                  <w:tcBorders>
                    <w:top w:val="nil"/>
                    <w:left w:val="single" w:color="auto" w:sz="4" w:space="0"/>
                    <w:bottom w:val="single" w:color="auto" w:sz="4" w:space="0"/>
                    <w:right w:val="single" w:color="auto" w:sz="4" w:space="0"/>
                  </w:tcBorders>
                  <w:vAlign w:val="center"/>
                </w:tcPr>
                <w:p w14:paraId="3A1F8EBC">
                  <w:pPr>
                    <w:widowControl/>
                    <w:adjustRightInd/>
                    <w:snapToGrid/>
                    <w:spacing w:line="240" w:lineRule="auto"/>
                    <w:ind w:firstLine="0" w:firstLineChars="0"/>
                    <w:jc w:val="center"/>
                    <w:rPr>
                      <w:rFonts w:eastAsia="宋体"/>
                      <w:color w:val="auto"/>
                      <w:kern w:val="0"/>
                      <w:sz w:val="21"/>
                      <w:szCs w:val="21"/>
                    </w:rPr>
                  </w:pPr>
                </w:p>
              </w:tc>
              <w:tc>
                <w:tcPr>
                  <w:tcW w:w="669" w:type="pct"/>
                  <w:vMerge w:val="continue"/>
                  <w:tcBorders>
                    <w:top w:val="nil"/>
                    <w:left w:val="single" w:color="auto" w:sz="4" w:space="0"/>
                    <w:bottom w:val="single" w:color="auto" w:sz="4" w:space="0"/>
                    <w:right w:val="single" w:color="auto" w:sz="4" w:space="0"/>
                  </w:tcBorders>
                  <w:vAlign w:val="center"/>
                </w:tcPr>
                <w:p w14:paraId="488446B3">
                  <w:pPr>
                    <w:widowControl/>
                    <w:adjustRightInd/>
                    <w:snapToGrid/>
                    <w:spacing w:line="240" w:lineRule="auto"/>
                    <w:ind w:firstLine="0" w:firstLineChars="0"/>
                    <w:jc w:val="center"/>
                    <w:rPr>
                      <w:rFonts w:eastAsia="宋体"/>
                      <w:color w:val="auto"/>
                      <w:kern w:val="0"/>
                      <w:sz w:val="21"/>
                      <w:szCs w:val="21"/>
                    </w:rPr>
                  </w:pPr>
                </w:p>
              </w:tc>
              <w:tc>
                <w:tcPr>
                  <w:tcW w:w="669" w:type="pct"/>
                  <w:tcBorders>
                    <w:top w:val="nil"/>
                    <w:left w:val="nil"/>
                    <w:bottom w:val="single" w:color="auto" w:sz="4" w:space="0"/>
                    <w:right w:val="single" w:color="auto" w:sz="4" w:space="0"/>
                  </w:tcBorders>
                  <w:shd w:val="clear" w:color="auto" w:fill="auto"/>
                  <w:noWrap/>
                  <w:vAlign w:val="center"/>
                </w:tcPr>
                <w:p w14:paraId="185C257B">
                  <w:pPr>
                    <w:widowControl/>
                    <w:adjustRightInd/>
                    <w:snapToGrid/>
                    <w:spacing w:line="240" w:lineRule="auto"/>
                    <w:ind w:firstLine="0" w:firstLineChars="0"/>
                    <w:jc w:val="center"/>
                    <w:rPr>
                      <w:rFonts w:eastAsia="宋体"/>
                      <w:color w:val="auto"/>
                      <w:kern w:val="0"/>
                      <w:sz w:val="21"/>
                      <w:szCs w:val="21"/>
                    </w:rPr>
                  </w:pPr>
                  <w:r>
                    <w:rPr>
                      <w:rFonts w:hint="default" w:ascii="Times New Roman" w:hAnsi="Times New Roman" w:eastAsia="宋体"/>
                      <w:color w:val="auto"/>
                      <w:kern w:val="0"/>
                      <w:sz w:val="21"/>
                      <w:szCs w:val="21"/>
                    </w:rPr>
                    <w:t>壁虎科</w:t>
                  </w:r>
                </w:p>
              </w:tc>
              <w:tc>
                <w:tcPr>
                  <w:tcW w:w="2187" w:type="pct"/>
                  <w:tcBorders>
                    <w:top w:val="nil"/>
                    <w:left w:val="nil"/>
                    <w:bottom w:val="single" w:color="auto" w:sz="4" w:space="0"/>
                    <w:right w:val="single" w:color="auto" w:sz="4" w:space="0"/>
                  </w:tcBorders>
                  <w:shd w:val="clear" w:color="auto" w:fill="auto"/>
                  <w:noWrap/>
                  <w:vAlign w:val="center"/>
                </w:tcPr>
                <w:p w14:paraId="664F0893">
                  <w:pPr>
                    <w:widowControl/>
                    <w:adjustRightInd/>
                    <w:snapToGrid/>
                    <w:spacing w:line="240" w:lineRule="auto"/>
                    <w:ind w:firstLine="0" w:firstLineChars="0"/>
                    <w:jc w:val="center"/>
                    <w:rPr>
                      <w:rFonts w:eastAsia="宋体"/>
                      <w:color w:val="auto"/>
                      <w:kern w:val="0"/>
                      <w:sz w:val="21"/>
                      <w:szCs w:val="21"/>
                    </w:rPr>
                  </w:pPr>
                  <w:r>
                    <w:rPr>
                      <w:rFonts w:eastAsia="宋体"/>
                      <w:color w:val="auto"/>
                      <w:kern w:val="0"/>
                      <w:sz w:val="21"/>
                      <w:szCs w:val="21"/>
                    </w:rPr>
                    <w:t>多疣壁虎Gekko japonicus</w:t>
                  </w:r>
                </w:p>
              </w:tc>
              <w:tc>
                <w:tcPr>
                  <w:tcW w:w="804" w:type="pct"/>
                  <w:tcBorders>
                    <w:top w:val="nil"/>
                    <w:left w:val="nil"/>
                    <w:bottom w:val="single" w:color="auto" w:sz="4" w:space="0"/>
                    <w:right w:val="single" w:color="auto" w:sz="4" w:space="0"/>
                  </w:tcBorders>
                  <w:shd w:val="clear" w:color="auto" w:fill="auto"/>
                  <w:noWrap/>
                  <w:vAlign w:val="center"/>
                </w:tcPr>
                <w:p w14:paraId="024E4A5A">
                  <w:pPr>
                    <w:widowControl/>
                    <w:adjustRightInd/>
                    <w:snapToGrid/>
                    <w:spacing w:line="240" w:lineRule="auto"/>
                    <w:ind w:firstLine="0" w:firstLineChars="0"/>
                    <w:jc w:val="center"/>
                    <w:rPr>
                      <w:rFonts w:eastAsia="宋体"/>
                      <w:color w:val="auto"/>
                      <w:kern w:val="0"/>
                      <w:sz w:val="21"/>
                      <w:szCs w:val="21"/>
                    </w:rPr>
                  </w:pPr>
                </w:p>
              </w:tc>
            </w:tr>
          </w:tbl>
          <w:p w14:paraId="29F439B1">
            <w:pPr>
              <w:ind w:firstLine="0" w:firstLineChars="0"/>
              <w:rPr>
                <w:rFonts w:hint="eastAsia"/>
                <w:color w:val="auto"/>
              </w:rPr>
            </w:pPr>
          </w:p>
          <w:p w14:paraId="4B6FF795">
            <w:pPr>
              <w:ind w:firstLine="480"/>
              <w:rPr>
                <w:color w:val="auto"/>
              </w:rPr>
            </w:pPr>
            <w:r>
              <w:rPr>
                <w:color w:val="auto"/>
              </w:rPr>
              <w:t>2、重要野生动物</w:t>
            </w:r>
          </w:p>
          <w:p w14:paraId="6583BA3F">
            <w:pPr>
              <w:ind w:firstLine="482"/>
              <w:rPr>
                <w:rFonts w:hint="default" w:ascii="Times New Roman" w:hAnsi="Times New Roman" w:cs="Times New Roman"/>
                <w:b/>
                <w:bCs/>
                <w:color w:val="auto"/>
              </w:rPr>
            </w:pPr>
            <w:r>
              <w:rPr>
                <w:rFonts w:hint="default" w:ascii="Times New Roman" w:hAnsi="Times New Roman" w:cs="Times New Roman"/>
                <w:b/>
                <w:bCs/>
                <w:color w:val="auto"/>
              </w:rPr>
              <w:t xml:space="preserve">豹猫 </w:t>
            </w:r>
            <w:r>
              <w:rPr>
                <w:rFonts w:hint="default" w:ascii="Times New Roman" w:hAnsi="Times New Roman" w:cs="Times New Roman"/>
                <w:b/>
                <w:bCs/>
                <w:i/>
                <w:iCs/>
                <w:color w:val="auto"/>
              </w:rPr>
              <w:t>Prionailurus bengalensis</w:t>
            </w:r>
          </w:p>
          <w:p w14:paraId="3BA42D1D">
            <w:pPr>
              <w:ind w:firstLine="480"/>
              <w:rPr>
                <w:rFonts w:hint="default" w:ascii="Times New Roman" w:hAnsi="Times New Roman" w:cs="Times New Roman"/>
                <w:color w:val="auto"/>
              </w:rPr>
            </w:pPr>
            <w:r>
              <w:rPr>
                <w:rFonts w:hint="default" w:ascii="Times New Roman" w:hAnsi="Times New Roman" w:cs="Times New Roman"/>
                <w:b w:val="0"/>
                <w:bCs w:val="0"/>
                <w:color w:val="auto"/>
              </w:rPr>
              <w:t>俗名：铜钱猫、狸猫、野猫</w:t>
            </w:r>
          </w:p>
          <w:p w14:paraId="18B91F22">
            <w:pPr>
              <w:ind w:firstLine="480"/>
              <w:rPr>
                <w:rFonts w:hint="default" w:ascii="Times New Roman" w:hAnsi="Times New Roman" w:cs="Times New Roman"/>
                <w:color w:val="auto"/>
              </w:rPr>
            </w:pPr>
            <w:r>
              <w:rPr>
                <w:rFonts w:hint="default" w:ascii="Times New Roman" w:hAnsi="Times New Roman" w:cs="Times New Roman"/>
                <w:b w:val="0"/>
                <w:bCs w:val="0"/>
                <w:color w:val="auto"/>
              </w:rPr>
              <w:t>形态特征：体型略大于家猫，体长 36</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90cm。通体浅棕黄色至灰黄色，全身布满不规则黑色斑点，背部斑点多呈铜钱状；腹部毛色偏白；尾具黑色环纹，尾尖黑色。四肢具黑色斑点。瞳孔直立，爪锐利。</w:t>
            </w:r>
          </w:p>
          <w:p w14:paraId="71C57DF7">
            <w:pPr>
              <w:ind w:firstLine="480"/>
              <w:rPr>
                <w:rFonts w:hint="default" w:ascii="Times New Roman" w:hAnsi="Times New Roman" w:cs="Times New Roman"/>
                <w:color w:val="auto"/>
              </w:rPr>
            </w:pPr>
            <w:r>
              <w:rPr>
                <w:rFonts w:hint="default" w:ascii="Times New Roman" w:hAnsi="Times New Roman" w:cs="Times New Roman"/>
                <w:b w:val="0"/>
                <w:bCs w:val="0"/>
                <w:color w:val="auto"/>
              </w:rPr>
              <w:t>生态习性：栖息于山地森林、针阔混交林、林缘灌丛、沟谷，也可靠近农区。独居，夜行性。肉食性，捕食鼠类、野兔、鸟类、蛙类等。无固定繁殖季节，多春夏季繁殖，妊娠期约 2 个月，每胎产仔 2</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4 只。</w:t>
            </w:r>
          </w:p>
          <w:p w14:paraId="2824A306">
            <w:pPr>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资源状况：稀有种，国家 Ⅱ 级重点保护野生动物，评价区原生林地存在潜在分布</w:t>
            </w:r>
          </w:p>
          <w:p w14:paraId="5186EE29">
            <w:pPr>
              <w:ind w:firstLine="482"/>
              <w:rPr>
                <w:rFonts w:hint="default" w:ascii="Times New Roman" w:hAnsi="Times New Roman" w:cs="Times New Roman"/>
                <w:b/>
                <w:bCs/>
                <w:color w:val="auto"/>
              </w:rPr>
            </w:pPr>
            <w:r>
              <w:rPr>
                <w:rFonts w:hint="default" w:ascii="Times New Roman" w:hAnsi="Times New Roman" w:cs="Times New Roman"/>
                <w:b/>
                <w:bCs/>
                <w:color w:val="auto"/>
              </w:rPr>
              <w:t xml:space="preserve">猕猴 </w:t>
            </w:r>
            <w:r>
              <w:rPr>
                <w:rFonts w:hint="default" w:ascii="Times New Roman" w:hAnsi="Times New Roman" w:cs="Times New Roman"/>
                <w:b/>
                <w:bCs/>
                <w:i/>
                <w:iCs/>
                <w:color w:val="auto"/>
              </w:rPr>
              <w:t>Macaca mulatta</w:t>
            </w:r>
          </w:p>
          <w:p w14:paraId="21D021E6">
            <w:pPr>
              <w:ind w:firstLine="480"/>
              <w:rPr>
                <w:rFonts w:hint="default" w:ascii="Times New Roman" w:hAnsi="Times New Roman" w:cs="Times New Roman"/>
                <w:color w:val="auto"/>
              </w:rPr>
            </w:pPr>
            <w:r>
              <w:rPr>
                <w:rFonts w:hint="default" w:ascii="Times New Roman" w:hAnsi="Times New Roman" w:cs="Times New Roman"/>
                <w:b w:val="0"/>
                <w:bCs w:val="0"/>
                <w:color w:val="auto"/>
              </w:rPr>
              <w:t>俗名：黄猴、恒河猴</w:t>
            </w:r>
          </w:p>
          <w:p w14:paraId="112CAF38">
            <w:pPr>
              <w:ind w:firstLine="480"/>
              <w:rPr>
                <w:rFonts w:hint="default" w:ascii="Times New Roman" w:hAnsi="Times New Roman" w:cs="Times New Roman"/>
                <w:color w:val="auto"/>
              </w:rPr>
            </w:pPr>
            <w:r>
              <w:rPr>
                <w:rFonts w:hint="default" w:ascii="Times New Roman" w:hAnsi="Times New Roman" w:cs="Times New Roman"/>
                <w:b w:val="0"/>
                <w:bCs w:val="0"/>
                <w:color w:val="auto"/>
              </w:rPr>
              <w:t>形态特征：体长 47</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64cm。躯体主要为浅灰褐色至棕黄色，腹面较浅；面部肉红色，具颊囊；尾中等长度。四肢粗壮，适应树栖及地面活动。</w:t>
            </w:r>
          </w:p>
          <w:p w14:paraId="4C94BCDA">
            <w:pPr>
              <w:ind w:firstLine="480"/>
              <w:rPr>
                <w:rFonts w:hint="default" w:ascii="Times New Roman" w:hAnsi="Times New Roman" w:cs="Times New Roman"/>
                <w:color w:val="auto"/>
              </w:rPr>
            </w:pPr>
            <w:r>
              <w:rPr>
                <w:rFonts w:hint="default" w:ascii="Times New Roman" w:hAnsi="Times New Roman" w:cs="Times New Roman"/>
                <w:b w:val="0"/>
                <w:bCs w:val="0"/>
                <w:color w:val="auto"/>
              </w:rPr>
              <w:t>生态习性：栖息于山地阔叶林、针阔混交林，喜近沟谷岩壁。群居，营树栖兼地面生活。杂食，取食嫩叶、果实、花，亦捕食昆虫、鸟卵。繁殖多集中于秋冬季，妊娠期约 5</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6 个月，每胎 1 仔。</w:t>
            </w:r>
          </w:p>
          <w:p w14:paraId="1443B3D4">
            <w:pPr>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资源状况：稀有种，国家 Ⅱ 级重点保护野生动物，评价区仅存在潜在分布。</w:t>
            </w:r>
          </w:p>
          <w:p w14:paraId="5ED071B1">
            <w:pPr>
              <w:keepNext w:val="0"/>
              <w:keepLines w:val="0"/>
              <w:widowControl/>
              <w:suppressLineNumbers w:val="0"/>
              <w:rPr>
                <w:rStyle w:val="25"/>
                <w:rFonts w:hint="default" w:ascii="Times New Roman" w:hAnsi="Times New Roman" w:cs="Times New Roman"/>
                <w:b/>
                <w:bCs/>
                <w:color w:val="auto"/>
              </w:rPr>
            </w:pPr>
            <w:r>
              <w:rPr>
                <w:rFonts w:hint="default" w:ascii="Times New Roman" w:hAnsi="Times New Roman" w:cs="Times New Roman"/>
                <w:b/>
                <w:bCs/>
                <w:color w:val="auto"/>
              </w:rPr>
              <w:t xml:space="preserve">白腹锦鸡 </w:t>
            </w:r>
            <w:r>
              <w:rPr>
                <w:rStyle w:val="25"/>
                <w:rFonts w:hint="default" w:ascii="Times New Roman" w:hAnsi="Times New Roman" w:cs="Times New Roman"/>
                <w:b/>
                <w:bCs/>
                <w:color w:val="auto"/>
              </w:rPr>
              <w:t>Chrysolophus amherstiae</w:t>
            </w:r>
          </w:p>
          <w:p w14:paraId="022557A2">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俗名：铜鸡、笋鸡、衾鸡 </w:t>
            </w:r>
          </w:p>
          <w:p w14:paraId="0CAB5427">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形态特征：雄鸟体长 113</w:t>
            </w:r>
            <w:r>
              <w:rPr>
                <w:rFonts w:hint="default" w:ascii="Times New Roman" w:hAnsi="Times New Roman" w:cs="Times New Roman"/>
                <w:color w:val="auto"/>
              </w:rPr>
              <w:noBreakHyphen/>
            </w:r>
            <w:r>
              <w:rPr>
                <w:rFonts w:hint="default" w:ascii="Times New Roman" w:hAnsi="Times New Roman" w:cs="Times New Roman"/>
                <w:color w:val="auto"/>
              </w:rPr>
              <w:t>145cm，雌鸟体长 54</w:t>
            </w:r>
            <w:r>
              <w:rPr>
                <w:rFonts w:hint="default" w:ascii="Times New Roman" w:hAnsi="Times New Roman" w:cs="Times New Roman"/>
                <w:color w:val="auto"/>
              </w:rPr>
              <w:noBreakHyphen/>
            </w:r>
            <w:r>
              <w:rPr>
                <w:rFonts w:hint="default" w:ascii="Times New Roman" w:hAnsi="Times New Roman" w:cs="Times New Roman"/>
                <w:color w:val="auto"/>
              </w:rPr>
              <w:t>67cm。雄鸟头顶、金属翠绿色，后颈具白色镶蓝黑边的扇状披肩；上背金属翠绿色，下背至腰金黄色；腹部纯白色，尾长而具黑白相间横纹。雌鸟通体棕褐色，密布黑褐色虫蠹状斑纹，尾较短。脚强健，适于地面奔走。</w:t>
            </w:r>
          </w:p>
          <w:p w14:paraId="549B7868">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 生态习性：栖息于山地阔叶林、针阔混交林、疏林灌丛及林缘坡地，多活动于海拔 1500</w:t>
            </w:r>
            <w:r>
              <w:rPr>
                <w:rFonts w:hint="default" w:ascii="Times New Roman" w:hAnsi="Times New Roman" w:cs="Times New Roman"/>
                <w:color w:val="auto"/>
              </w:rPr>
              <w:noBreakHyphen/>
            </w:r>
            <w:r>
              <w:rPr>
                <w:rFonts w:hint="default" w:ascii="Times New Roman" w:hAnsi="Times New Roman" w:cs="Times New Roman"/>
                <w:color w:val="auto"/>
              </w:rPr>
              <w:t>4000m 山地。多单独或成对活动，冬季结小群。杂食性，主要取食植物嫩叶、花、果实、种子，兼食昆虫。4</w:t>
            </w:r>
            <w:r>
              <w:rPr>
                <w:rFonts w:hint="default" w:ascii="Times New Roman" w:hAnsi="Times New Roman" w:cs="Times New Roman"/>
                <w:color w:val="auto"/>
              </w:rPr>
              <w:noBreakHyphen/>
            </w:r>
            <w:r>
              <w:rPr>
                <w:rFonts w:hint="default" w:ascii="Times New Roman" w:hAnsi="Times New Roman" w:cs="Times New Roman"/>
                <w:color w:val="auto"/>
              </w:rPr>
              <w:t>6 月繁殖，在地面灌丛下筑巢，每窝产卵 5</w:t>
            </w:r>
            <w:r>
              <w:rPr>
                <w:rFonts w:hint="default" w:ascii="Times New Roman" w:hAnsi="Times New Roman" w:cs="Times New Roman"/>
                <w:color w:val="auto"/>
              </w:rPr>
              <w:noBreakHyphen/>
            </w:r>
            <w:r>
              <w:rPr>
                <w:rFonts w:hint="default" w:ascii="Times New Roman" w:hAnsi="Times New Roman" w:cs="Times New Roman"/>
                <w:color w:val="auto"/>
              </w:rPr>
              <w:t xml:space="preserve">9 枚。 </w:t>
            </w:r>
          </w:p>
          <w:p w14:paraId="3EC50478">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资源状况：稀有种，国家 Ⅱ 级重点保护野生动物，评价区仅存在潜在分布。</w:t>
            </w:r>
          </w:p>
          <w:p w14:paraId="5D0A0A9C">
            <w:pPr>
              <w:keepNext w:val="0"/>
              <w:keepLines w:val="0"/>
              <w:widowControl/>
              <w:suppressLineNumbers w:val="0"/>
              <w:rPr>
                <w:rStyle w:val="25"/>
                <w:rFonts w:hint="default" w:ascii="Times New Roman" w:hAnsi="Times New Roman" w:cs="Times New Roman"/>
                <w:b/>
                <w:bCs/>
                <w:color w:val="auto"/>
              </w:rPr>
            </w:pPr>
            <w:r>
              <w:rPr>
                <w:rFonts w:hint="default" w:ascii="Times New Roman" w:hAnsi="Times New Roman" w:cs="Times New Roman"/>
                <w:b/>
                <w:bCs/>
                <w:color w:val="auto"/>
              </w:rPr>
              <w:t xml:space="preserve">红隼 </w:t>
            </w:r>
            <w:r>
              <w:rPr>
                <w:rStyle w:val="25"/>
                <w:rFonts w:hint="default" w:ascii="Times New Roman" w:hAnsi="Times New Roman" w:cs="Times New Roman"/>
                <w:b/>
                <w:bCs/>
                <w:color w:val="auto"/>
              </w:rPr>
              <w:t>Falco tinnunculus</w:t>
            </w:r>
          </w:p>
          <w:p w14:paraId="4E412650">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俗名：茶隼、红鹰、黄鹰</w:t>
            </w:r>
          </w:p>
          <w:p w14:paraId="08DD7791">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形态特征：体长 31</w:t>
            </w:r>
            <w:r>
              <w:rPr>
                <w:rFonts w:hint="default" w:ascii="Times New Roman" w:hAnsi="Times New Roman" w:cs="Times New Roman"/>
                <w:color w:val="auto"/>
              </w:rPr>
              <w:noBreakHyphen/>
            </w:r>
            <w:r>
              <w:rPr>
                <w:rFonts w:hint="default" w:ascii="Times New Roman" w:hAnsi="Times New Roman" w:cs="Times New Roman"/>
                <w:color w:val="auto"/>
              </w:rPr>
              <w:t>38cm。雄鸟头顶蓝灰色，背砖红色具黑色斑点；尾蓝灰色，具黑色次端斑；下体棕黄色具黑褐色纵纹。雌鸟整体棕褐色，通体密布黑褐色斑纹。翅尖长，擅长悬停翱翔。</w:t>
            </w:r>
          </w:p>
          <w:p w14:paraId="5B6700A1">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生态习性：栖息于山地疏林、林缘、荒坡、农田及村寨周边。常停栖于高大乔木、裸岩、电线杆上。肉食性，主要捕食鼠类、小型鸟类、昆虫。繁殖期 4</w:t>
            </w:r>
            <w:r>
              <w:rPr>
                <w:rFonts w:hint="default" w:ascii="Times New Roman" w:hAnsi="Times New Roman" w:cs="Times New Roman"/>
                <w:color w:val="auto"/>
              </w:rPr>
              <w:noBreakHyphen/>
            </w:r>
            <w:r>
              <w:rPr>
                <w:rFonts w:hint="default" w:ascii="Times New Roman" w:hAnsi="Times New Roman" w:cs="Times New Roman"/>
                <w:color w:val="auto"/>
              </w:rPr>
              <w:t>6 月，利用树洞、岩隙或其他鸟类旧巢，每窝产卵 4</w:t>
            </w:r>
            <w:r>
              <w:rPr>
                <w:rFonts w:hint="default" w:ascii="Times New Roman" w:hAnsi="Times New Roman" w:cs="Times New Roman"/>
                <w:color w:val="auto"/>
              </w:rPr>
              <w:noBreakHyphen/>
            </w:r>
            <w:r>
              <w:rPr>
                <w:rFonts w:hint="default" w:ascii="Times New Roman" w:hAnsi="Times New Roman" w:cs="Times New Roman"/>
                <w:color w:val="auto"/>
              </w:rPr>
              <w:t xml:space="preserve">5 枚。 </w:t>
            </w:r>
          </w:p>
          <w:p w14:paraId="739477CB">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资源状况：较常见种，国家 Ⅱ 级重点保护野生动物，评价区存在潜在分布。</w:t>
            </w:r>
          </w:p>
          <w:p w14:paraId="314920D3">
            <w:pPr>
              <w:ind w:firstLine="482"/>
              <w:rPr>
                <w:rFonts w:hint="default" w:ascii="Times New Roman" w:hAnsi="Times New Roman" w:cs="Times New Roman"/>
                <w:b/>
                <w:bCs/>
                <w:color w:val="auto"/>
              </w:rPr>
            </w:pPr>
            <w:r>
              <w:rPr>
                <w:rFonts w:hint="default" w:ascii="Times New Roman" w:hAnsi="Times New Roman" w:cs="Times New Roman"/>
                <w:b/>
                <w:bCs/>
                <w:color w:val="auto"/>
              </w:rPr>
              <w:t xml:space="preserve">领鸺鹠 </w:t>
            </w:r>
            <w:r>
              <w:rPr>
                <w:rFonts w:hint="default" w:ascii="Times New Roman" w:hAnsi="Times New Roman" w:cs="Times New Roman"/>
                <w:b/>
                <w:bCs/>
                <w:i/>
                <w:iCs/>
                <w:color w:val="auto"/>
              </w:rPr>
              <w:t>Glaucidium brodiei</w:t>
            </w:r>
          </w:p>
          <w:p w14:paraId="2F3227EB">
            <w:pPr>
              <w:ind w:firstLine="480"/>
              <w:rPr>
                <w:rFonts w:hint="default" w:ascii="Times New Roman" w:hAnsi="Times New Roman" w:cs="Times New Roman"/>
                <w:color w:val="auto"/>
              </w:rPr>
            </w:pPr>
            <w:r>
              <w:rPr>
                <w:rFonts w:hint="default" w:ascii="Times New Roman" w:hAnsi="Times New Roman" w:cs="Times New Roman"/>
                <w:b w:val="0"/>
                <w:bCs w:val="0"/>
                <w:color w:val="auto"/>
              </w:rPr>
              <w:t>俗名：小鸺鹠、小猫头鹰</w:t>
            </w:r>
          </w:p>
          <w:p w14:paraId="37936EE3">
            <w:pPr>
              <w:ind w:firstLine="480"/>
              <w:rPr>
                <w:rFonts w:hint="default" w:ascii="Times New Roman" w:hAnsi="Times New Roman" w:cs="Times New Roman"/>
                <w:color w:val="auto"/>
              </w:rPr>
            </w:pPr>
            <w:r>
              <w:rPr>
                <w:rFonts w:hint="default" w:ascii="Times New Roman" w:hAnsi="Times New Roman" w:cs="Times New Roman"/>
                <w:b w:val="0"/>
                <w:bCs w:val="0"/>
                <w:color w:val="auto"/>
              </w:rPr>
              <w:t>形态特征：小型鸮类，体长约 14</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17cm。上体灰褐色，具浅橙黄色横纹；后颈有明显假眼斑；下体白色，胸胁具褐色横斑。虹膜亮黄色。</w:t>
            </w:r>
          </w:p>
          <w:p w14:paraId="0D69123E">
            <w:pPr>
              <w:ind w:firstLine="480"/>
              <w:rPr>
                <w:rFonts w:hint="default" w:ascii="Times New Roman" w:hAnsi="Times New Roman" w:cs="Times New Roman"/>
                <w:color w:val="auto"/>
              </w:rPr>
            </w:pPr>
            <w:r>
              <w:rPr>
                <w:rFonts w:hint="default" w:ascii="Times New Roman" w:hAnsi="Times New Roman" w:cs="Times New Roman"/>
                <w:b w:val="0"/>
                <w:bCs w:val="0"/>
                <w:color w:val="auto"/>
              </w:rPr>
              <w:t>生态习性：栖息于山地阔叶林、针阔混交林。昼夜均可活动。肉食性，捕食昆虫、鼠类、小鸟。繁殖期 4</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6 月，利用树洞营巢。</w:t>
            </w:r>
          </w:p>
          <w:p w14:paraId="23A4BFD2">
            <w:pPr>
              <w:ind w:firstLine="480"/>
              <w:rPr>
                <w:rFonts w:hint="default" w:ascii="Times New Roman" w:hAnsi="Times New Roman" w:cs="Times New Roman"/>
                <w:b w:val="0"/>
                <w:bCs w:val="0"/>
                <w:color w:val="auto"/>
              </w:rPr>
            </w:pPr>
            <w:r>
              <w:rPr>
                <w:rFonts w:hint="default" w:ascii="Times New Roman" w:hAnsi="Times New Roman" w:cs="Times New Roman"/>
                <w:b w:val="0"/>
                <w:bCs w:val="0"/>
                <w:color w:val="auto"/>
              </w:rPr>
              <w:t>资源状况：稀有种，国家 Ⅱ 级重点保护野生动物，评价区森林生境存在潜在分布。</w:t>
            </w:r>
          </w:p>
          <w:p w14:paraId="213D2E94">
            <w:pPr>
              <w:ind w:firstLine="482"/>
              <w:rPr>
                <w:rFonts w:hint="default" w:ascii="Times New Roman" w:hAnsi="Times New Roman" w:cs="Times New Roman"/>
                <w:b/>
                <w:bCs/>
                <w:color w:val="auto"/>
              </w:rPr>
            </w:pPr>
            <w:r>
              <w:rPr>
                <w:rFonts w:hint="default" w:ascii="Times New Roman" w:hAnsi="Times New Roman" w:cs="Times New Roman"/>
                <w:b/>
                <w:bCs/>
                <w:color w:val="auto"/>
              </w:rPr>
              <w:t xml:space="preserve">草鸮 </w:t>
            </w:r>
            <w:r>
              <w:rPr>
                <w:rFonts w:hint="default" w:ascii="Times New Roman" w:hAnsi="Times New Roman" w:cs="Times New Roman"/>
                <w:b/>
                <w:bCs/>
                <w:i/>
                <w:iCs/>
                <w:color w:val="auto"/>
              </w:rPr>
              <w:t>Tyto longimembris</w:t>
            </w:r>
          </w:p>
          <w:p w14:paraId="1485B888">
            <w:pPr>
              <w:ind w:firstLine="480"/>
              <w:rPr>
                <w:rFonts w:hint="default" w:ascii="Times New Roman" w:hAnsi="Times New Roman" w:cs="Times New Roman"/>
                <w:color w:val="auto"/>
              </w:rPr>
            </w:pPr>
            <w:r>
              <w:rPr>
                <w:rFonts w:hint="default" w:ascii="Times New Roman" w:hAnsi="Times New Roman" w:cs="Times New Roman"/>
                <w:b w:val="0"/>
                <w:bCs w:val="0"/>
                <w:color w:val="auto"/>
              </w:rPr>
              <w:t>俗名：猴面鹰</w:t>
            </w:r>
          </w:p>
          <w:p w14:paraId="50035656">
            <w:pPr>
              <w:ind w:firstLine="480"/>
              <w:rPr>
                <w:rFonts w:hint="default" w:ascii="Times New Roman" w:hAnsi="Times New Roman" w:cs="Times New Roman"/>
                <w:color w:val="auto"/>
              </w:rPr>
            </w:pPr>
            <w:r>
              <w:rPr>
                <w:rFonts w:hint="default" w:ascii="Times New Roman" w:hAnsi="Times New Roman" w:cs="Times New Roman"/>
                <w:b w:val="0"/>
                <w:bCs w:val="0"/>
                <w:color w:val="auto"/>
              </w:rPr>
              <w:t>形态特征：中型鸮类，体长约 34</w:t>
            </w:r>
            <w:r>
              <w:rPr>
                <w:rFonts w:hint="default" w:ascii="Times New Roman" w:hAnsi="Times New Roman" w:cs="Times New Roman"/>
                <w:b w:val="0"/>
                <w:bCs w:val="0"/>
                <w:color w:val="auto"/>
              </w:rPr>
              <w:noBreakHyphen/>
            </w:r>
            <w:r>
              <w:rPr>
                <w:rFonts w:hint="default" w:ascii="Times New Roman" w:hAnsi="Times New Roman" w:cs="Times New Roman"/>
                <w:b w:val="0"/>
                <w:bCs w:val="0"/>
                <w:color w:val="auto"/>
              </w:rPr>
              <w:t>39cm。面部心形面盘，浅棕白色；上体暗褐具棕黄色斑纹；下体浅黄褐色散布褐色小点。虹膜褐色。</w:t>
            </w:r>
          </w:p>
          <w:p w14:paraId="44B92225">
            <w:pPr>
              <w:ind w:firstLine="480"/>
              <w:rPr>
                <w:rFonts w:hint="default" w:ascii="Times New Roman" w:hAnsi="Times New Roman" w:cs="Times New Roman"/>
                <w:color w:val="auto"/>
              </w:rPr>
            </w:pPr>
            <w:r>
              <w:rPr>
                <w:rFonts w:hint="default" w:ascii="Times New Roman" w:hAnsi="Times New Roman" w:cs="Times New Roman"/>
                <w:b w:val="0"/>
                <w:bCs w:val="0"/>
                <w:color w:val="auto"/>
              </w:rPr>
              <w:t>生态习性：栖息于林缘、灌丛、荒坡草地。夜行性。主食鼠类，也捕食昆虫、小型鸟类。繁殖期不固定，多在地面草丛筑巢。</w:t>
            </w:r>
          </w:p>
          <w:p w14:paraId="6D1B8874">
            <w:pPr>
              <w:ind w:firstLine="480"/>
              <w:rPr>
                <w:rFonts w:hint="default" w:ascii="Times New Roman" w:hAnsi="Times New Roman" w:cs="Times New Roman"/>
                <w:color w:val="auto"/>
              </w:rPr>
            </w:pPr>
            <w:r>
              <w:rPr>
                <w:rFonts w:hint="default" w:ascii="Times New Roman" w:hAnsi="Times New Roman" w:cs="Times New Roman"/>
                <w:b w:val="0"/>
                <w:bCs w:val="0"/>
                <w:color w:val="auto"/>
              </w:rPr>
              <w:t>资源状况：稀有种，国家 Ⅱ 级重点保护野生动物，评价区存在潜在分布。</w:t>
            </w:r>
          </w:p>
          <w:p w14:paraId="4452BB74">
            <w:pPr>
              <w:keepNext w:val="0"/>
              <w:keepLines w:val="0"/>
              <w:widowControl/>
              <w:suppressLineNumbers w:val="0"/>
              <w:rPr>
                <w:rStyle w:val="25"/>
                <w:rFonts w:hint="default" w:ascii="Times New Roman" w:hAnsi="Times New Roman" w:cs="Times New Roman"/>
                <w:b/>
                <w:bCs/>
                <w:color w:val="auto"/>
              </w:rPr>
            </w:pPr>
            <w:r>
              <w:rPr>
                <w:rFonts w:hint="default" w:ascii="Times New Roman" w:hAnsi="Times New Roman" w:cs="Times New Roman"/>
                <w:b/>
                <w:bCs/>
                <w:color w:val="auto"/>
              </w:rPr>
              <w:t xml:space="preserve">黑鸢 </w:t>
            </w:r>
            <w:r>
              <w:rPr>
                <w:rStyle w:val="25"/>
                <w:rFonts w:hint="default" w:ascii="Times New Roman" w:hAnsi="Times New Roman" w:cs="Times New Roman"/>
                <w:b/>
                <w:bCs/>
                <w:color w:val="auto"/>
              </w:rPr>
              <w:t>Milvus migrans</w:t>
            </w:r>
          </w:p>
          <w:p w14:paraId="2CC6B7BE">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俗名：老鹰、黑耳鸢 </w:t>
            </w:r>
          </w:p>
          <w:p w14:paraId="3C584349">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形态特征：体长 54</w:t>
            </w:r>
            <w:r>
              <w:rPr>
                <w:rFonts w:hint="default" w:ascii="Times New Roman" w:hAnsi="Times New Roman" w:cs="Times New Roman"/>
                <w:color w:val="auto"/>
              </w:rPr>
              <w:noBreakHyphen/>
            </w:r>
            <w:r>
              <w:rPr>
                <w:rFonts w:hint="default" w:ascii="Times New Roman" w:hAnsi="Times New Roman" w:cs="Times New Roman"/>
                <w:color w:val="auto"/>
              </w:rPr>
              <w:t>69cm。通体暗褐色，翅长而宽大，尾呈浅叉形，飞翔时特征明显；下体褐色具暗色纵纹。虹膜褐色，嘴黑色，脚黄色。擅长高空盘旋滑翔。</w:t>
            </w:r>
          </w:p>
          <w:p w14:paraId="2599F814">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生态习性：栖息于山地森林、疏林、荒坡、河谷、村寨周边。白天常在山脊上空盘旋巡猎。肉食兼腐食，捕食鼠类、蛙、鸟，也取食动物尸体。繁殖期 4</w:t>
            </w:r>
            <w:r>
              <w:rPr>
                <w:rFonts w:hint="default" w:ascii="Times New Roman" w:hAnsi="Times New Roman" w:cs="Times New Roman"/>
                <w:color w:val="auto"/>
              </w:rPr>
              <w:noBreakHyphen/>
            </w:r>
            <w:r>
              <w:rPr>
                <w:rFonts w:hint="default" w:ascii="Times New Roman" w:hAnsi="Times New Roman" w:cs="Times New Roman"/>
                <w:color w:val="auto"/>
              </w:rPr>
              <w:t>7 月，于高大乔木或悬崖岩壁筑巢，每窝产卵 2</w:t>
            </w:r>
            <w:r>
              <w:rPr>
                <w:rFonts w:hint="default" w:ascii="Times New Roman" w:hAnsi="Times New Roman" w:cs="Times New Roman"/>
                <w:color w:val="auto"/>
              </w:rPr>
              <w:noBreakHyphen/>
            </w:r>
            <w:r>
              <w:rPr>
                <w:rFonts w:hint="default" w:ascii="Times New Roman" w:hAnsi="Times New Roman" w:cs="Times New Roman"/>
                <w:color w:val="auto"/>
              </w:rPr>
              <w:t xml:space="preserve">3 枚。 </w:t>
            </w:r>
          </w:p>
          <w:p w14:paraId="5436A63E">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资源状况：较常见种，国家 Ⅱ 级重点保护野生动物，评价区存在潜在飞越、巡飞分布。</w:t>
            </w:r>
          </w:p>
          <w:p w14:paraId="7F34DB79">
            <w:pPr>
              <w:keepNext w:val="0"/>
              <w:keepLines w:val="0"/>
              <w:widowControl/>
              <w:suppressLineNumbers w:val="0"/>
              <w:rPr>
                <w:rStyle w:val="25"/>
                <w:rFonts w:hint="default" w:ascii="Times New Roman" w:hAnsi="Times New Roman" w:cs="Times New Roman"/>
                <w:b/>
                <w:bCs/>
                <w:color w:val="auto"/>
              </w:rPr>
            </w:pPr>
            <w:r>
              <w:rPr>
                <w:rFonts w:hint="default" w:ascii="Times New Roman" w:hAnsi="Times New Roman" w:cs="Times New Roman"/>
                <w:b/>
                <w:bCs/>
                <w:color w:val="auto"/>
              </w:rPr>
              <w:t xml:space="preserve">普通鵟 </w:t>
            </w:r>
            <w:r>
              <w:rPr>
                <w:rStyle w:val="25"/>
                <w:rFonts w:hint="default" w:ascii="Times New Roman" w:hAnsi="Times New Roman" w:cs="Times New Roman"/>
                <w:b/>
                <w:bCs/>
                <w:color w:val="auto"/>
              </w:rPr>
              <w:t>Buteo buteo</w:t>
            </w:r>
          </w:p>
          <w:p w14:paraId="788F6DCF">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俗名：土豹、鸡母鹞</w:t>
            </w:r>
          </w:p>
          <w:p w14:paraId="27F4D140">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形态特征：体长 50</w:t>
            </w:r>
            <w:r>
              <w:rPr>
                <w:rFonts w:hint="default" w:ascii="Times New Roman" w:hAnsi="Times New Roman" w:cs="Times New Roman"/>
                <w:color w:val="auto"/>
              </w:rPr>
              <w:noBreakHyphen/>
            </w:r>
            <w:r>
              <w:rPr>
                <w:rFonts w:hint="default" w:ascii="Times New Roman" w:hAnsi="Times New Roman" w:cs="Times New Roman"/>
                <w:color w:val="auto"/>
              </w:rPr>
              <w:t>59cm。体型粗壮，体色变异大，上体暗褐色，下体淡黄褐色，胸腹部具深色横斑或纵纹；尾具多条暗色横带。翅宽圆，翱翔时两翼平展。</w:t>
            </w:r>
          </w:p>
          <w:p w14:paraId="2C40EAA7">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生态习性：栖息于山地阔叶林、针阔混交林、林缘及开阔山地。多在山脊上空盘旋翱翔，也停歇于高大树木。肉食性，主食鼠类，亦捕食小型鸟类、蛙、昆虫。繁殖期 4</w:t>
            </w:r>
            <w:r>
              <w:rPr>
                <w:rFonts w:hint="default" w:ascii="Times New Roman" w:hAnsi="Times New Roman" w:cs="Times New Roman"/>
                <w:color w:val="auto"/>
              </w:rPr>
              <w:noBreakHyphen/>
            </w:r>
            <w:r>
              <w:rPr>
                <w:rFonts w:hint="default" w:ascii="Times New Roman" w:hAnsi="Times New Roman" w:cs="Times New Roman"/>
                <w:color w:val="auto"/>
              </w:rPr>
              <w:t>6 月，在高大乔木上筑巢，每窝产卵 2</w:t>
            </w:r>
            <w:r>
              <w:rPr>
                <w:rFonts w:hint="default" w:ascii="Times New Roman" w:hAnsi="Times New Roman" w:cs="Times New Roman"/>
                <w:color w:val="auto"/>
              </w:rPr>
              <w:noBreakHyphen/>
            </w:r>
            <w:r>
              <w:rPr>
                <w:rFonts w:hint="default" w:ascii="Times New Roman" w:hAnsi="Times New Roman" w:cs="Times New Roman"/>
                <w:color w:val="auto"/>
              </w:rPr>
              <w:t>3 枚。</w:t>
            </w:r>
          </w:p>
          <w:p w14:paraId="3BCD43B8">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资源状况：较常见种，国家 Ⅱ 级重点保护野生动物，评价区存在潜在巡飞分布。</w:t>
            </w:r>
          </w:p>
          <w:p w14:paraId="2577B318">
            <w:pPr>
              <w:keepNext w:val="0"/>
              <w:keepLines w:val="0"/>
              <w:widowControl/>
              <w:suppressLineNumbers w:val="0"/>
              <w:rPr>
                <w:rStyle w:val="25"/>
                <w:rFonts w:hint="default" w:ascii="Times New Roman" w:hAnsi="Times New Roman" w:cs="Times New Roman"/>
                <w:b/>
                <w:bCs/>
                <w:color w:val="auto"/>
              </w:rPr>
            </w:pPr>
            <w:r>
              <w:rPr>
                <w:rFonts w:hint="default" w:ascii="Times New Roman" w:hAnsi="Times New Roman" w:cs="Times New Roman"/>
                <w:b/>
                <w:bCs/>
                <w:color w:val="auto"/>
              </w:rPr>
              <w:t xml:space="preserve">黑翅鸢 </w:t>
            </w:r>
            <w:r>
              <w:rPr>
                <w:rStyle w:val="25"/>
                <w:rFonts w:hint="default" w:ascii="Times New Roman" w:hAnsi="Times New Roman" w:cs="Times New Roman"/>
                <w:b/>
                <w:bCs/>
                <w:color w:val="auto"/>
              </w:rPr>
              <w:t>Elanus caeruleus</w:t>
            </w:r>
          </w:p>
          <w:p w14:paraId="77DE45A8">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俗名：灰鹞、黑肩鸢 </w:t>
            </w:r>
          </w:p>
          <w:p w14:paraId="2D305177">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形态特征：体长 30</w:t>
            </w:r>
            <w:r>
              <w:rPr>
                <w:rFonts w:hint="default" w:ascii="Times New Roman" w:hAnsi="Times New Roman" w:cs="Times New Roman"/>
                <w:color w:val="auto"/>
              </w:rPr>
              <w:noBreakHyphen/>
            </w:r>
            <w:r>
              <w:rPr>
                <w:rFonts w:hint="default" w:ascii="Times New Roman" w:hAnsi="Times New Roman" w:cs="Times New Roman"/>
                <w:color w:val="auto"/>
              </w:rPr>
              <w:t>37cm。整体灰白色，肩部、翅上具明显黑色斑块；眼红色，尾方形。可在空中定点悬停，识别特征显著。</w:t>
            </w:r>
          </w:p>
          <w:p w14:paraId="140633AC">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生态习性：栖息于开阔山地、荒草地、农耕地、疏林边缘。常在低空悬停搜寻猎物。肉食性，主要捕食鼠类、小型爬行类、昆虫。繁殖期 4</w:t>
            </w:r>
            <w:r>
              <w:rPr>
                <w:rFonts w:hint="default" w:ascii="Times New Roman" w:hAnsi="Times New Roman" w:cs="Times New Roman"/>
                <w:color w:val="auto"/>
              </w:rPr>
              <w:noBreakHyphen/>
            </w:r>
            <w:r>
              <w:rPr>
                <w:rFonts w:hint="default" w:ascii="Times New Roman" w:hAnsi="Times New Roman" w:cs="Times New Roman"/>
                <w:color w:val="auto"/>
              </w:rPr>
              <w:t>8 月，于乔木树冠筑巢，每窝产卵 3</w:t>
            </w:r>
            <w:r>
              <w:rPr>
                <w:rFonts w:hint="default" w:ascii="Times New Roman" w:hAnsi="Times New Roman" w:cs="Times New Roman"/>
                <w:color w:val="auto"/>
              </w:rPr>
              <w:noBreakHyphen/>
            </w:r>
            <w:r>
              <w:rPr>
                <w:rFonts w:hint="default" w:ascii="Times New Roman" w:hAnsi="Times New Roman" w:cs="Times New Roman"/>
                <w:color w:val="auto"/>
              </w:rPr>
              <w:t>4 枚。</w:t>
            </w:r>
          </w:p>
          <w:p w14:paraId="621B52CD">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资源状况：稀有种，国家 Ⅱ 级重点保护野生动物，评价区仅存在潜在过境分布。</w:t>
            </w:r>
          </w:p>
          <w:p w14:paraId="55B29EB3">
            <w:pPr>
              <w:keepNext w:val="0"/>
              <w:keepLines w:val="0"/>
              <w:widowControl/>
              <w:suppressLineNumbers w:val="0"/>
              <w:rPr>
                <w:rStyle w:val="25"/>
                <w:rFonts w:hint="default" w:ascii="Times New Roman" w:hAnsi="Times New Roman" w:cs="Times New Roman"/>
                <w:b/>
                <w:bCs/>
                <w:color w:val="auto"/>
              </w:rPr>
            </w:pPr>
            <w:r>
              <w:rPr>
                <w:rFonts w:hint="default" w:ascii="Times New Roman" w:hAnsi="Times New Roman" w:cs="Times New Roman"/>
                <w:b/>
                <w:bCs/>
                <w:color w:val="auto"/>
              </w:rPr>
              <w:t xml:space="preserve">松雀鹰 </w:t>
            </w:r>
            <w:r>
              <w:rPr>
                <w:rStyle w:val="25"/>
                <w:rFonts w:hint="default" w:ascii="Times New Roman" w:hAnsi="Times New Roman" w:cs="Times New Roman"/>
                <w:b/>
                <w:bCs/>
                <w:color w:val="auto"/>
              </w:rPr>
              <w:t>Accipiter virgatus</w:t>
            </w:r>
          </w:p>
          <w:p w14:paraId="7214D4ED">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 xml:space="preserve">俗名：松子鹰、雀鹞 </w:t>
            </w:r>
          </w:p>
          <w:p w14:paraId="0EF6127C">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形态特征：体长 28</w:t>
            </w:r>
            <w:r>
              <w:rPr>
                <w:rFonts w:hint="default" w:ascii="Times New Roman" w:hAnsi="Times New Roman" w:cs="Times New Roman"/>
                <w:color w:val="auto"/>
              </w:rPr>
              <w:noBreakHyphen/>
            </w:r>
            <w:r>
              <w:rPr>
                <w:rFonts w:hint="default" w:ascii="Times New Roman" w:hAnsi="Times New Roman" w:cs="Times New Roman"/>
                <w:color w:val="auto"/>
              </w:rPr>
              <w:t>36cm。雄鸟上体暗蓝灰色，喉部白色具细黑中央纹，胸腹部棕红色具细密横斑。雌鸟体型较大，上体暗褐色，下体白色具褐色横斑。翅短圆，擅长林间穿梭飞行。</w:t>
            </w:r>
          </w:p>
          <w:p w14:paraId="2710E4E4">
            <w:pPr>
              <w:keepNext w:val="0"/>
              <w:keepLines w:val="0"/>
              <w:widowControl/>
              <w:suppressLineNumbers w:val="0"/>
              <w:rPr>
                <w:rFonts w:hint="default" w:ascii="Times New Roman" w:hAnsi="Times New Roman" w:cs="Times New Roman"/>
                <w:color w:val="auto"/>
              </w:rPr>
            </w:pPr>
            <w:r>
              <w:rPr>
                <w:rFonts w:hint="default" w:ascii="Times New Roman" w:hAnsi="Times New Roman" w:cs="Times New Roman"/>
                <w:color w:val="auto"/>
              </w:rPr>
              <w:t>生态习性：栖息于山地阔叶林、针阔混交林及林缘地带。多在树林内部及林缘活动。肉食性，捕食小型鸟类、鼠类、昆虫。繁殖期 5</w:t>
            </w:r>
            <w:r>
              <w:rPr>
                <w:rFonts w:hint="default" w:ascii="Times New Roman" w:hAnsi="Times New Roman" w:cs="Times New Roman"/>
                <w:color w:val="auto"/>
              </w:rPr>
              <w:noBreakHyphen/>
            </w:r>
            <w:r>
              <w:rPr>
                <w:rFonts w:hint="default" w:ascii="Times New Roman" w:hAnsi="Times New Roman" w:cs="Times New Roman"/>
                <w:color w:val="auto"/>
              </w:rPr>
              <w:t>7 月，于乔木树上筑巢，每窝产卵 4</w:t>
            </w:r>
            <w:r>
              <w:rPr>
                <w:rFonts w:hint="default" w:ascii="Times New Roman" w:hAnsi="Times New Roman" w:cs="Times New Roman"/>
                <w:color w:val="auto"/>
              </w:rPr>
              <w:noBreakHyphen/>
            </w:r>
            <w:r>
              <w:rPr>
                <w:rFonts w:hint="default" w:ascii="Times New Roman" w:hAnsi="Times New Roman" w:cs="Times New Roman"/>
                <w:color w:val="auto"/>
              </w:rPr>
              <w:t>5 枚。</w:t>
            </w:r>
          </w:p>
          <w:p w14:paraId="353BFECE">
            <w:pPr>
              <w:keepNext w:val="0"/>
              <w:keepLines w:val="0"/>
              <w:widowControl/>
              <w:suppressLineNumbers w:val="0"/>
              <w:rPr>
                <w:rFonts w:hint="default" w:ascii="Times New Roman" w:hAnsi="Times New Roman" w:eastAsia="宋体" w:cs="Times New Roman"/>
                <w:i w:val="0"/>
                <w:iCs w:val="0"/>
                <w:color w:val="auto"/>
                <w:kern w:val="0"/>
                <w:sz w:val="24"/>
                <w:szCs w:val="24"/>
                <w:highlight w:val="none"/>
                <w:u w:val="none"/>
                <w:lang w:val="en-US" w:eastAsia="zh-CN" w:bidi="ar"/>
              </w:rPr>
            </w:pPr>
            <w:r>
              <w:rPr>
                <w:rFonts w:hint="default" w:ascii="Times New Roman" w:hAnsi="Times New Roman" w:cs="Times New Roman"/>
                <w:color w:val="auto"/>
              </w:rPr>
              <w:t>资源状况：稀有种，国家 Ⅱ 级重点保护野生动物，评价区仅存在潜在分布。</w:t>
            </w:r>
          </w:p>
          <w:p w14:paraId="382B592F">
            <w:pPr>
              <w:keepNext w:val="0"/>
              <w:keepLines w:val="0"/>
              <w:pageBreakBefore w:val="0"/>
              <w:widowControl w:val="0"/>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在调查过程中，对在项目区进行耕作的村民进行了访问，访问结果均为周边没有“打雀山”或“打雀点”，没有听说过有夜间打鸟的现象，也没有发现当地秋季夜间有鸟类迷失方向、扑火的现象。</w:t>
            </w:r>
          </w:p>
          <w:p w14:paraId="16DA27CD">
            <w:p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根据云南省林业和草原局2023年12月14日发布的第一批云南省候鸟迁徙通道重要区域范围，如表3-</w:t>
            </w:r>
            <w:r>
              <w:rPr>
                <w:rFonts w:hint="eastAsia" w:cs="Times New Roman"/>
                <w:color w:val="auto"/>
                <w:sz w:val="24"/>
                <w:szCs w:val="24"/>
                <w:highlight w:val="none"/>
                <w:lang w:val="en-US" w:eastAsia="zh-CN"/>
              </w:rPr>
              <w:t>14</w:t>
            </w:r>
            <w:r>
              <w:rPr>
                <w:rFonts w:hint="default" w:ascii="Times New Roman" w:hAnsi="Times New Roman" w:eastAsia="宋体" w:cs="Times New Roman"/>
                <w:color w:val="auto"/>
                <w:sz w:val="24"/>
                <w:szCs w:val="24"/>
                <w:highlight w:val="none"/>
                <w:lang w:val="en-US" w:eastAsia="zh-CN"/>
              </w:rPr>
              <w:t>，宣威市不属于候鸟迁徙通道重点区域范围，距离候鸟迁徙通道最近距离为</w:t>
            </w:r>
            <w:r>
              <w:rPr>
                <w:rFonts w:hint="eastAsia" w:cs="Times New Roman"/>
                <w:color w:val="auto"/>
                <w:sz w:val="24"/>
                <w:szCs w:val="24"/>
                <w:highlight w:val="none"/>
                <w:lang w:val="en-US" w:eastAsia="zh-CN"/>
              </w:rPr>
              <w:t>47.9km</w:t>
            </w:r>
            <w:r>
              <w:rPr>
                <w:rFonts w:hint="default" w:ascii="Times New Roman" w:hAnsi="Times New Roman" w:eastAsia="宋体" w:cs="Times New Roman"/>
                <w:color w:val="auto"/>
                <w:sz w:val="24"/>
                <w:szCs w:val="24"/>
                <w:highlight w:val="none"/>
                <w:lang w:val="en-US" w:eastAsia="zh-CN"/>
              </w:rPr>
              <w:t>，详见附图10。</w:t>
            </w:r>
          </w:p>
          <w:p w14:paraId="5EF5E00B">
            <w:pPr>
              <w:pStyle w:val="49"/>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表3-</w:t>
            </w:r>
            <w:r>
              <w:rPr>
                <w:rFonts w:hint="eastAsia" w:ascii="Times New Roman" w:hAnsi="Times New Roman" w:cs="Times New Roman"/>
                <w:color w:val="auto"/>
                <w:highlight w:val="none"/>
                <w:lang w:val="en-US" w:eastAsia="zh-CN"/>
              </w:rPr>
              <w:t>14</w:t>
            </w:r>
            <w:r>
              <w:rPr>
                <w:rFonts w:hint="default" w:ascii="Times New Roman" w:hAnsi="Times New Roman" w:eastAsia="宋体" w:cs="Times New Roman"/>
                <w:color w:val="auto"/>
                <w:highlight w:val="none"/>
                <w:lang w:val="en-US" w:eastAsia="zh-CN"/>
              </w:rPr>
              <w:t>云南省候鸟迁徙通道重点区域范围（第一批）</w:t>
            </w:r>
          </w:p>
          <w:tbl>
            <w:tblPr>
              <w:tblStyle w:val="20"/>
              <w:tblW w:w="76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0"/>
              <w:gridCol w:w="1164"/>
              <w:gridCol w:w="1164"/>
              <w:gridCol w:w="2865"/>
              <w:gridCol w:w="1497"/>
            </w:tblGrid>
            <w:tr w14:paraId="6C942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AA07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序号</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3B33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州（市）</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8C8A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县（市）</w:t>
                  </w: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FD2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候鸟迁徙重点区域</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8CA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面积</w:t>
                  </w:r>
                </w:p>
                <w:p w14:paraId="7448E5A6">
                  <w:pPr>
                    <w:keepNext w:val="0"/>
                    <w:keepLines w:val="0"/>
                    <w:widowControl/>
                    <w:suppressLineNumbers w:val="0"/>
                    <w:ind w:left="0" w:leftChars="0" w:firstLine="0" w:firstLineChars="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（平方公里）</w:t>
                  </w:r>
                </w:p>
              </w:tc>
            </w:tr>
            <w:tr w14:paraId="29D99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97B8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1119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楚雄</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A5C8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南华</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18712">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大中山</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22252">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11.44</w:t>
                  </w:r>
                </w:p>
              </w:tc>
            </w:tr>
            <w:tr w14:paraId="1F067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473C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1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0DFB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大理</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21C5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洱源</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CE463">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鸟吊山</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3A5B">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14.99</w:t>
                  </w:r>
                </w:p>
              </w:tc>
            </w:tr>
            <w:tr w14:paraId="16235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7DC0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1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E25C">
                  <w:pPr>
                    <w:jc w:val="center"/>
                    <w:rPr>
                      <w:rFonts w:hint="default" w:ascii="Times New Roman" w:hAnsi="Times New Roman" w:eastAsia="宋体" w:cs="Times New Roman"/>
                      <w:i w:val="0"/>
                      <w:iCs w:val="0"/>
                      <w:color w:val="auto"/>
                      <w:sz w:val="21"/>
                      <w:szCs w:val="21"/>
                      <w:highlight w:val="none"/>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6970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南涧</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2FEC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凤凰山</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2A20">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2.45</w:t>
                  </w:r>
                </w:p>
              </w:tc>
            </w:tr>
            <w:tr w14:paraId="4ACC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8F1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1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54F35">
                  <w:pPr>
                    <w:jc w:val="center"/>
                    <w:rPr>
                      <w:rFonts w:hint="default" w:ascii="Times New Roman" w:hAnsi="Times New Roman" w:eastAsia="宋体" w:cs="Times New Roman"/>
                      <w:i w:val="0"/>
                      <w:iCs w:val="0"/>
                      <w:color w:val="auto"/>
                      <w:sz w:val="21"/>
                      <w:szCs w:val="21"/>
                      <w:highlight w:val="none"/>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E93D0">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巍山-弥渡</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FE5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隆庆关、大黑山</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4E60">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8.97</w:t>
                  </w:r>
                </w:p>
              </w:tc>
            </w:tr>
            <w:tr w14:paraId="0E50E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F75C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16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3B7C0">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红河</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4313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绿春</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E62C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阿倮欧滨森林公园</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052B">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2.25</w:t>
                  </w:r>
                </w:p>
              </w:tc>
            </w:tr>
            <w:tr w14:paraId="6B34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FF16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16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D9095">
                  <w:pPr>
                    <w:jc w:val="center"/>
                    <w:rPr>
                      <w:rFonts w:hint="default" w:ascii="Times New Roman" w:hAnsi="Times New Roman" w:eastAsia="宋体" w:cs="Times New Roman"/>
                      <w:i w:val="0"/>
                      <w:iCs w:val="0"/>
                      <w:color w:val="auto"/>
                      <w:sz w:val="21"/>
                      <w:szCs w:val="21"/>
                      <w:highlight w:val="none"/>
                      <w:u w:val="none"/>
                    </w:rPr>
                  </w:pP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ABE1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开远</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9911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大黑山</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7468">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4.98</w:t>
                  </w:r>
                </w:p>
              </w:tc>
            </w:tr>
            <w:tr w14:paraId="0F31B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40B3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E5C7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文山</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151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富宁</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7F723">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鸟王山</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8CAC">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2.13</w:t>
                  </w:r>
                </w:p>
              </w:tc>
            </w:tr>
            <w:tr w14:paraId="37BCC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D3DB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20AF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文山-红河</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BA5A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砚山-开远</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A89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黑巴、期不底、下米者</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94FCA">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2.81</w:t>
                  </w:r>
                </w:p>
              </w:tc>
            </w:tr>
            <w:tr w14:paraId="4CD0D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656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D74B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玉溪-普洱</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FD975">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新平-镇沅</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C34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金山垭口</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A8C76">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0.73</w:t>
                  </w:r>
                </w:p>
              </w:tc>
            </w:tr>
            <w:tr w14:paraId="0521F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99C7">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4FB0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昭通</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D79D0">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永善</w:t>
                  </w:r>
                </w:p>
              </w:tc>
              <w:tc>
                <w:tcPr>
                  <w:tcW w:w="28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CC8FC">
                  <w:pPr>
                    <w:keepNext w:val="0"/>
                    <w:keepLines w:val="0"/>
                    <w:widowControl/>
                    <w:suppressLineNumbers w:val="0"/>
                    <w:tabs>
                      <w:tab w:val="left" w:pos="951"/>
                      <w:tab w:val="center" w:pos="1593"/>
                    </w:tabs>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马楠-石门坎</w:t>
                  </w:r>
                </w:p>
              </w:tc>
              <w:tc>
                <w:tcPr>
                  <w:tcW w:w="1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1046B">
                  <w:pPr>
                    <w:keepNext w:val="0"/>
                    <w:keepLines w:val="0"/>
                    <w:widowControl/>
                    <w:suppressLineNumbers w:val="0"/>
                    <w:jc w:val="both"/>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6.43</w:t>
                  </w:r>
                </w:p>
              </w:tc>
            </w:tr>
          </w:tbl>
          <w:p w14:paraId="7146FA95">
            <w:pPr>
              <w:keepNext w:val="0"/>
              <w:keepLines w:val="0"/>
              <w:pageBreakBefore w:val="0"/>
              <w:widowControl w:val="0"/>
              <w:numPr>
                <w:ilvl w:val="0"/>
                <w:numId w:val="0"/>
              </w:numPr>
              <w:kinsoku/>
              <w:wordWrap/>
              <w:overflowPunct/>
              <w:topLinePunct w:val="0"/>
              <w:autoSpaceDE/>
              <w:autoSpaceDN/>
              <w:bidi w:val="0"/>
              <w:adjustRightInd w:val="0"/>
              <w:snapToGrid w:val="0"/>
              <w:ind w:firstLine="280" w:firstLineChars="100"/>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kern w:val="2"/>
                <w:sz w:val="28"/>
                <w:szCs w:val="28"/>
                <w:highlight w:val="none"/>
                <w:lang w:val="en-US" w:eastAsia="zh-CN" w:bidi="ar-SA"/>
              </w:rPr>
              <w:t>4.</w:t>
            </w:r>
            <w:r>
              <w:rPr>
                <w:rFonts w:hint="default" w:ascii="Times New Roman" w:hAnsi="Times New Roman" w:eastAsia="宋体" w:cs="Times New Roman"/>
                <w:color w:val="auto"/>
                <w:sz w:val="24"/>
                <w:szCs w:val="24"/>
                <w:highlight w:val="none"/>
                <w:lang w:val="en-US" w:eastAsia="zh-CN"/>
              </w:rPr>
              <w:t>土地利用现状</w:t>
            </w:r>
          </w:p>
          <w:p w14:paraId="6D439186">
            <w:pPr>
              <w:bidi w:val="0"/>
              <w:rPr>
                <w:rFonts w:hint="eastAsia" w:eastAsia="宋体"/>
                <w:color w:val="auto"/>
                <w:highlight w:val="none"/>
                <w:lang w:eastAsia="zh-CN"/>
              </w:rPr>
            </w:pPr>
            <w:r>
              <w:rPr>
                <w:rFonts w:hint="eastAsia" w:ascii="Times New Roman" w:hAnsi="Times New Roman" w:eastAsia="宋体" w:cs="Times New Roman"/>
                <w:color w:val="auto"/>
                <w:sz w:val="24"/>
                <w:szCs w:val="24"/>
                <w:highlight w:val="none"/>
                <w:lang w:val="en-US" w:eastAsia="zh-CN"/>
              </w:rPr>
              <w:t>本工程建设用地包括风机</w:t>
            </w:r>
            <w:r>
              <w:rPr>
                <w:rFonts w:hint="eastAsia" w:cs="Times New Roman"/>
                <w:color w:val="auto"/>
                <w:sz w:val="24"/>
                <w:szCs w:val="24"/>
                <w:highlight w:val="none"/>
                <w:lang w:val="en-US" w:eastAsia="zh-CN"/>
              </w:rPr>
              <w:t>基础、</w:t>
            </w:r>
            <w:r>
              <w:rPr>
                <w:rFonts w:hint="eastAsia" w:ascii="Times New Roman" w:hAnsi="Times New Roman" w:eastAsia="宋体" w:cs="Times New Roman"/>
                <w:color w:val="auto"/>
                <w:sz w:val="24"/>
                <w:szCs w:val="24"/>
                <w:highlight w:val="none"/>
                <w:lang w:val="en-US" w:eastAsia="zh-CN"/>
              </w:rPr>
              <w:t>箱变基础、开关站、集电线路、风机安装场地和施工临时设施等，其中风机</w:t>
            </w:r>
            <w:r>
              <w:rPr>
                <w:rFonts w:hint="eastAsia" w:cs="Times New Roman"/>
                <w:color w:val="auto"/>
                <w:sz w:val="24"/>
                <w:szCs w:val="24"/>
                <w:highlight w:val="none"/>
                <w:lang w:val="en-US" w:eastAsia="zh-CN"/>
              </w:rPr>
              <w:t>基础、</w:t>
            </w:r>
            <w:r>
              <w:rPr>
                <w:rFonts w:hint="eastAsia" w:ascii="Times New Roman" w:hAnsi="Times New Roman" w:eastAsia="宋体" w:cs="Times New Roman"/>
                <w:color w:val="auto"/>
                <w:sz w:val="24"/>
                <w:szCs w:val="24"/>
                <w:highlight w:val="none"/>
                <w:lang w:val="en-US" w:eastAsia="zh-CN"/>
              </w:rPr>
              <w:t>箱变基础、开关站为永久用地，风机安装场地、施工临时设施、施工道路、直埋电缆、堆土场为临时用地。本项目总用地面积</w:t>
            </w:r>
            <w:r>
              <w:rPr>
                <w:rFonts w:hint="eastAsia" w:cs="Times New Roman"/>
                <w:color w:val="auto"/>
                <w:sz w:val="24"/>
                <w:szCs w:val="24"/>
                <w:highlight w:val="none"/>
                <w:lang w:val="en-US" w:eastAsia="zh-CN"/>
              </w:rPr>
              <w:t>1.5343</w:t>
            </w:r>
            <w:r>
              <w:rPr>
                <w:rFonts w:hint="eastAsia" w:ascii="Times New Roman" w:hAnsi="Times New Roman" w:eastAsia="宋体" w:cs="Times New Roman"/>
                <w:color w:val="auto"/>
                <w:sz w:val="24"/>
                <w:szCs w:val="24"/>
                <w:highlight w:val="none"/>
                <w:lang w:val="en-US" w:eastAsia="zh-CN"/>
              </w:rPr>
              <w:t>hm²，其中永久用地0.2408hm²，临时用地</w:t>
            </w:r>
            <w:r>
              <w:rPr>
                <w:rFonts w:hint="eastAsia" w:cs="Times New Roman"/>
                <w:color w:val="auto"/>
                <w:sz w:val="24"/>
                <w:szCs w:val="24"/>
                <w:highlight w:val="none"/>
                <w:lang w:val="en-US" w:eastAsia="zh-CN"/>
              </w:rPr>
              <w:t>1.2935</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eastAsia="宋体" w:cs="Times New Roman"/>
                <w:color w:val="auto"/>
                <w:sz w:val="24"/>
                <w:szCs w:val="24"/>
                <w:highlight w:val="none"/>
                <w:vertAlign w:val="baseline"/>
                <w:lang w:val="en-US" w:eastAsia="zh-CN"/>
              </w:rPr>
              <w:t>²。永久占地涉及林地0.0848hm²（含乔木林地0.0424hm²，灌木林地0.0424</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eastAsia="宋体" w:cs="Times New Roman"/>
                <w:color w:val="auto"/>
                <w:sz w:val="24"/>
                <w:szCs w:val="24"/>
                <w:highlight w:val="none"/>
                <w:vertAlign w:val="baseline"/>
                <w:lang w:val="en-US" w:eastAsia="zh-CN"/>
              </w:rPr>
              <w:t>²）、草地0.156hm²；临时占地涉及耕地（水浇地）0.0609hm²、林地</w:t>
            </w:r>
            <w:r>
              <w:rPr>
                <w:rFonts w:hint="eastAsia" w:cs="Times New Roman"/>
                <w:color w:val="auto"/>
                <w:sz w:val="24"/>
                <w:szCs w:val="24"/>
                <w:highlight w:val="none"/>
                <w:vertAlign w:val="baseline"/>
                <w:lang w:val="en-US" w:eastAsia="zh-CN"/>
              </w:rPr>
              <w:t>0.9644</w:t>
            </w:r>
            <w:r>
              <w:rPr>
                <w:rFonts w:hint="eastAsia" w:ascii="Times New Roman" w:hAnsi="Times New Roman" w:eastAsia="宋体" w:cs="Times New Roman"/>
                <w:color w:val="auto"/>
                <w:sz w:val="24"/>
                <w:szCs w:val="24"/>
                <w:highlight w:val="none"/>
                <w:lang w:val="en-US" w:eastAsia="zh-CN"/>
              </w:rPr>
              <w:t>h</w:t>
            </w:r>
            <w:r>
              <w:rPr>
                <w:rFonts w:hint="eastAsia" w:ascii="Times New Roman" w:hAnsi="Times New Roman" w:eastAsia="宋体" w:cs="Times New Roman"/>
                <w:color w:val="auto"/>
                <w:sz w:val="24"/>
                <w:szCs w:val="24"/>
                <w:highlight w:val="none"/>
                <w:vertAlign w:val="baseline"/>
                <w:lang w:val="en-US" w:eastAsia="zh-CN"/>
              </w:rPr>
              <w:t>m²（含乔木林地0.3490</w:t>
            </w:r>
            <w:r>
              <w:rPr>
                <w:rFonts w:hint="eastAsia" w:ascii="Times New Roman" w:hAnsi="Times New Roman" w:eastAsia="宋体" w:cs="Times New Roman"/>
                <w:color w:val="auto"/>
                <w:sz w:val="24"/>
                <w:szCs w:val="24"/>
                <w:highlight w:val="none"/>
                <w:lang w:val="en-US" w:eastAsia="zh-CN"/>
              </w:rPr>
              <w:t>h</w:t>
            </w:r>
            <w:r>
              <w:rPr>
                <w:rFonts w:hint="eastAsia" w:ascii="Times New Roman" w:hAnsi="Times New Roman" w:eastAsia="宋体" w:cs="Times New Roman"/>
                <w:color w:val="auto"/>
                <w:sz w:val="24"/>
                <w:szCs w:val="24"/>
                <w:highlight w:val="none"/>
                <w:vertAlign w:val="baseline"/>
                <w:lang w:val="en-US" w:eastAsia="zh-CN"/>
              </w:rPr>
              <w:t>m²，灌木林地</w:t>
            </w:r>
            <w:r>
              <w:rPr>
                <w:rFonts w:hint="eastAsia" w:cs="Times New Roman"/>
                <w:color w:val="auto"/>
                <w:sz w:val="24"/>
                <w:szCs w:val="24"/>
                <w:highlight w:val="none"/>
                <w:vertAlign w:val="baseline"/>
                <w:lang w:val="en-US" w:eastAsia="zh-CN"/>
              </w:rPr>
              <w:t>0.6155</w:t>
            </w:r>
            <w:r>
              <w:rPr>
                <w:rFonts w:hint="eastAsia" w:ascii="Times New Roman" w:hAnsi="Times New Roman" w:eastAsia="宋体" w:cs="Times New Roman"/>
                <w:color w:val="auto"/>
                <w:sz w:val="24"/>
                <w:szCs w:val="24"/>
                <w:highlight w:val="none"/>
                <w:vertAlign w:val="baseline"/>
                <w:lang w:val="en-US" w:eastAsia="zh-CN"/>
              </w:rPr>
              <w:t>hm²）、草地0.2588hm²、其他土地0.0093</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cs="Times New Roman"/>
                <w:color w:val="auto"/>
                <w:highlight w:val="none"/>
                <w:lang w:val="en-US" w:eastAsia="zh-CN"/>
              </w:rPr>
              <w:t>²。工程占地情况如下表所示。</w:t>
            </w:r>
          </w:p>
          <w:p w14:paraId="4BE7B8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bCs/>
                <w:color w:val="auto"/>
                <w:spacing w:val="-3"/>
                <w:sz w:val="21"/>
                <w:szCs w:val="21"/>
                <w:highlight w:val="none"/>
              </w:rPr>
            </w:pPr>
            <w:r>
              <w:rPr>
                <w:rFonts w:ascii="Times New Roman" w:hAnsi="Times New Roman" w:cs="Times New Roman"/>
                <w:b/>
                <w:bCs/>
                <w:color w:val="auto"/>
                <w:spacing w:val="-3"/>
                <w:sz w:val="21"/>
                <w:szCs w:val="21"/>
                <w:highlight w:val="none"/>
              </w:rPr>
              <w:t>表</w:t>
            </w:r>
            <w:r>
              <w:rPr>
                <w:rFonts w:hint="eastAsia" w:cs="Times New Roman"/>
                <w:b/>
                <w:bCs/>
                <w:color w:val="auto"/>
                <w:spacing w:val="-3"/>
                <w:sz w:val="21"/>
                <w:szCs w:val="21"/>
                <w:highlight w:val="none"/>
                <w:lang w:val="en-US" w:eastAsia="zh-CN"/>
              </w:rPr>
              <w:t>3-15</w:t>
            </w:r>
            <w:r>
              <w:rPr>
                <w:rFonts w:ascii="Times New Roman" w:hAnsi="Times New Roman" w:cs="Times New Roman"/>
                <w:b/>
                <w:bCs/>
                <w:color w:val="auto"/>
                <w:spacing w:val="-3"/>
                <w:sz w:val="21"/>
                <w:szCs w:val="21"/>
                <w:highlight w:val="none"/>
              </w:rPr>
              <w:t>工程占地情况一览表</w:t>
            </w:r>
          </w:p>
          <w:tbl>
            <w:tblPr>
              <w:tblStyle w:val="46"/>
              <w:tblW w:w="497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458"/>
              <w:gridCol w:w="1115"/>
              <w:gridCol w:w="1046"/>
              <w:gridCol w:w="1013"/>
              <w:gridCol w:w="687"/>
              <w:gridCol w:w="957"/>
              <w:gridCol w:w="1367"/>
              <w:gridCol w:w="10"/>
            </w:tblGrid>
            <w:tr w14:paraId="4CE03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20" w:type="pct"/>
                  <w:vMerge w:val="restart"/>
                  <w:vAlign w:val="center"/>
                </w:tcPr>
                <w:p w14:paraId="3CD2B96C">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项目名称</w:t>
                  </w:r>
                </w:p>
              </w:tc>
              <w:tc>
                <w:tcPr>
                  <w:tcW w:w="2783" w:type="pct"/>
                  <w:gridSpan w:val="5"/>
                  <w:tcBorders>
                    <w:bottom w:val="single" w:color="000000" w:sz="6" w:space="0"/>
                    <w:right w:val="single" w:color="auto" w:sz="4" w:space="0"/>
                  </w:tcBorders>
                  <w:vAlign w:val="center"/>
                </w:tcPr>
                <w:p w14:paraId="5F84F4C7">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占地类型（hm</w:t>
                  </w:r>
                  <w:r>
                    <w:rPr>
                      <w:rFonts w:ascii="Times New Roman" w:hAnsi="Times New Roman" w:cs="Times New Roman"/>
                      <w:color w:val="auto"/>
                      <w:highlight w:val="none"/>
                      <w:vertAlign w:val="superscript"/>
                    </w:rPr>
                    <w:t>2</w:t>
                  </w:r>
                  <w:r>
                    <w:rPr>
                      <w:rFonts w:ascii="Times New Roman" w:hAnsi="Times New Roman" w:cs="Times New Roman"/>
                      <w:color w:val="auto"/>
                      <w:highlight w:val="none"/>
                    </w:rPr>
                    <w:t>）</w:t>
                  </w:r>
                </w:p>
              </w:tc>
              <w:tc>
                <w:tcPr>
                  <w:tcW w:w="796" w:type="pct"/>
                  <w:gridSpan w:val="2"/>
                  <w:tcBorders>
                    <w:bottom w:val="single" w:color="000000" w:sz="6" w:space="0"/>
                  </w:tcBorders>
                  <w:vAlign w:val="center"/>
                </w:tcPr>
                <w:p w14:paraId="3E2C3348">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占地性质</w:t>
                  </w:r>
                </w:p>
              </w:tc>
            </w:tr>
            <w:tr w14:paraId="6191A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98" w:hRule="atLeast"/>
              </w:trPr>
              <w:tc>
                <w:tcPr>
                  <w:tcW w:w="1420" w:type="pct"/>
                  <w:vMerge w:val="continue"/>
                  <w:vAlign w:val="center"/>
                </w:tcPr>
                <w:p w14:paraId="0C38ED78">
                  <w:pPr>
                    <w:pStyle w:val="28"/>
                    <w:bidi w:val="0"/>
                    <w:jc w:val="center"/>
                    <w:rPr>
                      <w:rFonts w:ascii="Times New Roman" w:hAnsi="Times New Roman" w:cs="Times New Roman"/>
                      <w:color w:val="auto"/>
                      <w:highlight w:val="none"/>
                    </w:rPr>
                  </w:pPr>
                </w:p>
              </w:tc>
              <w:tc>
                <w:tcPr>
                  <w:tcW w:w="644" w:type="pct"/>
                  <w:vMerge w:val="restart"/>
                  <w:tcBorders>
                    <w:top w:val="single" w:color="000000" w:sz="6" w:space="0"/>
                  </w:tcBorders>
                  <w:vAlign w:val="center"/>
                </w:tcPr>
                <w:p w14:paraId="5D21B4D1">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草地</w:t>
                  </w:r>
                </w:p>
              </w:tc>
              <w:tc>
                <w:tcPr>
                  <w:tcW w:w="1189" w:type="pct"/>
                  <w:gridSpan w:val="2"/>
                  <w:tcBorders>
                    <w:top w:val="single" w:color="000000" w:sz="6" w:space="0"/>
                    <w:bottom w:val="single" w:color="auto" w:sz="4" w:space="0"/>
                  </w:tcBorders>
                  <w:vAlign w:val="center"/>
                </w:tcPr>
                <w:p w14:paraId="50232EFE">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林地</w:t>
                  </w:r>
                </w:p>
              </w:tc>
              <w:tc>
                <w:tcPr>
                  <w:tcW w:w="397" w:type="pct"/>
                  <w:vMerge w:val="restart"/>
                  <w:tcBorders>
                    <w:top w:val="single" w:color="000000" w:sz="6" w:space="0"/>
                  </w:tcBorders>
                  <w:vAlign w:val="center"/>
                </w:tcPr>
                <w:p w14:paraId="25C1E00B">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耕地</w:t>
                  </w:r>
                </w:p>
              </w:tc>
              <w:tc>
                <w:tcPr>
                  <w:tcW w:w="552" w:type="pct"/>
                  <w:vMerge w:val="restart"/>
                  <w:tcBorders>
                    <w:top w:val="single" w:color="000000" w:sz="6" w:space="0"/>
                    <w:right w:val="single" w:color="auto" w:sz="4" w:space="0"/>
                  </w:tcBorders>
                  <w:vAlign w:val="center"/>
                </w:tcPr>
                <w:p w14:paraId="6FE2321B">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其他土</w:t>
                  </w:r>
                </w:p>
                <w:p w14:paraId="5DEDBDEA">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地</w:t>
                  </w:r>
                </w:p>
              </w:tc>
              <w:tc>
                <w:tcPr>
                  <w:tcW w:w="790" w:type="pct"/>
                  <w:vMerge w:val="restart"/>
                  <w:tcBorders>
                    <w:top w:val="single" w:color="000000" w:sz="6" w:space="0"/>
                  </w:tcBorders>
                  <w:vAlign w:val="center"/>
                </w:tcPr>
                <w:p w14:paraId="68B42361">
                  <w:pPr>
                    <w:pStyle w:val="28"/>
                    <w:bidi w:val="0"/>
                    <w:jc w:val="center"/>
                    <w:rPr>
                      <w:rFonts w:ascii="Times New Roman" w:hAnsi="Times New Roman" w:cs="Times New Roman"/>
                      <w:color w:val="auto"/>
                      <w:highlight w:val="none"/>
                    </w:rPr>
                  </w:pPr>
                </w:p>
              </w:tc>
            </w:tr>
            <w:tr w14:paraId="2119E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64" w:hRule="atLeast"/>
              </w:trPr>
              <w:tc>
                <w:tcPr>
                  <w:tcW w:w="1420" w:type="pct"/>
                  <w:vMerge w:val="continue"/>
                  <w:vAlign w:val="center"/>
                </w:tcPr>
                <w:p w14:paraId="3279B10E">
                  <w:pPr>
                    <w:pStyle w:val="28"/>
                    <w:bidi w:val="0"/>
                    <w:jc w:val="center"/>
                    <w:rPr>
                      <w:rFonts w:ascii="Times New Roman" w:hAnsi="Times New Roman" w:cs="Times New Roman"/>
                      <w:color w:val="auto"/>
                      <w:highlight w:val="none"/>
                    </w:rPr>
                  </w:pPr>
                </w:p>
              </w:tc>
              <w:tc>
                <w:tcPr>
                  <w:tcW w:w="644" w:type="pct"/>
                  <w:vMerge w:val="continue"/>
                  <w:vAlign w:val="center"/>
                </w:tcPr>
                <w:p w14:paraId="3476DE33">
                  <w:pPr>
                    <w:pStyle w:val="28"/>
                    <w:bidi w:val="0"/>
                    <w:jc w:val="center"/>
                    <w:rPr>
                      <w:rFonts w:ascii="Times New Roman" w:hAnsi="Times New Roman" w:cs="Times New Roman"/>
                      <w:color w:val="auto"/>
                      <w:highlight w:val="none"/>
                    </w:rPr>
                  </w:pPr>
                </w:p>
              </w:tc>
              <w:tc>
                <w:tcPr>
                  <w:tcW w:w="604" w:type="pct"/>
                  <w:tcBorders>
                    <w:top w:val="single" w:color="auto" w:sz="4" w:space="0"/>
                    <w:right w:val="single" w:color="auto" w:sz="4" w:space="0"/>
                  </w:tcBorders>
                  <w:vAlign w:val="center"/>
                </w:tcPr>
                <w:p w14:paraId="3BDD86BC">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乔木林地</w:t>
                  </w:r>
                </w:p>
              </w:tc>
              <w:tc>
                <w:tcPr>
                  <w:tcW w:w="585" w:type="pct"/>
                  <w:tcBorders>
                    <w:top w:val="single" w:color="auto" w:sz="4" w:space="0"/>
                    <w:left w:val="single" w:color="auto" w:sz="4" w:space="0"/>
                  </w:tcBorders>
                  <w:vAlign w:val="center"/>
                </w:tcPr>
                <w:p w14:paraId="63147F0A">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灌木林地</w:t>
                  </w:r>
                </w:p>
              </w:tc>
              <w:tc>
                <w:tcPr>
                  <w:tcW w:w="397" w:type="pct"/>
                  <w:vMerge w:val="continue"/>
                  <w:vAlign w:val="center"/>
                </w:tcPr>
                <w:p w14:paraId="5DC25C4A">
                  <w:pPr>
                    <w:pStyle w:val="28"/>
                    <w:bidi w:val="0"/>
                    <w:jc w:val="center"/>
                    <w:rPr>
                      <w:rFonts w:hint="eastAsia" w:ascii="Times New Roman" w:hAnsi="Times New Roman" w:cs="Times New Roman"/>
                      <w:color w:val="auto"/>
                      <w:highlight w:val="none"/>
                      <w:lang w:eastAsia="zh-CN"/>
                    </w:rPr>
                  </w:pPr>
                </w:p>
              </w:tc>
              <w:tc>
                <w:tcPr>
                  <w:tcW w:w="552" w:type="pct"/>
                  <w:vMerge w:val="continue"/>
                  <w:tcBorders>
                    <w:right w:val="single" w:color="auto" w:sz="4" w:space="0"/>
                  </w:tcBorders>
                  <w:vAlign w:val="center"/>
                </w:tcPr>
                <w:p w14:paraId="27518823">
                  <w:pPr>
                    <w:pStyle w:val="28"/>
                    <w:bidi w:val="0"/>
                    <w:jc w:val="center"/>
                    <w:rPr>
                      <w:rFonts w:ascii="Times New Roman" w:hAnsi="Times New Roman" w:cs="Times New Roman"/>
                      <w:color w:val="auto"/>
                      <w:highlight w:val="none"/>
                    </w:rPr>
                  </w:pPr>
                </w:p>
              </w:tc>
              <w:tc>
                <w:tcPr>
                  <w:tcW w:w="790" w:type="pct"/>
                  <w:vMerge w:val="continue"/>
                  <w:vAlign w:val="center"/>
                </w:tcPr>
                <w:p w14:paraId="788BBC23">
                  <w:pPr>
                    <w:pStyle w:val="28"/>
                    <w:bidi w:val="0"/>
                    <w:jc w:val="center"/>
                    <w:rPr>
                      <w:rFonts w:ascii="Times New Roman" w:hAnsi="Times New Roman" w:cs="Times New Roman"/>
                      <w:color w:val="auto"/>
                      <w:highlight w:val="none"/>
                    </w:rPr>
                  </w:pPr>
                </w:p>
              </w:tc>
            </w:tr>
            <w:tr w14:paraId="76780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435" w:hRule="atLeast"/>
              </w:trPr>
              <w:tc>
                <w:tcPr>
                  <w:tcW w:w="1420" w:type="pct"/>
                  <w:tcBorders>
                    <w:bottom w:val="single" w:color="auto" w:sz="4" w:space="0"/>
                  </w:tcBorders>
                  <w:vAlign w:val="center"/>
                </w:tcPr>
                <w:p w14:paraId="175BB6B4">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风机机组区</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风机基础</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箱变基础</w:t>
                  </w:r>
                  <w:r>
                    <w:rPr>
                      <w:rFonts w:hint="eastAsia" w:ascii="Times New Roman" w:hAnsi="Times New Roman" w:cs="Times New Roman"/>
                      <w:color w:val="auto"/>
                      <w:highlight w:val="none"/>
                      <w:lang w:eastAsia="zh-CN"/>
                    </w:rPr>
                    <w:t>、开关站）</w:t>
                  </w:r>
                </w:p>
              </w:tc>
              <w:tc>
                <w:tcPr>
                  <w:tcW w:w="644" w:type="pct"/>
                  <w:tcBorders>
                    <w:bottom w:val="single" w:color="auto" w:sz="4" w:space="0"/>
                  </w:tcBorders>
                  <w:vAlign w:val="center"/>
                </w:tcPr>
                <w:p w14:paraId="1DC02924">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0.156</w:t>
                  </w:r>
                </w:p>
              </w:tc>
              <w:tc>
                <w:tcPr>
                  <w:tcW w:w="604" w:type="pct"/>
                  <w:tcBorders>
                    <w:right w:val="single" w:color="auto" w:sz="4" w:space="0"/>
                  </w:tcBorders>
                  <w:vAlign w:val="center"/>
                </w:tcPr>
                <w:p w14:paraId="3EEA791E">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585" w:type="pct"/>
                  <w:tcBorders>
                    <w:left w:val="single" w:color="auto" w:sz="4" w:space="0"/>
                  </w:tcBorders>
                  <w:vAlign w:val="center"/>
                </w:tcPr>
                <w:p w14:paraId="561E7464">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0.0374</w:t>
                  </w:r>
                </w:p>
              </w:tc>
              <w:tc>
                <w:tcPr>
                  <w:tcW w:w="397" w:type="pct"/>
                  <w:vAlign w:val="center"/>
                </w:tcPr>
                <w:p w14:paraId="17EB2E2F">
                  <w:pPr>
                    <w:pStyle w:val="28"/>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43790881">
                  <w:pPr>
                    <w:pStyle w:val="28"/>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790" w:type="pct"/>
                  <w:vAlign w:val="center"/>
                </w:tcPr>
                <w:p w14:paraId="151D4D78">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永久占地</w:t>
                  </w:r>
                </w:p>
              </w:tc>
            </w:tr>
            <w:tr w14:paraId="4C65C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298" w:hRule="atLeast"/>
              </w:trPr>
              <w:tc>
                <w:tcPr>
                  <w:tcW w:w="1420" w:type="pct"/>
                  <w:tcBorders>
                    <w:bottom w:val="single" w:color="auto" w:sz="4" w:space="0"/>
                  </w:tcBorders>
                  <w:vAlign w:val="center"/>
                </w:tcPr>
                <w:p w14:paraId="3A1CB443">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进站道路</w:t>
                  </w:r>
                </w:p>
              </w:tc>
              <w:tc>
                <w:tcPr>
                  <w:tcW w:w="644" w:type="pct"/>
                  <w:tcBorders>
                    <w:bottom w:val="single" w:color="auto" w:sz="4" w:space="0"/>
                  </w:tcBorders>
                  <w:vAlign w:val="center"/>
                </w:tcPr>
                <w:p w14:paraId="3B4C4BA5">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7BAF10C4">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5DF995F7">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0.005</w:t>
                  </w:r>
                </w:p>
              </w:tc>
              <w:tc>
                <w:tcPr>
                  <w:tcW w:w="397" w:type="pct"/>
                  <w:vAlign w:val="center"/>
                </w:tcPr>
                <w:p w14:paraId="2D239F37">
                  <w:pPr>
                    <w:pStyle w:val="28"/>
                    <w:bidi w:val="0"/>
                    <w:jc w:val="center"/>
                    <w:rPr>
                      <w:rFonts w:hint="eastAsia" w:ascii="Times New Roman" w:hAnsi="Times New Roman" w:cs="Times New Roman"/>
                      <w:color w:val="auto"/>
                      <w:highlight w:val="none"/>
                      <w:lang w:val="en-US" w:eastAsia="zh-CN"/>
                    </w:rPr>
                  </w:pPr>
                </w:p>
              </w:tc>
              <w:tc>
                <w:tcPr>
                  <w:tcW w:w="552" w:type="pct"/>
                  <w:vAlign w:val="center"/>
                </w:tcPr>
                <w:p w14:paraId="167235CB">
                  <w:pPr>
                    <w:pStyle w:val="28"/>
                    <w:bidi w:val="0"/>
                    <w:jc w:val="center"/>
                    <w:rPr>
                      <w:rFonts w:hint="eastAsia" w:ascii="Times New Roman" w:hAnsi="Times New Roman" w:cs="Times New Roman"/>
                      <w:color w:val="auto"/>
                      <w:highlight w:val="none"/>
                      <w:lang w:val="en-US" w:eastAsia="zh-CN"/>
                    </w:rPr>
                  </w:pPr>
                </w:p>
              </w:tc>
              <w:tc>
                <w:tcPr>
                  <w:tcW w:w="790" w:type="pct"/>
                  <w:vAlign w:val="center"/>
                </w:tcPr>
                <w:p w14:paraId="63BA6510">
                  <w:pPr>
                    <w:pStyle w:val="28"/>
                    <w:bidi w:val="0"/>
                    <w:jc w:val="center"/>
                    <w:rPr>
                      <w:rFonts w:ascii="Times New Roman" w:hAnsi="Times New Roman" w:cs="Times New Roman"/>
                      <w:color w:val="auto"/>
                      <w:highlight w:val="none"/>
                    </w:rPr>
                  </w:pPr>
                </w:p>
              </w:tc>
            </w:tr>
            <w:tr w14:paraId="7BD8F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18" w:hRule="atLeast"/>
              </w:trPr>
              <w:tc>
                <w:tcPr>
                  <w:tcW w:w="1420" w:type="pct"/>
                  <w:tcBorders>
                    <w:top w:val="single" w:color="auto" w:sz="4" w:space="0"/>
                  </w:tcBorders>
                  <w:vAlign w:val="center"/>
                </w:tcPr>
                <w:p w14:paraId="48E699EC">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小计</w:t>
                  </w:r>
                </w:p>
              </w:tc>
              <w:tc>
                <w:tcPr>
                  <w:tcW w:w="644" w:type="pct"/>
                  <w:vAlign w:val="center"/>
                </w:tcPr>
                <w:p w14:paraId="6B671271">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0.156</w:t>
                  </w:r>
                </w:p>
              </w:tc>
              <w:tc>
                <w:tcPr>
                  <w:tcW w:w="604" w:type="pct"/>
                  <w:tcBorders>
                    <w:right w:val="single" w:color="auto" w:sz="4" w:space="0"/>
                  </w:tcBorders>
                  <w:vAlign w:val="center"/>
                </w:tcPr>
                <w:p w14:paraId="77C6A60D">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585" w:type="pct"/>
                  <w:tcBorders>
                    <w:left w:val="single" w:color="auto" w:sz="4" w:space="0"/>
                  </w:tcBorders>
                  <w:vAlign w:val="center"/>
                </w:tcPr>
                <w:p w14:paraId="122BF023">
                  <w:pPr>
                    <w:pStyle w:val="28"/>
                    <w:bidi w:val="0"/>
                    <w:ind w:firstLine="0" w:firstLineChars="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397" w:type="pct"/>
                  <w:vAlign w:val="center"/>
                </w:tcPr>
                <w:p w14:paraId="01EAD43D">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37403D2B">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790" w:type="pct"/>
                  <w:vAlign w:val="center"/>
                </w:tcPr>
                <w:p w14:paraId="63E503E7">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eastAsia="zh-CN"/>
                    </w:rPr>
                    <w:t>永久占地合计</w:t>
                  </w:r>
                  <w:r>
                    <w:rPr>
                      <w:rFonts w:hint="eastAsia" w:ascii="Times New Roman" w:hAnsi="Times New Roman" w:cs="Times New Roman"/>
                      <w:color w:val="auto"/>
                      <w:highlight w:val="none"/>
                      <w:lang w:val="en-US" w:eastAsia="zh-CN"/>
                    </w:rPr>
                    <w:t>0.2408</w:t>
                  </w: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r>
            <w:tr w14:paraId="704B1A65">
              <w:tblPrEx>
                <w:tblCellMar>
                  <w:top w:w="0" w:type="dxa"/>
                  <w:left w:w="0" w:type="dxa"/>
                  <w:bottom w:w="0" w:type="dxa"/>
                  <w:right w:w="0" w:type="dxa"/>
                </w:tblCellMar>
              </w:tblPrEx>
              <w:trPr>
                <w:gridAfter w:val="1"/>
                <w:wAfter w:w="5" w:type="pct"/>
                <w:trHeight w:val="302" w:hRule="atLeast"/>
              </w:trPr>
              <w:tc>
                <w:tcPr>
                  <w:tcW w:w="1420" w:type="pct"/>
                  <w:tcBorders>
                    <w:bottom w:val="single" w:color="auto" w:sz="4" w:space="0"/>
                  </w:tcBorders>
                  <w:shd w:val="clear" w:color="auto" w:fill="auto"/>
                  <w:vAlign w:val="center"/>
                </w:tcPr>
                <w:p w14:paraId="5736B8B8">
                  <w:pPr>
                    <w:bidi w:val="0"/>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w:t>
                  </w:r>
                  <w:r>
                    <w:rPr>
                      <w:rFonts w:hint="eastAsia"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（吊装平台</w:t>
                  </w:r>
                  <w:r>
                    <w:rPr>
                      <w:rFonts w:hint="eastAsia"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w:t>
                  </w:r>
                </w:p>
              </w:tc>
              <w:tc>
                <w:tcPr>
                  <w:tcW w:w="644" w:type="pct"/>
                  <w:shd w:val="clear" w:color="auto" w:fill="auto"/>
                  <w:vAlign w:val="center"/>
                </w:tcPr>
                <w:p w14:paraId="3DA7F8BE">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shd w:val="clear" w:color="auto" w:fill="auto"/>
                  <w:vAlign w:val="center"/>
                </w:tcPr>
                <w:p w14:paraId="49C85CD0">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0.3353</w:t>
                  </w:r>
                </w:p>
              </w:tc>
              <w:tc>
                <w:tcPr>
                  <w:tcW w:w="585" w:type="pct"/>
                  <w:tcBorders>
                    <w:left w:val="single" w:color="auto" w:sz="4" w:space="0"/>
                  </w:tcBorders>
                  <w:shd w:val="clear" w:color="auto" w:fill="auto"/>
                  <w:vAlign w:val="center"/>
                </w:tcPr>
                <w:p w14:paraId="5F0A3186">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p>
              </w:tc>
              <w:tc>
                <w:tcPr>
                  <w:tcW w:w="397" w:type="pct"/>
                  <w:shd w:val="clear" w:color="auto" w:fill="auto"/>
                  <w:vAlign w:val="center"/>
                </w:tcPr>
                <w:p w14:paraId="2952C326">
                  <w:pPr>
                    <w:pStyle w:val="28"/>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0.0609</w:t>
                  </w:r>
                </w:p>
              </w:tc>
              <w:tc>
                <w:tcPr>
                  <w:tcW w:w="552" w:type="pct"/>
                  <w:shd w:val="clear" w:color="auto" w:fill="auto"/>
                  <w:vAlign w:val="center"/>
                </w:tcPr>
                <w:p w14:paraId="643A6A2B">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0.0093</w:t>
                  </w:r>
                </w:p>
              </w:tc>
              <w:tc>
                <w:tcPr>
                  <w:tcW w:w="790" w:type="pct"/>
                  <w:shd w:val="clear" w:color="auto" w:fill="auto"/>
                  <w:vAlign w:val="center"/>
                </w:tcPr>
                <w:p w14:paraId="0FCB9415">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2C4A5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98" w:hRule="atLeast"/>
              </w:trPr>
              <w:tc>
                <w:tcPr>
                  <w:tcW w:w="1420" w:type="pct"/>
                  <w:tcBorders>
                    <w:top w:val="single" w:color="auto" w:sz="4" w:space="0"/>
                    <w:bottom w:val="single" w:color="auto" w:sz="4" w:space="0"/>
                  </w:tcBorders>
                  <w:vAlign w:val="center"/>
                </w:tcPr>
                <w:p w14:paraId="3CE39E9B">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地块2（吊装平台</w:t>
                  </w:r>
                  <w:r>
                    <w:rPr>
                      <w:rFonts w:hint="eastAsia"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w:t>
                  </w:r>
                </w:p>
              </w:tc>
              <w:tc>
                <w:tcPr>
                  <w:tcW w:w="644" w:type="pct"/>
                  <w:vAlign w:val="center"/>
                </w:tcPr>
                <w:p w14:paraId="194B0C55">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0.2588</w:t>
                  </w:r>
                </w:p>
              </w:tc>
              <w:tc>
                <w:tcPr>
                  <w:tcW w:w="604" w:type="pct"/>
                  <w:tcBorders>
                    <w:right w:val="single" w:color="auto" w:sz="4" w:space="0"/>
                  </w:tcBorders>
                  <w:vAlign w:val="center"/>
                </w:tcPr>
                <w:p w14:paraId="4083B3E6">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0.0137</w:t>
                  </w:r>
                </w:p>
              </w:tc>
              <w:tc>
                <w:tcPr>
                  <w:tcW w:w="585" w:type="pct"/>
                  <w:tcBorders>
                    <w:left w:val="single" w:color="auto" w:sz="4" w:space="0"/>
                  </w:tcBorders>
                  <w:vAlign w:val="center"/>
                </w:tcPr>
                <w:p w14:paraId="30E0DAA5">
                  <w:pPr>
                    <w:pStyle w:val="28"/>
                    <w:bidi w:val="0"/>
                    <w:jc w:val="center"/>
                    <w:rPr>
                      <w:rFonts w:hint="eastAsia" w:ascii="Times New Roman" w:hAnsi="Times New Roman" w:cs="Times New Roman"/>
                      <w:color w:val="auto"/>
                      <w:highlight w:val="none"/>
                      <w:lang w:val="en-US" w:eastAsia="zh-CN"/>
                    </w:rPr>
                  </w:pPr>
                </w:p>
              </w:tc>
              <w:tc>
                <w:tcPr>
                  <w:tcW w:w="397" w:type="pct"/>
                  <w:vAlign w:val="center"/>
                </w:tcPr>
                <w:p w14:paraId="33F00518">
                  <w:pPr>
                    <w:pStyle w:val="28"/>
                    <w:bidi w:val="0"/>
                    <w:jc w:val="center"/>
                    <w:rPr>
                      <w:rFonts w:ascii="Times New Roman" w:hAnsi="Times New Roman" w:cs="Times New Roman"/>
                      <w:color w:val="auto"/>
                      <w:highlight w:val="none"/>
                    </w:rPr>
                  </w:pPr>
                </w:p>
              </w:tc>
              <w:tc>
                <w:tcPr>
                  <w:tcW w:w="552" w:type="pct"/>
                  <w:vAlign w:val="center"/>
                </w:tcPr>
                <w:p w14:paraId="70A8CE08">
                  <w:pPr>
                    <w:pStyle w:val="28"/>
                    <w:bidi w:val="0"/>
                    <w:jc w:val="center"/>
                    <w:rPr>
                      <w:rFonts w:ascii="Times New Roman" w:hAnsi="Times New Roman" w:cs="Times New Roman"/>
                      <w:color w:val="auto"/>
                      <w:highlight w:val="none"/>
                    </w:rPr>
                  </w:pPr>
                </w:p>
              </w:tc>
              <w:tc>
                <w:tcPr>
                  <w:tcW w:w="790" w:type="pct"/>
                  <w:vAlign w:val="center"/>
                </w:tcPr>
                <w:p w14:paraId="27FFC295">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5A02F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16" w:hRule="atLeast"/>
              </w:trPr>
              <w:tc>
                <w:tcPr>
                  <w:tcW w:w="1420" w:type="pct"/>
                  <w:tcBorders>
                    <w:top w:val="single" w:color="auto" w:sz="4" w:space="0"/>
                    <w:bottom w:val="single" w:color="auto" w:sz="4" w:space="0"/>
                  </w:tcBorders>
                  <w:vAlign w:val="center"/>
                </w:tcPr>
                <w:p w14:paraId="61136598">
                  <w:pPr>
                    <w:pStyle w:val="28"/>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w:t>
                  </w:r>
                  <w:r>
                    <w:rPr>
                      <w:rFonts w:hint="eastAsia" w:ascii="Times New Roman" w:hAnsi="Times New Roman"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（吊装平台</w:t>
                  </w:r>
                  <w:r>
                    <w:rPr>
                      <w:rFonts w:hint="eastAsia" w:ascii="Times New Roman" w:hAnsi="Times New Roman"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w:t>
                  </w:r>
                </w:p>
              </w:tc>
              <w:tc>
                <w:tcPr>
                  <w:tcW w:w="644" w:type="pct"/>
                  <w:vAlign w:val="center"/>
                </w:tcPr>
                <w:p w14:paraId="65735B84">
                  <w:pPr>
                    <w:pStyle w:val="28"/>
                    <w:bidi w:val="0"/>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710C5426">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596D6F27">
                  <w:pPr>
                    <w:pStyle w:val="28"/>
                    <w:bidi w:val="0"/>
                    <w:ind w:firstLine="0" w:firstLineChars="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0.2995</w:t>
                  </w:r>
                </w:p>
              </w:tc>
              <w:tc>
                <w:tcPr>
                  <w:tcW w:w="397" w:type="pct"/>
                  <w:vAlign w:val="center"/>
                </w:tcPr>
                <w:p w14:paraId="3B1603C5">
                  <w:pPr>
                    <w:pStyle w:val="28"/>
                    <w:bidi w:val="0"/>
                    <w:ind w:firstLine="0" w:firstLineChars="0"/>
                    <w:jc w:val="center"/>
                    <w:rPr>
                      <w:rFonts w:ascii="Times New Roman" w:hAnsi="Times New Roman" w:cs="Times New Roman"/>
                      <w:color w:val="auto"/>
                      <w:highlight w:val="none"/>
                    </w:rPr>
                  </w:pPr>
                </w:p>
              </w:tc>
              <w:tc>
                <w:tcPr>
                  <w:tcW w:w="552" w:type="pct"/>
                  <w:vAlign w:val="center"/>
                </w:tcPr>
                <w:p w14:paraId="236A87DF">
                  <w:pPr>
                    <w:pStyle w:val="28"/>
                    <w:bidi w:val="0"/>
                    <w:ind w:firstLine="0" w:firstLineChars="0"/>
                    <w:jc w:val="center"/>
                    <w:rPr>
                      <w:rFonts w:hint="default" w:ascii="Times New Roman" w:hAnsi="Times New Roman" w:eastAsia="宋体" w:cs="Times New Roman"/>
                      <w:color w:val="auto"/>
                      <w:highlight w:val="none"/>
                      <w:lang w:val="en-US" w:eastAsia="zh-CN"/>
                    </w:rPr>
                  </w:pPr>
                </w:p>
              </w:tc>
              <w:tc>
                <w:tcPr>
                  <w:tcW w:w="790" w:type="pct"/>
                  <w:vAlign w:val="center"/>
                </w:tcPr>
                <w:p w14:paraId="2D48C55C">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1636C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16" w:hRule="atLeast"/>
              </w:trPr>
              <w:tc>
                <w:tcPr>
                  <w:tcW w:w="1420" w:type="pct"/>
                  <w:tcBorders>
                    <w:top w:val="single" w:color="auto" w:sz="4" w:space="0"/>
                    <w:bottom w:val="single" w:color="auto" w:sz="4" w:space="0"/>
                  </w:tcBorders>
                  <w:vAlign w:val="center"/>
                </w:tcPr>
                <w:p w14:paraId="70F98DAB">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集电线路</w:t>
                  </w:r>
                </w:p>
              </w:tc>
              <w:tc>
                <w:tcPr>
                  <w:tcW w:w="644" w:type="pct"/>
                  <w:vAlign w:val="center"/>
                </w:tcPr>
                <w:p w14:paraId="2F15A152">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3BB58C9C">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4F9241F7">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397" w:type="pct"/>
                  <w:vAlign w:val="center"/>
                </w:tcPr>
                <w:p w14:paraId="1AB6EDEC">
                  <w:pPr>
                    <w:pStyle w:val="28"/>
                    <w:bidi w:val="0"/>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4E4DE77B">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0.316（交通运输用地）</w:t>
                  </w:r>
                </w:p>
              </w:tc>
              <w:tc>
                <w:tcPr>
                  <w:tcW w:w="790" w:type="pct"/>
                  <w:vAlign w:val="center"/>
                </w:tcPr>
                <w:p w14:paraId="2B8FA97C">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7269F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09" w:hRule="atLeast"/>
              </w:trPr>
              <w:tc>
                <w:tcPr>
                  <w:tcW w:w="1420" w:type="pct"/>
                  <w:tcBorders>
                    <w:top w:val="single" w:color="auto" w:sz="4" w:space="0"/>
                    <w:bottom w:val="single" w:color="auto" w:sz="4" w:space="0"/>
                  </w:tcBorders>
                  <w:vAlign w:val="center"/>
                </w:tcPr>
                <w:p w14:paraId="76B9E6D2">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小计</w:t>
                  </w:r>
                </w:p>
              </w:tc>
              <w:tc>
                <w:tcPr>
                  <w:tcW w:w="644" w:type="pct"/>
                  <w:vAlign w:val="center"/>
                </w:tcPr>
                <w:p w14:paraId="758AB995">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0.2588</w:t>
                  </w:r>
                </w:p>
              </w:tc>
              <w:tc>
                <w:tcPr>
                  <w:tcW w:w="1189" w:type="pct"/>
                  <w:gridSpan w:val="2"/>
                  <w:vAlign w:val="center"/>
                </w:tcPr>
                <w:p w14:paraId="4C94E19C">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0.6485</w:t>
                  </w:r>
                </w:p>
              </w:tc>
              <w:tc>
                <w:tcPr>
                  <w:tcW w:w="397" w:type="pct"/>
                  <w:vAlign w:val="center"/>
                </w:tcPr>
                <w:p w14:paraId="333F308C">
                  <w:pPr>
                    <w:pStyle w:val="28"/>
                    <w:bidi w:val="0"/>
                    <w:jc w:val="center"/>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0.0609</w:t>
                  </w:r>
                </w:p>
              </w:tc>
              <w:tc>
                <w:tcPr>
                  <w:tcW w:w="552" w:type="pct"/>
                  <w:vAlign w:val="center"/>
                </w:tcPr>
                <w:p w14:paraId="1B683805">
                  <w:pPr>
                    <w:pStyle w:val="28"/>
                    <w:bidi w:val="0"/>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0.3253</w:t>
                  </w:r>
                </w:p>
              </w:tc>
              <w:tc>
                <w:tcPr>
                  <w:tcW w:w="790" w:type="pct"/>
                  <w:vAlign w:val="center"/>
                </w:tcPr>
                <w:p w14:paraId="23DB7318">
                  <w:pPr>
                    <w:pStyle w:val="28"/>
                    <w:bidi w:val="0"/>
                    <w:jc w:val="center"/>
                    <w:rPr>
                      <w:rFonts w:ascii="Times New Roman" w:hAnsi="Times New Roman" w:cs="Times New Roman"/>
                      <w:color w:val="auto"/>
                      <w:highlight w:val="none"/>
                    </w:rPr>
                  </w:pPr>
                  <w:r>
                    <w:rPr>
                      <w:rFonts w:ascii="Times New Roman" w:hAnsi="Times New Roman" w:eastAsia="宋体" w:cs="Times New Roman"/>
                      <w:color w:val="auto"/>
                      <w:kern w:val="0"/>
                      <w:sz w:val="21"/>
                      <w:szCs w:val="21"/>
                      <w:highlight w:val="none"/>
                      <w:lang w:val="en-US" w:eastAsia="zh-CN" w:bidi="ar-SA"/>
                    </w:rPr>
                    <w:t>临时占地</w:t>
                  </w:r>
                  <w:r>
                    <w:rPr>
                      <w:rFonts w:hint="eastAsia" w:ascii="Times New Roman" w:hAnsi="Times New Roman" w:cs="Times New Roman"/>
                      <w:color w:val="auto"/>
                      <w:highlight w:val="none"/>
                      <w:lang w:eastAsia="zh-CN"/>
                    </w:rPr>
                    <w:t>合计</w:t>
                  </w:r>
                  <w:r>
                    <w:rPr>
                      <w:rFonts w:hint="eastAsia" w:ascii="Times New Roman" w:hAnsi="Times New Roman" w:cs="Times New Roman"/>
                      <w:color w:val="auto"/>
                      <w:highlight w:val="none"/>
                      <w:lang w:val="en-US" w:eastAsia="zh-CN"/>
                    </w:rPr>
                    <w:t>1.2935</w:t>
                  </w: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r>
          </w:tbl>
          <w:p w14:paraId="7D717B71">
            <w:pPr>
              <w:keepNext w:val="0"/>
              <w:keepLines w:val="0"/>
              <w:pageBreakBefore w:val="0"/>
              <w:widowControl w:val="0"/>
              <w:numPr>
                <w:ilvl w:val="0"/>
                <w:numId w:val="0"/>
              </w:numPr>
              <w:kinsoku/>
              <w:wordWrap/>
              <w:overflowPunct/>
              <w:topLinePunct w:val="0"/>
              <w:autoSpaceDE/>
              <w:autoSpaceDN/>
              <w:bidi w:val="0"/>
              <w:adjustRightInd w:val="0"/>
              <w:snapToGrid w:val="0"/>
              <w:ind w:firstLine="240" w:firstLineChars="1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大气环境</w:t>
            </w:r>
            <w:r>
              <w:rPr>
                <w:rFonts w:hint="default" w:ascii="Times New Roman" w:hAnsi="Times New Roman" w:cs="Times New Roman"/>
                <w:color w:val="auto"/>
                <w:kern w:val="2"/>
                <w:sz w:val="24"/>
                <w:szCs w:val="24"/>
                <w:highlight w:val="none"/>
                <w:lang w:val="en-US" w:eastAsia="zh-CN" w:bidi="ar-SA"/>
              </w:rPr>
              <w:t>质量</w:t>
            </w:r>
            <w:r>
              <w:rPr>
                <w:rFonts w:hint="default" w:ascii="Times New Roman" w:hAnsi="Times New Roman" w:eastAsia="宋体" w:cs="Times New Roman"/>
                <w:color w:val="auto"/>
                <w:kern w:val="2"/>
                <w:sz w:val="24"/>
                <w:szCs w:val="24"/>
                <w:highlight w:val="none"/>
                <w:lang w:val="en-US" w:eastAsia="zh-CN" w:bidi="ar-SA"/>
              </w:rPr>
              <w:t>现状</w:t>
            </w:r>
          </w:p>
          <w:p w14:paraId="48B9730A">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本项目位于曲靖市宣威市海德村，经现场踏勘，本项目厂界外500m范围内不涉及敏感区。</w:t>
            </w:r>
            <w:r>
              <w:rPr>
                <w:rFonts w:hint="default" w:ascii="Times New Roman" w:hAnsi="Times New Roman" w:cs="Times New Roman"/>
                <w:color w:val="auto"/>
                <w:highlight w:val="none"/>
              </w:rPr>
              <w:t>项目位于农村地区，评价区地势开阔，大气扩散条件较好，评价区没有大的大气污染源，环境空气质量较好，属于大气环境质量二类功能区，执行《环境空气质量标准》（GB3095-20</w:t>
            </w:r>
            <w:r>
              <w:rPr>
                <w:rFonts w:hint="eastAsia" w:cs="Times New Roman"/>
                <w:color w:val="auto"/>
                <w:highlight w:val="none"/>
                <w:lang w:val="en-US" w:eastAsia="zh-CN"/>
              </w:rPr>
              <w:t>26</w:t>
            </w:r>
            <w:r>
              <w:rPr>
                <w:rFonts w:hint="default" w:ascii="Times New Roman" w:hAnsi="Times New Roman" w:cs="Times New Roman"/>
                <w:color w:val="auto"/>
                <w:highlight w:val="none"/>
              </w:rPr>
              <w:t>）二级标准。</w:t>
            </w:r>
          </w:p>
          <w:p w14:paraId="3E89EB14">
            <w:pPr>
              <w:widowControl/>
              <w:spacing w:line="360" w:lineRule="auto"/>
              <w:ind w:firstLine="480" w:firstLineChars="200"/>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highlight w:val="none"/>
              </w:rPr>
              <w:t>项目所在区常规污染物大气环境质量现状</w:t>
            </w:r>
            <w:r>
              <w:rPr>
                <w:rFonts w:hint="default" w:ascii="Times New Roman" w:hAnsi="Times New Roman" w:eastAsia="宋体" w:cs="Times New Roman"/>
                <w:color w:val="auto"/>
                <w:sz w:val="24"/>
                <w:highlight w:val="none"/>
              </w:rPr>
              <w:t>引用</w:t>
            </w:r>
            <w:r>
              <w:rPr>
                <w:rFonts w:hint="default" w:ascii="Times New Roman" w:hAnsi="Times New Roman" w:cs="Times New Roman"/>
                <w:color w:val="auto"/>
                <w:sz w:val="24"/>
                <w:szCs w:val="24"/>
                <w:highlight w:val="none"/>
              </w:rPr>
              <w:t>《曲靖市环境质量年报（202</w:t>
            </w:r>
            <w:r>
              <w:rPr>
                <w:rFonts w:hint="default"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年）》数据和结论：</w:t>
            </w:r>
            <w:r>
              <w:rPr>
                <w:rFonts w:hint="default" w:ascii="Times New Roman" w:hAnsi="Times New Roman" w:cs="Times New Roman"/>
                <w:color w:val="auto"/>
                <w:sz w:val="24"/>
                <w:szCs w:val="24"/>
                <w:highlight w:val="none"/>
                <w:lang w:val="en-US" w:eastAsia="zh-CN"/>
              </w:rPr>
              <w:t>曲靖市</w:t>
            </w:r>
            <w:r>
              <w:rPr>
                <w:rFonts w:hint="default" w:ascii="Times New Roman" w:hAnsi="Times New Roman" w:cs="Times New Roman"/>
                <w:color w:val="auto"/>
                <w:sz w:val="24"/>
                <w:szCs w:val="24"/>
                <w:highlight w:val="none"/>
              </w:rPr>
              <w:t>中心城区环境空气质量综合指数为2.40，有效天数365天，优224天，良140天，轻度污染1天，环境空气质量优良率99.7%，首要污染物(含超标污染物天气)为O</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109天、PM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rPr>
              <w:t>13天、PM</w:t>
            </w:r>
            <w:r>
              <w:rPr>
                <w:rFonts w:hint="default" w:ascii="Times New Roman" w:hAnsi="Times New Roman" w:cs="Times New Roman"/>
                <w:color w:val="auto"/>
                <w:sz w:val="24"/>
                <w:szCs w:val="24"/>
                <w:highlight w:val="none"/>
                <w:vertAlign w:val="subscript"/>
                <w:lang w:val="en-US" w:eastAsia="zh-CN"/>
              </w:rPr>
              <w:t>10</w:t>
            </w:r>
            <w:r>
              <w:rPr>
                <w:rFonts w:hint="default" w:ascii="Times New Roman" w:hAnsi="Times New Roman" w:cs="Times New Roman"/>
                <w:color w:val="auto"/>
                <w:sz w:val="24"/>
                <w:szCs w:val="24"/>
                <w:highlight w:val="none"/>
              </w:rPr>
              <w:t>16天，PM</w:t>
            </w:r>
            <w:r>
              <w:rPr>
                <w:rFonts w:hint="default" w:ascii="Times New Roman" w:hAnsi="Times New Roman" w:cs="Times New Roman"/>
                <w:color w:val="auto"/>
                <w:sz w:val="24"/>
                <w:szCs w:val="24"/>
                <w:highlight w:val="none"/>
                <w:vertAlign w:val="subscript"/>
                <w:lang w:val="en-US" w:eastAsia="zh-CN"/>
              </w:rPr>
              <w:t>10</w:t>
            </w:r>
            <w:r>
              <w:rPr>
                <w:rFonts w:hint="default" w:ascii="Times New Roman" w:hAnsi="Times New Roman" w:cs="Times New Roman"/>
                <w:color w:val="auto"/>
                <w:sz w:val="24"/>
                <w:szCs w:val="24"/>
                <w:highlight w:val="none"/>
              </w:rPr>
              <w:t>、PM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rPr>
              <w:t>3天。上年同期有效监测天数366天，优212天，良146天，轻度污染8天，优良率97.8%，综合指数2.50，首要污染物天数为</w:t>
            </w:r>
            <w:r>
              <w:rPr>
                <w:rFonts w:hint="default" w:ascii="Times New Roman" w:hAnsi="Times New Roman" w:cs="Times New Roman"/>
                <w:color w:val="auto"/>
                <w:sz w:val="24"/>
                <w:szCs w:val="24"/>
                <w:highlight w:val="none"/>
                <w:lang w:val="en-US" w:eastAsia="zh-CN"/>
              </w:rPr>
              <w:t>O</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-8h144天，PM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rPr>
              <w:t>5天，PM</w:t>
            </w:r>
            <w:r>
              <w:rPr>
                <w:rFonts w:hint="default" w:ascii="Times New Roman" w:hAnsi="Times New Roman" w:cs="Times New Roman"/>
                <w:color w:val="auto"/>
                <w:sz w:val="24"/>
                <w:szCs w:val="24"/>
                <w:highlight w:val="none"/>
                <w:vertAlign w:val="subscript"/>
                <w:lang w:val="en-US" w:eastAsia="zh-CN"/>
              </w:rPr>
              <w:t>10</w:t>
            </w:r>
            <w:r>
              <w:rPr>
                <w:rFonts w:hint="default" w:ascii="Times New Roman" w:hAnsi="Times New Roman" w:cs="Times New Roman"/>
                <w:color w:val="auto"/>
                <w:sz w:val="24"/>
                <w:szCs w:val="24"/>
                <w:highlight w:val="none"/>
              </w:rPr>
              <w:t>6天。与上年同期相比，环境空气质量综合指数下降4个百分点，优良率上升1.9%，六项污染物均持平或下降，其中PM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rPr>
              <w:t>和</w:t>
            </w:r>
            <w:r>
              <w:rPr>
                <w:rFonts w:hint="default" w:ascii="Times New Roman" w:hAnsi="Times New Roman" w:cs="Times New Roman"/>
                <w:color w:val="auto"/>
                <w:sz w:val="24"/>
                <w:szCs w:val="24"/>
                <w:highlight w:val="none"/>
                <w:lang w:val="en-US" w:eastAsia="zh-CN"/>
              </w:rPr>
              <w:t>O</w:t>
            </w:r>
            <w:r>
              <w:rPr>
                <w:rFonts w:hint="default" w:ascii="Times New Roman" w:hAnsi="Times New Roman" w:cs="Times New Roman"/>
                <w:color w:val="auto"/>
                <w:sz w:val="24"/>
                <w:szCs w:val="24"/>
                <w:highlight w:val="none"/>
                <w:vertAlign w:val="subscript"/>
              </w:rPr>
              <w:t>3</w:t>
            </w:r>
            <w:r>
              <w:rPr>
                <w:rFonts w:hint="default" w:ascii="Times New Roman" w:hAnsi="Times New Roman" w:cs="Times New Roman"/>
                <w:color w:val="auto"/>
                <w:sz w:val="24"/>
                <w:szCs w:val="24"/>
                <w:highlight w:val="none"/>
              </w:rPr>
              <w:t>均下降。空气质量总体改善。</w:t>
            </w:r>
          </w:p>
          <w:p w14:paraId="77521959">
            <w:pPr>
              <w:widowControl/>
              <w:spacing w:line="360" w:lineRule="auto"/>
              <w:ind w:firstLine="480" w:firstLineChars="200"/>
              <w:rPr>
                <w:color w:val="auto"/>
                <w:sz w:val="24"/>
                <w:szCs w:val="24"/>
                <w:highlight w:val="none"/>
              </w:rPr>
            </w:pPr>
            <w:r>
              <w:rPr>
                <w:color w:val="auto"/>
                <w:sz w:val="24"/>
                <w:szCs w:val="24"/>
                <w:highlight w:val="none"/>
              </w:rPr>
              <w:t>202</w:t>
            </w:r>
            <w:r>
              <w:rPr>
                <w:rFonts w:hint="eastAsia"/>
                <w:color w:val="auto"/>
                <w:sz w:val="24"/>
                <w:szCs w:val="24"/>
                <w:highlight w:val="none"/>
                <w:lang w:val="en-US" w:eastAsia="zh-CN"/>
              </w:rPr>
              <w:t>5</w:t>
            </w:r>
            <w:r>
              <w:rPr>
                <w:color w:val="auto"/>
                <w:sz w:val="24"/>
                <w:szCs w:val="24"/>
                <w:highlight w:val="none"/>
              </w:rPr>
              <w:t>年宣威市环境空气中SO</w:t>
            </w:r>
            <w:r>
              <w:rPr>
                <w:color w:val="auto"/>
                <w:sz w:val="24"/>
                <w:szCs w:val="24"/>
                <w:highlight w:val="none"/>
                <w:vertAlign w:val="subscript"/>
              </w:rPr>
              <w:t>2</w:t>
            </w:r>
            <w:r>
              <w:rPr>
                <w:color w:val="auto"/>
                <w:sz w:val="24"/>
                <w:szCs w:val="24"/>
                <w:highlight w:val="none"/>
              </w:rPr>
              <w:t>、NO</w:t>
            </w:r>
            <w:r>
              <w:rPr>
                <w:color w:val="auto"/>
                <w:sz w:val="24"/>
                <w:szCs w:val="24"/>
                <w:highlight w:val="none"/>
                <w:vertAlign w:val="subscript"/>
              </w:rPr>
              <w:t>2</w:t>
            </w:r>
            <w:r>
              <w:rPr>
                <w:color w:val="auto"/>
                <w:sz w:val="24"/>
                <w:szCs w:val="24"/>
                <w:highlight w:val="none"/>
              </w:rPr>
              <w:t>、PM</w:t>
            </w:r>
            <w:r>
              <w:rPr>
                <w:color w:val="auto"/>
                <w:sz w:val="24"/>
                <w:szCs w:val="24"/>
                <w:highlight w:val="none"/>
                <w:vertAlign w:val="subscript"/>
              </w:rPr>
              <w:t>10</w:t>
            </w:r>
            <w:r>
              <w:rPr>
                <w:color w:val="auto"/>
                <w:sz w:val="24"/>
                <w:szCs w:val="24"/>
                <w:highlight w:val="none"/>
              </w:rPr>
              <w:t>、PM</w:t>
            </w:r>
            <w:r>
              <w:rPr>
                <w:color w:val="auto"/>
                <w:sz w:val="24"/>
                <w:szCs w:val="24"/>
                <w:highlight w:val="none"/>
                <w:vertAlign w:val="subscript"/>
              </w:rPr>
              <w:t>2.5</w:t>
            </w:r>
            <w:r>
              <w:rPr>
                <w:color w:val="auto"/>
                <w:sz w:val="24"/>
                <w:szCs w:val="24"/>
                <w:highlight w:val="none"/>
              </w:rPr>
              <w:t>年均浓度，SO</w:t>
            </w:r>
            <w:r>
              <w:rPr>
                <w:color w:val="auto"/>
                <w:sz w:val="24"/>
                <w:szCs w:val="24"/>
                <w:highlight w:val="none"/>
                <w:vertAlign w:val="subscript"/>
              </w:rPr>
              <w:t>2</w:t>
            </w:r>
            <w:r>
              <w:rPr>
                <w:color w:val="auto"/>
                <w:sz w:val="24"/>
                <w:szCs w:val="24"/>
                <w:highlight w:val="none"/>
              </w:rPr>
              <w:t>、NO</w:t>
            </w:r>
            <w:r>
              <w:rPr>
                <w:color w:val="auto"/>
                <w:sz w:val="24"/>
                <w:szCs w:val="24"/>
                <w:highlight w:val="none"/>
                <w:vertAlign w:val="subscript"/>
              </w:rPr>
              <w:t>2</w:t>
            </w:r>
            <w:r>
              <w:rPr>
                <w:color w:val="auto"/>
                <w:sz w:val="24"/>
                <w:szCs w:val="24"/>
                <w:highlight w:val="none"/>
              </w:rPr>
              <w:t>24小时平均第98百分位数浓度，PM</w:t>
            </w:r>
            <w:r>
              <w:rPr>
                <w:color w:val="auto"/>
                <w:sz w:val="24"/>
                <w:szCs w:val="24"/>
                <w:highlight w:val="none"/>
                <w:vertAlign w:val="subscript"/>
              </w:rPr>
              <w:t>10</w:t>
            </w:r>
            <w:r>
              <w:rPr>
                <w:color w:val="auto"/>
                <w:sz w:val="24"/>
                <w:szCs w:val="24"/>
                <w:highlight w:val="none"/>
              </w:rPr>
              <w:t>、PM</w:t>
            </w:r>
            <w:r>
              <w:rPr>
                <w:color w:val="auto"/>
                <w:sz w:val="24"/>
                <w:szCs w:val="24"/>
                <w:highlight w:val="none"/>
                <w:vertAlign w:val="subscript"/>
              </w:rPr>
              <w:t>2.5</w:t>
            </w:r>
            <w:r>
              <w:rPr>
                <w:color w:val="auto"/>
                <w:sz w:val="24"/>
                <w:szCs w:val="24"/>
                <w:highlight w:val="none"/>
              </w:rPr>
              <w:t>、CO</w:t>
            </w:r>
            <w:r>
              <w:rPr>
                <w:color w:val="auto"/>
                <w:sz w:val="24"/>
                <w:szCs w:val="24"/>
                <w:highlight w:val="none"/>
                <w:vertAlign w:val="subscript"/>
              </w:rPr>
              <w:t>24</w:t>
            </w:r>
            <w:r>
              <w:rPr>
                <w:color w:val="auto"/>
                <w:sz w:val="24"/>
                <w:szCs w:val="24"/>
                <w:highlight w:val="none"/>
              </w:rPr>
              <w:t>小时平均第95百分位数浓度，O</w:t>
            </w:r>
            <w:r>
              <w:rPr>
                <w:color w:val="auto"/>
                <w:sz w:val="24"/>
                <w:szCs w:val="24"/>
                <w:highlight w:val="none"/>
                <w:vertAlign w:val="subscript"/>
              </w:rPr>
              <w:t>3</w:t>
            </w:r>
            <w:r>
              <w:rPr>
                <w:color w:val="auto"/>
                <w:sz w:val="24"/>
                <w:szCs w:val="24"/>
                <w:highlight w:val="none"/>
              </w:rPr>
              <w:t>日最大8小时平均第90百分位数浓度均达到《环境空气质量标准》（</w:t>
            </w:r>
            <w:r>
              <w:rPr>
                <w:rFonts w:hint="default" w:ascii="Times New Roman" w:hAnsi="Times New Roman" w:cs="Times New Roman"/>
                <w:color w:val="auto"/>
                <w:highlight w:val="none"/>
              </w:rPr>
              <w:t>GB3095-2012</w:t>
            </w:r>
            <w:r>
              <w:rPr>
                <w:color w:val="auto"/>
                <w:sz w:val="24"/>
                <w:szCs w:val="24"/>
                <w:highlight w:val="none"/>
              </w:rPr>
              <w:t>）二级标准；宣威市各污染物浓度见下表。</w:t>
            </w:r>
          </w:p>
          <w:p w14:paraId="0322B5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color w:val="auto"/>
                <w:sz w:val="21"/>
                <w:szCs w:val="21"/>
                <w:highlight w:val="none"/>
              </w:rPr>
            </w:pPr>
            <w:r>
              <w:rPr>
                <w:b/>
                <w:bCs/>
                <w:color w:val="auto"/>
                <w:sz w:val="21"/>
                <w:szCs w:val="21"/>
                <w:highlight w:val="none"/>
              </w:rPr>
              <w:t>表3-</w:t>
            </w:r>
            <w:r>
              <w:rPr>
                <w:rFonts w:hint="eastAsia"/>
                <w:b/>
                <w:bCs/>
                <w:color w:val="auto"/>
                <w:sz w:val="21"/>
                <w:szCs w:val="21"/>
                <w:highlight w:val="none"/>
                <w:lang w:val="en-US" w:eastAsia="zh-CN"/>
              </w:rPr>
              <w:t>16</w:t>
            </w:r>
            <w:r>
              <w:rPr>
                <w:b/>
                <w:bCs/>
                <w:color w:val="auto"/>
                <w:sz w:val="21"/>
                <w:szCs w:val="21"/>
                <w:highlight w:val="none"/>
              </w:rPr>
              <w:t>宣威市202</w:t>
            </w:r>
            <w:r>
              <w:rPr>
                <w:rFonts w:hint="eastAsia"/>
                <w:b/>
                <w:bCs/>
                <w:color w:val="auto"/>
                <w:sz w:val="21"/>
                <w:szCs w:val="21"/>
                <w:highlight w:val="none"/>
                <w:lang w:val="en-US" w:eastAsia="zh-CN"/>
              </w:rPr>
              <w:t>5</w:t>
            </w:r>
            <w:r>
              <w:rPr>
                <w:b/>
                <w:bCs/>
                <w:color w:val="auto"/>
                <w:sz w:val="21"/>
                <w:szCs w:val="21"/>
                <w:highlight w:val="none"/>
              </w:rPr>
              <w:t>年空气污染物浓度</w:t>
            </w:r>
          </w:p>
          <w:tbl>
            <w:tblPr>
              <w:tblStyle w:val="20"/>
              <w:tblW w:w="4998"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063"/>
              <w:gridCol w:w="1031"/>
              <w:gridCol w:w="963"/>
              <w:gridCol w:w="928"/>
              <w:gridCol w:w="885"/>
              <w:gridCol w:w="920"/>
              <w:gridCol w:w="958"/>
              <w:gridCol w:w="1139"/>
            </w:tblGrid>
            <w:tr w14:paraId="14CD567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63" w:type="pct"/>
                  <w:vMerge w:val="restart"/>
                  <w:vAlign w:val="center"/>
                </w:tcPr>
                <w:p w14:paraId="711EDB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rPr>
                  </w:pPr>
                  <w:r>
                    <w:rPr>
                      <w:bCs/>
                      <w:color w:val="auto"/>
                      <w:szCs w:val="21"/>
                      <w:highlight w:val="none"/>
                      <w:lang w:bidi="ar"/>
                    </w:rPr>
                    <w:t>城市</w:t>
                  </w:r>
                </w:p>
              </w:tc>
              <w:tc>
                <w:tcPr>
                  <w:tcW w:w="3331" w:type="pct"/>
                  <w:gridSpan w:val="6"/>
                  <w:vAlign w:val="center"/>
                </w:tcPr>
                <w:p w14:paraId="663F5A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rPr>
                  </w:pPr>
                  <w:r>
                    <w:rPr>
                      <w:bCs/>
                      <w:color w:val="auto"/>
                      <w:szCs w:val="21"/>
                      <w:highlight w:val="none"/>
                      <w:lang w:bidi="ar"/>
                    </w:rPr>
                    <w:t>污染物浓度（μg/m</w:t>
                  </w:r>
                  <w:r>
                    <w:rPr>
                      <w:bCs/>
                      <w:color w:val="auto"/>
                      <w:szCs w:val="21"/>
                      <w:highlight w:val="none"/>
                      <w:vertAlign w:val="superscript"/>
                      <w:lang w:bidi="ar"/>
                    </w:rPr>
                    <w:t>3</w:t>
                  </w:r>
                  <w:r>
                    <w:rPr>
                      <w:bCs/>
                      <w:color w:val="auto"/>
                      <w:szCs w:val="21"/>
                      <w:highlight w:val="none"/>
                      <w:lang w:bidi="ar"/>
                    </w:rPr>
                    <w:t>，CO的单位为mg/m</w:t>
                  </w:r>
                  <w:r>
                    <w:rPr>
                      <w:bCs/>
                      <w:color w:val="auto"/>
                      <w:szCs w:val="21"/>
                      <w:highlight w:val="none"/>
                      <w:vertAlign w:val="superscript"/>
                      <w:lang w:bidi="ar"/>
                    </w:rPr>
                    <w:t>3</w:t>
                  </w:r>
                  <w:r>
                    <w:rPr>
                      <w:bCs/>
                      <w:color w:val="auto"/>
                      <w:szCs w:val="21"/>
                      <w:highlight w:val="none"/>
                      <w:lang w:bidi="ar"/>
                    </w:rPr>
                    <w:t>）</w:t>
                  </w:r>
                </w:p>
              </w:tc>
              <w:tc>
                <w:tcPr>
                  <w:tcW w:w="551" w:type="pct"/>
                  <w:vMerge w:val="restart"/>
                  <w:vAlign w:val="center"/>
                </w:tcPr>
                <w:p w14:paraId="05D9EC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rPr>
                  </w:pPr>
                  <w:r>
                    <w:rPr>
                      <w:bCs/>
                      <w:color w:val="auto"/>
                      <w:szCs w:val="21"/>
                      <w:highlight w:val="none"/>
                      <w:lang w:bidi="ar"/>
                    </w:rPr>
                    <w:t>环境空气质量综合指数</w:t>
                  </w:r>
                </w:p>
              </w:tc>
              <w:tc>
                <w:tcPr>
                  <w:tcW w:w="654" w:type="pct"/>
                  <w:vMerge w:val="restart"/>
                  <w:vAlign w:val="center"/>
                </w:tcPr>
                <w:p w14:paraId="67FD80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lang w:bidi="ar"/>
                    </w:rPr>
                  </w:pPr>
                  <w:r>
                    <w:rPr>
                      <w:bCs/>
                      <w:color w:val="auto"/>
                      <w:szCs w:val="21"/>
                      <w:highlight w:val="none"/>
                      <w:lang w:bidi="ar"/>
                    </w:rPr>
                    <w:t>空气质量优良率</w:t>
                  </w:r>
                </w:p>
              </w:tc>
            </w:tr>
            <w:tr w14:paraId="0B3069D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463" w:type="pct"/>
                  <w:vMerge w:val="continue"/>
                  <w:vAlign w:val="center"/>
                </w:tcPr>
                <w:p w14:paraId="3A468B0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rPr>
                  </w:pPr>
                </w:p>
              </w:tc>
              <w:tc>
                <w:tcPr>
                  <w:tcW w:w="612" w:type="pct"/>
                  <w:vAlign w:val="center"/>
                </w:tcPr>
                <w:p w14:paraId="22E114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lang w:bidi="ar"/>
                    </w:rPr>
                  </w:pPr>
                  <w:r>
                    <w:rPr>
                      <w:color w:val="auto"/>
                      <w:szCs w:val="21"/>
                      <w:highlight w:val="none"/>
                      <w:lang w:bidi="ar"/>
                    </w:rPr>
                    <w:t>PM</w:t>
                  </w:r>
                  <w:r>
                    <w:rPr>
                      <w:color w:val="auto"/>
                      <w:szCs w:val="21"/>
                      <w:highlight w:val="none"/>
                      <w:vertAlign w:val="subscript"/>
                      <w:lang w:bidi="ar"/>
                    </w:rPr>
                    <w:t>2.5</w:t>
                  </w:r>
                </w:p>
              </w:tc>
              <w:tc>
                <w:tcPr>
                  <w:tcW w:w="593" w:type="pct"/>
                  <w:vAlign w:val="center"/>
                </w:tcPr>
                <w:p w14:paraId="7AFE5C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lang w:bidi="ar"/>
                    </w:rPr>
                  </w:pPr>
                  <w:r>
                    <w:rPr>
                      <w:color w:val="auto"/>
                      <w:szCs w:val="21"/>
                      <w:highlight w:val="none"/>
                      <w:lang w:bidi="ar"/>
                    </w:rPr>
                    <w:t>PM</w:t>
                  </w:r>
                  <w:r>
                    <w:rPr>
                      <w:color w:val="auto"/>
                      <w:szCs w:val="21"/>
                      <w:highlight w:val="none"/>
                      <w:vertAlign w:val="subscript"/>
                      <w:lang w:bidi="ar"/>
                    </w:rPr>
                    <w:t>10</w:t>
                  </w:r>
                </w:p>
              </w:tc>
              <w:tc>
                <w:tcPr>
                  <w:tcW w:w="554" w:type="pct"/>
                  <w:vAlign w:val="center"/>
                </w:tcPr>
                <w:p w14:paraId="7735B9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lang w:bidi="ar"/>
                    </w:rPr>
                  </w:pPr>
                  <w:r>
                    <w:rPr>
                      <w:color w:val="auto"/>
                      <w:szCs w:val="21"/>
                      <w:highlight w:val="none"/>
                      <w:lang w:bidi="ar"/>
                    </w:rPr>
                    <w:t>NO</w:t>
                  </w:r>
                  <w:r>
                    <w:rPr>
                      <w:color w:val="auto"/>
                      <w:szCs w:val="21"/>
                      <w:highlight w:val="none"/>
                      <w:vertAlign w:val="subscript"/>
                      <w:lang w:bidi="ar"/>
                    </w:rPr>
                    <w:t>2</w:t>
                  </w:r>
                </w:p>
              </w:tc>
              <w:tc>
                <w:tcPr>
                  <w:tcW w:w="534" w:type="pct"/>
                  <w:vAlign w:val="center"/>
                </w:tcPr>
                <w:p w14:paraId="1A519A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lang w:bidi="ar"/>
                    </w:rPr>
                  </w:pPr>
                  <w:r>
                    <w:rPr>
                      <w:color w:val="auto"/>
                      <w:szCs w:val="21"/>
                      <w:highlight w:val="none"/>
                      <w:lang w:bidi="ar"/>
                    </w:rPr>
                    <w:t>SO</w:t>
                  </w:r>
                  <w:r>
                    <w:rPr>
                      <w:color w:val="auto"/>
                      <w:szCs w:val="21"/>
                      <w:highlight w:val="none"/>
                      <w:vertAlign w:val="subscript"/>
                      <w:lang w:bidi="ar"/>
                    </w:rPr>
                    <w:t>2</w:t>
                  </w:r>
                </w:p>
              </w:tc>
              <w:tc>
                <w:tcPr>
                  <w:tcW w:w="509" w:type="pct"/>
                  <w:vAlign w:val="center"/>
                </w:tcPr>
                <w:p w14:paraId="73A730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lang w:bidi="ar"/>
                    </w:rPr>
                  </w:pPr>
                  <w:r>
                    <w:rPr>
                      <w:color w:val="auto"/>
                      <w:szCs w:val="21"/>
                      <w:highlight w:val="none"/>
                      <w:lang w:bidi="ar"/>
                    </w:rPr>
                    <w:t>CO</w:t>
                  </w:r>
                </w:p>
              </w:tc>
              <w:tc>
                <w:tcPr>
                  <w:tcW w:w="526" w:type="pct"/>
                  <w:vAlign w:val="center"/>
                </w:tcPr>
                <w:p w14:paraId="0CED8B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lang w:bidi="ar"/>
                    </w:rPr>
                  </w:pPr>
                  <w:r>
                    <w:rPr>
                      <w:color w:val="auto"/>
                      <w:szCs w:val="21"/>
                      <w:highlight w:val="none"/>
                      <w:lang w:bidi="ar"/>
                    </w:rPr>
                    <w:t>O</w:t>
                  </w:r>
                  <w:r>
                    <w:rPr>
                      <w:color w:val="auto"/>
                      <w:szCs w:val="21"/>
                      <w:highlight w:val="none"/>
                      <w:vertAlign w:val="subscript"/>
                      <w:lang w:bidi="ar"/>
                    </w:rPr>
                    <w:t>3</w:t>
                  </w:r>
                </w:p>
              </w:tc>
              <w:tc>
                <w:tcPr>
                  <w:tcW w:w="551" w:type="pct"/>
                  <w:vMerge w:val="continue"/>
                  <w:vAlign w:val="center"/>
                </w:tcPr>
                <w:p w14:paraId="632F8E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rPr>
                  </w:pPr>
                </w:p>
              </w:tc>
              <w:tc>
                <w:tcPr>
                  <w:tcW w:w="654" w:type="pct"/>
                  <w:vMerge w:val="continue"/>
                  <w:vAlign w:val="center"/>
                </w:tcPr>
                <w:p w14:paraId="0C989E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Cs w:val="21"/>
                      <w:highlight w:val="none"/>
                    </w:rPr>
                  </w:pPr>
                </w:p>
              </w:tc>
            </w:tr>
            <w:tr w14:paraId="7F74B7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463" w:type="pct"/>
                  <w:vAlign w:val="center"/>
                </w:tcPr>
                <w:p w14:paraId="6DF3EB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rPr>
                  </w:pPr>
                  <w:r>
                    <w:rPr>
                      <w:color w:val="auto"/>
                      <w:szCs w:val="21"/>
                      <w:highlight w:val="none"/>
                      <w:lang w:bidi="ar"/>
                    </w:rPr>
                    <w:t>宣威市</w:t>
                  </w:r>
                </w:p>
              </w:tc>
              <w:tc>
                <w:tcPr>
                  <w:tcW w:w="1063" w:type="dxa"/>
                  <w:vAlign w:val="center"/>
                </w:tcPr>
                <w:p w14:paraId="380215A5">
                  <w:pPr>
                    <w:widowControl/>
                    <w:spacing w:line="240" w:lineRule="auto"/>
                    <w:ind w:firstLine="0" w:firstLineChars="0"/>
                    <w:jc w:val="center"/>
                    <w:rPr>
                      <w:bCs/>
                      <w:color w:val="auto"/>
                      <w:szCs w:val="21"/>
                      <w:highlight w:val="none"/>
                    </w:rPr>
                  </w:pPr>
                  <w:r>
                    <w:rPr>
                      <w:bCs/>
                      <w:color w:val="auto"/>
                      <w:szCs w:val="21"/>
                      <w:lang w:bidi="ar"/>
                    </w:rPr>
                    <w:t>22</w:t>
                  </w:r>
                </w:p>
              </w:tc>
              <w:tc>
                <w:tcPr>
                  <w:tcW w:w="1031" w:type="dxa"/>
                  <w:vAlign w:val="center"/>
                </w:tcPr>
                <w:p w14:paraId="7DFD2448">
                  <w:pPr>
                    <w:widowControl/>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36</w:t>
                  </w:r>
                </w:p>
              </w:tc>
              <w:tc>
                <w:tcPr>
                  <w:tcW w:w="963" w:type="dxa"/>
                  <w:vAlign w:val="center"/>
                </w:tcPr>
                <w:p w14:paraId="6DB07499">
                  <w:pPr>
                    <w:widowControl/>
                    <w:spacing w:line="240" w:lineRule="auto"/>
                    <w:ind w:firstLine="0" w:firstLineChars="0"/>
                    <w:jc w:val="center"/>
                    <w:rPr>
                      <w:bCs/>
                      <w:color w:val="auto"/>
                      <w:szCs w:val="21"/>
                      <w:highlight w:val="none"/>
                    </w:rPr>
                  </w:pPr>
                  <w:r>
                    <w:rPr>
                      <w:bCs/>
                      <w:color w:val="auto"/>
                      <w:szCs w:val="21"/>
                      <w:lang w:bidi="ar"/>
                    </w:rPr>
                    <w:t>9</w:t>
                  </w:r>
                </w:p>
              </w:tc>
              <w:tc>
                <w:tcPr>
                  <w:tcW w:w="928" w:type="dxa"/>
                  <w:vAlign w:val="center"/>
                </w:tcPr>
                <w:p w14:paraId="1C590D02">
                  <w:pPr>
                    <w:widowControl/>
                    <w:spacing w:line="240" w:lineRule="auto"/>
                    <w:ind w:firstLine="0" w:firstLineChars="0"/>
                    <w:jc w:val="center"/>
                    <w:rPr>
                      <w:bCs/>
                      <w:color w:val="auto"/>
                      <w:szCs w:val="21"/>
                      <w:highlight w:val="none"/>
                      <w:lang w:bidi="ar"/>
                    </w:rPr>
                  </w:pPr>
                  <w:r>
                    <w:rPr>
                      <w:bCs/>
                      <w:color w:val="auto"/>
                      <w:szCs w:val="21"/>
                      <w:lang w:bidi="ar"/>
                    </w:rPr>
                    <w:t>10</w:t>
                  </w:r>
                </w:p>
              </w:tc>
              <w:tc>
                <w:tcPr>
                  <w:tcW w:w="885" w:type="dxa"/>
                  <w:vAlign w:val="center"/>
                </w:tcPr>
                <w:p w14:paraId="2CC3B6E3">
                  <w:pPr>
                    <w:widowControl/>
                    <w:spacing w:line="240" w:lineRule="auto"/>
                    <w:ind w:firstLine="0" w:firstLineChars="0"/>
                    <w:jc w:val="center"/>
                    <w:rPr>
                      <w:bCs/>
                      <w:color w:val="auto"/>
                      <w:szCs w:val="21"/>
                      <w:highlight w:val="none"/>
                    </w:rPr>
                  </w:pPr>
                  <w:r>
                    <w:rPr>
                      <w:bCs/>
                      <w:color w:val="auto"/>
                      <w:szCs w:val="21"/>
                      <w:lang w:bidi="ar"/>
                    </w:rPr>
                    <w:t>1.5</w:t>
                  </w:r>
                </w:p>
              </w:tc>
              <w:tc>
                <w:tcPr>
                  <w:tcW w:w="920" w:type="dxa"/>
                  <w:vAlign w:val="center"/>
                </w:tcPr>
                <w:p w14:paraId="5F0374E8">
                  <w:pPr>
                    <w:widowControl/>
                    <w:spacing w:line="240" w:lineRule="auto"/>
                    <w:ind w:firstLine="0" w:firstLineChars="0"/>
                    <w:jc w:val="center"/>
                    <w:rPr>
                      <w:bCs/>
                      <w:color w:val="auto"/>
                      <w:szCs w:val="21"/>
                      <w:highlight w:val="none"/>
                    </w:rPr>
                  </w:pPr>
                  <w:r>
                    <w:rPr>
                      <w:bCs/>
                      <w:color w:val="auto"/>
                      <w:szCs w:val="21"/>
                      <w:lang w:bidi="ar"/>
                    </w:rPr>
                    <w:t>124</w:t>
                  </w:r>
                </w:p>
              </w:tc>
              <w:tc>
                <w:tcPr>
                  <w:tcW w:w="958" w:type="dxa"/>
                  <w:vAlign w:val="center"/>
                </w:tcPr>
                <w:p w14:paraId="67112E3C">
                  <w:pPr>
                    <w:widowControl/>
                    <w:spacing w:line="240" w:lineRule="auto"/>
                    <w:ind w:firstLine="0" w:firstLineChars="0"/>
                    <w:jc w:val="center"/>
                    <w:rPr>
                      <w:bCs/>
                      <w:color w:val="auto"/>
                      <w:szCs w:val="21"/>
                      <w:highlight w:val="none"/>
                      <w:lang w:bidi="ar"/>
                    </w:rPr>
                  </w:pPr>
                  <w:r>
                    <w:rPr>
                      <w:bCs/>
                      <w:color w:val="auto"/>
                      <w:szCs w:val="21"/>
                      <w:lang w:bidi="ar"/>
                    </w:rPr>
                    <w:t>2.40</w:t>
                  </w:r>
                </w:p>
              </w:tc>
              <w:tc>
                <w:tcPr>
                  <w:tcW w:w="654" w:type="pct"/>
                  <w:vAlign w:val="center"/>
                </w:tcPr>
                <w:p w14:paraId="5529F6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lang w:bidi="ar"/>
                    </w:rPr>
                  </w:pPr>
                  <w:r>
                    <w:rPr>
                      <w:bCs/>
                      <w:color w:val="auto"/>
                      <w:szCs w:val="21"/>
                      <w:highlight w:val="none"/>
                      <w:lang w:bidi="ar"/>
                    </w:rPr>
                    <w:t>99.7%</w:t>
                  </w:r>
                </w:p>
              </w:tc>
            </w:tr>
            <w:tr w14:paraId="4803FB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000" w:type="pct"/>
                  <w:gridSpan w:val="9"/>
                  <w:vAlign w:val="center"/>
                </w:tcPr>
                <w:p w14:paraId="2F292D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left"/>
                    <w:textAlignment w:val="auto"/>
                    <w:rPr>
                      <w:color w:val="auto"/>
                      <w:kern w:val="0"/>
                      <w:szCs w:val="21"/>
                      <w:highlight w:val="none"/>
                      <w:lang w:bidi="ar"/>
                    </w:rPr>
                  </w:pPr>
                  <w:r>
                    <w:rPr>
                      <w:color w:val="auto"/>
                      <w:kern w:val="0"/>
                      <w:szCs w:val="21"/>
                      <w:highlight w:val="none"/>
                      <w:lang w:bidi="ar"/>
                    </w:rPr>
                    <w:t>备注：CO为第95百分位数浓度，O</w:t>
                  </w:r>
                  <w:r>
                    <w:rPr>
                      <w:color w:val="auto"/>
                      <w:kern w:val="0"/>
                      <w:szCs w:val="21"/>
                      <w:highlight w:val="none"/>
                      <w:vertAlign w:val="subscript"/>
                      <w:lang w:bidi="ar"/>
                    </w:rPr>
                    <w:t>3</w:t>
                  </w:r>
                  <w:r>
                    <w:rPr>
                      <w:color w:val="auto"/>
                      <w:kern w:val="0"/>
                      <w:szCs w:val="21"/>
                      <w:highlight w:val="none"/>
                      <w:lang w:bidi="ar"/>
                    </w:rPr>
                    <w:t>为第90百分位数浓度。</w:t>
                  </w:r>
                </w:p>
              </w:tc>
            </w:tr>
          </w:tbl>
          <w:p w14:paraId="629C4EA0">
            <w:pPr>
              <w:adjustRightInd w:val="0"/>
              <w:snapToGrid w:val="0"/>
              <w:spacing w:before="120" w:beforeLines="50" w:line="360" w:lineRule="auto"/>
              <w:ind w:firstLine="480" w:firstLineChars="200"/>
              <w:rPr>
                <w:rFonts w:hint="eastAsia" w:ascii="Times New Roman" w:hAnsi="Times New Roman"/>
                <w:color w:val="auto"/>
                <w:kern w:val="0"/>
                <w:sz w:val="24"/>
                <w:szCs w:val="24"/>
                <w:highlight w:val="none"/>
                <w:lang w:eastAsia="zh-CN" w:bidi="ar"/>
              </w:rPr>
            </w:pPr>
            <w:r>
              <w:rPr>
                <w:rFonts w:hint="eastAsia"/>
                <w:color w:val="auto"/>
                <w:sz w:val="24"/>
                <w:szCs w:val="24"/>
                <w:highlight w:val="none"/>
                <w:lang w:eastAsia="zh-CN"/>
              </w:rPr>
              <w:t>根据</w:t>
            </w:r>
            <w:r>
              <w:rPr>
                <w:rFonts w:hint="eastAsia" w:ascii="Times New Roman" w:hAnsi="Times New Roman"/>
                <w:color w:val="auto"/>
                <w:sz w:val="24"/>
                <w:szCs w:val="24"/>
                <w:highlight w:val="none"/>
              </w:rPr>
              <w:t>上表</w:t>
            </w:r>
            <w:r>
              <w:rPr>
                <w:rFonts w:ascii="Times New Roman" w:hAnsi="Times New Roman"/>
                <w:color w:val="auto"/>
                <w:sz w:val="24"/>
                <w:szCs w:val="24"/>
                <w:highlight w:val="none"/>
              </w:rPr>
              <w:t>分析，宣威市</w:t>
            </w:r>
            <w:r>
              <w:rPr>
                <w:rFonts w:ascii="Times New Roman" w:hAnsi="Times New Roman"/>
                <w:color w:val="auto"/>
                <w:kern w:val="0"/>
                <w:sz w:val="24"/>
                <w:szCs w:val="24"/>
                <w:highlight w:val="none"/>
                <w:lang w:bidi="ar"/>
              </w:rPr>
              <w:t>环境空气质量良好，项目所在区域中的环境空气均能达到《环境空气质量标准》（</w:t>
            </w:r>
            <w:r>
              <w:rPr>
                <w:rFonts w:hint="default" w:ascii="Times New Roman" w:hAnsi="Times New Roman" w:cs="Times New Roman"/>
                <w:color w:val="auto"/>
                <w:highlight w:val="none"/>
              </w:rPr>
              <w:t>GB3095-2012</w:t>
            </w:r>
            <w:r>
              <w:rPr>
                <w:rFonts w:ascii="Times New Roman" w:hAnsi="Times New Roman"/>
                <w:color w:val="auto"/>
                <w:kern w:val="0"/>
                <w:sz w:val="24"/>
                <w:szCs w:val="24"/>
                <w:highlight w:val="none"/>
                <w:lang w:bidi="ar"/>
              </w:rPr>
              <w:t>）中的二级标准要求，故项目所在区域属于环境空气质量达标区</w:t>
            </w:r>
            <w:r>
              <w:rPr>
                <w:rFonts w:ascii="Times New Roman" w:hAnsi="Times New Roman"/>
                <w:color w:val="auto"/>
                <w:sz w:val="24"/>
                <w:szCs w:val="24"/>
                <w:highlight w:val="none"/>
              </w:rPr>
              <w:t>。</w:t>
            </w:r>
            <w:r>
              <w:rPr>
                <w:rFonts w:hint="eastAsia"/>
                <w:color w:val="auto"/>
                <w:lang w:eastAsia="zh-CN"/>
              </w:rPr>
              <w:t>对照</w:t>
            </w:r>
            <w:r>
              <w:rPr>
                <w:rFonts w:ascii="Times New Roman" w:hAnsi="Times New Roman"/>
                <w:color w:val="auto"/>
                <w:kern w:val="0"/>
                <w:sz w:val="24"/>
                <w:szCs w:val="24"/>
                <w:highlight w:val="none"/>
                <w:lang w:bidi="ar"/>
              </w:rPr>
              <w:t>《环境空气质量标准》（</w:t>
            </w:r>
            <w:r>
              <w:rPr>
                <w:rFonts w:hint="default" w:ascii="Times New Roman" w:hAnsi="Times New Roman" w:cs="Times New Roman"/>
                <w:color w:val="auto"/>
                <w:highlight w:val="none"/>
              </w:rPr>
              <w:t>GB3095-20</w:t>
            </w:r>
            <w:r>
              <w:rPr>
                <w:rFonts w:hint="eastAsia" w:cs="Times New Roman"/>
                <w:color w:val="auto"/>
                <w:highlight w:val="none"/>
                <w:lang w:val="en-US" w:eastAsia="zh-CN"/>
              </w:rPr>
              <w:t>26</w:t>
            </w:r>
            <w:r>
              <w:rPr>
                <w:rFonts w:ascii="Times New Roman" w:hAnsi="Times New Roman"/>
                <w:color w:val="auto"/>
                <w:kern w:val="0"/>
                <w:sz w:val="24"/>
                <w:szCs w:val="24"/>
                <w:highlight w:val="none"/>
                <w:lang w:bidi="ar"/>
              </w:rPr>
              <w:t>）中的二级标准要求</w:t>
            </w:r>
            <w:r>
              <w:rPr>
                <w:rFonts w:hint="eastAsia"/>
                <w:color w:val="auto"/>
                <w:kern w:val="0"/>
                <w:sz w:val="24"/>
                <w:szCs w:val="24"/>
                <w:highlight w:val="none"/>
                <w:lang w:eastAsia="zh-CN" w:bidi="ar"/>
              </w:rPr>
              <w:t>，各项污染物浓度仍处于较低水平，未出现超标现象，表明区域大气环境具有较好的承载能力。</w:t>
            </w:r>
          </w:p>
          <w:p w14:paraId="4EC4EE92">
            <w:pPr>
              <w:numPr>
                <w:ilvl w:val="0"/>
                <w:numId w:val="0"/>
              </w:numPr>
              <w:ind w:left="0" w:leftChars="0" w:firstLine="480" w:firstLineChars="200"/>
              <w:rPr>
                <w:rFonts w:hint="default" w:ascii="Times New Roman" w:hAnsi="Times New Roman" w:eastAsia="宋体" w:cs="Times New Roman"/>
                <w:color w:val="auto"/>
                <w:highlight w:val="none"/>
                <w:lang w:val="en-US" w:eastAsia="zh-CN"/>
              </w:rPr>
            </w:pPr>
            <w:r>
              <w:rPr>
                <w:rFonts w:hint="eastAsia" w:cs="Times New Roman"/>
                <w:color w:val="auto"/>
                <w:kern w:val="2"/>
                <w:sz w:val="24"/>
                <w:szCs w:val="24"/>
                <w:highlight w:val="none"/>
                <w:lang w:val="en-US" w:eastAsia="zh-CN" w:bidi="ar-SA"/>
              </w:rPr>
              <w:t>5.</w:t>
            </w:r>
            <w:r>
              <w:rPr>
                <w:rFonts w:hint="default" w:ascii="Times New Roman" w:hAnsi="Times New Roman" w:eastAsia="宋体" w:cs="Times New Roman"/>
                <w:color w:val="auto"/>
                <w:highlight w:val="none"/>
                <w:lang w:val="en-US" w:eastAsia="zh-CN"/>
              </w:rPr>
              <w:t>声环境</w:t>
            </w:r>
            <w:r>
              <w:rPr>
                <w:rFonts w:hint="default" w:ascii="Times New Roman" w:hAnsi="Times New Roman" w:cs="Times New Roman"/>
                <w:color w:val="auto"/>
                <w:highlight w:val="none"/>
                <w:lang w:val="en-US" w:eastAsia="zh-CN"/>
              </w:rPr>
              <w:t>质量</w:t>
            </w:r>
            <w:r>
              <w:rPr>
                <w:rFonts w:hint="default" w:ascii="Times New Roman" w:hAnsi="Times New Roman" w:eastAsia="宋体" w:cs="Times New Roman"/>
                <w:color w:val="auto"/>
                <w:highlight w:val="none"/>
                <w:lang w:val="en-US" w:eastAsia="zh-CN"/>
              </w:rPr>
              <w:t>现状</w:t>
            </w:r>
          </w:p>
          <w:p w14:paraId="4AF441D1">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项目位于宣威市海德村，根据《声环境质量标准》</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GB3096-2008</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中对乡村声环境功能的确定，村庄原则上执行</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ROMAN \* MERGEFORMAT </w:instrText>
            </w:r>
            <w:r>
              <w:rPr>
                <w:rFonts w:hint="default" w:ascii="Times New Roman" w:hAnsi="Times New Roman" w:cs="Times New Roman"/>
                <w:color w:val="auto"/>
                <w:highlight w:val="none"/>
                <w:lang w:val="en-US" w:eastAsia="zh-CN"/>
              </w:rPr>
              <w:fldChar w:fldCharType="separate"/>
            </w:r>
            <w:r>
              <w:rPr>
                <w:color w:val="auto"/>
                <w:highlight w:val="none"/>
              </w:rPr>
              <w:t>I</w:t>
            </w:r>
            <w:r>
              <w:rPr>
                <w:rFonts w:hint="default" w:ascii="Times New Roman" w:hAnsi="Times New Roman" w:cs="Times New Roman"/>
                <w:color w:val="auto"/>
                <w:highlight w:val="none"/>
                <w:lang w:val="en-US" w:eastAsia="zh-CN"/>
              </w:rPr>
              <w:fldChar w:fldCharType="end"/>
            </w:r>
            <w:r>
              <w:rPr>
                <w:rFonts w:hint="default" w:ascii="Times New Roman" w:hAnsi="Times New Roman" w:cs="Times New Roman"/>
                <w:color w:val="auto"/>
                <w:highlight w:val="none"/>
                <w:lang w:val="en-US" w:eastAsia="zh-CN"/>
              </w:rPr>
              <w:t>类声环境功能区要求。</w:t>
            </w:r>
          </w:p>
          <w:p w14:paraId="490B1DA1">
            <w:pPr>
              <w:bidi w:val="0"/>
              <w:rPr>
                <w:rFonts w:hint="default" w:ascii="Times New Roman" w:hAnsi="Times New Roman" w:eastAsia="宋体" w:cs="Times New Roman"/>
                <w:color w:val="auto"/>
                <w:highlight w:val="none"/>
                <w:lang w:val="en-US" w:eastAsia="zh-CN"/>
              </w:rPr>
            </w:pPr>
            <w:r>
              <w:rPr>
                <w:color w:val="auto"/>
                <w:sz w:val="24"/>
                <w:highlight w:val="none"/>
              </w:rPr>
              <w:t>根据现场勘查，项目区厂界外</w:t>
            </w:r>
            <w:r>
              <w:rPr>
                <w:rFonts w:hint="eastAsia"/>
                <w:color w:val="auto"/>
                <w:sz w:val="24"/>
                <w:highlight w:val="none"/>
                <w:lang w:val="en-US" w:eastAsia="zh-CN"/>
              </w:rPr>
              <w:t>70</w:t>
            </w:r>
            <w:r>
              <w:rPr>
                <w:color w:val="auto"/>
                <w:sz w:val="24"/>
                <w:highlight w:val="none"/>
              </w:rPr>
              <w:t>0m的范围内无声环境保护目标，不需要进行现状监测</w:t>
            </w:r>
            <w:r>
              <w:rPr>
                <w:rFonts w:hint="eastAsia"/>
                <w:color w:val="auto"/>
                <w:sz w:val="24"/>
                <w:highlight w:val="none"/>
                <w:lang w:eastAsia="zh-CN"/>
              </w:rPr>
              <w:t>。</w:t>
            </w:r>
            <w:r>
              <w:rPr>
                <w:rFonts w:hint="default" w:ascii="Times New Roman" w:hAnsi="Times New Roman" w:cs="Times New Roman"/>
                <w:color w:val="auto"/>
                <w:highlight w:val="none"/>
                <w:lang w:val="en-US" w:eastAsia="zh-CN"/>
              </w:rPr>
              <w:t>风机距周边居民点均在700m以上</w:t>
            </w:r>
            <w:r>
              <w:rPr>
                <w:rFonts w:hint="eastAsia" w:cs="Times New Roman"/>
                <w:color w:val="auto"/>
                <w:highlight w:val="none"/>
                <w:lang w:eastAsia="zh-CN"/>
              </w:rPr>
              <w:t>，通</w:t>
            </w:r>
            <w:r>
              <w:rPr>
                <w:rFonts w:hint="default" w:ascii="Times New Roman" w:hAnsi="Times New Roman" w:cs="Times New Roman"/>
                <w:color w:val="auto"/>
                <w:highlight w:val="none"/>
              </w:rPr>
              <w:t>过合理规划施工时间（如避开夜间）、采用低噪声设备等措施，可有效控制施工期噪声影响。</w:t>
            </w:r>
            <w:r>
              <w:rPr>
                <w:rFonts w:hint="default" w:ascii="Times New Roman" w:hAnsi="Times New Roman" w:eastAsia="宋体" w:cs="Times New Roman"/>
                <w:color w:val="auto"/>
                <w:highlight w:val="none"/>
                <w:lang w:val="en-US" w:eastAsia="zh-CN"/>
              </w:rPr>
              <w:t>因此，声环境现状满足《声环境质量标准》（GB3096-2008）</w:t>
            </w:r>
            <w:r>
              <w:rPr>
                <w:rFonts w:hint="default" w:ascii="Times New Roman" w:hAnsi="Times New Roman" w:cs="Times New Roman"/>
                <w:color w:val="auto"/>
                <w:highlight w:val="none"/>
                <w:lang w:val="en-US" w:eastAsia="zh-CN"/>
              </w:rPr>
              <w:fldChar w:fldCharType="begin"/>
            </w:r>
            <w:r>
              <w:rPr>
                <w:rFonts w:hint="default" w:ascii="Times New Roman" w:hAnsi="Times New Roman" w:cs="Times New Roman"/>
                <w:color w:val="auto"/>
                <w:highlight w:val="none"/>
                <w:lang w:val="en-US" w:eastAsia="zh-CN"/>
              </w:rPr>
              <w:instrText xml:space="preserve"> = 1 \* ROMAN \* MERGEFORMAT </w:instrText>
            </w:r>
            <w:r>
              <w:rPr>
                <w:rFonts w:hint="default" w:ascii="Times New Roman" w:hAnsi="Times New Roman" w:cs="Times New Roman"/>
                <w:color w:val="auto"/>
                <w:highlight w:val="none"/>
                <w:lang w:val="en-US" w:eastAsia="zh-CN"/>
              </w:rPr>
              <w:fldChar w:fldCharType="separate"/>
            </w:r>
            <w:r>
              <w:rPr>
                <w:color w:val="auto"/>
                <w:highlight w:val="none"/>
              </w:rPr>
              <w:t>I</w:t>
            </w:r>
            <w:r>
              <w:rPr>
                <w:rFonts w:hint="default" w:ascii="Times New Roman" w:hAnsi="Times New Roman" w:cs="Times New Roman"/>
                <w:color w:val="auto"/>
                <w:highlight w:val="none"/>
                <w:lang w:val="en-US" w:eastAsia="zh-CN"/>
              </w:rPr>
              <w:fldChar w:fldCharType="end"/>
            </w:r>
            <w:r>
              <w:rPr>
                <w:rFonts w:hint="default" w:ascii="Times New Roman" w:hAnsi="Times New Roman" w:eastAsia="宋体" w:cs="Times New Roman"/>
                <w:color w:val="auto"/>
                <w:highlight w:val="none"/>
                <w:lang w:val="en-US" w:eastAsia="zh-CN"/>
              </w:rPr>
              <w:t>类标准。</w:t>
            </w:r>
          </w:p>
          <w:p w14:paraId="0F31BF21">
            <w:pPr>
              <w:numPr>
                <w:ilvl w:val="0"/>
                <w:numId w:val="0"/>
              </w:numPr>
              <w:ind w:firstLine="480" w:firstLineChars="20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6.</w:t>
            </w:r>
            <w:r>
              <w:rPr>
                <w:rFonts w:hint="default" w:ascii="Times New Roman" w:hAnsi="Times New Roman" w:eastAsia="宋体" w:cs="Times New Roman"/>
                <w:color w:val="auto"/>
                <w:highlight w:val="none"/>
                <w:lang w:val="en-US" w:eastAsia="zh-CN"/>
              </w:rPr>
              <w:t>水环境现状</w:t>
            </w:r>
          </w:p>
          <w:p w14:paraId="6AC73866">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根据《曲靖市生态环境局关于国电电力云南新能源开发有限公司海德村项目的选址意见》，项目区内不涉及宣威市县级饮用水源地和21个“千吨万人”饮用水保护区。</w:t>
            </w:r>
          </w:p>
          <w:p w14:paraId="34BED9B1">
            <w:pPr>
              <w:rPr>
                <w:color w:val="auto"/>
              </w:rPr>
            </w:pPr>
            <w:r>
              <w:rPr>
                <w:rFonts w:hint="default" w:ascii="Times New Roman" w:hAnsi="Times New Roman" w:eastAsia="宋体" w:cs="Times New Roman"/>
                <w:color w:val="auto"/>
                <w:highlight w:val="none"/>
                <w:lang w:val="en-US" w:eastAsia="zh-CN"/>
              </w:rPr>
              <w:t>本项目选址附近主要河流为多着河，距离最近的1#风机576m。根据资料查询，</w:t>
            </w:r>
            <w:r>
              <w:rPr>
                <w:rFonts w:hint="default"/>
                <w:color w:val="auto"/>
                <w:highlight w:val="none"/>
                <w:lang w:val="en-US" w:eastAsia="zh-CN"/>
              </w:rPr>
              <w:t>多着河属牛栏江支流，发源于热水镇岱海村长梁子，</w:t>
            </w:r>
            <w:r>
              <w:rPr>
                <w:rFonts w:ascii="宋体" w:hAnsi="宋体" w:eastAsia="宋体" w:cs="宋体"/>
                <w:color w:val="auto"/>
                <w:sz w:val="24"/>
                <w:szCs w:val="24"/>
              </w:rPr>
              <w:t>自东向西径流，沿途汇入绿水河，最终向西汇入</w:t>
            </w:r>
            <w:r>
              <w:rPr>
                <w:rFonts w:hint="default"/>
                <w:color w:val="auto"/>
                <w:highlight w:val="none"/>
                <w:lang w:val="en-US" w:eastAsia="zh-CN"/>
              </w:rPr>
              <w:t>牛栏江。长16km，流域面积59.1km</w:t>
            </w:r>
            <w:r>
              <w:rPr>
                <w:rFonts w:hint="eastAsia"/>
                <w:color w:val="auto"/>
                <w:highlight w:val="none"/>
                <w:vertAlign w:val="superscript"/>
                <w:lang w:val="en-US" w:eastAsia="zh-CN"/>
              </w:rPr>
              <w:t>2</w:t>
            </w:r>
            <w:r>
              <w:rPr>
                <w:rFonts w:hint="default"/>
                <w:color w:val="auto"/>
                <w:highlight w:val="none"/>
                <w:lang w:val="en-US" w:eastAsia="zh-CN"/>
              </w:rPr>
              <w:t>，河流级别2级</w:t>
            </w:r>
            <w:r>
              <w:rPr>
                <w:color w:val="auto"/>
              </w:rPr>
              <w:t>。</w:t>
            </w:r>
          </w:p>
          <w:p w14:paraId="4206CD54">
            <w:pPr>
              <w:rPr>
                <w:color w:val="auto"/>
              </w:rPr>
            </w:pPr>
            <w:r>
              <w:rPr>
                <w:color w:val="auto"/>
              </w:rPr>
              <w:t>经核查《云南省水功能区划（2014年修订）》，多着河未被单独纳入省级层面划定的水功能区划体系，其水环境保护管理要求直接服从其汇入干流牛栏江的相关管控规定。牛栏江属于长江流域金沙江水系，已明确划定的一级水功能区为牛栏江开发利用区，对应的二级水功能区为牛栏江沾益-巧家饮用工业农业用水区，该水功能区的水体主导功能涵盖农业用水、工业用水及二级集中式饮用水源供水功能，法定水质保护目标为《地表水环境质量标准》（GB3838-2002）中的Ⅲ类标准。据此，本项目所在区域的地表水环境质量统一执行《地表水环境质量标准》（GB3838-2002）Ⅲ类水质标准开展管控与评价。</w:t>
            </w:r>
          </w:p>
          <w:p w14:paraId="4192F427">
            <w:pPr>
              <w:adjustRightInd w:val="0"/>
              <w:spacing w:line="360" w:lineRule="auto"/>
              <w:ind w:firstLine="480" w:firstLineChars="200"/>
              <w:jc w:val="left"/>
              <w:rPr>
                <w:rFonts w:hint="eastAsia" w:eastAsia="宋体"/>
                <w:color w:val="auto"/>
                <w:sz w:val="24"/>
                <w:highlight w:val="none"/>
                <w:lang w:eastAsia="zh-CN"/>
              </w:rPr>
            </w:pPr>
            <w:r>
              <w:rPr>
                <w:rFonts w:hint="eastAsia"/>
                <w:color w:val="auto"/>
                <w:sz w:val="24"/>
                <w:highlight w:val="none"/>
                <w:lang w:eastAsia="zh-CN"/>
              </w:rPr>
              <w:t>根据《曲靖市环境质量年报（</w:t>
            </w:r>
            <w:r>
              <w:rPr>
                <w:rFonts w:hint="eastAsia"/>
                <w:color w:val="auto"/>
                <w:sz w:val="24"/>
                <w:highlight w:val="none"/>
                <w:lang w:val="en-US" w:eastAsia="zh-CN"/>
              </w:rPr>
              <w:t>2025年</w:t>
            </w:r>
            <w:r>
              <w:rPr>
                <w:rFonts w:hint="eastAsia"/>
                <w:color w:val="auto"/>
                <w:sz w:val="24"/>
                <w:highlight w:val="none"/>
                <w:lang w:eastAsia="zh-CN"/>
              </w:rPr>
              <w:t>）》，牛栏江大桥国控断面</w:t>
            </w:r>
            <w:r>
              <w:rPr>
                <w:rFonts w:hint="eastAsia"/>
                <w:color w:val="auto"/>
              </w:rPr>
              <w:t>20</w:t>
            </w:r>
            <w:r>
              <w:rPr>
                <w:rFonts w:hint="eastAsia"/>
                <w:color w:val="auto"/>
                <w:lang w:val="en-US" w:eastAsia="zh-CN"/>
              </w:rPr>
              <w:t>25</w:t>
            </w:r>
            <w:r>
              <w:rPr>
                <w:rFonts w:hint="eastAsia"/>
                <w:color w:val="auto"/>
              </w:rPr>
              <w:t>年水质类别为Ⅱ类，水质状况</w:t>
            </w:r>
            <w:r>
              <w:rPr>
                <w:rFonts w:hint="eastAsia"/>
                <w:color w:val="auto"/>
                <w:lang w:eastAsia="zh-CN"/>
              </w:rPr>
              <w:t>为优。</w:t>
            </w:r>
          </w:p>
          <w:p w14:paraId="5B824ED2">
            <w:pPr>
              <w:bidi w:val="0"/>
              <w:rPr>
                <w:rFonts w:hint="default" w:ascii="Times New Roman" w:hAnsi="Times New Roman" w:cs="Times New Roman"/>
                <w:color w:val="auto"/>
                <w:kern w:val="0"/>
                <w:szCs w:val="21"/>
                <w:highlight w:val="none"/>
              </w:rPr>
            </w:pPr>
          </w:p>
        </w:tc>
      </w:tr>
      <w:tr w14:paraId="1B268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18" w:hRule="atLeast"/>
          <w:jc w:val="center"/>
        </w:trPr>
        <w:tc>
          <w:tcPr>
            <w:tcW w:w="456" w:type="dxa"/>
            <w:noWrap w:val="0"/>
            <w:vAlign w:val="center"/>
          </w:tcPr>
          <w:p w14:paraId="4CFF1640">
            <w:pPr>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bCs/>
                <w:color w:val="auto"/>
                <w:szCs w:val="21"/>
                <w:highlight w:val="none"/>
              </w:rPr>
              <w:t>与项目有关的原有环境污染和生态破坏问题</w:t>
            </w:r>
          </w:p>
        </w:tc>
        <w:tc>
          <w:tcPr>
            <w:tcW w:w="8910" w:type="dxa"/>
            <w:noWrap w:val="0"/>
            <w:vAlign w:val="center"/>
          </w:tcPr>
          <w:p w14:paraId="21BBC02D">
            <w:pPr>
              <w:numPr>
                <w:ilvl w:val="0"/>
                <w:numId w:val="0"/>
              </w:numPr>
              <w:adjustRightInd w:val="0"/>
              <w:snapToGrid w:val="0"/>
              <w:ind w:firstLine="480" w:firstLineChars="200"/>
              <w:rPr>
                <w:rFonts w:hint="default" w:ascii="Times New Roman" w:hAnsi="Times New Roman" w:cs="Times New Roman"/>
                <w:color w:val="auto"/>
                <w:kern w:val="0"/>
                <w:szCs w:val="21"/>
                <w:highlight w:val="none"/>
                <w:lang w:val="en-US" w:eastAsia="zh-CN"/>
              </w:rPr>
            </w:pPr>
            <w:r>
              <w:rPr>
                <w:rFonts w:hint="default" w:ascii="Times New Roman" w:hAnsi="Times New Roman" w:eastAsia="宋体" w:cs="Times New Roman"/>
                <w:color w:val="auto"/>
                <w:kern w:val="0"/>
                <w:sz w:val="24"/>
                <w:szCs w:val="21"/>
                <w:highlight w:val="none"/>
                <w:lang w:val="en-US" w:eastAsia="zh-CN" w:bidi="ar-SA"/>
              </w:rPr>
              <w:t>1.</w:t>
            </w:r>
            <w:r>
              <w:rPr>
                <w:rFonts w:hint="default" w:ascii="Times New Roman" w:hAnsi="Times New Roman" w:cs="Times New Roman"/>
                <w:color w:val="auto"/>
                <w:kern w:val="0"/>
                <w:szCs w:val="21"/>
                <w:highlight w:val="none"/>
                <w:lang w:val="en-US" w:eastAsia="zh-CN"/>
              </w:rPr>
              <w:t>项目存在的主要生态环境问题</w:t>
            </w:r>
          </w:p>
          <w:p w14:paraId="21189928">
            <w:pPr>
              <w:numPr>
                <w:ilvl w:val="0"/>
                <w:numId w:val="0"/>
              </w:numPr>
              <w:adjustRightInd w:val="0"/>
              <w:snapToGrid w:val="0"/>
              <w:ind w:firstLine="480" w:firstLineChars="200"/>
              <w:rPr>
                <w:rFonts w:hint="default" w:ascii="Times New Roman" w:hAnsi="Times New Roman" w:cs="Times New Roman"/>
                <w:color w:val="auto"/>
                <w:kern w:val="0"/>
                <w:szCs w:val="21"/>
                <w:highlight w:val="none"/>
                <w:lang w:val="en-US" w:eastAsia="zh-CN"/>
              </w:rPr>
            </w:pPr>
            <w:r>
              <w:rPr>
                <w:rFonts w:hint="default" w:ascii="Times New Roman" w:hAnsi="Times New Roman" w:eastAsia="宋体" w:cs="Times New Roman"/>
                <w:color w:val="auto"/>
                <w:sz w:val="24"/>
                <w:szCs w:val="24"/>
                <w:highlight w:val="none"/>
              </w:rPr>
              <w:t>区域无历史工业类环境污染。</w:t>
            </w:r>
            <w:r>
              <w:rPr>
                <w:rFonts w:hint="default" w:ascii="Times New Roman" w:hAnsi="Times New Roman" w:eastAsia="宋体" w:cs="Times New Roman"/>
                <w:color w:val="auto"/>
                <w:sz w:val="24"/>
                <w:szCs w:val="24"/>
                <w:highlight w:val="none"/>
                <w:lang w:val="en-US" w:eastAsia="zh-CN"/>
              </w:rPr>
              <w:t>本项目</w:t>
            </w:r>
            <w:r>
              <w:rPr>
                <w:rFonts w:hint="default" w:ascii="Times New Roman" w:hAnsi="Times New Roman" w:eastAsia="宋体" w:cs="Times New Roman"/>
                <w:color w:val="auto"/>
                <w:sz w:val="24"/>
                <w:szCs w:val="24"/>
                <w:highlight w:val="none"/>
              </w:rPr>
              <w:t>主要生态问题：地处牛栏江上游岩溶山原水源涵养生态功能区，原生常绿阔叶林消失，以次生针叶林、灌草丛为主，林分质量一般；放牧、人为活动造成植被生境碎片化，林缘分布外来入侵植物，局部存在水土流失潜在风险。项目前期进场道路存在手续不全先行施工，造成局部沿线植被损毁；2</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风机平台、开关站裸地已土工膜覆盖，损毁植被区域已开展树苗补植整改，未造成保护植物损毁。</w:t>
            </w:r>
          </w:p>
          <w:p w14:paraId="3C442F58">
            <w:pPr>
              <w:numPr>
                <w:ilvl w:val="0"/>
                <w:numId w:val="0"/>
              </w:numPr>
              <w:adjustRightInd w:val="0"/>
              <w:snapToGrid w:val="0"/>
              <w:ind w:firstLine="480" w:firstLineChars="200"/>
              <w:rPr>
                <w:rFonts w:hint="default" w:ascii="Times New Roman" w:hAnsi="Times New Roman" w:cs="Times New Roman"/>
                <w:color w:val="auto"/>
                <w:kern w:val="0"/>
                <w:szCs w:val="21"/>
                <w:highlight w:val="none"/>
                <w:lang w:val="en-US" w:eastAsia="zh-CN"/>
              </w:rPr>
            </w:pPr>
            <w:r>
              <w:rPr>
                <w:rFonts w:hint="default" w:ascii="Times New Roman" w:hAnsi="Times New Roman" w:eastAsia="宋体" w:cs="Times New Roman"/>
                <w:color w:val="auto"/>
                <w:kern w:val="0"/>
                <w:sz w:val="24"/>
                <w:szCs w:val="21"/>
                <w:highlight w:val="none"/>
                <w:lang w:val="en-US" w:eastAsia="zh-CN" w:bidi="ar-SA"/>
              </w:rPr>
              <w:t>2.</w:t>
            </w:r>
            <w:r>
              <w:rPr>
                <w:rFonts w:hint="default" w:ascii="Times New Roman" w:hAnsi="Times New Roman" w:cs="Times New Roman"/>
                <w:color w:val="auto"/>
                <w:kern w:val="0"/>
                <w:szCs w:val="21"/>
                <w:highlight w:val="none"/>
                <w:lang w:val="en-US" w:eastAsia="zh-CN"/>
              </w:rPr>
              <w:t>先查核查情况及整改内容</w:t>
            </w:r>
          </w:p>
          <w:p w14:paraId="3A68CFD1">
            <w:pPr>
              <w:adjustRightInd w:val="0"/>
              <w:snapToGrid w:val="0"/>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sz w:val="24"/>
                <w:szCs w:val="24"/>
                <w:highlight w:val="none"/>
              </w:rPr>
              <w:t>项目现场核查发现，</w:t>
            </w:r>
            <w:r>
              <w:rPr>
                <w:rFonts w:hint="eastAsia" w:cs="Times New Roman"/>
                <w:color w:val="auto"/>
                <w:sz w:val="24"/>
                <w:szCs w:val="24"/>
                <w:highlight w:val="none"/>
                <w:lang w:val="en-US" w:eastAsia="zh-CN"/>
              </w:rPr>
              <w:t>A1</w:t>
            </w:r>
            <w:r>
              <w:rPr>
                <w:rFonts w:hint="default" w:ascii="Times New Roman" w:hAnsi="Times New Roman" w:eastAsia="宋体" w:cs="Times New Roman"/>
                <w:color w:val="auto"/>
                <w:sz w:val="24"/>
                <w:szCs w:val="24"/>
                <w:highlight w:val="none"/>
              </w:rPr>
              <w:t>进</w:t>
            </w:r>
            <w:r>
              <w:rPr>
                <w:rFonts w:hint="default" w:ascii="Times New Roman" w:hAnsi="Times New Roman" w:eastAsia="宋体" w:cs="Times New Roman"/>
                <w:color w:val="auto"/>
                <w:sz w:val="24"/>
                <w:szCs w:val="24"/>
                <w:highlight w:val="none"/>
                <w:lang w:val="en-US" w:eastAsia="zh-CN"/>
              </w:rPr>
              <w:t>站</w:t>
            </w:r>
            <w:r>
              <w:rPr>
                <w:rFonts w:hint="default" w:ascii="Times New Roman" w:hAnsi="Times New Roman" w:eastAsia="宋体" w:cs="Times New Roman"/>
                <w:color w:val="auto"/>
                <w:sz w:val="24"/>
                <w:szCs w:val="24"/>
                <w:highlight w:val="none"/>
              </w:rPr>
              <w:t>道路存在手续不完善即先行施工，造成局部植被破坏的问题；A2 风机平台及 35kV 开关站扰动裸地已实施土工膜覆盖。</w:t>
            </w:r>
            <w:r>
              <w:rPr>
                <w:rFonts w:hint="eastAsia" w:cs="Times New Roman"/>
                <w:color w:val="auto"/>
                <w:sz w:val="24"/>
                <w:szCs w:val="24"/>
                <w:highlight w:val="none"/>
                <w:lang w:eastAsia="zh-CN"/>
              </w:rPr>
              <w:t>村镇小组</w:t>
            </w:r>
            <w:r>
              <w:rPr>
                <w:rFonts w:hint="default" w:ascii="Times New Roman" w:hAnsi="Times New Roman" w:eastAsia="宋体" w:cs="Times New Roman"/>
                <w:color w:val="auto"/>
                <w:sz w:val="24"/>
                <w:szCs w:val="24"/>
                <w:highlight w:val="none"/>
              </w:rPr>
              <w:t>已开展整改，正在补办进场道路相关审批手续，对道路损毁植被区域开展树苗补植恢复。要求后续施工严格履行各项法定审批手续，剩余裸露地表及时落实遮盖防护，严格控制扰动范围，落实水土保持与生态保护措施，避免产生新的植被破坏与水土流失。</w:t>
            </w:r>
          </w:p>
        </w:tc>
      </w:tr>
      <w:tr w14:paraId="1EF520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456" w:type="dxa"/>
            <w:noWrap w:val="0"/>
            <w:vAlign w:val="center"/>
          </w:tcPr>
          <w:p w14:paraId="24AD5A54">
            <w:pPr>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生态环境保护目标</w:t>
            </w:r>
          </w:p>
        </w:tc>
        <w:tc>
          <w:tcPr>
            <w:tcW w:w="8910" w:type="dxa"/>
            <w:noWrap w:val="0"/>
            <w:vAlign w:val="center"/>
          </w:tcPr>
          <w:p w14:paraId="3505B94F">
            <w:pPr>
              <w:keepNext w:val="0"/>
              <w:keepLines w:val="0"/>
              <w:pageBreakBefore w:val="0"/>
              <w:numPr>
                <w:ilvl w:val="0"/>
                <w:numId w:val="0"/>
              </w:numPr>
              <w:tabs>
                <w:tab w:val="left" w:pos="1761"/>
              </w:tabs>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bidi="ar-SA"/>
              </w:rPr>
              <w:t>1.</w:t>
            </w:r>
            <w:r>
              <w:rPr>
                <w:rFonts w:hint="default" w:ascii="Times New Roman" w:hAnsi="Times New Roman" w:eastAsia="宋体" w:cs="Times New Roman"/>
                <w:b/>
                <w:bCs/>
                <w:color w:val="auto"/>
                <w:kern w:val="0"/>
                <w:sz w:val="24"/>
                <w:szCs w:val="24"/>
                <w:highlight w:val="none"/>
                <w:lang w:val="en-US" w:eastAsia="zh-CN"/>
              </w:rPr>
              <w:t>评价范围</w:t>
            </w:r>
          </w:p>
          <w:p w14:paraId="1F618547">
            <w:pPr>
              <w:pStyle w:val="45"/>
              <w:spacing w:before="182" w:line="359" w:lineRule="auto"/>
              <w:ind w:left="107" w:right="100" w:firstLine="480"/>
              <w:jc w:val="both"/>
              <w:rPr>
                <w:rFonts w:hint="default" w:ascii="Times New Roman" w:hAnsi="Times New Roman" w:cs="Times New Roman"/>
                <w:color w:val="auto"/>
                <w:spacing w:val="-1"/>
                <w:highlight w:val="none"/>
              </w:rPr>
            </w:pPr>
            <w:r>
              <w:rPr>
                <w:rFonts w:hint="default" w:ascii="Times New Roman" w:hAnsi="Times New Roman" w:cs="Times New Roman"/>
                <w:color w:val="auto"/>
                <w:spacing w:val="-1"/>
                <w:highlight w:val="none"/>
              </w:rPr>
              <w:t>根据《建设项目环境影响评价技术导则总纲》（HJ2.1-2016）、《环境影响评价技术导则生态影响》（HJ19-2022）、《环境影响评价技术导则大气环境》（HJ2.2-2018）、《环境影响评价技术导则地表水环境》（HJ2.3-2018）《环境影响评价技术导则声环境》（HJ2.4-2021）、《环境影响评价技术导则输变电》（HJ24-2020）及关于印发《建设项目环境影响报告表》内容、格式及编制技术指南的通知（环办环评〔2020〕33号），本项目各环境要素评价范围如下表所示。</w:t>
            </w:r>
          </w:p>
          <w:p w14:paraId="57D8D4E4">
            <w:pPr>
              <w:pStyle w:val="18"/>
              <w:keepNext w:val="0"/>
              <w:keepLines w:val="0"/>
              <w:pageBreakBefore w:val="0"/>
              <w:widowControl/>
              <w:kinsoku/>
              <w:wordWrap/>
              <w:overflowPunct/>
              <w:topLinePunct w:val="0"/>
              <w:autoSpaceDE/>
              <w:autoSpaceDN/>
              <w:bidi w:val="0"/>
              <w:adjustRightInd w:val="0"/>
              <w:snapToGrid w:val="0"/>
              <w:spacing w:before="0" w:after="0" w:line="240" w:lineRule="auto"/>
              <w:ind w:right="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3</w:t>
            </w:r>
            <w:r>
              <w:rPr>
                <w:rFonts w:hint="default" w:ascii="Times New Roman" w:hAnsi="Times New Roman" w:eastAsia="宋体" w:cs="Times New Roman"/>
                <w:b/>
                <w:bCs/>
                <w:color w:val="auto"/>
                <w:sz w:val="21"/>
                <w:szCs w:val="21"/>
                <w:highlight w:val="none"/>
                <w:lang w:val="en-US" w:eastAsia="zh-CN"/>
              </w:rPr>
              <w:t>-</w:t>
            </w:r>
            <w:r>
              <w:rPr>
                <w:rFonts w:hint="eastAsia" w:cs="Times New Roman"/>
                <w:b/>
                <w:bCs/>
                <w:color w:val="auto"/>
                <w:sz w:val="21"/>
                <w:szCs w:val="21"/>
                <w:highlight w:val="none"/>
                <w:lang w:val="en-US" w:eastAsia="zh-CN"/>
              </w:rPr>
              <w:t xml:space="preserve">17 </w:t>
            </w:r>
            <w:r>
              <w:rPr>
                <w:rFonts w:hint="default" w:ascii="Times New Roman" w:hAnsi="Times New Roman" w:eastAsia="宋体" w:cs="Times New Roman"/>
                <w:b/>
                <w:bCs/>
                <w:color w:val="auto"/>
                <w:sz w:val="21"/>
                <w:szCs w:val="21"/>
                <w:highlight w:val="none"/>
                <w:lang w:val="en-US" w:eastAsia="zh-CN"/>
              </w:rPr>
              <w:t>评价范围与评价时段一览表</w:t>
            </w:r>
          </w:p>
          <w:tbl>
            <w:tblPr>
              <w:tblStyle w:val="20"/>
              <w:tblW w:w="76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51"/>
              <w:gridCol w:w="4527"/>
              <w:gridCol w:w="1789"/>
            </w:tblGrid>
            <w:tr w14:paraId="02DC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A4320">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环境要素</w:t>
                  </w:r>
                </w:p>
              </w:tc>
              <w:tc>
                <w:tcPr>
                  <w:tcW w:w="4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57B5E">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评价范围</w:t>
                  </w: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56CDA">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评价时段</w:t>
                  </w:r>
                </w:p>
              </w:tc>
            </w:tr>
            <w:tr w14:paraId="5011C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7229">
                  <w:pPr>
                    <w:pStyle w:val="28"/>
                    <w:bidi w:val="0"/>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生态环境</w:t>
                  </w:r>
                </w:p>
              </w:tc>
              <w:tc>
                <w:tcPr>
                  <w:tcW w:w="4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B106">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项目用地范围外延300m的区域</w:t>
                  </w: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9CEEE">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施工期、运行期</w:t>
                  </w:r>
                </w:p>
              </w:tc>
            </w:tr>
            <w:tr w14:paraId="50EB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A90A">
                  <w:pPr>
                    <w:pStyle w:val="28"/>
                    <w:bidi w:val="0"/>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eastAsia="zh-CN"/>
                    </w:rPr>
                    <w:t>大气环境</w:t>
                  </w:r>
                </w:p>
              </w:tc>
              <w:tc>
                <w:tcPr>
                  <w:tcW w:w="4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F474">
                  <w:pPr>
                    <w:pStyle w:val="28"/>
                    <w:bidi w:val="0"/>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lang w:val="en-US" w:eastAsia="zh-CN"/>
                    </w:rPr>
                    <w:t>本项目施工期主要为施工扬尘，项目所在500m范围内无居民点，且会定期对施工场地进行洒水。</w:t>
                  </w: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40182">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施工期</w:t>
                  </w:r>
                </w:p>
              </w:tc>
            </w:tr>
            <w:tr w14:paraId="7A436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 w:hRule="atLeast"/>
                <w:jc w:val="center"/>
              </w:trPr>
              <w:tc>
                <w:tcPr>
                  <w:tcW w:w="13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70BA4">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声环境</w:t>
                  </w:r>
                </w:p>
              </w:tc>
              <w:tc>
                <w:tcPr>
                  <w:tcW w:w="4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3E9B9">
                  <w:pPr>
                    <w:pStyle w:val="28"/>
                    <w:bidi w:val="0"/>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施工期：风机组装吊装平台、运输道路、集电线路外延200m范围。</w:t>
                  </w:r>
                </w:p>
                <w:p w14:paraId="0FFDF470">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运行期：风机机组周边700m范围内。</w:t>
                  </w:r>
                </w:p>
              </w:tc>
              <w:tc>
                <w:tcPr>
                  <w:tcW w:w="1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546CA">
                  <w:pPr>
                    <w:pStyle w:val="28"/>
                    <w:bidi w:val="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施工期、运行期</w:t>
                  </w:r>
                </w:p>
              </w:tc>
            </w:tr>
          </w:tbl>
          <w:p w14:paraId="45317730">
            <w:pPr>
              <w:pStyle w:val="18"/>
              <w:numPr>
                <w:ilvl w:val="0"/>
                <w:numId w:val="0"/>
              </w:numPr>
              <w:ind w:left="0" w:leftChars="0" w:right="113" w:rightChars="0" w:firstLine="0" w:firstLineChars="0"/>
              <w:rPr>
                <w:rFonts w:hint="default" w:ascii="Times New Roman" w:hAnsi="Times New Roman" w:eastAsia="宋体" w:cs="Times New Roman"/>
                <w:b/>
                <w:bCs/>
                <w:color w:val="auto"/>
                <w:highlight w:val="none"/>
                <w:lang w:val="en-US" w:eastAsia="zh-CN"/>
              </w:rPr>
            </w:pPr>
            <w:r>
              <w:rPr>
                <w:rFonts w:hint="eastAsia" w:cs="Times New Roman"/>
                <w:b/>
                <w:bCs/>
                <w:color w:val="auto"/>
                <w:kern w:val="0"/>
                <w:sz w:val="21"/>
                <w:szCs w:val="18"/>
                <w:highlight w:val="none"/>
                <w:lang w:val="en-US" w:eastAsia="zh-CN" w:bidi="ar-SA"/>
              </w:rPr>
              <w:t>2.</w:t>
            </w:r>
            <w:r>
              <w:rPr>
                <w:rFonts w:hint="default" w:ascii="Times New Roman" w:hAnsi="Times New Roman" w:eastAsia="宋体" w:cs="Times New Roman"/>
                <w:b/>
                <w:bCs/>
                <w:color w:val="auto"/>
                <w:kern w:val="0"/>
                <w:sz w:val="21"/>
                <w:szCs w:val="18"/>
                <w:highlight w:val="none"/>
                <w:lang w:val="en-US" w:eastAsia="zh-CN" w:bidi="ar-SA"/>
              </w:rPr>
              <w:t>生态环境保护目标</w:t>
            </w:r>
          </w:p>
          <w:p w14:paraId="0FEAAB2F">
            <w:pPr>
              <w:pStyle w:val="19"/>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（1）环境敏感区</w:t>
            </w:r>
          </w:p>
          <w:p w14:paraId="0B5D3BCA">
            <w:pPr>
              <w:pStyle w:val="19"/>
              <w:numPr>
                <w:ilvl w:val="0"/>
                <w:numId w:val="0"/>
              </w:num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根据《曲靖市生态环境局宣威分局关于曲靖国电电力新能源开发有限公司海德村项目的选址意见</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宣威市</w:t>
            </w:r>
            <w:r>
              <w:rPr>
                <w:rFonts w:hint="eastAsia" w:ascii="Times New Roman" w:hAnsi="Times New Roman" w:eastAsia="宋体" w:cs="Times New Roman"/>
                <w:color w:val="auto"/>
                <w:highlight w:val="none"/>
                <w:lang w:val="en-US" w:eastAsia="zh-CN"/>
              </w:rPr>
              <w:t>自然资源</w:t>
            </w:r>
            <w:r>
              <w:rPr>
                <w:rFonts w:hint="default" w:ascii="Times New Roman" w:hAnsi="Times New Roman" w:eastAsia="宋体" w:cs="Times New Roman"/>
                <w:color w:val="auto"/>
                <w:highlight w:val="none"/>
                <w:lang w:val="en-US" w:eastAsia="zh-CN"/>
              </w:rPr>
              <w:t>局关于曲靖国力电力新能源开发有限公司海德村项目用地选址的核查意见</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珠江源省级自然保护区管护局关于海德村项目选址的意见</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宣威市水务局关于国电电力云南新能源开发有限公司关于出具海德村项目选址意见的请示的回复》等文件，通过叠图分析，海德村项目不涉及《建设项目环境影响评价分类管理名录》（2021</w:t>
            </w:r>
            <w:r>
              <w:rPr>
                <w:rFonts w:hint="eastAsia" w:cs="Times New Roman"/>
                <w:color w:val="auto"/>
                <w:highlight w:val="none"/>
                <w:lang w:val="en-US" w:eastAsia="zh-CN"/>
              </w:rPr>
              <w:t>年版</w:t>
            </w:r>
            <w:r>
              <w:rPr>
                <w:rFonts w:hint="default" w:ascii="Times New Roman" w:hAnsi="Times New Roman" w:eastAsia="宋体" w:cs="Times New Roman"/>
                <w:color w:val="auto"/>
                <w:highlight w:val="none"/>
                <w:lang w:val="en-US" w:eastAsia="zh-CN"/>
              </w:rPr>
              <w:t>）中界定的环境敏感区</w:t>
            </w:r>
            <w:r>
              <w:rPr>
                <w:rFonts w:hint="eastAsia" w:ascii="Times New Roman" w:hAnsi="Times New Roman" w:eastAsia="宋体" w:cs="Times New Roman"/>
                <w:color w:val="auto"/>
                <w:highlight w:val="none"/>
                <w:lang w:val="en-US" w:eastAsia="zh-CN"/>
              </w:rPr>
              <w:t>，包括</w:t>
            </w:r>
            <w:r>
              <w:rPr>
                <w:rFonts w:hint="default" w:ascii="Times New Roman" w:hAnsi="Times New Roman" w:eastAsia="宋体" w:cs="Times New Roman"/>
                <w:color w:val="auto"/>
                <w:highlight w:val="none"/>
                <w:lang w:val="en-US" w:eastAsia="zh-CN"/>
              </w:rPr>
              <w:t>国家公园、自然保护区、风景名胜区、世界文化和自然遗产地、海洋特别保护区、饮用水源保护区</w:t>
            </w:r>
            <w:r>
              <w:rPr>
                <w:rFonts w:hint="eastAsia" w:ascii="Times New Roman" w:hAnsi="Times New Roman" w:eastAsia="宋体" w:cs="Times New Roman"/>
                <w:color w:val="auto"/>
                <w:highlight w:val="none"/>
                <w:lang w:val="en-US" w:eastAsia="zh-CN"/>
              </w:rPr>
              <w:t>，以及</w:t>
            </w:r>
            <w:r>
              <w:rPr>
                <w:rFonts w:hint="default" w:ascii="Times New Roman" w:hAnsi="Times New Roman" w:eastAsia="宋体" w:cs="Times New Roman"/>
                <w:color w:val="auto"/>
                <w:highlight w:val="none"/>
                <w:lang w:val="en-US" w:eastAsia="zh-CN"/>
              </w:rPr>
              <w:t>以居住、医疗卫生、文化教育、科研、行政办公为主要功能的区域和文物保护单位。</w:t>
            </w:r>
            <w:r>
              <w:rPr>
                <w:rFonts w:hint="eastAsia" w:ascii="Times New Roman" w:hAnsi="Times New Roman" w:eastAsia="宋体" w:cs="Times New Roman"/>
                <w:color w:val="auto"/>
                <w:highlight w:val="none"/>
                <w:lang w:val="en-US" w:eastAsia="zh-CN"/>
              </w:rPr>
              <w:t>同时，项目也不涉及</w:t>
            </w:r>
            <w:r>
              <w:rPr>
                <w:rFonts w:hint="default" w:ascii="Times New Roman" w:hAnsi="Times New Roman" w:eastAsia="宋体" w:cs="Times New Roman"/>
                <w:color w:val="auto"/>
                <w:highlight w:val="none"/>
                <w:lang w:val="en-US" w:eastAsia="zh-CN"/>
              </w:rPr>
              <w:t>云南省环保厅云环发</w:t>
            </w:r>
            <w:r>
              <w:rPr>
                <w:rFonts w:hint="eastAsia" w:cs="Times New Roman"/>
                <w:color w:val="auto"/>
                <w:highlight w:val="none"/>
                <w:lang w:val="en-US" w:eastAsia="zh-CN"/>
              </w:rPr>
              <w:t>〔2014〕50号</w:t>
            </w:r>
            <w:r>
              <w:rPr>
                <w:rFonts w:hint="default" w:ascii="Times New Roman" w:hAnsi="Times New Roman" w:eastAsia="宋体" w:cs="Times New Roman"/>
                <w:color w:val="auto"/>
                <w:highlight w:val="none"/>
                <w:lang w:val="en-US" w:eastAsia="zh-CN"/>
              </w:rPr>
              <w:t>文</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关于进一步加强风电建设项目环境影响评价管理工作的通知</w:t>
            </w: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中应重点关注</w:t>
            </w:r>
            <w:r>
              <w:rPr>
                <w:rFonts w:hint="eastAsia" w:cs="Times New Roman"/>
                <w:color w:val="auto"/>
                <w:highlight w:val="none"/>
                <w:lang w:val="en-US" w:eastAsia="zh-CN"/>
              </w:rPr>
              <w:t>的</w:t>
            </w:r>
            <w:r>
              <w:rPr>
                <w:rFonts w:hint="default" w:ascii="Times New Roman" w:hAnsi="Times New Roman" w:eastAsia="宋体" w:cs="Times New Roman"/>
                <w:color w:val="auto"/>
                <w:highlight w:val="none"/>
                <w:lang w:val="en-US" w:eastAsia="zh-CN"/>
              </w:rPr>
              <w:t>鸟类迁徙通道、特有（珍稀）植物群落、自然</w:t>
            </w:r>
            <w:r>
              <w:rPr>
                <w:rFonts w:hint="eastAsia" w:cs="Times New Roman"/>
                <w:color w:val="auto"/>
                <w:highlight w:val="none"/>
                <w:lang w:val="en-US" w:eastAsia="zh-CN"/>
              </w:rPr>
              <w:t>生境</w:t>
            </w:r>
            <w:r>
              <w:rPr>
                <w:rFonts w:hint="default" w:ascii="Times New Roman" w:hAnsi="Times New Roman" w:eastAsia="宋体" w:cs="Times New Roman"/>
                <w:color w:val="auto"/>
                <w:highlight w:val="none"/>
                <w:lang w:val="en-US" w:eastAsia="zh-CN"/>
              </w:rPr>
              <w:t>等重要生态环境保护目标。</w:t>
            </w:r>
          </w:p>
          <w:p w14:paraId="2D27B115">
            <w:pPr>
              <w:numPr>
                <w:ilvl w:val="0"/>
                <w:numId w:val="0"/>
              </w:numPr>
              <w:bidi w:val="0"/>
              <w:rPr>
                <w:rFonts w:hint="eastAsia"/>
                <w:color w:val="auto"/>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（2）</w:t>
            </w:r>
            <w:r>
              <w:rPr>
                <w:rFonts w:hint="eastAsia"/>
                <w:color w:val="auto"/>
                <w:highlight w:val="none"/>
                <w:lang w:val="en-US" w:eastAsia="zh-CN"/>
              </w:rPr>
              <w:t>生态环境</w:t>
            </w:r>
          </w:p>
          <w:p w14:paraId="1723B9EB">
            <w:pPr>
              <w:bidi w:val="0"/>
              <w:ind w:firstLine="720" w:firstLineChars="3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项目建设施工期及运行期涉及生态保护目标见表</w:t>
            </w:r>
            <w:r>
              <w:rPr>
                <w:rFonts w:hint="default" w:cs="Times New Roman"/>
                <w:color w:val="auto"/>
                <w:highlight w:val="none"/>
                <w:lang w:val="en-US" w:eastAsia="zh-CN"/>
              </w:rPr>
              <w:t>3-</w:t>
            </w:r>
            <w:r>
              <w:rPr>
                <w:rFonts w:hint="eastAsia" w:cs="Times New Roman"/>
                <w:color w:val="auto"/>
                <w:highlight w:val="none"/>
                <w:lang w:val="en-US" w:eastAsia="zh-CN"/>
              </w:rPr>
              <w:t>18</w:t>
            </w:r>
            <w:r>
              <w:rPr>
                <w:rFonts w:hint="default" w:ascii="Times New Roman" w:hAnsi="Times New Roman" w:eastAsia="宋体" w:cs="Times New Roman"/>
                <w:color w:val="auto"/>
                <w:highlight w:val="none"/>
                <w:lang w:val="en-US" w:eastAsia="zh-CN"/>
              </w:rPr>
              <w:t>。</w:t>
            </w:r>
          </w:p>
          <w:p w14:paraId="759D41B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2" w:firstLineChars="20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default"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18</w:t>
            </w:r>
            <w:r>
              <w:rPr>
                <w:rFonts w:hint="default" w:ascii="Times New Roman" w:hAnsi="Times New Roman" w:eastAsia="宋体" w:cs="Times New Roman"/>
                <w:b/>
                <w:bCs/>
                <w:color w:val="auto"/>
                <w:sz w:val="21"/>
                <w:szCs w:val="21"/>
                <w:highlight w:val="none"/>
                <w:lang w:val="en-US" w:eastAsia="zh-CN"/>
              </w:rPr>
              <w:t>海德村项目生态保护目标一览表</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778"/>
              <w:gridCol w:w="1323"/>
              <w:gridCol w:w="3282"/>
              <w:gridCol w:w="1285"/>
              <w:gridCol w:w="1270"/>
            </w:tblGrid>
            <w:tr w14:paraId="3F03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Align w:val="center"/>
                </w:tcPr>
                <w:p w14:paraId="2FFEB07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eastAsia" w:ascii="Times New Roman" w:hAnsi="Times New Roman" w:cs="Times New Roman"/>
                      <w:b/>
                      <w:bCs/>
                      <w:color w:val="auto"/>
                      <w:sz w:val="21"/>
                      <w:szCs w:val="21"/>
                      <w:highlight w:val="none"/>
                      <w:vertAlign w:val="baseline"/>
                      <w:lang w:val="en-US" w:eastAsia="zh-CN"/>
                    </w:rPr>
                    <w:t>序号</w:t>
                  </w:r>
                </w:p>
              </w:tc>
              <w:tc>
                <w:tcPr>
                  <w:tcW w:w="1210" w:type="pct"/>
                  <w:gridSpan w:val="2"/>
                  <w:vAlign w:val="center"/>
                </w:tcPr>
                <w:p w14:paraId="25B4BCF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环境保护目标</w:t>
                  </w:r>
                </w:p>
              </w:tc>
              <w:tc>
                <w:tcPr>
                  <w:tcW w:w="1890" w:type="pct"/>
                  <w:vAlign w:val="center"/>
                </w:tcPr>
                <w:p w14:paraId="67D9E81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项目与环境保护目标的关系</w:t>
                  </w:r>
                </w:p>
              </w:tc>
              <w:tc>
                <w:tcPr>
                  <w:tcW w:w="740" w:type="pct"/>
                  <w:vAlign w:val="center"/>
                </w:tcPr>
                <w:p w14:paraId="2A26ECE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影响因素</w:t>
                  </w:r>
                </w:p>
              </w:tc>
              <w:tc>
                <w:tcPr>
                  <w:tcW w:w="731" w:type="pct"/>
                  <w:vAlign w:val="center"/>
                </w:tcPr>
                <w:p w14:paraId="73B6F42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保护要求</w:t>
                  </w:r>
                </w:p>
              </w:tc>
            </w:tr>
            <w:tr w14:paraId="4D05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Align w:val="center"/>
                </w:tcPr>
                <w:p w14:paraId="2296C61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1</w:t>
                  </w:r>
                </w:p>
              </w:tc>
              <w:tc>
                <w:tcPr>
                  <w:tcW w:w="1210" w:type="pct"/>
                  <w:gridSpan w:val="2"/>
                  <w:vAlign w:val="center"/>
                </w:tcPr>
                <w:p w14:paraId="00844A5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自然植被：暖温性针叶林、暖温性灌丛、暖温性稀树灌木草丛</w:t>
                  </w:r>
                </w:p>
              </w:tc>
              <w:tc>
                <w:tcPr>
                  <w:tcW w:w="1890" w:type="pct"/>
                  <w:vAlign w:val="center"/>
                </w:tcPr>
                <w:p w14:paraId="32F50AE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项目工程占地主要影响的自然植被类型为暖温性针叶林、暖温性灌丛以及暖温性稀树灌木草丛；项目占地外的评价区自然植被类型有暖温性针叶林、暖温性灌丛、暖温性稀树灌木草丛</w:t>
                  </w:r>
                </w:p>
              </w:tc>
              <w:tc>
                <w:tcPr>
                  <w:tcW w:w="740" w:type="pct"/>
                  <w:vAlign w:val="center"/>
                </w:tcPr>
                <w:p w14:paraId="2B6DCE5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项目工程占地、新建进场道路</w:t>
                  </w:r>
                </w:p>
              </w:tc>
              <w:tc>
                <w:tcPr>
                  <w:tcW w:w="731" w:type="pct"/>
                  <w:vAlign w:val="center"/>
                </w:tcPr>
                <w:p w14:paraId="0D6075B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保持评价区内生态系统稳定性和完整性</w:t>
                  </w:r>
                </w:p>
              </w:tc>
            </w:tr>
            <w:tr w14:paraId="05E15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427" w:type="pct"/>
                  <w:vAlign w:val="center"/>
                </w:tcPr>
                <w:p w14:paraId="1E474C5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2</w:t>
                  </w:r>
                </w:p>
              </w:tc>
              <w:tc>
                <w:tcPr>
                  <w:tcW w:w="1210" w:type="pct"/>
                  <w:gridSpan w:val="2"/>
                  <w:vAlign w:val="center"/>
                </w:tcPr>
                <w:p w14:paraId="068E751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野生植物资源（</w:t>
                  </w:r>
                  <w:r>
                    <w:rPr>
                      <w:rFonts w:hint="eastAsia" w:cs="Times New Roman"/>
                      <w:color w:val="auto"/>
                      <w:sz w:val="21"/>
                      <w:szCs w:val="21"/>
                      <w:highlight w:val="none"/>
                      <w:vertAlign w:val="baseline"/>
                      <w:lang w:val="en-US" w:eastAsia="zh-CN"/>
                    </w:rPr>
                    <w:t>200</w:t>
                  </w:r>
                  <w:r>
                    <w:rPr>
                      <w:rFonts w:hint="default" w:ascii="Times New Roman" w:hAnsi="Times New Roman" w:eastAsia="宋体" w:cs="Times New Roman"/>
                      <w:color w:val="auto"/>
                      <w:sz w:val="21"/>
                      <w:szCs w:val="21"/>
                      <w:highlight w:val="none"/>
                      <w:vertAlign w:val="baseline"/>
                      <w:lang w:val="en-US" w:eastAsia="zh-CN"/>
                    </w:rPr>
                    <w:t>种）</w:t>
                  </w:r>
                </w:p>
              </w:tc>
              <w:tc>
                <w:tcPr>
                  <w:tcW w:w="1890" w:type="pct"/>
                  <w:vAlign w:val="center"/>
                </w:tcPr>
                <w:p w14:paraId="636E0938">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评价区内不涉及国家及云南省重点保护植物，不涉及项目所在区域的特有物种及极小种群。</w:t>
                  </w:r>
                </w:p>
              </w:tc>
              <w:tc>
                <w:tcPr>
                  <w:tcW w:w="740" w:type="pct"/>
                  <w:vAlign w:val="center"/>
                </w:tcPr>
                <w:p w14:paraId="3CE8525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项目工程占地、新建进场道路</w:t>
                  </w:r>
                </w:p>
              </w:tc>
              <w:tc>
                <w:tcPr>
                  <w:tcW w:w="731" w:type="pct"/>
                  <w:vAlign w:val="center"/>
                </w:tcPr>
                <w:p w14:paraId="1BCD4E3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保护评价区内野生植物资源不受较大影响</w:t>
                  </w:r>
                </w:p>
              </w:tc>
            </w:tr>
            <w:tr w14:paraId="0C5B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Align w:val="center"/>
                </w:tcPr>
                <w:p w14:paraId="47E9144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cs="Times New Roman"/>
                      <w:color w:val="auto"/>
                      <w:sz w:val="21"/>
                      <w:szCs w:val="21"/>
                      <w:highlight w:val="none"/>
                      <w:vertAlign w:val="baseline"/>
                      <w:lang w:val="en-US" w:eastAsia="zh-CN"/>
                    </w:rPr>
                    <w:t>3</w:t>
                  </w:r>
                </w:p>
              </w:tc>
              <w:tc>
                <w:tcPr>
                  <w:tcW w:w="448" w:type="pct"/>
                  <w:vAlign w:val="center"/>
                </w:tcPr>
                <w:p w14:paraId="73F7A66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野生动物资源</w:t>
                  </w:r>
                </w:p>
              </w:tc>
              <w:tc>
                <w:tcPr>
                  <w:tcW w:w="762" w:type="pct"/>
                  <w:vAlign w:val="center"/>
                </w:tcPr>
                <w:p w14:paraId="466094BF">
                  <w:pPr>
                    <w:spacing w:line="240" w:lineRule="auto"/>
                    <w:ind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cs="Times New Roman"/>
                      <w:color w:val="auto"/>
                      <w:sz w:val="21"/>
                      <w:szCs w:val="21"/>
                    </w:rPr>
                    <w:t>重要物种：</w:t>
                  </w:r>
                  <w:r>
                    <w:rPr>
                      <w:rStyle w:val="54"/>
                      <w:rFonts w:hint="default" w:ascii="Times New Roman" w:hAnsi="Times New Roman" w:cs="Times New Roman"/>
                      <w:color w:val="auto"/>
                      <w:sz w:val="21"/>
                      <w:szCs w:val="21"/>
                      <w:lang w:bidi="ar"/>
                    </w:rPr>
                    <w:t>豹猫、猕猴、白腹锦鸡、领鸺鹠、草鸮、黑鸢、普通鵟、黑翅鸢、松雀鹰</w:t>
                  </w:r>
                </w:p>
              </w:tc>
              <w:tc>
                <w:tcPr>
                  <w:tcW w:w="1890" w:type="pct"/>
                  <w:vAlign w:val="center"/>
                </w:tcPr>
                <w:p w14:paraId="3DD8534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项目生态影响评价区内</w:t>
                  </w:r>
                </w:p>
              </w:tc>
              <w:tc>
                <w:tcPr>
                  <w:tcW w:w="740" w:type="pct"/>
                  <w:vAlign w:val="center"/>
                </w:tcPr>
                <w:p w14:paraId="504B0EF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项目工程占地、新建进场道路；运行过程中风机转动；风机检修、管理等活动</w:t>
                  </w:r>
                </w:p>
              </w:tc>
              <w:tc>
                <w:tcPr>
                  <w:tcW w:w="731" w:type="pct"/>
                  <w:vAlign w:val="center"/>
                </w:tcPr>
                <w:p w14:paraId="062FD9EC">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保护评价区内野生动物资源不受工程建设和运行的较大影响</w:t>
                  </w:r>
                </w:p>
              </w:tc>
            </w:tr>
          </w:tbl>
          <w:p w14:paraId="569C2AA5">
            <w:pPr>
              <w:pStyle w:val="19"/>
              <w:keepNext w:val="0"/>
              <w:keepLines w:val="0"/>
              <w:pageBreakBefore w:val="0"/>
              <w:widowControl w:val="0"/>
              <w:numPr>
                <w:ilvl w:val="0"/>
                <w:numId w:val="0"/>
              </w:numPr>
              <w:kinsoku/>
              <w:wordWrap/>
              <w:overflowPunct/>
              <w:topLinePunct w:val="0"/>
              <w:autoSpaceDE/>
              <w:autoSpaceDN/>
              <w:bidi w:val="0"/>
              <w:adjustRightInd w:val="0"/>
              <w:snapToGrid w:val="0"/>
              <w:spacing w:after="0"/>
              <w:ind w:firstLine="480" w:firstLineChars="200"/>
              <w:textAlignment w:val="auto"/>
              <w:rPr>
                <w:rFonts w:hint="eastAsia"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3</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大气环境</w:t>
            </w:r>
          </w:p>
          <w:p w14:paraId="3F78FCCF">
            <w:pPr>
              <w:keepNext w:val="0"/>
              <w:keepLines w:val="0"/>
              <w:pageBreakBefore w:val="0"/>
              <w:widowControl w:val="0"/>
              <w:kinsoku/>
              <w:wordWrap/>
              <w:overflowPunct/>
              <w:topLinePunct w:val="0"/>
              <w:autoSpaceDE/>
              <w:autoSpaceDN/>
              <w:bidi w:val="0"/>
              <w:adjustRightInd w:val="0"/>
              <w:snapToGrid w:val="0"/>
              <w:textAlignment w:val="auto"/>
              <w:rPr>
                <w:rFonts w:hint="default"/>
                <w:color w:val="auto"/>
                <w:highlight w:val="none"/>
                <w:lang w:val="en-US" w:eastAsia="zh-CN"/>
              </w:rPr>
            </w:pPr>
            <w:r>
              <w:rPr>
                <w:rFonts w:hint="eastAsia"/>
                <w:color w:val="auto"/>
                <w:highlight w:val="none"/>
                <w:lang w:val="en-US" w:eastAsia="zh-CN"/>
              </w:rPr>
              <w:t>项目用地范围外延500m范围内无居民居住区，不存在大气环境保护目标。</w:t>
            </w:r>
          </w:p>
          <w:p w14:paraId="4A87366C">
            <w:pPr>
              <w:pStyle w:val="19"/>
              <w:keepNext w:val="0"/>
              <w:keepLines w:val="0"/>
              <w:pageBreakBefore w:val="0"/>
              <w:widowControl w:val="0"/>
              <w:numPr>
                <w:ilvl w:val="0"/>
                <w:numId w:val="0"/>
              </w:numPr>
              <w:kinsoku/>
              <w:wordWrap/>
              <w:overflowPunct/>
              <w:topLinePunct w:val="0"/>
              <w:autoSpaceDE/>
              <w:autoSpaceDN/>
              <w:bidi w:val="0"/>
              <w:adjustRightInd w:val="0"/>
              <w:snapToGrid w:val="0"/>
              <w:spacing w:after="0"/>
              <w:ind w:left="0" w:leftChars="0" w:firstLine="480" w:firstLineChars="200"/>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4</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highlight w:val="none"/>
                <w:lang w:val="en-US" w:eastAsia="zh-CN"/>
              </w:rPr>
              <w:t>声环境</w:t>
            </w:r>
          </w:p>
          <w:p w14:paraId="4EA497DC">
            <w:pPr>
              <w:keepNext w:val="0"/>
              <w:keepLines w:val="0"/>
              <w:pageBreakBefore w:val="0"/>
              <w:widowControl w:val="0"/>
              <w:kinsoku/>
              <w:wordWrap/>
              <w:overflowPunct/>
              <w:topLinePunct w:val="0"/>
              <w:autoSpaceDE/>
              <w:autoSpaceDN/>
              <w:bidi w:val="0"/>
              <w:adjustRightInd w:val="0"/>
              <w:snapToGrid w:val="0"/>
              <w:textAlignment w:val="auto"/>
              <w:rPr>
                <w:rFonts w:hint="eastAsia"/>
                <w:color w:val="auto"/>
                <w:highlight w:val="none"/>
                <w:lang w:val="en-US" w:eastAsia="zh-CN"/>
              </w:rPr>
            </w:pPr>
            <w:r>
              <w:rPr>
                <w:rFonts w:hint="eastAsia"/>
                <w:color w:val="auto"/>
                <w:highlight w:val="none"/>
                <w:lang w:val="en-US" w:eastAsia="zh-CN"/>
              </w:rPr>
              <w:t>项目用地范围外延700m范围内无居民居住区，不存在声环境保护目标。</w:t>
            </w:r>
          </w:p>
          <w:p w14:paraId="4A618FA8">
            <w:pPr>
              <w:pStyle w:val="19"/>
              <w:keepNext w:val="0"/>
              <w:keepLines w:val="0"/>
              <w:pageBreakBefore w:val="0"/>
              <w:widowControl w:val="0"/>
              <w:numPr>
                <w:ilvl w:val="0"/>
                <w:numId w:val="0"/>
              </w:numPr>
              <w:kinsoku/>
              <w:wordWrap/>
              <w:overflowPunct/>
              <w:topLinePunct w:val="0"/>
              <w:autoSpaceDE/>
              <w:autoSpaceDN/>
              <w:bidi w:val="0"/>
              <w:adjustRightInd w:val="0"/>
              <w:snapToGrid w:val="0"/>
              <w:spacing w:after="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5</w:t>
            </w:r>
            <w:r>
              <w:rPr>
                <w:rFonts w:hint="default" w:ascii="Times New Roman" w:hAnsi="Times New Roman" w:eastAsia="宋体" w:cs="Times New Roman"/>
                <w:color w:val="auto"/>
                <w:highlight w:val="none"/>
                <w:lang w:val="en-US" w:eastAsia="zh-CN"/>
              </w:rPr>
              <w:t>）</w:t>
            </w:r>
            <w:r>
              <w:rPr>
                <w:rFonts w:hint="eastAsia" w:cs="Times New Roman"/>
                <w:color w:val="auto"/>
                <w:highlight w:val="none"/>
                <w:lang w:val="en-US" w:eastAsia="zh-CN"/>
              </w:rPr>
              <w:t>地表水环境</w:t>
            </w:r>
          </w:p>
          <w:p w14:paraId="4E0EF744">
            <w:pPr>
              <w:keepNext w:val="0"/>
              <w:keepLines w:val="0"/>
              <w:pageBreakBefore w:val="0"/>
              <w:widowControl w:val="0"/>
              <w:kinsoku/>
              <w:wordWrap/>
              <w:overflowPunct/>
              <w:topLinePunct w:val="0"/>
              <w:autoSpaceDE/>
              <w:autoSpaceDN/>
              <w:bidi w:val="0"/>
              <w:adjustRightInd w:val="0"/>
              <w:snapToGrid w:val="0"/>
              <w:textAlignment w:val="auto"/>
              <w:rPr>
                <w:rFonts w:hint="eastAsia"/>
                <w:color w:val="auto"/>
                <w:highlight w:val="none"/>
                <w:lang w:val="en-US" w:eastAsia="zh-CN"/>
              </w:rPr>
            </w:pPr>
            <w:r>
              <w:rPr>
                <w:rFonts w:hint="eastAsia"/>
                <w:color w:val="auto"/>
                <w:highlight w:val="none"/>
                <w:lang w:val="en-US" w:eastAsia="zh-CN"/>
              </w:rPr>
              <w:t>项目用地范围外延500m范围内无“千吨万人”饮用水源保护地，距离最近风机#576m处存在多着河，属于牛栏江支流。</w:t>
            </w:r>
          </w:p>
          <w:p w14:paraId="07384F64">
            <w:pPr>
              <w:keepNext w:val="0"/>
              <w:keepLines w:val="0"/>
              <w:pageBreakBefore w:val="0"/>
              <w:widowControl w:val="0"/>
              <w:kinsoku/>
              <w:wordWrap/>
              <w:overflowPunct/>
              <w:topLinePunct w:val="0"/>
              <w:autoSpaceDE/>
              <w:autoSpaceDN/>
              <w:bidi w:val="0"/>
              <w:adjustRightInd w:val="0"/>
              <w:snapToGrid w:val="0"/>
              <w:textAlignment w:val="auto"/>
              <w:rPr>
                <w:rFonts w:hint="eastAsia"/>
                <w:color w:val="auto"/>
                <w:highlight w:val="none"/>
                <w:lang w:val="en-US" w:eastAsia="zh-CN"/>
              </w:rPr>
            </w:pPr>
            <w:r>
              <w:rPr>
                <w:rFonts w:hint="eastAsia"/>
                <w:color w:val="auto"/>
                <w:highlight w:val="none"/>
                <w:lang w:val="en-US" w:eastAsia="zh-CN"/>
              </w:rPr>
              <w:t>（6）永久基本农田</w:t>
            </w:r>
          </w:p>
          <w:p w14:paraId="3AAB199E">
            <w:pPr>
              <w:keepNext w:val="0"/>
              <w:keepLines w:val="0"/>
              <w:pageBreakBefore w:val="0"/>
              <w:widowControl w:val="0"/>
              <w:kinsoku/>
              <w:wordWrap/>
              <w:overflowPunct/>
              <w:topLinePunct w:val="0"/>
              <w:autoSpaceDE/>
              <w:autoSpaceDN/>
              <w:bidi w:val="0"/>
              <w:adjustRightInd w:val="0"/>
              <w:snapToGrid w:val="0"/>
              <w:textAlignment w:val="auto"/>
              <w:rPr>
                <w:rFonts w:hint="eastAsia" w:eastAsia="宋体"/>
                <w:color w:val="auto"/>
                <w:highlight w:val="none"/>
                <w:lang w:val="en-US" w:eastAsia="zh-CN"/>
              </w:rPr>
            </w:pPr>
            <w:r>
              <w:rPr>
                <w:rFonts w:hint="eastAsia" w:eastAsia="宋体"/>
                <w:color w:val="auto"/>
                <w:highlight w:val="none"/>
                <w:lang w:val="en-US" w:eastAsia="zh-CN"/>
              </w:rPr>
              <w:t>项目施工期A1风机南侧集电线路填埋区域紧邻永久基本农田，已严格避让，全部布设于非基本农田范围内。</w:t>
            </w:r>
          </w:p>
        </w:tc>
      </w:tr>
      <w:tr w14:paraId="21503F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456" w:type="dxa"/>
            <w:noWrap w:val="0"/>
            <w:vAlign w:val="center"/>
          </w:tcPr>
          <w:p w14:paraId="3759F418">
            <w:pPr>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评价</w:t>
            </w:r>
          </w:p>
          <w:p w14:paraId="64455A41">
            <w:pPr>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标准</w:t>
            </w:r>
          </w:p>
        </w:tc>
        <w:tc>
          <w:tcPr>
            <w:tcW w:w="8910" w:type="dxa"/>
            <w:noWrap w:val="0"/>
            <w:vAlign w:val="center"/>
          </w:tcPr>
          <w:p w14:paraId="39D65F6F">
            <w:pPr>
              <w:keepNext w:val="0"/>
              <w:keepLines w:val="0"/>
              <w:pageBreakBefore w:val="0"/>
              <w:numPr>
                <w:ilvl w:val="0"/>
                <w:numId w:val="0"/>
              </w:numPr>
              <w:kinsoku/>
              <w:wordWrap/>
              <w:overflowPunct/>
              <w:topLinePunct w:val="0"/>
              <w:autoSpaceDE/>
              <w:autoSpaceDN/>
              <w:bidi w:val="0"/>
              <w:adjustRightInd w:val="0"/>
              <w:snapToGrid w:val="0"/>
              <w:spacing w:line="360" w:lineRule="auto"/>
              <w:ind w:left="0" w:leftChars="0" w:firstLine="0" w:firstLineChars="0"/>
              <w:textAlignment w:val="auto"/>
              <w:rPr>
                <w:rFonts w:hint="default" w:ascii="Times New Roman" w:hAnsi="Times New Roman" w:eastAsia="宋体" w:cs="Times New Roman"/>
                <w:b/>
                <w:bCs/>
                <w:color w:val="auto"/>
                <w:kern w:val="0"/>
                <w:sz w:val="24"/>
                <w:szCs w:val="24"/>
                <w:highlight w:val="none"/>
                <w:lang w:val="en-US" w:eastAsia="zh-CN"/>
              </w:rPr>
            </w:pPr>
            <w:r>
              <w:rPr>
                <w:rFonts w:hint="eastAsia" w:cs="Times New Roman"/>
                <w:b/>
                <w:bCs/>
                <w:color w:val="auto"/>
                <w:kern w:val="0"/>
                <w:sz w:val="24"/>
                <w:szCs w:val="24"/>
                <w:highlight w:val="none"/>
                <w:lang w:val="en-US" w:eastAsia="zh-CN"/>
              </w:rPr>
              <w:t>1.</w:t>
            </w:r>
            <w:r>
              <w:rPr>
                <w:rFonts w:hint="default" w:ascii="Times New Roman" w:hAnsi="Times New Roman" w:eastAsia="宋体" w:cs="Times New Roman"/>
                <w:b/>
                <w:bCs/>
                <w:color w:val="auto"/>
                <w:kern w:val="0"/>
                <w:sz w:val="24"/>
                <w:szCs w:val="24"/>
                <w:highlight w:val="none"/>
                <w:lang w:val="en-US" w:eastAsia="zh-CN"/>
              </w:rPr>
              <w:t>环境质量标准</w:t>
            </w:r>
          </w:p>
          <w:p w14:paraId="5BB8548D">
            <w:pPr>
              <w:pStyle w:val="19"/>
              <w:numPr>
                <w:ilvl w:val="0"/>
                <w:numId w:val="0"/>
              </w:num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（1）环境空气质量标准</w:t>
            </w:r>
          </w:p>
          <w:p w14:paraId="66661FAE">
            <w:pPr>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本项目位于宣威市海德村，根据《环境空气质量标准》（GB3095-20</w:t>
            </w:r>
            <w:r>
              <w:rPr>
                <w:rFonts w:hint="eastAsia" w:cs="Times New Roman"/>
                <w:color w:val="auto"/>
                <w:highlight w:val="none"/>
                <w:lang w:val="en-US" w:eastAsia="zh-CN"/>
              </w:rPr>
              <w:t>26</w:t>
            </w:r>
            <w:r>
              <w:rPr>
                <w:rFonts w:hint="default" w:ascii="Times New Roman" w:hAnsi="Times New Roman" w:cs="Times New Roman"/>
                <w:color w:val="auto"/>
                <w:highlight w:val="none"/>
                <w:lang w:val="en-US" w:eastAsia="zh-CN"/>
              </w:rPr>
              <w:t>），项目所在区域不涉及自然保护区、风景名胜区和其他需要特殊保护的区域。因此，本项目执行《环境空气质量标准》（GB3095-20</w:t>
            </w:r>
            <w:r>
              <w:rPr>
                <w:rFonts w:hint="eastAsia" w:cs="Times New Roman"/>
                <w:color w:val="auto"/>
                <w:highlight w:val="none"/>
                <w:lang w:val="en-US" w:eastAsia="zh-CN"/>
              </w:rPr>
              <w:t>26</w:t>
            </w:r>
            <w:r>
              <w:rPr>
                <w:rFonts w:hint="default" w:ascii="Times New Roman" w:hAnsi="Times New Roman" w:cs="Times New Roman"/>
                <w:color w:val="auto"/>
                <w:highlight w:val="none"/>
                <w:lang w:val="en-US" w:eastAsia="zh-CN"/>
              </w:rPr>
              <w:t>）中的二级标准，标准值详见表</w:t>
            </w:r>
            <w:r>
              <w:rPr>
                <w:rFonts w:hint="eastAsia" w:cs="Times New Roman"/>
                <w:color w:val="auto"/>
                <w:highlight w:val="none"/>
                <w:lang w:val="en-US" w:eastAsia="zh-CN"/>
              </w:rPr>
              <w:t>3-19</w:t>
            </w:r>
            <w:r>
              <w:rPr>
                <w:rFonts w:hint="default" w:ascii="Times New Roman" w:hAnsi="Times New Roman" w:cs="Times New Roman"/>
                <w:color w:val="auto"/>
                <w:highlight w:val="none"/>
                <w:lang w:val="en-US" w:eastAsia="zh-CN"/>
              </w:rPr>
              <w:t>。</w:t>
            </w:r>
          </w:p>
          <w:p w14:paraId="71BFDAA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3-19</w:t>
            </w:r>
            <w:r>
              <w:rPr>
                <w:rFonts w:hint="default" w:ascii="Times New Roman" w:hAnsi="Times New Roman" w:eastAsia="宋体" w:cs="Times New Roman"/>
                <w:b/>
                <w:bCs/>
                <w:color w:val="auto"/>
                <w:sz w:val="21"/>
                <w:szCs w:val="21"/>
                <w:highlight w:val="none"/>
                <w:lang w:val="en-US" w:eastAsia="zh-CN"/>
              </w:rPr>
              <w:t>环境空气质量标准浓度限值</w:t>
            </w:r>
            <w:r>
              <w:rPr>
                <w:rFonts w:hint="eastAsia" w:cs="Times New Roman"/>
                <w:b/>
                <w:bCs/>
                <w:color w:val="auto"/>
                <w:sz w:val="21"/>
                <w:szCs w:val="21"/>
                <w:highlight w:val="none"/>
                <w:lang w:val="en-US" w:eastAsia="zh-CN"/>
              </w:rPr>
              <w:t>（过渡阶段</w:t>
            </w:r>
            <w:r>
              <w:rPr>
                <w:rFonts w:hint="default" w:ascii="Times New Roman" w:hAnsi="Times New Roman" w:eastAsia="宋体" w:cs="Times New Roman"/>
                <w:b/>
                <w:bCs/>
                <w:color w:val="auto"/>
                <w:sz w:val="21"/>
                <w:szCs w:val="21"/>
                <w:highlight w:val="none"/>
                <w:lang w:val="en-US" w:eastAsia="zh-CN"/>
              </w:rPr>
              <w:t>浓度限值</w:t>
            </w:r>
            <w:r>
              <w:rPr>
                <w:rFonts w:hint="eastAsia" w:cs="Times New Roman"/>
                <w:b/>
                <w:bCs/>
                <w:color w:val="auto"/>
                <w:sz w:val="21"/>
                <w:szCs w:val="21"/>
                <w:highlight w:val="none"/>
                <w:lang w:val="en-US" w:eastAsia="zh-CN"/>
              </w:rPr>
              <w:t>）</w:t>
            </w:r>
          </w:p>
          <w:tbl>
            <w:tblPr>
              <w:tblStyle w:val="2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30"/>
              <w:gridCol w:w="1896"/>
              <w:gridCol w:w="1896"/>
              <w:gridCol w:w="1232"/>
              <w:gridCol w:w="1037"/>
            </w:tblGrid>
            <w:tr w14:paraId="359F1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7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D288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污染物项目</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7869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平均时间</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7E6718E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eastAsia" w:cs="Times New Roman"/>
                      <w:i w:val="0"/>
                      <w:iCs w:val="0"/>
                      <w:color w:val="auto"/>
                      <w:kern w:val="0"/>
                      <w:sz w:val="21"/>
                      <w:szCs w:val="21"/>
                      <w:highlight w:val="none"/>
                      <w:u w:val="none"/>
                      <w:lang w:val="en-US" w:eastAsia="zh-CN" w:bidi="ar"/>
                    </w:rPr>
                    <w:t>过渡阶段</w:t>
                  </w:r>
                  <w:r>
                    <w:rPr>
                      <w:rFonts w:hint="default" w:ascii="Times New Roman" w:hAnsi="Times New Roman" w:eastAsia="宋体" w:cs="Times New Roman"/>
                      <w:i w:val="0"/>
                      <w:iCs w:val="0"/>
                      <w:color w:val="auto"/>
                      <w:kern w:val="0"/>
                      <w:sz w:val="21"/>
                      <w:szCs w:val="21"/>
                      <w:highlight w:val="none"/>
                      <w:u w:val="none"/>
                      <w:lang w:val="en-US" w:eastAsia="zh-CN" w:bidi="ar"/>
                    </w:rPr>
                    <w:t>浓度限值</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E42EC6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浓度限值</w:t>
                  </w:r>
                </w:p>
              </w:tc>
              <w:tc>
                <w:tcPr>
                  <w:tcW w:w="8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7E5F">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单位</w:t>
                  </w:r>
                </w:p>
              </w:tc>
            </w:tr>
            <w:tr w14:paraId="665C4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F01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二氧化硫（SO</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90B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年平均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E5C815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EC49EAD">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w:t>
                  </w:r>
                </w:p>
              </w:tc>
              <w:tc>
                <w:tcPr>
                  <w:tcW w:w="8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A2A1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μg/m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p>
              </w:tc>
            </w:tr>
            <w:tr w14:paraId="77DA5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DB8C">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39A8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7C0089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1A59DCC">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5FB28">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70293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39879">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709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小时平均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32731A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6017638">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38C98">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0E19E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C3F1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二氧化氮（NO</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32A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年平均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A8A6FD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1F1BE9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CAA74">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0A01F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23E0">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392D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28F1C22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1A5ECA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3E034">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3744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A97F">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91F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小时平均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CABC9D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9B1DA13">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200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E74B">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532DC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0E6FC">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可吸入颗粒物（PM</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10</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82A7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年平均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BBBB5E1">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kern w:val="2"/>
                      <w:sz w:val="21"/>
                      <w:szCs w:val="21"/>
                      <w:highlight w:val="none"/>
                      <w:lang w:val="en-US" w:eastAsia="en-US" w:bidi="ar-SA"/>
                    </w:rPr>
                  </w:pPr>
                  <w:r>
                    <w:rPr>
                      <w:rFonts w:hint="eastAsia" w:cs="Times New Roman"/>
                      <w:color w:val="auto"/>
                      <w:highlight w:val="none"/>
                      <w:lang w:val="en-US" w:eastAsia="zh-CN"/>
                    </w:rPr>
                    <w:t>60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086C74F">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00FD5">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48D5A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D4D23">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C562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B27C66D">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2</w:t>
                  </w:r>
                  <w:r>
                    <w:rPr>
                      <w:rFonts w:hint="default" w:ascii="Times New Roman" w:hAnsi="Times New Roman" w:eastAsia="宋体" w:cs="Times New Roman"/>
                      <w:color w:val="auto"/>
                      <w:highlight w:val="none"/>
                      <w:lang w:val="en-US" w:eastAsia="zh-CN"/>
                    </w:rPr>
                    <w:t>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936BC4F">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878F">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6B01F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6E8B1">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可吸入颗粒物（PM</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2.5</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752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年平均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5200E9D">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kern w:val="2"/>
                      <w:sz w:val="21"/>
                      <w:szCs w:val="21"/>
                      <w:highlight w:val="none"/>
                      <w:lang w:val="en-US" w:eastAsia="en-US" w:bidi="ar-SA"/>
                    </w:rPr>
                  </w:pPr>
                  <w:r>
                    <w:rPr>
                      <w:rFonts w:hint="eastAsia" w:cs="Times New Roman"/>
                      <w:color w:val="auto"/>
                      <w:highlight w:val="none"/>
                      <w:lang w:val="en-US" w:eastAsia="zh-CN"/>
                    </w:rPr>
                    <w:t>30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A1BBB60">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25</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04D7">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1BED3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3BEE8">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AE3D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6A9966B4">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kern w:val="2"/>
                      <w:sz w:val="21"/>
                      <w:szCs w:val="21"/>
                      <w:highlight w:val="none"/>
                      <w:lang w:val="en-US" w:eastAsia="en-US" w:bidi="ar-SA"/>
                    </w:rPr>
                  </w:pPr>
                  <w:r>
                    <w:rPr>
                      <w:rFonts w:hint="eastAsia" w:cs="Times New Roman"/>
                      <w:color w:val="auto"/>
                      <w:highlight w:val="none"/>
                      <w:lang w:val="en-US" w:eastAsia="zh-CN"/>
                    </w:rPr>
                    <w:t>60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67EA080">
                  <w:pPr>
                    <w:keepNext w:val="0"/>
                    <w:keepLines w:val="0"/>
                    <w:pageBreakBefore w:val="0"/>
                    <w:widowControl/>
                    <w:suppressLineNumbers w:val="0"/>
                    <w:kinsoku/>
                    <w:wordWrap/>
                    <w:overflowPunct/>
                    <w:topLinePunct w:val="0"/>
                    <w:autoSpaceDE/>
                    <w:autoSpaceDN/>
                    <w:bidi w:val="0"/>
                    <w:ind w:firstLine="0" w:firstLineChars="0"/>
                    <w:jc w:val="center"/>
                    <w:textAlignment w:val="center"/>
                    <w:rPr>
                      <w:rFonts w:hint="eastAsia"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EE101">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012BC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5061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总悬浮颗粒物（TSP）</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3D55">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年平均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2BA9115">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highlight w:val="none"/>
                      <w:lang w:val="en-US" w:eastAsia="zh-CN"/>
                    </w:rPr>
                    <w:t>200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073F025">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7E09">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438E5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A480">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165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7B9D4A70">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kern w:val="2"/>
                      <w:sz w:val="21"/>
                      <w:szCs w:val="21"/>
                      <w:highlight w:val="none"/>
                      <w:lang w:val="en-US" w:eastAsia="en-US" w:bidi="ar-SA"/>
                    </w:rPr>
                  </w:pPr>
                  <w:r>
                    <w:rPr>
                      <w:rFonts w:hint="default" w:ascii="Times New Roman" w:hAnsi="Times New Roman" w:eastAsia="宋体" w:cs="Times New Roman"/>
                      <w:color w:val="auto"/>
                      <w:highlight w:val="none"/>
                      <w:lang w:val="en-US" w:eastAsia="zh-CN"/>
                    </w:rPr>
                    <w:t>300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03EDD8C">
                  <w:pPr>
                    <w:pStyle w:val="28"/>
                    <w:keepNext w:val="0"/>
                    <w:keepLines w:val="0"/>
                    <w:pageBreakBefore w:val="0"/>
                    <w:widowControl/>
                    <w:suppressLineNumbers w:val="0"/>
                    <w:kinsoku/>
                    <w:wordWrap/>
                    <w:overflowPunct/>
                    <w:topLinePunct w:val="0"/>
                    <w:autoSpaceDE/>
                    <w:autoSpaceDN/>
                    <w:bidi w:val="0"/>
                    <w:adjustRightInd w:val="0"/>
                    <w:snapToGrid w:val="0"/>
                    <w:ind w:firstLine="0" w:firstLineChars="0"/>
                    <w:jc w:val="center"/>
                    <w:textAlignment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5A930">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221DC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5A4F6">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臭氧</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0E1D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日最大8小时平均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4AB39BB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6092C53A">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160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49E00">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5BC17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CFF2">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EF6C4">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小时平均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3AE772F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145A098">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200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DB755">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20862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DAA3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一氧化碳</w:t>
                  </w: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683E">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日平均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12BDBF3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72D5CA2">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4</w:t>
                  </w:r>
                </w:p>
              </w:tc>
              <w:tc>
                <w:tcPr>
                  <w:tcW w:w="8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BD0B">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mg/m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3</w:t>
                  </w:r>
                </w:p>
              </w:tc>
            </w:tr>
            <w:tr w14:paraId="3D13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7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19915">
                  <w:pPr>
                    <w:spacing w:line="240" w:lineRule="auto"/>
                    <w:jc w:val="center"/>
                    <w:rPr>
                      <w:rFonts w:hint="default" w:ascii="Times New Roman" w:hAnsi="Times New Roman" w:eastAsia="宋体" w:cs="Times New Roman"/>
                      <w:i w:val="0"/>
                      <w:iCs w:val="0"/>
                      <w:color w:val="auto"/>
                      <w:sz w:val="21"/>
                      <w:szCs w:val="21"/>
                      <w:highlight w:val="none"/>
                      <w:u w:val="none"/>
                    </w:rPr>
                  </w:pPr>
                </w:p>
              </w:tc>
              <w:tc>
                <w:tcPr>
                  <w:tcW w:w="7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194E0">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小时平均</w:t>
                  </w:r>
                </w:p>
              </w:tc>
              <w:tc>
                <w:tcPr>
                  <w:tcW w:w="654" w:type="pct"/>
                  <w:tcBorders>
                    <w:top w:val="single" w:color="000000" w:sz="4" w:space="0"/>
                    <w:left w:val="single" w:color="000000" w:sz="4" w:space="0"/>
                    <w:bottom w:val="single" w:color="000000" w:sz="4" w:space="0"/>
                    <w:right w:val="single" w:color="auto" w:sz="4" w:space="0"/>
                  </w:tcBorders>
                  <w:shd w:val="clear" w:color="auto" w:fill="auto"/>
                  <w:noWrap/>
                  <w:vAlign w:val="center"/>
                </w:tcPr>
                <w:p w14:paraId="50B74029">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979"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11277ACD">
                  <w:pPr>
                    <w:keepNext w:val="0"/>
                    <w:keepLines w:val="0"/>
                    <w:widowControl/>
                    <w:suppressLineNumbers w:val="0"/>
                    <w:spacing w:line="240" w:lineRule="auto"/>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10</w:t>
                  </w:r>
                </w:p>
              </w:tc>
              <w:tc>
                <w:tcPr>
                  <w:tcW w:w="8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99A59">
                  <w:pPr>
                    <w:spacing w:line="240" w:lineRule="auto"/>
                    <w:jc w:val="center"/>
                    <w:rPr>
                      <w:rFonts w:hint="default" w:ascii="Times New Roman" w:hAnsi="Times New Roman" w:eastAsia="宋体" w:cs="Times New Roman"/>
                      <w:i w:val="0"/>
                      <w:iCs w:val="0"/>
                      <w:color w:val="auto"/>
                      <w:sz w:val="21"/>
                      <w:szCs w:val="21"/>
                      <w:highlight w:val="none"/>
                      <w:u w:val="none"/>
                    </w:rPr>
                  </w:pPr>
                </w:p>
              </w:tc>
            </w:tr>
            <w:tr w14:paraId="16B57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3D5A">
                  <w:pPr>
                    <w:spacing w:line="240" w:lineRule="auto"/>
                    <w:jc w:val="center"/>
                    <w:rPr>
                      <w:rFonts w:hint="default" w:ascii="Times New Roman" w:hAnsi="Times New Roman" w:eastAsia="宋体"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eastAsia="zh-CN"/>
                    </w:rPr>
                    <w:t>过渡期执行期限：</w:t>
                  </w:r>
                  <w:r>
                    <w:rPr>
                      <w:rFonts w:hint="eastAsia" w:cs="Times New Roman"/>
                      <w:i w:val="0"/>
                      <w:iCs w:val="0"/>
                      <w:color w:val="auto"/>
                      <w:sz w:val="21"/>
                      <w:szCs w:val="21"/>
                      <w:highlight w:val="none"/>
                      <w:u w:val="none"/>
                      <w:lang w:val="en-US" w:eastAsia="zh-CN"/>
                    </w:rPr>
                    <w:t>2026年3月1日起至2030年12月31日止。</w:t>
                  </w:r>
                </w:p>
              </w:tc>
            </w:tr>
          </w:tbl>
          <w:p w14:paraId="1AFA31A3">
            <w:pPr>
              <w:pStyle w:val="18"/>
              <w:numPr>
                <w:ilvl w:val="0"/>
                <w:numId w:val="0"/>
              </w:numPr>
              <w:ind w:right="113"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（2）声环境</w:t>
            </w:r>
          </w:p>
          <w:p w14:paraId="1A5555F1">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项目所在区域声环境执行《声环境质量标准》（GB3096-2008）中的</w:t>
            </w: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类标准，见表</w:t>
            </w:r>
            <w:r>
              <w:rPr>
                <w:rFonts w:hint="eastAsia" w:cs="Times New Roman"/>
                <w:color w:val="auto"/>
                <w:highlight w:val="none"/>
                <w:lang w:val="en-US" w:eastAsia="zh-CN"/>
              </w:rPr>
              <w:t>3-20</w:t>
            </w:r>
            <w:r>
              <w:rPr>
                <w:rFonts w:hint="default" w:ascii="Times New Roman" w:hAnsi="Times New Roman" w:eastAsia="宋体" w:cs="Times New Roman"/>
                <w:color w:val="auto"/>
                <w:highlight w:val="none"/>
                <w:lang w:val="en-US" w:eastAsia="zh-CN"/>
              </w:rPr>
              <w:t>。</w:t>
            </w:r>
          </w:p>
          <w:p w14:paraId="449D03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ascii="Times New Roman" w:hAnsi="Times New Roman" w:eastAsia="宋体"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20</w:t>
            </w:r>
            <w:r>
              <w:rPr>
                <w:rFonts w:hint="default" w:ascii="Times New Roman" w:hAnsi="Times New Roman" w:eastAsia="宋体" w:cs="Times New Roman"/>
                <w:b/>
                <w:bCs/>
                <w:color w:val="auto"/>
                <w:sz w:val="21"/>
                <w:szCs w:val="21"/>
                <w:highlight w:val="none"/>
                <w:lang w:val="en-US" w:eastAsia="zh-CN"/>
              </w:rPr>
              <w:t>现状环境噪声限值</w:t>
            </w:r>
            <w:r>
              <w:rPr>
                <w:rFonts w:hint="eastAsia"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单位：dB（A）</w:t>
            </w:r>
          </w:p>
          <w:tbl>
            <w:tblPr>
              <w:tblStyle w:val="2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52"/>
              <w:gridCol w:w="2429"/>
              <w:gridCol w:w="1454"/>
              <w:gridCol w:w="1457"/>
            </w:tblGrid>
            <w:tr w14:paraId="64C8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92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B76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适用区域</w:t>
                  </w:r>
                </w:p>
              </w:tc>
              <w:tc>
                <w:tcPr>
                  <w:tcW w:w="139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F9BB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声环境功能区划</w:t>
                  </w:r>
                </w:p>
              </w:tc>
              <w:tc>
                <w:tcPr>
                  <w:tcW w:w="16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D264">
                  <w:pPr>
                    <w:keepNext w:val="0"/>
                    <w:keepLines w:val="0"/>
                    <w:widowControl/>
                    <w:suppressLineNumbers w:val="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等效升级Leq</w:t>
                  </w:r>
                </w:p>
              </w:tc>
            </w:tr>
            <w:tr w14:paraId="31A2A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92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71607">
                  <w:pPr>
                    <w:jc w:val="center"/>
                    <w:rPr>
                      <w:rFonts w:hint="default" w:ascii="Times New Roman" w:hAnsi="Times New Roman" w:eastAsia="宋体" w:cs="Times New Roman"/>
                      <w:i w:val="0"/>
                      <w:iCs w:val="0"/>
                      <w:color w:val="auto"/>
                      <w:sz w:val="22"/>
                      <w:szCs w:val="22"/>
                      <w:highlight w:val="none"/>
                      <w:u w:val="none"/>
                    </w:rPr>
                  </w:pPr>
                </w:p>
              </w:tc>
              <w:tc>
                <w:tcPr>
                  <w:tcW w:w="139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D154">
                  <w:pPr>
                    <w:jc w:val="center"/>
                    <w:rPr>
                      <w:rFonts w:hint="default" w:ascii="Times New Roman" w:hAnsi="Times New Roman" w:eastAsia="宋体" w:cs="Times New Roman"/>
                      <w:i w:val="0"/>
                      <w:iCs w:val="0"/>
                      <w:color w:val="auto"/>
                      <w:sz w:val="22"/>
                      <w:szCs w:val="22"/>
                      <w:highlight w:val="none"/>
                      <w:u w:val="none"/>
                    </w:rPr>
                  </w:pP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B900">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昼间</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E072">
                  <w:pPr>
                    <w:keepNext w:val="0"/>
                    <w:keepLines w:val="0"/>
                    <w:widowControl/>
                    <w:suppressLineNumbers w:val="0"/>
                    <w:jc w:val="both"/>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夜间</w:t>
                  </w:r>
                </w:p>
              </w:tc>
            </w:tr>
            <w:tr w14:paraId="30846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9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F5574">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农村地区敏感目标</w:t>
                  </w:r>
                </w:p>
              </w:tc>
              <w:tc>
                <w:tcPr>
                  <w:tcW w:w="13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69B8">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cs="Times New Roman"/>
                      <w:i w:val="0"/>
                      <w:iCs w:val="0"/>
                      <w:color w:val="auto"/>
                      <w:kern w:val="0"/>
                      <w:sz w:val="22"/>
                      <w:szCs w:val="22"/>
                      <w:highlight w:val="none"/>
                      <w:u w:val="none"/>
                      <w:lang w:val="en-US" w:eastAsia="zh-CN" w:bidi="ar"/>
                    </w:rPr>
                    <w:t>1</w:t>
                  </w:r>
                  <w:r>
                    <w:rPr>
                      <w:rFonts w:hint="default" w:ascii="Times New Roman" w:hAnsi="Times New Roman" w:eastAsia="宋体" w:cs="Times New Roman"/>
                      <w:i w:val="0"/>
                      <w:iCs w:val="0"/>
                      <w:color w:val="auto"/>
                      <w:kern w:val="0"/>
                      <w:sz w:val="22"/>
                      <w:szCs w:val="22"/>
                      <w:highlight w:val="none"/>
                      <w:u w:val="none"/>
                      <w:lang w:val="en-US" w:eastAsia="zh-CN" w:bidi="ar"/>
                    </w:rPr>
                    <w:t>类</w:t>
                  </w:r>
                </w:p>
              </w:tc>
              <w:tc>
                <w:tcPr>
                  <w:tcW w:w="8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C992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cs="Times New Roman"/>
                      <w:i w:val="0"/>
                      <w:iCs w:val="0"/>
                      <w:color w:val="auto"/>
                      <w:kern w:val="0"/>
                      <w:sz w:val="22"/>
                      <w:szCs w:val="22"/>
                      <w:highlight w:val="none"/>
                      <w:u w:val="none"/>
                      <w:lang w:val="en-US" w:eastAsia="zh-CN" w:bidi="ar"/>
                    </w:rPr>
                    <w:t>55</w:t>
                  </w:r>
                </w:p>
              </w:tc>
              <w:tc>
                <w:tcPr>
                  <w:tcW w:w="8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CABE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cs="Times New Roman"/>
                      <w:i w:val="0"/>
                      <w:iCs w:val="0"/>
                      <w:color w:val="auto"/>
                      <w:kern w:val="0"/>
                      <w:sz w:val="22"/>
                      <w:szCs w:val="22"/>
                      <w:highlight w:val="none"/>
                      <w:u w:val="none"/>
                      <w:lang w:val="en-US" w:eastAsia="zh-CN" w:bidi="ar"/>
                    </w:rPr>
                    <w:t>45</w:t>
                  </w:r>
                </w:p>
              </w:tc>
            </w:tr>
          </w:tbl>
          <w:p w14:paraId="5BA48D49">
            <w:pPr>
              <w:bidi w:val="0"/>
              <w:jc w:val="left"/>
              <w:rPr>
                <w:rFonts w:hint="default" w:ascii="Times New Roman" w:hAnsi="Times New Roman" w:eastAsia="宋体" w:cs="Times New Roman"/>
                <w:color w:val="auto"/>
                <w:highlight w:val="none"/>
                <w:vertAlign w:val="superscript"/>
                <w:lang w:val="en-US" w:eastAsia="zh-CN"/>
              </w:rPr>
            </w:pPr>
          </w:p>
          <w:p w14:paraId="18162859">
            <w:pPr>
              <w:tabs>
                <w:tab w:val="left" w:pos="7092"/>
              </w:tabs>
              <w:ind w:left="0" w:leftChars="0" w:firstLine="480" w:firstLineChars="200"/>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（3）地表水环境</w:t>
            </w:r>
          </w:p>
          <w:p w14:paraId="1CE92442">
            <w:pPr>
              <w:tabs>
                <w:tab w:val="left" w:pos="4800"/>
              </w:tabs>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根据对海德村项目外扩500m范围发现，项目500m范围内不涉及村庄、水库，在距1#风机西面576m处有一条多着河</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根据资料查询，</w:t>
            </w:r>
            <w:r>
              <w:rPr>
                <w:rFonts w:hint="default"/>
                <w:color w:val="auto"/>
                <w:highlight w:val="none"/>
                <w:lang w:val="en-US" w:eastAsia="zh-CN"/>
              </w:rPr>
              <w:t>多着河属牛栏江支流，发源于热水镇岱海村长梁子，</w:t>
            </w:r>
            <w:r>
              <w:rPr>
                <w:rFonts w:ascii="宋体" w:hAnsi="宋体" w:eastAsia="宋体" w:cs="宋体"/>
                <w:color w:val="auto"/>
                <w:sz w:val="24"/>
                <w:szCs w:val="24"/>
              </w:rPr>
              <w:t>自东向西径流，沿途汇入绿水河，最终向西汇入牛栏江</w:t>
            </w:r>
            <w:r>
              <w:rPr>
                <w:rFonts w:hint="default"/>
                <w:color w:val="auto"/>
                <w:highlight w:val="none"/>
                <w:lang w:val="en-US" w:eastAsia="zh-CN"/>
              </w:rPr>
              <w:t>。长16km，流域面积59.1km</w:t>
            </w:r>
            <w:r>
              <w:rPr>
                <w:rFonts w:hint="eastAsia"/>
                <w:color w:val="auto"/>
                <w:highlight w:val="none"/>
                <w:vertAlign w:val="superscript"/>
                <w:lang w:val="en-US" w:eastAsia="zh-CN"/>
              </w:rPr>
              <w:t>2</w:t>
            </w:r>
            <w:r>
              <w:rPr>
                <w:rFonts w:hint="default"/>
                <w:color w:val="auto"/>
                <w:highlight w:val="none"/>
                <w:lang w:val="en-US" w:eastAsia="zh-CN"/>
              </w:rPr>
              <w:t>，河流级别2级。</w:t>
            </w:r>
            <w:r>
              <w:rPr>
                <w:rFonts w:hint="eastAsia"/>
                <w:color w:val="auto"/>
                <w:highlight w:val="none"/>
                <w:lang w:val="en-US" w:eastAsia="zh-CN"/>
              </w:rPr>
              <w:t>对照</w:t>
            </w:r>
            <w:r>
              <w:rPr>
                <w:rFonts w:hint="default" w:ascii="Times New Roman" w:hAnsi="Times New Roman" w:eastAsia="宋体" w:cs="Times New Roman"/>
                <w:color w:val="auto"/>
                <w:highlight w:val="none"/>
                <w:lang w:val="en-US" w:eastAsia="zh-CN"/>
              </w:rPr>
              <w:t>《云南省水功能区划（2014年修订）》，</w:t>
            </w:r>
            <w:r>
              <w:rPr>
                <w:rFonts w:hint="eastAsia"/>
                <w:color w:val="auto"/>
                <w:highlight w:val="none"/>
                <w:lang w:val="en-US" w:eastAsia="zh-CN"/>
              </w:rPr>
              <w:t>牛栏江属长江流域金沙江水系</w:t>
            </w:r>
            <w:r>
              <w:rPr>
                <w:rFonts w:hint="default" w:ascii="Times New Roman" w:hAnsi="Times New Roman" w:eastAsia="宋体" w:cs="Times New Roman"/>
                <w:color w:val="auto"/>
                <w:highlight w:val="none"/>
                <w:lang w:val="en-US" w:eastAsia="zh-CN"/>
              </w:rPr>
              <w:t>。主要功能为农业用水、工业用水和饮</w:t>
            </w:r>
            <w:r>
              <w:rPr>
                <w:rFonts w:hint="eastAsia" w:cs="Times New Roman"/>
                <w:color w:val="auto"/>
                <w:highlight w:val="none"/>
                <w:lang w:val="en-US" w:eastAsia="zh-CN"/>
              </w:rPr>
              <w:t>用水</w:t>
            </w:r>
            <w:r>
              <w:rPr>
                <w:rFonts w:hint="default" w:ascii="Times New Roman" w:hAnsi="Times New Roman" w:eastAsia="宋体" w:cs="Times New Roman"/>
                <w:color w:val="auto"/>
                <w:highlight w:val="none"/>
                <w:lang w:val="en-US" w:eastAsia="zh-CN"/>
              </w:rPr>
              <w:t>二级，属于Ⅲ类水。因此本项目区域内执行</w:t>
            </w:r>
            <w:r>
              <w:rPr>
                <w:rFonts w:hint="eastAsia" w:cs="Times New Roman"/>
                <w:color w:val="auto"/>
                <w:highlight w:val="none"/>
                <w:lang w:val="en-US" w:eastAsia="zh-CN"/>
              </w:rPr>
              <w:t>《地表水环境质量标准》（GB3838-2002）</w:t>
            </w:r>
            <w:r>
              <w:rPr>
                <w:rFonts w:hint="default" w:ascii="Times New Roman" w:hAnsi="Times New Roman" w:eastAsia="宋体" w:cs="Times New Roman"/>
                <w:color w:val="auto"/>
                <w:highlight w:val="none"/>
                <w:lang w:val="en-US" w:eastAsia="zh-CN"/>
              </w:rPr>
              <w:t>Ⅲ类水质标准</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如表</w:t>
            </w:r>
            <w:r>
              <w:rPr>
                <w:rFonts w:hint="default" w:cs="Times New Roman"/>
                <w:color w:val="auto"/>
                <w:highlight w:val="none"/>
                <w:lang w:val="en-US" w:eastAsia="zh-CN"/>
              </w:rPr>
              <w:t>3-</w:t>
            </w:r>
            <w:r>
              <w:rPr>
                <w:rFonts w:hint="eastAsia" w:cs="Times New Roman"/>
                <w:color w:val="auto"/>
                <w:highlight w:val="none"/>
                <w:lang w:val="en-US" w:eastAsia="zh-CN"/>
              </w:rPr>
              <w:t>21</w:t>
            </w:r>
            <w:r>
              <w:rPr>
                <w:rFonts w:hint="default" w:ascii="Times New Roman" w:hAnsi="Times New Roman" w:eastAsia="宋体" w:cs="Times New Roman"/>
                <w:color w:val="auto"/>
                <w:highlight w:val="none"/>
                <w:lang w:val="en-US" w:eastAsia="zh-CN"/>
              </w:rPr>
              <w:t>。</w:t>
            </w:r>
          </w:p>
          <w:p w14:paraId="337B5164">
            <w:pPr>
              <w:pStyle w:val="19"/>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cs="Times New Roman"/>
                <w:b/>
                <w:bCs/>
                <w:color w:val="auto"/>
                <w:sz w:val="21"/>
                <w:szCs w:val="21"/>
                <w:highlight w:val="none"/>
                <w:lang w:val="en-US" w:eastAsia="zh-CN"/>
              </w:rPr>
              <w:t>3-21</w:t>
            </w:r>
            <w:r>
              <w:rPr>
                <w:rFonts w:hint="default" w:ascii="Times New Roman" w:hAnsi="Times New Roman" w:eastAsia="宋体" w:cs="Times New Roman"/>
                <w:b/>
                <w:bCs/>
                <w:color w:val="auto"/>
                <w:sz w:val="21"/>
                <w:szCs w:val="21"/>
                <w:highlight w:val="none"/>
                <w:lang w:val="en-US" w:eastAsia="zh-CN"/>
              </w:rPr>
              <w:t>地表水环境质量标准</w:t>
            </w:r>
            <w:r>
              <w:rPr>
                <w:rFonts w:hint="eastAsia"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单位</w:t>
            </w:r>
            <w:r>
              <w:rPr>
                <w:rFonts w:hint="eastAsia" w:cs="Times New Roman"/>
                <w:b/>
                <w:bCs/>
                <w:color w:val="auto"/>
                <w:sz w:val="21"/>
                <w:szCs w:val="21"/>
                <w:highlight w:val="none"/>
                <w:lang w:val="en-US" w:eastAsia="zh-CN"/>
              </w:rPr>
              <w:t>：</w:t>
            </w:r>
            <w:r>
              <w:rPr>
                <w:rFonts w:hint="default" w:ascii="Times New Roman" w:hAnsi="Times New Roman" w:eastAsia="宋体" w:cs="Times New Roman"/>
                <w:b/>
                <w:bCs/>
                <w:color w:val="auto"/>
                <w:sz w:val="21"/>
                <w:szCs w:val="21"/>
                <w:highlight w:val="none"/>
                <w:lang w:val="en-US" w:eastAsia="zh-CN"/>
              </w:rPr>
              <w:t>mg/L</w:t>
            </w:r>
          </w:p>
          <w:tbl>
            <w:tblPr>
              <w:tblStyle w:val="20"/>
              <w:tblW w:w="463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6"/>
              <w:gridCol w:w="1535"/>
              <w:gridCol w:w="1122"/>
              <w:gridCol w:w="1476"/>
              <w:gridCol w:w="660"/>
              <w:gridCol w:w="728"/>
              <w:gridCol w:w="636"/>
              <w:gridCol w:w="636"/>
              <w:gridCol w:w="637"/>
            </w:tblGrid>
            <w:tr w14:paraId="6995B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192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项目</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4543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PH（无量纲）</w:t>
                  </w:r>
                </w:p>
              </w:tc>
              <w:tc>
                <w:tcPr>
                  <w:tcW w:w="9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5F37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溶解氧</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DB932">
                  <w:pPr>
                    <w:keepNext w:val="0"/>
                    <w:keepLines w:val="0"/>
                    <w:widowControl/>
                    <w:suppressLineNumbers w:val="0"/>
                    <w:ind w:left="0" w:leftChars="0" w:firstLine="0" w:firstLineChars="0"/>
                    <w:jc w:val="center"/>
                    <w:textAlignment w:val="center"/>
                    <w:rPr>
                      <w:rFonts w:hint="eastAsia" w:ascii="Times New Roman" w:hAnsi="Times New Roman" w:eastAsia="宋体" w:cs="Times New Roman"/>
                      <w:i w:val="0"/>
                      <w:iCs w:val="0"/>
                      <w:color w:val="auto"/>
                      <w:sz w:val="21"/>
                      <w:szCs w:val="21"/>
                      <w:highlight w:val="none"/>
                      <w:u w:val="none"/>
                      <w:lang w:eastAsia="zh-CN"/>
                    </w:rPr>
                  </w:pPr>
                  <w:r>
                    <w:rPr>
                      <w:rFonts w:hint="eastAsia" w:cs="Times New Roman"/>
                      <w:i w:val="0"/>
                      <w:iCs w:val="0"/>
                      <w:color w:val="auto"/>
                      <w:sz w:val="21"/>
                      <w:szCs w:val="21"/>
                      <w:highlight w:val="none"/>
                      <w:u w:val="none"/>
                      <w:lang w:eastAsia="zh-CN"/>
                    </w:rPr>
                    <w:t>高锰酸盐指数</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6F1D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COD</w:t>
                  </w:r>
                </w:p>
              </w:tc>
              <w:tc>
                <w:tcPr>
                  <w:tcW w:w="3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D6DCA">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BOD</w:t>
                  </w:r>
                  <w:r>
                    <w:rPr>
                      <w:rFonts w:hint="default" w:ascii="Times New Roman" w:hAnsi="Times New Roman" w:eastAsia="宋体" w:cs="Times New Roman"/>
                      <w:i w:val="0"/>
                      <w:iCs w:val="0"/>
                      <w:color w:val="auto"/>
                      <w:kern w:val="0"/>
                      <w:sz w:val="21"/>
                      <w:szCs w:val="21"/>
                      <w:highlight w:val="none"/>
                      <w:u w:val="none"/>
                      <w:vertAlign w:val="subscript"/>
                      <w:lang w:val="en-US" w:eastAsia="zh-CN" w:bidi="ar"/>
                    </w:rPr>
                    <w:t>5</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E6B6">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氨氮</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47E0B">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总磷</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D4931">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总氮</w:t>
                  </w:r>
                </w:p>
              </w:tc>
            </w:tr>
            <w:tr w14:paraId="541FC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C6E9">
                  <w:pPr>
                    <w:ind w:left="0" w:leftChars="0" w:firstLine="0" w:firstLineChars="0"/>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z w:val="18"/>
                      <w:szCs w:val="18"/>
                      <w:highlight w:val="none"/>
                      <w:lang w:val="en-US" w:eastAsia="zh-CN"/>
                    </w:rPr>
                    <w:t>Ⅲ类</w:t>
                  </w:r>
                </w:p>
              </w:tc>
              <w:tc>
                <w:tcPr>
                  <w:tcW w:w="7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542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6~9</w:t>
                  </w:r>
                </w:p>
              </w:tc>
              <w:tc>
                <w:tcPr>
                  <w:tcW w:w="9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DD4E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7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77E5D">
                  <w:pPr>
                    <w:keepNext w:val="0"/>
                    <w:keepLines w:val="0"/>
                    <w:pageBreakBefore w:val="0"/>
                    <w:widowControl/>
                    <w:suppressLineNumbers w:val="0"/>
                    <w:kinsoku/>
                    <w:wordWrap/>
                    <w:overflowPunct/>
                    <w:topLinePunct w:val="0"/>
                    <w:autoSpaceDE/>
                    <w:autoSpaceDN/>
                    <w:bidi w:val="0"/>
                    <w:adjustRightInd w:val="0"/>
                    <w:snapToGrid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3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0E4A">
                  <w:pPr>
                    <w:keepNext w:val="0"/>
                    <w:keepLines w:val="0"/>
                    <w:pageBreakBefore w:val="0"/>
                    <w:widowControl/>
                    <w:suppressLineNumbers w:val="0"/>
                    <w:kinsoku/>
                    <w:wordWrap/>
                    <w:overflowPunct/>
                    <w:topLinePunct w:val="0"/>
                    <w:autoSpaceDE/>
                    <w:autoSpaceDN/>
                    <w:bidi w:val="0"/>
                    <w:adjustRightInd w:val="0"/>
                    <w:snapToGrid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3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C5084">
                  <w:pPr>
                    <w:keepNext w:val="0"/>
                    <w:keepLines w:val="0"/>
                    <w:pageBreakBefore w:val="0"/>
                    <w:widowControl/>
                    <w:suppressLineNumbers w:val="0"/>
                    <w:kinsoku/>
                    <w:wordWrap/>
                    <w:overflowPunct/>
                    <w:topLinePunct w:val="0"/>
                    <w:autoSpaceDE/>
                    <w:autoSpaceDN/>
                    <w:bidi w:val="0"/>
                    <w:adjustRightInd w:val="0"/>
                    <w:snapToGrid w:val="0"/>
                    <w:ind w:left="0" w:lef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5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1136E">
                  <w:pPr>
                    <w:keepNext w:val="0"/>
                    <w:keepLines w:val="0"/>
                    <w:pageBreakBefore w:val="0"/>
                    <w:widowControl/>
                    <w:suppressLineNumbers w:val="0"/>
                    <w:kinsoku/>
                    <w:wordWrap/>
                    <w:overflowPunct/>
                    <w:topLinePunct w:val="0"/>
                    <w:autoSpaceDE/>
                    <w:autoSpaceDN/>
                    <w:bidi w:val="0"/>
                    <w:adjustRightInd w:val="0"/>
                    <w:snapToGrid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2F40C">
                  <w:pPr>
                    <w:keepNext w:val="0"/>
                    <w:keepLines w:val="0"/>
                    <w:pageBreakBefore w:val="0"/>
                    <w:widowControl/>
                    <w:suppressLineNumbers w:val="0"/>
                    <w:kinsoku/>
                    <w:wordWrap/>
                    <w:overflowPunct/>
                    <w:topLinePunct w:val="0"/>
                    <w:autoSpaceDE/>
                    <w:autoSpaceDN/>
                    <w:bidi w:val="0"/>
                    <w:adjustRightInd w:val="0"/>
                    <w:snapToGrid w:val="0"/>
                    <w:ind w:left="0" w:leftChars="0" w:firstLine="0" w:firstLineChars="0"/>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≤0.2</w:t>
                  </w:r>
                </w:p>
              </w:tc>
              <w:tc>
                <w:tcPr>
                  <w:tcW w:w="4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139E">
                  <w:pPr>
                    <w:keepNext w:val="0"/>
                    <w:keepLines w:val="0"/>
                    <w:pageBreakBefore w:val="0"/>
                    <w:widowControl/>
                    <w:suppressLineNumbers w:val="0"/>
                    <w:kinsoku/>
                    <w:wordWrap/>
                    <w:overflowPunct/>
                    <w:topLinePunct w:val="0"/>
                    <w:autoSpaceDE/>
                    <w:autoSpaceDN/>
                    <w:bidi w:val="0"/>
                    <w:adjustRightInd w:val="0"/>
                    <w:snapToGrid w:val="0"/>
                    <w:ind w:left="0" w:lef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r>
          </w:tbl>
          <w:p w14:paraId="4F6BA2F1">
            <w:pPr>
              <w:pStyle w:val="19"/>
              <w:numPr>
                <w:ilvl w:val="0"/>
                <w:numId w:val="0"/>
              </w:numPr>
              <w:ind w:left="0" w:leftChars="0" w:firstLine="0" w:firstLineChars="0"/>
              <w:rPr>
                <w:rFonts w:hint="default" w:ascii="Times New Roman" w:hAnsi="Times New Roman" w:eastAsia="宋体" w:cs="Times New Roman"/>
                <w:b/>
                <w:bCs/>
                <w:color w:val="auto"/>
                <w:highlight w:val="none"/>
                <w:lang w:val="en-US" w:eastAsia="zh-CN"/>
              </w:rPr>
            </w:pPr>
            <w:r>
              <w:rPr>
                <w:rFonts w:hint="eastAsia" w:cs="Times New Roman"/>
                <w:b/>
                <w:bCs/>
                <w:color w:val="auto"/>
                <w:kern w:val="2"/>
                <w:sz w:val="24"/>
                <w:szCs w:val="24"/>
                <w:highlight w:val="none"/>
                <w:lang w:val="en-US" w:eastAsia="zh-CN" w:bidi="ar-SA"/>
              </w:rPr>
              <w:t>2.</w:t>
            </w:r>
            <w:r>
              <w:rPr>
                <w:rFonts w:hint="default" w:ascii="Times New Roman" w:hAnsi="Times New Roman" w:eastAsia="宋体" w:cs="Times New Roman"/>
                <w:b/>
                <w:bCs/>
                <w:color w:val="auto"/>
                <w:highlight w:val="none"/>
                <w:lang w:val="en-US" w:eastAsia="zh-CN"/>
              </w:rPr>
              <w:t>污染物排放标准</w:t>
            </w:r>
          </w:p>
          <w:p w14:paraId="31A452FC">
            <w:pPr>
              <w:pStyle w:val="18"/>
              <w:numPr>
                <w:ilvl w:val="0"/>
                <w:numId w:val="0"/>
              </w:numPr>
              <w:ind w:leftChars="0" w:right="113" w:rightChars="0" w:firstLine="480" w:firstLineChars="200"/>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（1）</w:t>
            </w:r>
            <w:r>
              <w:rPr>
                <w:rFonts w:hint="default" w:ascii="Times New Roman" w:hAnsi="Times New Roman" w:eastAsia="宋体" w:cs="Times New Roman"/>
                <w:color w:val="auto"/>
                <w:kern w:val="2"/>
                <w:sz w:val="24"/>
                <w:szCs w:val="24"/>
                <w:highlight w:val="none"/>
                <w:lang w:val="en-US" w:eastAsia="zh-CN" w:bidi="ar-SA"/>
              </w:rPr>
              <w:t>废气</w:t>
            </w:r>
          </w:p>
          <w:p w14:paraId="0D20D226">
            <w:pP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施工期扬尘执行《大气污染物综合排放标准》（GB16297-1996）表2无组织排放监控浓度限值，具体标准值见表</w:t>
            </w:r>
            <w:r>
              <w:rPr>
                <w:rFonts w:hint="eastAsia" w:cs="Times New Roman"/>
                <w:color w:val="auto"/>
                <w:highlight w:val="none"/>
                <w:lang w:val="en-US" w:eastAsia="zh-CN"/>
              </w:rPr>
              <w:t>3-22。</w:t>
            </w:r>
          </w:p>
          <w:p w14:paraId="22CA907E">
            <w:pPr>
              <w:pStyle w:val="19"/>
              <w:keepNext w:val="0"/>
              <w:keepLines w:val="0"/>
              <w:pageBreakBefore w:val="0"/>
              <w:widowControl w:val="0"/>
              <w:kinsoku/>
              <w:wordWrap/>
              <w:overflowPunct/>
              <w:topLinePunct w:val="0"/>
              <w:autoSpaceDE/>
              <w:autoSpaceDN/>
              <w:bidi w:val="0"/>
              <w:adjustRightInd w:val="0"/>
              <w:snapToGrid w:val="0"/>
              <w:spacing w:after="0" w:line="240" w:lineRule="auto"/>
              <w:ind w:left="0" w:lef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w:t>
            </w:r>
            <w:r>
              <w:rPr>
                <w:rFonts w:hint="eastAsia" w:ascii="Times New Roman" w:hAnsi="Times New Roman" w:eastAsia="宋体" w:cs="Times New Roman"/>
                <w:b/>
                <w:bCs/>
                <w:color w:val="auto"/>
                <w:sz w:val="21"/>
                <w:szCs w:val="21"/>
                <w:highlight w:val="none"/>
                <w:lang w:val="en-US" w:eastAsia="zh-CN"/>
              </w:rPr>
              <w:t>3-</w:t>
            </w:r>
            <w:r>
              <w:rPr>
                <w:rFonts w:hint="eastAsia" w:cs="Times New Roman"/>
                <w:b/>
                <w:bCs/>
                <w:color w:val="auto"/>
                <w:sz w:val="21"/>
                <w:szCs w:val="21"/>
                <w:highlight w:val="none"/>
                <w:lang w:val="en-US" w:eastAsia="zh-CN"/>
              </w:rPr>
              <w:t>22</w:t>
            </w:r>
            <w:r>
              <w:rPr>
                <w:rFonts w:hint="default" w:ascii="Times New Roman" w:hAnsi="Times New Roman" w:eastAsia="宋体" w:cs="Times New Roman"/>
                <w:b/>
                <w:bCs/>
                <w:color w:val="auto"/>
                <w:sz w:val="21"/>
                <w:szCs w:val="21"/>
                <w:highlight w:val="none"/>
                <w:lang w:val="en-US" w:eastAsia="zh-CN"/>
              </w:rPr>
              <w:t>大气污染物排放标准限值单位mg/m</w:t>
            </w:r>
            <w:r>
              <w:rPr>
                <w:rFonts w:hint="default" w:ascii="Times New Roman" w:hAnsi="Times New Roman" w:eastAsia="宋体" w:cs="Times New Roman"/>
                <w:b/>
                <w:bCs/>
                <w:color w:val="auto"/>
                <w:sz w:val="21"/>
                <w:szCs w:val="21"/>
                <w:highlight w:val="none"/>
                <w:vertAlign w:val="superscript"/>
                <w:lang w:val="en-US" w:eastAsia="zh-CN"/>
              </w:rPr>
              <w:t>3</w:t>
            </w:r>
          </w:p>
          <w:tbl>
            <w:tblPr>
              <w:tblStyle w:val="20"/>
              <w:tblW w:w="86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52"/>
              <w:gridCol w:w="1768"/>
              <w:gridCol w:w="1782"/>
              <w:gridCol w:w="1889"/>
            </w:tblGrid>
            <w:tr w14:paraId="4D092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jc w:val="center"/>
              </w:trPr>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0B32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eastAsia="zh-CN"/>
                    </w:rPr>
                  </w:pPr>
                  <w:r>
                    <w:rPr>
                      <w:rFonts w:hint="default" w:ascii="Times New Roman" w:hAnsi="Times New Roman" w:eastAsia="宋体" w:cs="Times New Roman"/>
                      <w:i w:val="0"/>
                      <w:iCs w:val="0"/>
                      <w:color w:val="auto"/>
                      <w:sz w:val="22"/>
                      <w:szCs w:val="22"/>
                      <w:highlight w:val="none"/>
                      <w:u w:val="none"/>
                      <w:lang w:eastAsia="zh-CN"/>
                    </w:rPr>
                    <w:t>污染物</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C797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auto"/>
                      <w:kern w:val="0"/>
                      <w:sz w:val="22"/>
                      <w:szCs w:val="22"/>
                      <w:highlight w:val="none"/>
                      <w:u w:val="none"/>
                      <w:lang w:val="en-US" w:eastAsia="zh-CN" w:bidi="ar"/>
                    </w:rPr>
                    <w:t>TSP</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1B949">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auto"/>
                      <w:kern w:val="0"/>
                      <w:sz w:val="22"/>
                      <w:szCs w:val="22"/>
                      <w:highlight w:val="none"/>
                      <w:u w:val="none"/>
                      <w:lang w:val="en-US" w:eastAsia="zh-CN" w:bidi="ar"/>
                    </w:rPr>
                    <w:t>SO</w:t>
                  </w:r>
                  <w:r>
                    <w:rPr>
                      <w:rFonts w:hint="default" w:ascii="Times New Roman" w:hAnsi="Times New Roman" w:eastAsia="宋体" w:cs="Times New Roman"/>
                      <w:i w:val="0"/>
                      <w:iCs w:val="0"/>
                      <w:color w:val="auto"/>
                      <w:kern w:val="0"/>
                      <w:sz w:val="22"/>
                      <w:szCs w:val="22"/>
                      <w:highlight w:val="none"/>
                      <w:u w:val="none"/>
                      <w:vertAlign w:val="subscript"/>
                      <w:lang w:val="en-US" w:eastAsia="zh-CN" w:bidi="ar"/>
                    </w:rPr>
                    <w:t>2</w:t>
                  </w:r>
                </w:p>
              </w:tc>
              <w:tc>
                <w:tcPr>
                  <w:tcW w:w="10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C822A">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auto"/>
                      <w:kern w:val="0"/>
                      <w:sz w:val="22"/>
                      <w:szCs w:val="22"/>
                      <w:highlight w:val="none"/>
                      <w:u w:val="none"/>
                      <w:lang w:val="en-US" w:eastAsia="zh-CN" w:bidi="ar"/>
                    </w:rPr>
                    <w:t>NO</w:t>
                  </w:r>
                  <w:r>
                    <w:rPr>
                      <w:rFonts w:hint="default" w:ascii="Times New Roman" w:hAnsi="Times New Roman" w:eastAsia="宋体" w:cs="Times New Roman"/>
                      <w:i w:val="0"/>
                      <w:iCs w:val="0"/>
                      <w:color w:val="auto"/>
                      <w:kern w:val="0"/>
                      <w:sz w:val="22"/>
                      <w:szCs w:val="22"/>
                      <w:highlight w:val="none"/>
                      <w:u w:val="none"/>
                      <w:vertAlign w:val="subscript"/>
                      <w:lang w:val="en-US" w:eastAsia="zh-CN" w:bidi="ar"/>
                    </w:rPr>
                    <w:t>X</w:t>
                  </w:r>
                </w:p>
              </w:tc>
            </w:tr>
            <w:tr w14:paraId="13C37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56E6">
                  <w:pPr>
                    <w:keepNext w:val="0"/>
                    <w:keepLines w:val="0"/>
                    <w:pageBreakBefore w:val="0"/>
                    <w:kinsoku/>
                    <w:wordWrap/>
                    <w:overflowPunct/>
                    <w:topLinePunct w:val="0"/>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i w:val="0"/>
                      <w:iCs w:val="0"/>
                      <w:color w:val="auto"/>
                      <w:sz w:val="22"/>
                      <w:szCs w:val="22"/>
                      <w:highlight w:val="none"/>
                      <w:u w:val="none"/>
                      <w:lang w:eastAsia="zh-CN"/>
                    </w:rPr>
                  </w:pPr>
                  <w:r>
                    <w:rPr>
                      <w:rFonts w:hint="default" w:ascii="Times New Roman" w:hAnsi="Times New Roman" w:eastAsia="宋体" w:cs="Times New Roman"/>
                      <w:i w:val="0"/>
                      <w:iCs w:val="0"/>
                      <w:color w:val="auto"/>
                      <w:sz w:val="22"/>
                      <w:szCs w:val="22"/>
                      <w:highlight w:val="none"/>
                      <w:u w:val="none"/>
                      <w:lang w:eastAsia="zh-CN"/>
                    </w:rPr>
                    <w:t>浓度限值</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5666D">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rPr>
                  </w:pPr>
                  <w:r>
                    <w:rPr>
                      <w:rFonts w:hint="default" w:ascii="Times New Roman" w:hAnsi="Times New Roman" w:eastAsia="宋体" w:cs="Times New Roman"/>
                      <w:i w:val="0"/>
                      <w:iCs w:val="0"/>
                      <w:color w:val="auto"/>
                      <w:kern w:val="0"/>
                      <w:sz w:val="22"/>
                      <w:szCs w:val="22"/>
                      <w:highlight w:val="none"/>
                      <w:u w:val="none"/>
                      <w:lang w:val="en-US" w:eastAsia="zh-CN" w:bidi="ar"/>
                    </w:rPr>
                    <w:t>1.0</w:t>
                  </w:r>
                </w:p>
              </w:tc>
              <w:tc>
                <w:tcPr>
                  <w:tcW w:w="10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5DAE">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eastAsia="zh-CN"/>
                    </w:rPr>
                  </w:pPr>
                  <w:r>
                    <w:rPr>
                      <w:rFonts w:hint="default" w:ascii="Times New Roman" w:hAnsi="Times New Roman" w:eastAsia="宋体" w:cs="Times New Roman"/>
                      <w:i w:val="0"/>
                      <w:iCs w:val="0"/>
                      <w:color w:val="auto"/>
                      <w:sz w:val="22"/>
                      <w:szCs w:val="22"/>
                      <w:highlight w:val="none"/>
                      <w:u w:val="none"/>
                      <w:lang w:val="en-US" w:eastAsia="zh-CN"/>
                    </w:rPr>
                    <w:t>0.40</w:t>
                  </w:r>
                </w:p>
              </w:tc>
              <w:tc>
                <w:tcPr>
                  <w:tcW w:w="10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B45A1">
                  <w:pPr>
                    <w:keepNext w:val="0"/>
                    <w:keepLines w:val="0"/>
                    <w:pageBreakBefore w:val="0"/>
                    <w:widowControl/>
                    <w:suppressLineNumbers w:val="0"/>
                    <w:kinsoku/>
                    <w:wordWrap/>
                    <w:overflowPunct/>
                    <w:topLinePunct w:val="0"/>
                    <w:autoSpaceDE/>
                    <w:autoSpaceDN/>
                    <w:bidi w:val="0"/>
                    <w:adjustRightInd w:val="0"/>
                    <w:snapToGrid w:val="0"/>
                    <w:spacing w:line="240" w:lineRule="auto"/>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eastAsia="zh-CN"/>
                    </w:rPr>
                  </w:pPr>
                  <w:r>
                    <w:rPr>
                      <w:rFonts w:hint="default" w:ascii="Times New Roman" w:hAnsi="Times New Roman" w:eastAsia="宋体" w:cs="Times New Roman"/>
                      <w:i w:val="0"/>
                      <w:iCs w:val="0"/>
                      <w:color w:val="auto"/>
                      <w:sz w:val="22"/>
                      <w:szCs w:val="22"/>
                      <w:highlight w:val="none"/>
                      <w:u w:val="none"/>
                      <w:lang w:val="en-US" w:eastAsia="zh-CN"/>
                    </w:rPr>
                    <w:t>0.12</w:t>
                  </w:r>
                </w:p>
              </w:tc>
            </w:tr>
          </w:tbl>
          <w:p w14:paraId="195CBD6D">
            <w:pPr>
              <w:pStyle w:val="18"/>
              <w:numPr>
                <w:ilvl w:val="0"/>
                <w:numId w:val="0"/>
              </w:numPr>
              <w:ind w:right="113" w:rightChars="0" w:firstLine="42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kern w:val="2"/>
                <w:sz w:val="24"/>
                <w:szCs w:val="24"/>
                <w:highlight w:val="none"/>
                <w:lang w:val="en-US" w:eastAsia="zh-CN" w:bidi="ar-SA"/>
              </w:rPr>
              <w:t>2）废水</w:t>
            </w:r>
          </w:p>
          <w:p w14:paraId="766925BF">
            <w:pPr>
              <w:spacing w:line="360" w:lineRule="auto"/>
              <w:ind w:firstLine="480"/>
              <w:rPr>
                <w:rFonts w:hint="eastAsia" w:cs="Times New Roman"/>
                <w:color w:val="auto"/>
                <w:highlight w:val="none"/>
                <w:lang w:eastAsia="zh-CN"/>
              </w:rPr>
            </w:pPr>
            <w:r>
              <w:rPr>
                <w:rFonts w:hint="eastAsia" w:ascii="Times New Roman" w:hAnsi="Times New Roman" w:eastAsia="宋体" w:cs="Times New Roman"/>
                <w:color w:val="auto"/>
                <w:highlight w:val="none"/>
                <w:lang w:val="en-US" w:eastAsia="zh-CN"/>
              </w:rPr>
              <w:t>施工期产生的</w:t>
            </w:r>
            <w:r>
              <w:rPr>
                <w:rFonts w:hint="eastAsia" w:ascii="Times New Roman" w:hAnsi="Times New Roman" w:cs="Times New Roman"/>
                <w:color w:val="auto"/>
                <w:highlight w:val="none"/>
                <w:lang w:val="en-US" w:eastAsia="zh-CN"/>
              </w:rPr>
              <w:t>废污水经收集处理后，回用于场区洒水降尘。</w:t>
            </w:r>
            <w:r>
              <w:rPr>
                <w:rFonts w:hint="eastAsia" w:ascii="宋体" w:hAnsi="宋体" w:cs="宋体"/>
                <w:color w:val="auto"/>
                <w:sz w:val="24"/>
                <w:szCs w:val="24"/>
                <w:highlight w:val="none"/>
              </w:rPr>
              <w:t>风电场运行</w:t>
            </w:r>
            <w:r>
              <w:rPr>
                <w:rFonts w:hint="eastAsia" w:ascii="宋体" w:hAnsi="宋体" w:cs="宋体"/>
                <w:color w:val="auto"/>
                <w:sz w:val="24"/>
                <w:szCs w:val="24"/>
                <w:highlight w:val="none"/>
                <w:lang w:eastAsia="zh-CN"/>
              </w:rPr>
              <w:t>期采用“</w:t>
            </w:r>
            <w:r>
              <w:rPr>
                <w:rFonts w:hint="eastAsia" w:ascii="宋体" w:hAnsi="宋体" w:cs="宋体"/>
                <w:color w:val="auto"/>
                <w:sz w:val="24"/>
                <w:szCs w:val="24"/>
                <w:highlight w:val="none"/>
              </w:rPr>
              <w:t>无人值班、无人值守”模式，不考虑运行期生活用水。</w:t>
            </w:r>
            <w:r>
              <w:rPr>
                <w:rFonts w:hint="eastAsia" w:ascii="宋体" w:hAnsi="宋体" w:cs="宋体"/>
                <w:color w:val="auto"/>
                <w:sz w:val="24"/>
                <w:szCs w:val="24"/>
                <w:highlight w:val="none"/>
                <w:lang w:eastAsia="zh-CN"/>
              </w:rPr>
              <w:t>运营期</w:t>
            </w:r>
            <w:r>
              <w:rPr>
                <w:rFonts w:ascii="Times New Roman" w:hAnsi="Times New Roman" w:cs="Times New Roman"/>
                <w:color w:val="auto"/>
                <w:highlight w:val="none"/>
              </w:rPr>
              <w:t>项目不设生活区，</w:t>
            </w:r>
            <w:r>
              <w:rPr>
                <w:rFonts w:hint="eastAsia" w:cs="Times New Roman"/>
                <w:color w:val="auto"/>
                <w:highlight w:val="none"/>
                <w:lang w:eastAsia="zh-CN"/>
              </w:rPr>
              <w:t>管理</w:t>
            </w:r>
            <w:r>
              <w:rPr>
                <w:rFonts w:ascii="Times New Roman" w:hAnsi="Times New Roman" w:cs="Times New Roman"/>
                <w:color w:val="auto"/>
                <w:highlight w:val="none"/>
              </w:rPr>
              <w:t>人员住宿依托</w:t>
            </w:r>
            <w:r>
              <w:rPr>
                <w:rFonts w:hint="eastAsia" w:cs="Times New Roman"/>
                <w:color w:val="auto"/>
                <w:highlight w:val="none"/>
                <w:lang w:eastAsia="zh-CN"/>
              </w:rPr>
              <w:t>热水光伏电站管理人员，生活废水依托村庄已建污水处理设施处理。</w:t>
            </w:r>
          </w:p>
          <w:p w14:paraId="2B631D6C">
            <w:pPr>
              <w:numPr>
                <w:ilvl w:val="0"/>
                <w:numId w:val="0"/>
              </w:num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（3）噪声</w:t>
            </w:r>
          </w:p>
          <w:p w14:paraId="65C807AA">
            <w:pPr>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施工期执行《建筑施工噪声排放标准》（GB12523-2025），标准值见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lang w:val="en-US" w:eastAsia="zh-CN"/>
              </w:rPr>
              <w:t>。</w:t>
            </w:r>
          </w:p>
          <w:p w14:paraId="28BB47E5">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项目所在区域为声环境功能区1类，运行期风电场执行《工业企业厂界环境噪声排放标准》（GB12348-2008）1类标准，即昼间55dB(A</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，夜间45dB(A</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，标准值见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lang w:val="en-US" w:eastAsia="zh-CN"/>
              </w:rPr>
              <w:t>。</w:t>
            </w:r>
          </w:p>
          <w:p w14:paraId="70643981">
            <w:pPr>
              <w:ind w:firstLine="480"/>
              <w:rPr>
                <w:color w:val="auto"/>
              </w:rPr>
            </w:pPr>
            <w:r>
              <w:rPr>
                <w:rFonts w:hint="eastAsia"/>
                <w:color w:val="auto"/>
              </w:rPr>
              <w:t>运营期风机基础执行《风电场噪声限值及测量方法》（</w:t>
            </w:r>
            <w:r>
              <w:rPr>
                <w:rFonts w:hint="eastAsia"/>
                <w:color w:val="auto"/>
                <w:lang w:val="en-US" w:eastAsia="zh-CN"/>
              </w:rPr>
              <w:t>DL/T1084-2021</w:t>
            </w:r>
            <w:r>
              <w:rPr>
                <w:rFonts w:hint="eastAsia"/>
                <w:color w:val="auto"/>
              </w:rPr>
              <w:t>）1类区标准，昼间≤55dB（A），夜间≤45dB（A），周围敏感点执行《声环境质量标准》（GB3096-2008）1类区标准。</w:t>
            </w:r>
          </w:p>
          <w:p w14:paraId="04D7162F">
            <w:pPr>
              <w:pStyle w:val="18"/>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表</w:t>
            </w:r>
            <w:r>
              <w:rPr>
                <w:rFonts w:hint="eastAsia"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23</w:t>
            </w:r>
            <w:r>
              <w:rPr>
                <w:rFonts w:hint="default" w:ascii="Times New Roman" w:hAnsi="Times New Roman" w:eastAsia="宋体" w:cs="Times New Roman"/>
                <w:b/>
                <w:bCs/>
                <w:color w:val="auto"/>
                <w:highlight w:val="none"/>
                <w:lang w:val="en-US" w:eastAsia="zh-CN"/>
              </w:rPr>
              <w:t>建筑施工噪声排放标准</w:t>
            </w:r>
            <w:r>
              <w:rPr>
                <w:rFonts w:hint="eastAsia"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单位：dB(A)</w:t>
            </w:r>
          </w:p>
          <w:tbl>
            <w:tblPr>
              <w:tblStyle w:val="2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72"/>
              <w:gridCol w:w="2760"/>
              <w:gridCol w:w="2760"/>
            </w:tblGrid>
            <w:tr w14:paraId="470B4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0936E">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时段</w:t>
                  </w:r>
                </w:p>
              </w:tc>
              <w:tc>
                <w:tcPr>
                  <w:tcW w:w="1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B2B12">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昼间</w:t>
                  </w:r>
                </w:p>
              </w:tc>
              <w:tc>
                <w:tcPr>
                  <w:tcW w:w="1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CA80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夜间</w:t>
                  </w:r>
                </w:p>
              </w:tc>
            </w:tr>
            <w:tr w14:paraId="021E3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8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DF8EC">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eastAsia="zh-CN"/>
                    </w:rPr>
                  </w:pPr>
                  <w:r>
                    <w:rPr>
                      <w:rFonts w:hint="default" w:ascii="Times New Roman" w:hAnsi="Times New Roman" w:eastAsia="宋体" w:cs="Times New Roman"/>
                      <w:i w:val="0"/>
                      <w:iCs w:val="0"/>
                      <w:color w:val="auto"/>
                      <w:sz w:val="22"/>
                      <w:szCs w:val="22"/>
                      <w:highlight w:val="none"/>
                      <w:u w:val="none"/>
                      <w:lang w:eastAsia="zh-CN"/>
                    </w:rPr>
                    <w:t>噪声限值</w:t>
                  </w:r>
                </w:p>
              </w:tc>
              <w:tc>
                <w:tcPr>
                  <w:tcW w:w="1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25FAA">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70</w:t>
                  </w:r>
                </w:p>
              </w:tc>
              <w:tc>
                <w:tcPr>
                  <w:tcW w:w="15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9DB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55</w:t>
                  </w:r>
                </w:p>
              </w:tc>
            </w:tr>
          </w:tbl>
          <w:p w14:paraId="6A7F139D">
            <w:pPr>
              <w:pStyle w:val="18"/>
              <w:keepNext w:val="0"/>
              <w:keepLines w:val="0"/>
              <w:pageBreakBefore w:val="0"/>
              <w:widowControl/>
              <w:kinsoku/>
              <w:wordWrap/>
              <w:overflowPunct/>
              <w:topLinePunct w:val="0"/>
              <w:autoSpaceDE/>
              <w:autoSpaceDN/>
              <w:bidi w:val="0"/>
              <w:adjustRightInd w:val="0"/>
              <w:snapToGrid w:val="0"/>
              <w:spacing w:before="0" w:after="0" w:line="240" w:lineRule="auto"/>
              <w:ind w:left="0" w:leftChars="0" w:right="0" w:firstLine="0" w:firstLineChars="0"/>
              <w:jc w:val="center"/>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表</w:t>
            </w:r>
            <w:r>
              <w:rPr>
                <w:rFonts w:hint="eastAsia" w:cs="Times New Roman"/>
                <w:b/>
                <w:bCs/>
                <w:color w:val="auto"/>
                <w:highlight w:val="none"/>
                <w:lang w:val="en-US" w:eastAsia="zh-CN"/>
              </w:rPr>
              <w:t>3</w:t>
            </w:r>
            <w:r>
              <w:rPr>
                <w:rFonts w:hint="default"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24</w:t>
            </w:r>
            <w:r>
              <w:rPr>
                <w:rFonts w:hint="default" w:ascii="Times New Roman" w:hAnsi="Times New Roman" w:eastAsia="宋体" w:cs="Times New Roman"/>
                <w:b/>
                <w:bCs/>
                <w:color w:val="auto"/>
                <w:highlight w:val="none"/>
                <w:lang w:val="en-US" w:eastAsia="zh-CN"/>
              </w:rPr>
              <w:t>风电场噪声有限值</w:t>
            </w:r>
            <w:r>
              <w:rPr>
                <w:rFonts w:hint="eastAsia" w:cs="Times New Roman"/>
                <w:b/>
                <w:bCs/>
                <w:color w:val="auto"/>
                <w:highlight w:val="none"/>
                <w:lang w:val="en-US" w:eastAsia="zh-CN"/>
              </w:rPr>
              <w:t xml:space="preserve"> </w:t>
            </w:r>
            <w:r>
              <w:rPr>
                <w:rFonts w:hint="default" w:ascii="Times New Roman" w:hAnsi="Times New Roman" w:eastAsia="宋体" w:cs="Times New Roman"/>
                <w:b/>
                <w:bCs/>
                <w:color w:val="auto"/>
                <w:highlight w:val="none"/>
                <w:lang w:val="en-US" w:eastAsia="zh-CN"/>
              </w:rPr>
              <w:t>单位：dB(A)</w:t>
            </w:r>
          </w:p>
          <w:tbl>
            <w:tblPr>
              <w:tblStyle w:val="20"/>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76"/>
              <w:gridCol w:w="2758"/>
              <w:gridCol w:w="2758"/>
            </w:tblGrid>
            <w:tr w14:paraId="4A3DF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E6C9">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eastAsia="zh-CN"/>
                    </w:rPr>
                  </w:pPr>
                  <w:r>
                    <w:rPr>
                      <w:rFonts w:hint="default" w:ascii="Times New Roman" w:hAnsi="Times New Roman" w:eastAsia="宋体" w:cs="Times New Roman"/>
                      <w:i w:val="0"/>
                      <w:iCs w:val="0"/>
                      <w:color w:val="auto"/>
                      <w:sz w:val="22"/>
                      <w:szCs w:val="22"/>
                      <w:highlight w:val="none"/>
                      <w:u w:val="none"/>
                      <w:lang w:eastAsia="zh-CN"/>
                    </w:rPr>
                    <w:t>时段</w:t>
                  </w:r>
                </w:p>
              </w:tc>
              <w:tc>
                <w:tcPr>
                  <w:tcW w:w="1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331FF">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eastAsia="zh-CN"/>
                    </w:rPr>
                  </w:pPr>
                  <w:r>
                    <w:rPr>
                      <w:rFonts w:hint="default" w:ascii="Times New Roman" w:hAnsi="Times New Roman" w:eastAsia="宋体" w:cs="Times New Roman"/>
                      <w:i w:val="0"/>
                      <w:iCs w:val="0"/>
                      <w:color w:val="auto"/>
                      <w:sz w:val="22"/>
                      <w:szCs w:val="22"/>
                      <w:highlight w:val="none"/>
                      <w:u w:val="none"/>
                      <w:lang w:eastAsia="zh-CN"/>
                    </w:rPr>
                    <w:t>昼间</w:t>
                  </w:r>
                </w:p>
              </w:tc>
              <w:tc>
                <w:tcPr>
                  <w:tcW w:w="1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0EEE2">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eastAsia="zh-CN"/>
                    </w:rPr>
                  </w:pPr>
                  <w:r>
                    <w:rPr>
                      <w:rFonts w:hint="default" w:ascii="Times New Roman" w:hAnsi="Times New Roman" w:eastAsia="宋体" w:cs="Times New Roman"/>
                      <w:i w:val="0"/>
                      <w:iCs w:val="0"/>
                      <w:color w:val="auto"/>
                      <w:sz w:val="22"/>
                      <w:szCs w:val="22"/>
                      <w:highlight w:val="none"/>
                      <w:u w:val="none"/>
                      <w:lang w:eastAsia="zh-CN"/>
                    </w:rPr>
                    <w:t>夜间</w:t>
                  </w:r>
                </w:p>
              </w:tc>
            </w:tr>
            <w:tr w14:paraId="4DFEB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A4D2">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lang w:val="en-US" w:eastAsia="zh-CN"/>
                    </w:rPr>
                  </w:pPr>
                  <w:r>
                    <w:rPr>
                      <w:rFonts w:hint="default" w:ascii="Times New Roman" w:hAnsi="Times New Roman" w:eastAsia="宋体" w:cs="Times New Roman"/>
                      <w:i w:val="0"/>
                      <w:iCs w:val="0"/>
                      <w:color w:val="auto"/>
                      <w:sz w:val="22"/>
                      <w:szCs w:val="22"/>
                      <w:highlight w:val="none"/>
                      <w:u w:val="none"/>
                      <w:lang w:val="en-US" w:eastAsia="zh-CN"/>
                    </w:rPr>
                    <w:t>1类标准</w:t>
                  </w:r>
                </w:p>
              </w:tc>
              <w:tc>
                <w:tcPr>
                  <w:tcW w:w="1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D5BA">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sz w:val="22"/>
                      <w:szCs w:val="22"/>
                      <w:highlight w:val="none"/>
                      <w:u w:val="none"/>
                    </w:rPr>
                  </w:pPr>
                  <w:r>
                    <w:rPr>
                      <w:rFonts w:hint="default" w:ascii="Times New Roman" w:hAnsi="Times New Roman" w:eastAsia="宋体" w:cs="Times New Roman"/>
                      <w:i w:val="0"/>
                      <w:iCs w:val="0"/>
                      <w:color w:val="auto"/>
                      <w:kern w:val="0"/>
                      <w:sz w:val="22"/>
                      <w:szCs w:val="22"/>
                      <w:highlight w:val="none"/>
                      <w:u w:val="none"/>
                      <w:lang w:val="en-US" w:eastAsia="zh-CN" w:bidi="ar"/>
                    </w:rPr>
                    <w:t>55</w:t>
                  </w:r>
                </w:p>
              </w:tc>
              <w:tc>
                <w:tcPr>
                  <w:tcW w:w="15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D8C23">
                  <w:pPr>
                    <w:keepNext w:val="0"/>
                    <w:keepLines w:val="0"/>
                    <w:widowControl/>
                    <w:suppressLineNumbers w:val="0"/>
                    <w:ind w:left="0" w:leftChars="0" w:firstLine="0" w:firstLineChars="0"/>
                    <w:jc w:val="center"/>
                    <w:textAlignment w:val="center"/>
                    <w:rPr>
                      <w:rFonts w:hint="default" w:ascii="Times New Roman" w:hAnsi="Times New Roman" w:eastAsia="宋体" w:cs="Times New Roman"/>
                      <w:i w:val="0"/>
                      <w:iCs w:val="0"/>
                      <w:color w:val="auto"/>
                      <w:kern w:val="0"/>
                      <w:sz w:val="22"/>
                      <w:szCs w:val="22"/>
                      <w:highlight w:val="none"/>
                      <w:u w:val="none"/>
                      <w:lang w:val="en-US" w:eastAsia="zh-CN" w:bidi="ar"/>
                    </w:rPr>
                  </w:pPr>
                  <w:r>
                    <w:rPr>
                      <w:rFonts w:hint="default" w:ascii="Times New Roman" w:hAnsi="Times New Roman" w:eastAsia="宋体" w:cs="Times New Roman"/>
                      <w:i w:val="0"/>
                      <w:iCs w:val="0"/>
                      <w:color w:val="auto"/>
                      <w:kern w:val="0"/>
                      <w:sz w:val="22"/>
                      <w:szCs w:val="22"/>
                      <w:highlight w:val="none"/>
                      <w:u w:val="none"/>
                      <w:lang w:val="en-US" w:eastAsia="zh-CN" w:bidi="ar"/>
                    </w:rPr>
                    <w:t>45</w:t>
                  </w:r>
                </w:p>
              </w:tc>
            </w:tr>
          </w:tbl>
          <w:p w14:paraId="6C184047">
            <w:pPr>
              <w:ind w:left="0" w:leftChars="0"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（5）固体废弃物</w:t>
            </w:r>
          </w:p>
          <w:p w14:paraId="3C420998">
            <w:pPr>
              <w:adjustRightInd w:val="0"/>
              <w:snapToGrid w:val="0"/>
              <w:rPr>
                <w:rFonts w:hint="default" w:ascii="Times New Roman" w:hAnsi="Times New Roman" w:cs="Times New Roman"/>
                <w:color w:val="auto"/>
                <w:kern w:val="0"/>
                <w:szCs w:val="21"/>
                <w:highlight w:val="none"/>
              </w:rPr>
            </w:pPr>
            <w:r>
              <w:rPr>
                <w:rFonts w:hint="default" w:ascii="Times New Roman" w:hAnsi="Times New Roman" w:eastAsia="宋体" w:cs="Times New Roman"/>
                <w:color w:val="auto"/>
                <w:highlight w:val="none"/>
                <w:lang w:val="en-US" w:eastAsia="zh-CN"/>
              </w:rPr>
              <w:t>固体废弃物处置按照执行《一般工业固体废物贮存和填埋污染控制标准》（GB18599-2020）执行。风机及箱变维修产生的废弃润滑油、油纸等危险废物收集贮存按照《危险废物贮存污染控制标准》（GB18597-2023）执行。</w:t>
            </w:r>
          </w:p>
        </w:tc>
      </w:tr>
      <w:tr w14:paraId="25665D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456" w:type="dxa"/>
            <w:noWrap w:val="0"/>
            <w:vAlign w:val="center"/>
          </w:tcPr>
          <w:p w14:paraId="54F5F959">
            <w:pPr>
              <w:adjustRightInd w:val="0"/>
              <w:snapToGrid w:val="0"/>
              <w:ind w:left="0" w:leftChars="0" w:firstLine="0" w:firstLineChars="0"/>
              <w:jc w:val="both"/>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其他</w:t>
            </w:r>
          </w:p>
        </w:tc>
        <w:tc>
          <w:tcPr>
            <w:tcW w:w="8910" w:type="dxa"/>
            <w:noWrap w:val="0"/>
            <w:vAlign w:val="center"/>
          </w:tcPr>
          <w:p w14:paraId="0DBCBFA3">
            <w:pPr>
              <w:numPr>
                <w:ilvl w:val="0"/>
                <w:numId w:val="0"/>
              </w:numPr>
              <w:bidi w:val="0"/>
              <w:ind w:left="0" w:leftChars="0" w:firstLine="0" w:firstLineChars="0"/>
              <w:rPr>
                <w:rFonts w:hint="default" w:ascii="Times New Roman" w:hAnsi="Times New Roman" w:eastAsia="宋体" w:cs="Times New Roman"/>
                <w:color w:val="auto"/>
                <w:highlight w:val="none"/>
              </w:rPr>
            </w:pPr>
            <w:r>
              <w:rPr>
                <w:rFonts w:hint="eastAsia" w:cs="Times New Roman"/>
                <w:color w:val="auto"/>
                <w:kern w:val="2"/>
                <w:sz w:val="24"/>
                <w:szCs w:val="24"/>
                <w:highlight w:val="none"/>
                <w:lang w:val="en-US" w:eastAsia="zh-CN" w:bidi="ar-SA"/>
              </w:rPr>
              <w:t>1.</w:t>
            </w:r>
            <w:r>
              <w:rPr>
                <w:rFonts w:hint="default" w:ascii="Times New Roman" w:hAnsi="Times New Roman" w:eastAsia="宋体" w:cs="Times New Roman"/>
                <w:color w:val="auto"/>
                <w:highlight w:val="none"/>
                <w:lang w:eastAsia="zh-CN"/>
              </w:rPr>
              <w:t>总量控制指标</w:t>
            </w:r>
          </w:p>
          <w:p w14:paraId="1950EE0E">
            <w:pPr>
              <w:numPr>
                <w:ilvl w:val="0"/>
                <w:numId w:val="0"/>
              </w:numPr>
              <w:bidi w:val="0"/>
              <w:ind w:left="0" w:leftChars="0"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本项目不设总量控制指标</w:t>
            </w:r>
          </w:p>
          <w:p w14:paraId="0EE5BB59">
            <w:pPr>
              <w:adjustRightInd w:val="0"/>
              <w:snapToGrid w:val="0"/>
              <w:jc w:val="center"/>
              <w:rPr>
                <w:rFonts w:hint="default" w:ascii="Times New Roman" w:hAnsi="Times New Roman" w:cs="Times New Roman"/>
                <w:color w:val="auto"/>
                <w:kern w:val="0"/>
                <w:szCs w:val="21"/>
                <w:highlight w:val="none"/>
              </w:rPr>
            </w:pPr>
          </w:p>
        </w:tc>
      </w:tr>
    </w:tbl>
    <w:p w14:paraId="79610A7B">
      <w:pPr>
        <w:pStyle w:val="16"/>
        <w:keepNext w:val="0"/>
        <w:keepLines w:val="0"/>
        <w:pageBreakBefore w:val="0"/>
        <w:widowControl/>
        <w:numPr>
          <w:ilvl w:val="0"/>
          <w:numId w:val="7"/>
        </w:numPr>
        <w:kinsoku/>
        <w:wordWrap/>
        <w:overflowPunct/>
        <w:topLinePunct w:val="0"/>
        <w:autoSpaceDE/>
        <w:autoSpaceDN/>
        <w:bidi w:val="0"/>
        <w:adjustRightInd w:val="0"/>
        <w:snapToGrid w:val="0"/>
        <w:spacing w:line="240" w:lineRule="auto"/>
        <w:jc w:val="center"/>
        <w:textAlignment w:val="auto"/>
        <w:outlineLvl w:val="0"/>
        <w:rPr>
          <w:rFonts w:hint="eastAsia" w:ascii="黑体" w:hAnsi="黑体" w:eastAsia="黑体"/>
          <w:snapToGrid w:val="0"/>
          <w:color w:val="auto"/>
          <w:sz w:val="30"/>
          <w:szCs w:val="30"/>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p>
    <w:p w14:paraId="5BCA6C5E">
      <w:pPr>
        <w:pStyle w:val="2"/>
        <w:bidi w:val="0"/>
        <w:jc w:val="center"/>
        <w:rPr>
          <w:rFonts w:hint="eastAsia"/>
          <w:lang w:eastAsia="zh-CN"/>
        </w:rPr>
      </w:pPr>
      <w:bookmarkStart w:id="23" w:name="_Toc14343"/>
      <w:r>
        <w:rPr>
          <w:rFonts w:hint="eastAsia"/>
          <w:lang w:eastAsia="zh-CN"/>
        </w:rPr>
        <w:t>四、生态环境影响分析</w:t>
      </w:r>
      <w:bookmarkEnd w:id="23"/>
    </w:p>
    <w:tbl>
      <w:tblPr>
        <w:tblStyle w:val="20"/>
        <w:tblW w:w="534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71"/>
        <w:gridCol w:w="8545"/>
      </w:tblGrid>
      <w:tr w14:paraId="430E5C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tcMar>
              <w:left w:w="28" w:type="dxa"/>
              <w:right w:w="28" w:type="dxa"/>
            </w:tcMar>
            <w:vAlign w:val="center"/>
          </w:tcPr>
          <w:p w14:paraId="126720B1">
            <w:pPr>
              <w:pStyle w:val="16"/>
              <w:keepNext w:val="0"/>
              <w:keepLines w:val="0"/>
              <w:pageBreakBefore w:val="0"/>
              <w:widowControl w:val="0"/>
              <w:wordWrap/>
              <w:overflowPunct/>
              <w:topLinePunct w:val="0"/>
              <w:bidi w:val="0"/>
              <w:adjustRightInd w:val="0"/>
              <w:snapToGrid w:val="0"/>
              <w:spacing w:before="0" w:beforeAutospacing="0" w:after="0" w:afterAutospacing="0"/>
              <w:ind w:left="0" w:leftChars="0" w:firstLine="0" w:firstLineChars="0"/>
              <w:jc w:val="both"/>
              <w:textAlignment w:val="auto"/>
              <w:rPr>
                <w:rFonts w:ascii="Times New Roman" w:hAnsi="Times New Roman" w:cs="Times New Roman"/>
                <w:bCs/>
                <w:color w:val="auto"/>
                <w:kern w:val="2"/>
                <w:sz w:val="21"/>
                <w:szCs w:val="21"/>
                <w:highlight w:val="none"/>
              </w:rPr>
            </w:pPr>
            <w:r>
              <w:rPr>
                <w:rFonts w:hint="default" w:ascii="Times New Roman" w:hAnsi="Times New Roman" w:cs="Times New Roman"/>
                <w:bCs/>
                <w:color w:val="auto"/>
                <w:spacing w:val="10"/>
                <w:kern w:val="2"/>
                <w:sz w:val="21"/>
                <w:szCs w:val="21"/>
                <w:highlight w:val="none"/>
              </w:rPr>
              <w:t>施工期生态环境影响分析</w:t>
            </w:r>
          </w:p>
        </w:tc>
        <w:tc>
          <w:tcPr>
            <w:tcW w:w="0" w:type="auto"/>
            <w:noWrap w:val="0"/>
            <w:vAlign w:val="top"/>
          </w:tcPr>
          <w:p w14:paraId="241B248C">
            <w:pPr>
              <w:pStyle w:val="45"/>
              <w:keepNext w:val="0"/>
              <w:keepLines w:val="0"/>
              <w:pageBreakBefore w:val="0"/>
              <w:widowControl w:val="0"/>
              <w:wordWrap/>
              <w:overflowPunct/>
              <w:topLinePunct w:val="0"/>
              <w:bidi w:val="0"/>
              <w:adjustRightInd w:val="0"/>
              <w:snapToGrid w:val="0"/>
              <w:spacing w:before="40" w:line="219" w:lineRule="auto"/>
              <w:ind w:left="0" w:leftChars="0" w:firstLine="0" w:firstLineChars="0"/>
              <w:textAlignment w:val="auto"/>
              <w:rPr>
                <w:rFonts w:ascii="Times New Roman" w:hAnsi="Times New Roman" w:cs="Times New Roman"/>
                <w:color w:val="auto"/>
                <w:highlight w:val="none"/>
              </w:rPr>
            </w:pPr>
            <w:r>
              <w:rPr>
                <w:rFonts w:hint="default" w:ascii="Times New Roman" w:hAnsi="Times New Roman" w:cs="Times New Roman"/>
                <w:b/>
                <w:bCs/>
                <w:color w:val="auto"/>
                <w:spacing w:val="-3"/>
                <w:highlight w:val="none"/>
                <w:lang w:val="en-US" w:eastAsia="zh-CN"/>
              </w:rPr>
              <w:t>4.1</w:t>
            </w:r>
            <w:r>
              <w:rPr>
                <w:rFonts w:ascii="Times New Roman" w:hAnsi="Times New Roman" w:cs="Times New Roman"/>
                <w:b/>
                <w:bCs/>
                <w:color w:val="auto"/>
                <w:spacing w:val="-3"/>
                <w:highlight w:val="none"/>
              </w:rPr>
              <w:t>施工期产污环节及影响因素</w:t>
            </w:r>
          </w:p>
          <w:p w14:paraId="74313906">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（1）施工期产污环节</w:t>
            </w:r>
          </w:p>
          <w:p w14:paraId="0921B64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spacing w:val="-2"/>
                <w:highlight w:val="none"/>
              </w:rPr>
            </w:pPr>
            <w:r>
              <w:rPr>
                <w:rFonts w:ascii="Times New Roman" w:hAnsi="Times New Roman" w:cs="Times New Roman"/>
                <w:color w:val="auto"/>
                <w:highlight w:val="none"/>
              </w:rPr>
              <w:t>施工期主要污染源有：施工期机械噪声、扬尘、运输及动力设备运行产生的燃油废气、固体废物；施工人员生活废水、生活垃圾等，项目施工流程及各阶段</w:t>
            </w:r>
            <w:r>
              <w:rPr>
                <w:rFonts w:ascii="Times New Roman" w:hAnsi="Times New Roman" w:cs="Times New Roman"/>
                <w:color w:val="auto"/>
                <w:spacing w:val="-2"/>
                <w:highlight w:val="none"/>
              </w:rPr>
              <w:t>产污环节见图</w:t>
            </w:r>
            <w:r>
              <w:rPr>
                <w:rFonts w:ascii="Times New Roman" w:hAnsi="Times New Roman" w:eastAsia="Times New Roman" w:cs="Times New Roman"/>
                <w:color w:val="auto"/>
                <w:spacing w:val="-2"/>
                <w:highlight w:val="none"/>
              </w:rPr>
              <w:t>4-1</w:t>
            </w:r>
            <w:r>
              <w:rPr>
                <w:rFonts w:ascii="Times New Roman" w:hAnsi="Times New Roman" w:cs="Times New Roman"/>
                <w:color w:val="auto"/>
                <w:spacing w:val="-2"/>
                <w:highlight w:val="none"/>
              </w:rPr>
              <w:t>。</w:t>
            </w:r>
          </w:p>
          <w:p w14:paraId="136554D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position w:val="-52"/>
                <w:sz w:val="2"/>
                <w:szCs w:val="2"/>
                <w:highlight w:val="none"/>
                <w:lang w:val="en-US" w:eastAsia="zh-CN"/>
              </w:rPr>
            </w:pPr>
            <w:r>
              <w:rPr>
                <w:rFonts w:ascii="Times New Roman" w:hAnsi="Times New Roman" w:cs="Times New Roman"/>
                <w:color w:val="auto"/>
                <w:highlight w:val="none"/>
              </w:rPr>
              <w:object>
                <v:shape id="_x0000_i1025" o:spt="75" type="#_x0000_t75" style="height:81.95pt;width:363.7pt;" o:ole="t" filled="f" o:preferrelative="t" stroked="f" coordsize="21600,21600">
                  <v:path/>
                  <v:fill on="f" focussize="0,0"/>
                  <v:stroke on="f"/>
                  <v:imagedata r:id="rId27" o:title=""/>
                  <o:lock v:ext="edit" aspectratio="f"/>
                  <w10:wrap type="none"/>
                  <w10:anchorlock/>
                </v:shape>
                <o:OLEObject Type="Embed" ProgID="Visio.Drawing.11" ShapeID="_x0000_i1025" DrawAspect="Content" ObjectID="_1468075725" r:id="rId26">
                  <o:LockedField>false</o:LockedField>
                </o:OLEObject>
              </w:object>
            </w:r>
          </w:p>
          <w:p w14:paraId="2F413BCF">
            <w:pPr>
              <w:pStyle w:val="45"/>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ascii="Times New Roman" w:hAnsi="Times New Roman" w:cs="Times New Roman"/>
                <w:color w:val="auto"/>
                <w:highlight w:val="none"/>
              </w:rPr>
            </w:pPr>
            <w:r>
              <w:rPr>
                <w:rFonts w:ascii="Times New Roman" w:hAnsi="Times New Roman" w:cs="Times New Roman"/>
                <w:b/>
                <w:bCs/>
                <w:color w:val="auto"/>
                <w:spacing w:val="-4"/>
                <w:highlight w:val="none"/>
              </w:rPr>
              <w:t>图</w:t>
            </w:r>
            <w:r>
              <w:rPr>
                <w:rFonts w:ascii="Times New Roman" w:hAnsi="Times New Roman" w:eastAsia="Times New Roman" w:cs="Times New Roman"/>
                <w:b/>
                <w:bCs/>
                <w:color w:val="auto"/>
                <w:spacing w:val="-4"/>
                <w:highlight w:val="none"/>
              </w:rPr>
              <w:t>4-1</w:t>
            </w:r>
            <w:r>
              <w:rPr>
                <w:rFonts w:ascii="Times New Roman" w:hAnsi="Times New Roman" w:cs="Times New Roman"/>
                <w:b/>
                <w:bCs/>
                <w:color w:val="auto"/>
                <w:spacing w:val="-4"/>
                <w:highlight w:val="none"/>
              </w:rPr>
              <w:t>施工期施工工艺流程图</w:t>
            </w:r>
          </w:p>
          <w:p w14:paraId="6BA41AE9">
            <w:pPr>
              <w:pStyle w:val="45"/>
              <w:keepNext w:val="0"/>
              <w:keepLines w:val="0"/>
              <w:pageBreakBefore w:val="0"/>
              <w:widowControl w:val="0"/>
              <w:wordWrap/>
              <w:overflowPunct/>
              <w:topLinePunct w:val="0"/>
              <w:bidi w:val="0"/>
              <w:adjustRightInd w:val="0"/>
              <w:snapToGrid w:val="0"/>
              <w:spacing w:before="182" w:line="219" w:lineRule="auto"/>
              <w:ind w:left="0" w:firstLine="0" w:firstLineChars="0"/>
              <w:textAlignment w:val="auto"/>
              <w:rPr>
                <w:rFonts w:ascii="Times New Roman" w:hAnsi="Times New Roman" w:cs="Times New Roman"/>
                <w:color w:val="auto"/>
                <w:highlight w:val="none"/>
              </w:rPr>
            </w:pPr>
            <w:r>
              <w:rPr>
                <w:rFonts w:ascii="Times New Roman" w:hAnsi="Times New Roman" w:cs="Times New Roman"/>
                <w:b/>
                <w:bCs/>
                <w:color w:val="auto"/>
                <w:spacing w:val="-4"/>
                <w:highlight w:val="none"/>
              </w:rPr>
              <w:t>（</w:t>
            </w:r>
            <w:r>
              <w:rPr>
                <w:rFonts w:ascii="Times New Roman" w:hAnsi="Times New Roman" w:eastAsia="Times New Roman" w:cs="Times New Roman"/>
                <w:b/>
                <w:bCs/>
                <w:color w:val="auto"/>
                <w:spacing w:val="-4"/>
                <w:highlight w:val="none"/>
              </w:rPr>
              <w:t>2</w:t>
            </w:r>
            <w:r>
              <w:rPr>
                <w:rFonts w:ascii="Times New Roman" w:hAnsi="Times New Roman" w:cs="Times New Roman"/>
                <w:b/>
                <w:bCs/>
                <w:color w:val="auto"/>
                <w:spacing w:val="-4"/>
                <w:highlight w:val="none"/>
              </w:rPr>
              <w:t>）施工期污染影响因素</w:t>
            </w:r>
          </w:p>
          <w:p w14:paraId="3B0D7217">
            <w:pPr>
              <w:pStyle w:val="45"/>
              <w:keepNext w:val="0"/>
              <w:keepLines w:val="0"/>
              <w:pageBreakBefore w:val="0"/>
              <w:widowControl w:val="0"/>
              <w:wordWrap/>
              <w:overflowPunct/>
              <w:topLinePunct w:val="0"/>
              <w:bidi w:val="0"/>
              <w:adjustRightInd w:val="0"/>
              <w:snapToGrid w:val="0"/>
              <w:spacing w:before="180" w:line="219" w:lineRule="auto"/>
              <w:ind w:left="591"/>
              <w:textAlignment w:val="auto"/>
              <w:rPr>
                <w:rFonts w:ascii="Times New Roman" w:hAnsi="Times New Roman" w:cs="Times New Roman"/>
                <w:color w:val="auto"/>
                <w:highlight w:val="none"/>
              </w:rPr>
            </w:pPr>
            <w:r>
              <w:rPr>
                <w:rFonts w:ascii="Times New Roman" w:hAnsi="Times New Roman" w:cs="Times New Roman"/>
                <w:color w:val="auto"/>
                <w:spacing w:val="-1"/>
                <w:highlight w:val="none"/>
              </w:rPr>
              <w:t>项目施工期的污染影响因素如下表所示。</w:t>
            </w:r>
          </w:p>
          <w:p w14:paraId="5FCA18C4">
            <w:pPr>
              <w:pStyle w:val="49"/>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表4-1施工期环境影响因素一览表</w:t>
            </w:r>
          </w:p>
          <w:tbl>
            <w:tblPr>
              <w:tblStyle w:val="46"/>
              <w:tblW w:w="4997"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4"/>
              <w:gridCol w:w="3549"/>
              <w:gridCol w:w="2791"/>
              <w:gridCol w:w="1115"/>
            </w:tblGrid>
            <w:tr w14:paraId="549B1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jc w:val="center"/>
              </w:trPr>
              <w:tc>
                <w:tcPr>
                  <w:tcW w:w="519" w:type="pct"/>
                  <w:vAlign w:val="center"/>
                </w:tcPr>
                <w:p w14:paraId="423BCF0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类别</w:t>
                  </w:r>
                </w:p>
              </w:tc>
              <w:tc>
                <w:tcPr>
                  <w:tcW w:w="2132" w:type="pct"/>
                  <w:vAlign w:val="center"/>
                </w:tcPr>
                <w:p w14:paraId="50E6CD75">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污染源</w:t>
                  </w:r>
                </w:p>
              </w:tc>
              <w:tc>
                <w:tcPr>
                  <w:tcW w:w="1677" w:type="pct"/>
                  <w:vAlign w:val="center"/>
                </w:tcPr>
                <w:p w14:paraId="54F436E4">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污染物</w:t>
                  </w:r>
                </w:p>
              </w:tc>
              <w:tc>
                <w:tcPr>
                  <w:tcW w:w="670" w:type="pct"/>
                  <w:vAlign w:val="center"/>
                </w:tcPr>
                <w:p w14:paraId="2C5976F9">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产生特性</w:t>
                  </w:r>
                </w:p>
              </w:tc>
            </w:tr>
            <w:tr w14:paraId="75D38F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jc w:val="center"/>
              </w:trPr>
              <w:tc>
                <w:tcPr>
                  <w:tcW w:w="519" w:type="pct"/>
                  <w:vMerge w:val="restart"/>
                  <w:tcBorders>
                    <w:bottom w:val="nil"/>
                  </w:tcBorders>
                  <w:vAlign w:val="center"/>
                </w:tcPr>
                <w:p w14:paraId="6318842E">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废气</w:t>
                  </w:r>
                </w:p>
              </w:tc>
              <w:tc>
                <w:tcPr>
                  <w:tcW w:w="2132" w:type="pct"/>
                  <w:vAlign w:val="center"/>
                </w:tcPr>
                <w:p w14:paraId="208474BC">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地表清理、场地平整、基础开挖、配套设施建设、物料装卸及运输</w:t>
                  </w:r>
                </w:p>
              </w:tc>
              <w:tc>
                <w:tcPr>
                  <w:tcW w:w="1677" w:type="pct"/>
                  <w:vAlign w:val="center"/>
                </w:tcPr>
                <w:p w14:paraId="237CEF7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扬尘（TSP）</w:t>
                  </w:r>
                </w:p>
              </w:tc>
              <w:tc>
                <w:tcPr>
                  <w:tcW w:w="670" w:type="pct"/>
                  <w:vAlign w:val="center"/>
                </w:tcPr>
                <w:p w14:paraId="2DA837BF">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间歇，无组织</w:t>
                  </w:r>
                </w:p>
              </w:tc>
            </w:tr>
            <w:tr w14:paraId="0475F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519" w:type="pct"/>
                  <w:vMerge w:val="continue"/>
                  <w:tcBorders>
                    <w:top w:val="nil"/>
                  </w:tcBorders>
                  <w:vAlign w:val="center"/>
                </w:tcPr>
                <w:p w14:paraId="322F07A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c>
                <w:tcPr>
                  <w:tcW w:w="2132" w:type="pct"/>
                  <w:vAlign w:val="center"/>
                </w:tcPr>
                <w:p w14:paraId="105A5F41">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施工机械</w:t>
                  </w:r>
                </w:p>
              </w:tc>
              <w:tc>
                <w:tcPr>
                  <w:tcW w:w="1677" w:type="pct"/>
                  <w:vAlign w:val="center"/>
                </w:tcPr>
                <w:p w14:paraId="4AD86016">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NOx、CO及CHx</w:t>
                  </w:r>
                </w:p>
              </w:tc>
              <w:tc>
                <w:tcPr>
                  <w:tcW w:w="670" w:type="pct"/>
                  <w:vAlign w:val="center"/>
                </w:tcPr>
                <w:p w14:paraId="41030DDD">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间歇，无组织</w:t>
                  </w:r>
                </w:p>
              </w:tc>
            </w:tr>
            <w:tr w14:paraId="597906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jc w:val="center"/>
              </w:trPr>
              <w:tc>
                <w:tcPr>
                  <w:tcW w:w="519" w:type="pct"/>
                  <w:vMerge w:val="restart"/>
                  <w:tcBorders>
                    <w:bottom w:val="nil"/>
                  </w:tcBorders>
                  <w:vAlign w:val="center"/>
                </w:tcPr>
                <w:p w14:paraId="3E113C43">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废水</w:t>
                  </w:r>
                </w:p>
              </w:tc>
              <w:tc>
                <w:tcPr>
                  <w:tcW w:w="2132" w:type="pct"/>
                  <w:vAlign w:val="center"/>
                </w:tcPr>
                <w:p w14:paraId="3CB90566">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施工废水</w:t>
                  </w:r>
                </w:p>
              </w:tc>
              <w:tc>
                <w:tcPr>
                  <w:tcW w:w="1677" w:type="pct"/>
                  <w:vAlign w:val="center"/>
                </w:tcPr>
                <w:p w14:paraId="23EE6E76">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SS、石油类</w:t>
                  </w:r>
                </w:p>
              </w:tc>
              <w:tc>
                <w:tcPr>
                  <w:tcW w:w="670" w:type="pct"/>
                  <w:vAlign w:val="center"/>
                </w:tcPr>
                <w:p w14:paraId="20636405">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r w14:paraId="19B47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jc w:val="center"/>
              </w:trPr>
              <w:tc>
                <w:tcPr>
                  <w:tcW w:w="519" w:type="pct"/>
                  <w:vMerge w:val="continue"/>
                  <w:tcBorders>
                    <w:top w:val="nil"/>
                  </w:tcBorders>
                  <w:vAlign w:val="center"/>
                </w:tcPr>
                <w:p w14:paraId="7F6018A9">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c>
                <w:tcPr>
                  <w:tcW w:w="2132" w:type="pct"/>
                  <w:vAlign w:val="center"/>
                </w:tcPr>
                <w:p w14:paraId="48D97099">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生活污水</w:t>
                  </w:r>
                </w:p>
              </w:tc>
              <w:tc>
                <w:tcPr>
                  <w:tcW w:w="1677" w:type="pct"/>
                  <w:vAlign w:val="center"/>
                </w:tcPr>
                <w:p w14:paraId="3E351076">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COD、BOD</w:t>
                  </w:r>
                  <w:r>
                    <w:rPr>
                      <w:rFonts w:ascii="Times New Roman" w:hAnsi="Times New Roman" w:cs="Times New Roman"/>
                      <w:color w:val="auto"/>
                      <w:highlight w:val="none"/>
                      <w:vertAlign w:val="subscript"/>
                    </w:rPr>
                    <w:t>5</w:t>
                  </w:r>
                  <w:r>
                    <w:rPr>
                      <w:rFonts w:ascii="Times New Roman" w:hAnsi="Times New Roman" w:cs="Times New Roman"/>
                      <w:color w:val="auto"/>
                      <w:highlight w:val="none"/>
                    </w:rPr>
                    <w:t>、SS、NH</w:t>
                  </w:r>
                  <w:r>
                    <w:rPr>
                      <w:rFonts w:ascii="Times New Roman" w:hAnsi="Times New Roman" w:cs="Times New Roman"/>
                      <w:color w:val="auto"/>
                      <w:highlight w:val="none"/>
                      <w:vertAlign w:val="subscript"/>
                    </w:rPr>
                    <w:t>3</w:t>
                  </w:r>
                  <w:r>
                    <w:rPr>
                      <w:rFonts w:ascii="Times New Roman" w:hAnsi="Times New Roman" w:cs="Times New Roman"/>
                      <w:color w:val="auto"/>
                      <w:highlight w:val="none"/>
                    </w:rPr>
                    <w:t>-N等</w:t>
                  </w:r>
                </w:p>
              </w:tc>
              <w:tc>
                <w:tcPr>
                  <w:tcW w:w="670" w:type="pct"/>
                  <w:vAlign w:val="center"/>
                </w:tcPr>
                <w:p w14:paraId="63C597E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r w14:paraId="68EB71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519" w:type="pct"/>
                  <w:vMerge w:val="restart"/>
                  <w:tcBorders>
                    <w:bottom w:val="nil"/>
                  </w:tcBorders>
                  <w:vAlign w:val="center"/>
                </w:tcPr>
                <w:p w14:paraId="3F75785C">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固废</w:t>
                  </w:r>
                </w:p>
              </w:tc>
              <w:tc>
                <w:tcPr>
                  <w:tcW w:w="2132" w:type="pct"/>
                  <w:vAlign w:val="center"/>
                </w:tcPr>
                <w:p w14:paraId="2C793909">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场地平整及开挖</w:t>
                  </w:r>
                </w:p>
              </w:tc>
              <w:tc>
                <w:tcPr>
                  <w:tcW w:w="1677" w:type="pct"/>
                  <w:vAlign w:val="center"/>
                </w:tcPr>
                <w:p w14:paraId="7D15BC80">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土石方</w:t>
                  </w:r>
                </w:p>
              </w:tc>
              <w:tc>
                <w:tcPr>
                  <w:tcW w:w="670" w:type="pct"/>
                  <w:vAlign w:val="center"/>
                </w:tcPr>
                <w:p w14:paraId="0898013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r w14:paraId="33C7D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519" w:type="pct"/>
                  <w:vMerge w:val="continue"/>
                  <w:tcBorders>
                    <w:top w:val="nil"/>
                    <w:bottom w:val="nil"/>
                  </w:tcBorders>
                  <w:vAlign w:val="center"/>
                </w:tcPr>
                <w:p w14:paraId="7ED922A9">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c>
                <w:tcPr>
                  <w:tcW w:w="2132" w:type="pct"/>
                  <w:vAlign w:val="center"/>
                </w:tcPr>
                <w:p w14:paraId="2618192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施工人员</w:t>
                  </w:r>
                </w:p>
              </w:tc>
              <w:tc>
                <w:tcPr>
                  <w:tcW w:w="1677" w:type="pct"/>
                  <w:vAlign w:val="center"/>
                </w:tcPr>
                <w:p w14:paraId="60451A9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生活垃圾</w:t>
                  </w:r>
                </w:p>
              </w:tc>
              <w:tc>
                <w:tcPr>
                  <w:tcW w:w="670" w:type="pct"/>
                  <w:vAlign w:val="center"/>
                </w:tcPr>
                <w:p w14:paraId="153919D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r w14:paraId="150B3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519" w:type="pct"/>
                  <w:vMerge w:val="continue"/>
                  <w:tcBorders>
                    <w:top w:val="nil"/>
                    <w:bottom w:val="nil"/>
                  </w:tcBorders>
                  <w:vAlign w:val="center"/>
                </w:tcPr>
                <w:p w14:paraId="6A65746A">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c>
                <w:tcPr>
                  <w:tcW w:w="2132" w:type="pct"/>
                  <w:vAlign w:val="center"/>
                </w:tcPr>
                <w:p w14:paraId="0A139E9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土建</w:t>
                  </w:r>
                </w:p>
              </w:tc>
              <w:tc>
                <w:tcPr>
                  <w:tcW w:w="1677" w:type="pct"/>
                  <w:vAlign w:val="center"/>
                </w:tcPr>
                <w:p w14:paraId="4A8AB394">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建筑垃圾</w:t>
                  </w:r>
                </w:p>
              </w:tc>
              <w:tc>
                <w:tcPr>
                  <w:tcW w:w="670" w:type="pct"/>
                  <w:vAlign w:val="center"/>
                </w:tcPr>
                <w:p w14:paraId="583CAE9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r w14:paraId="430BB3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519" w:type="pct"/>
                  <w:vMerge w:val="continue"/>
                  <w:tcBorders>
                    <w:top w:val="nil"/>
                  </w:tcBorders>
                  <w:vAlign w:val="center"/>
                </w:tcPr>
                <w:p w14:paraId="2B650BEA">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c>
                <w:tcPr>
                  <w:tcW w:w="2132" w:type="pct"/>
                  <w:vAlign w:val="center"/>
                </w:tcPr>
                <w:p w14:paraId="0C54C2DF">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设备安装</w:t>
                  </w:r>
                </w:p>
              </w:tc>
              <w:tc>
                <w:tcPr>
                  <w:tcW w:w="1677" w:type="pct"/>
                  <w:vAlign w:val="center"/>
                </w:tcPr>
                <w:p w14:paraId="0CB091A6">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废弃设备零件</w:t>
                  </w:r>
                </w:p>
              </w:tc>
              <w:tc>
                <w:tcPr>
                  <w:tcW w:w="670" w:type="pct"/>
                  <w:vAlign w:val="center"/>
                </w:tcPr>
                <w:p w14:paraId="004137E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r w14:paraId="7177C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jc w:val="center"/>
              </w:trPr>
              <w:tc>
                <w:tcPr>
                  <w:tcW w:w="519" w:type="pct"/>
                  <w:vAlign w:val="center"/>
                </w:tcPr>
                <w:p w14:paraId="137527D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噪声</w:t>
                  </w:r>
                </w:p>
              </w:tc>
              <w:tc>
                <w:tcPr>
                  <w:tcW w:w="2132" w:type="pct"/>
                  <w:vAlign w:val="center"/>
                </w:tcPr>
                <w:p w14:paraId="2039F46D">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施工机械及运输车辆</w:t>
                  </w:r>
                </w:p>
              </w:tc>
              <w:tc>
                <w:tcPr>
                  <w:tcW w:w="1677" w:type="pct"/>
                  <w:vAlign w:val="center"/>
                </w:tcPr>
                <w:p w14:paraId="5F0B49DB">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噪声</w:t>
                  </w:r>
                </w:p>
              </w:tc>
              <w:tc>
                <w:tcPr>
                  <w:tcW w:w="670" w:type="pct"/>
                  <w:vAlign w:val="center"/>
                </w:tcPr>
                <w:p w14:paraId="7291F7C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间歇</w:t>
                  </w:r>
                </w:p>
              </w:tc>
            </w:tr>
          </w:tbl>
          <w:p w14:paraId="0686190B">
            <w:pPr>
              <w:pStyle w:val="45"/>
              <w:keepNext w:val="0"/>
              <w:keepLines w:val="0"/>
              <w:pageBreakBefore w:val="0"/>
              <w:widowControl w:val="0"/>
              <w:kinsoku/>
              <w:wordWrap/>
              <w:overflowPunct/>
              <w:topLinePunct w:val="0"/>
              <w:autoSpaceDE/>
              <w:autoSpaceDN/>
              <w:bidi w:val="0"/>
              <w:adjustRightInd w:val="0"/>
              <w:snapToGrid w:val="0"/>
              <w:spacing w:line="360" w:lineRule="auto"/>
              <w:ind w:left="0" w:firstLine="466" w:firstLineChars="200"/>
              <w:textAlignment w:val="auto"/>
              <w:rPr>
                <w:rFonts w:ascii="Times New Roman" w:hAnsi="Times New Roman" w:cs="Times New Roman"/>
                <w:color w:val="auto"/>
                <w:highlight w:val="none"/>
              </w:rPr>
            </w:pPr>
            <w:r>
              <w:rPr>
                <w:rFonts w:ascii="Times New Roman" w:hAnsi="Times New Roman" w:cs="Times New Roman"/>
                <w:b/>
                <w:bCs/>
                <w:color w:val="auto"/>
                <w:spacing w:val="-4"/>
                <w:highlight w:val="none"/>
              </w:rPr>
              <w:t>（</w:t>
            </w:r>
            <w:r>
              <w:rPr>
                <w:rFonts w:ascii="Times New Roman" w:hAnsi="Times New Roman" w:eastAsia="Times New Roman" w:cs="Times New Roman"/>
                <w:b/>
                <w:bCs/>
                <w:color w:val="auto"/>
                <w:spacing w:val="-4"/>
                <w:highlight w:val="none"/>
              </w:rPr>
              <w:t>3</w:t>
            </w:r>
            <w:r>
              <w:rPr>
                <w:rFonts w:ascii="Times New Roman" w:hAnsi="Times New Roman" w:cs="Times New Roman"/>
                <w:b/>
                <w:bCs/>
                <w:color w:val="auto"/>
                <w:spacing w:val="-4"/>
                <w:highlight w:val="none"/>
              </w:rPr>
              <w:t>）施工期生态环境影响因素</w:t>
            </w:r>
          </w:p>
          <w:p w14:paraId="7109F9D7">
            <w:pPr>
              <w:keepNext w:val="0"/>
              <w:keepLines w:val="0"/>
              <w:pageBreakBefore w:val="0"/>
              <w:widowControl w:val="0"/>
              <w:kinsoku/>
              <w:wordWrap/>
              <w:overflowPunct/>
              <w:topLinePunct w:val="0"/>
              <w:autoSpaceDE/>
              <w:autoSpaceDN/>
              <w:bidi w:val="0"/>
              <w:adjustRightInd w:val="0"/>
              <w:snapToGrid w:val="0"/>
              <w:spacing w:line="360" w:lineRule="auto"/>
              <w:ind w:firstLine="448" w:firstLineChars="200"/>
              <w:textAlignment w:val="auto"/>
              <w:rPr>
                <w:rFonts w:ascii="Times New Roman" w:hAnsi="Times New Roman" w:cs="Times New Roman"/>
                <w:color w:val="auto"/>
                <w:position w:val="-52"/>
                <w:highlight w:val="none"/>
              </w:rPr>
            </w:pPr>
            <w:r>
              <w:rPr>
                <w:rFonts w:ascii="Times New Roman" w:hAnsi="Times New Roman" w:cs="Times New Roman"/>
                <w:color w:val="auto"/>
                <w:spacing w:val="-8"/>
                <w:highlight w:val="none"/>
              </w:rPr>
              <w:t>根据本工程的特点、施工工艺，分析工程施工阶段对项目周围的生态影响因素。</w:t>
            </w:r>
            <w:r>
              <w:rPr>
                <w:rFonts w:ascii="Times New Roman" w:hAnsi="Times New Roman" w:cs="Times New Roman"/>
                <w:color w:val="auto"/>
                <w:spacing w:val="-1"/>
                <w:highlight w:val="none"/>
              </w:rPr>
              <w:t>项目施工期生态环境影响因素见下表。</w:t>
            </w:r>
          </w:p>
          <w:p w14:paraId="3E854935">
            <w:pPr>
              <w:pStyle w:val="49"/>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表4-2项目施工期生态环境影响因素</w:t>
            </w:r>
          </w:p>
          <w:tbl>
            <w:tblPr>
              <w:tblStyle w:val="46"/>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31"/>
              <w:gridCol w:w="4295"/>
              <w:gridCol w:w="2396"/>
            </w:tblGrid>
            <w:tr w14:paraId="54730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980" w:type="pct"/>
                  <w:vAlign w:val="top"/>
                </w:tcPr>
                <w:p w14:paraId="1F01019E">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工程建设活动</w:t>
                  </w:r>
                </w:p>
              </w:tc>
              <w:tc>
                <w:tcPr>
                  <w:tcW w:w="2580" w:type="pct"/>
                  <w:vAlign w:val="top"/>
                </w:tcPr>
                <w:p w14:paraId="2FC7271C">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生态影响因素</w:t>
                  </w:r>
                </w:p>
              </w:tc>
              <w:tc>
                <w:tcPr>
                  <w:tcW w:w="1439" w:type="pct"/>
                  <w:vAlign w:val="top"/>
                </w:tcPr>
                <w:p w14:paraId="62B6BD70">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影响因子</w:t>
                  </w:r>
                </w:p>
              </w:tc>
            </w:tr>
            <w:tr w14:paraId="0E486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980" w:type="pct"/>
                  <w:vAlign w:val="center"/>
                </w:tcPr>
                <w:p w14:paraId="436CED2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土建及土石方工程</w:t>
                  </w:r>
                </w:p>
              </w:tc>
              <w:tc>
                <w:tcPr>
                  <w:tcW w:w="2580" w:type="pct"/>
                  <w:vAlign w:val="center"/>
                </w:tcPr>
                <w:p w14:paraId="304708B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永久占用土地、改变土地利用现状功能；破坏地表植被</w:t>
                  </w:r>
                </w:p>
              </w:tc>
              <w:tc>
                <w:tcPr>
                  <w:tcW w:w="1439" w:type="pct"/>
                  <w:vMerge w:val="restart"/>
                  <w:tcBorders>
                    <w:bottom w:val="nil"/>
                  </w:tcBorders>
                  <w:vAlign w:val="center"/>
                </w:tcPr>
                <w:p w14:paraId="2ABE7BA1">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植被、植物、土地利用、动物</w:t>
                  </w:r>
                </w:p>
              </w:tc>
            </w:tr>
            <w:tr w14:paraId="34BE9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980" w:type="pct"/>
                  <w:vAlign w:val="center"/>
                </w:tcPr>
                <w:p w14:paraId="74F423F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施工机械及施工车辆运输</w:t>
                  </w:r>
                </w:p>
              </w:tc>
              <w:tc>
                <w:tcPr>
                  <w:tcW w:w="2580" w:type="pct"/>
                  <w:vAlign w:val="center"/>
                </w:tcPr>
                <w:p w14:paraId="1756A722">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对周围动物活动及栖息造成影响</w:t>
                  </w:r>
                </w:p>
              </w:tc>
              <w:tc>
                <w:tcPr>
                  <w:tcW w:w="1439" w:type="pct"/>
                  <w:vMerge w:val="continue"/>
                  <w:tcBorders>
                    <w:top w:val="nil"/>
                    <w:bottom w:val="nil"/>
                  </w:tcBorders>
                  <w:vAlign w:val="center"/>
                </w:tcPr>
                <w:p w14:paraId="56A6E4CF">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r>
            <w:tr w14:paraId="628393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 w:hRule="atLeast"/>
              </w:trPr>
              <w:tc>
                <w:tcPr>
                  <w:tcW w:w="980" w:type="pct"/>
                  <w:vAlign w:val="center"/>
                </w:tcPr>
                <w:p w14:paraId="4F947743">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施工临时占地</w:t>
                  </w:r>
                </w:p>
              </w:tc>
              <w:tc>
                <w:tcPr>
                  <w:tcW w:w="2580" w:type="pct"/>
                  <w:vAlign w:val="center"/>
                </w:tcPr>
                <w:p w14:paraId="64DF6198">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破坏地表植被</w:t>
                  </w:r>
                </w:p>
              </w:tc>
              <w:tc>
                <w:tcPr>
                  <w:tcW w:w="1439" w:type="pct"/>
                  <w:vMerge w:val="continue"/>
                  <w:tcBorders>
                    <w:top w:val="nil"/>
                  </w:tcBorders>
                  <w:vAlign w:val="center"/>
                </w:tcPr>
                <w:p w14:paraId="32FCBC7C">
                  <w:pPr>
                    <w:pStyle w:val="28"/>
                    <w:keepNext w:val="0"/>
                    <w:keepLines w:val="0"/>
                    <w:pageBreakBefore w:val="0"/>
                    <w:widowControl w:val="0"/>
                    <w:wordWrap/>
                    <w:overflowPunct/>
                    <w:topLinePunct w:val="0"/>
                    <w:bidi w:val="0"/>
                    <w:adjustRightInd w:val="0"/>
                    <w:snapToGrid w:val="0"/>
                    <w:jc w:val="center"/>
                    <w:textAlignment w:val="auto"/>
                    <w:rPr>
                      <w:rFonts w:ascii="Times New Roman" w:hAnsi="Times New Roman" w:cs="Times New Roman"/>
                      <w:color w:val="auto"/>
                      <w:highlight w:val="none"/>
                    </w:rPr>
                  </w:pPr>
                </w:p>
              </w:tc>
            </w:tr>
          </w:tbl>
          <w:p w14:paraId="55F8BCA9">
            <w:pPr>
              <w:keepNext w:val="0"/>
              <w:keepLines w:val="0"/>
              <w:pageBreakBefore w:val="0"/>
              <w:widowControl w:val="0"/>
              <w:wordWrap/>
              <w:overflowPunct/>
              <w:topLinePunct w:val="0"/>
              <w:bidi w:val="0"/>
              <w:adjustRightInd w:val="0"/>
              <w:snapToGrid w:val="0"/>
              <w:ind w:left="0" w:leftChars="0" w:firstLine="0" w:firstLineChars="0"/>
              <w:textAlignment w:val="auto"/>
              <w:rPr>
                <w:rFonts w:hint="default" w:ascii="Times New Roman" w:hAnsi="Times New Roman" w:cs="Times New Roman"/>
                <w:b/>
                <w:bCs/>
                <w:color w:val="auto"/>
                <w:highlight w:val="none"/>
                <w:lang w:val="en-US" w:eastAsia="zh-CN"/>
              </w:rPr>
            </w:pPr>
          </w:p>
          <w:p w14:paraId="539115FB">
            <w:pPr>
              <w:keepNext w:val="0"/>
              <w:keepLines w:val="0"/>
              <w:pageBreakBefore w:val="0"/>
              <w:widowControl w:val="0"/>
              <w:wordWrap/>
              <w:overflowPunct/>
              <w:topLinePunct w:val="0"/>
              <w:bidi w:val="0"/>
              <w:adjustRightInd w:val="0"/>
              <w:snapToGrid w:val="0"/>
              <w:ind w:left="0" w:leftChars="0" w:firstLine="0" w:firstLineChars="0"/>
              <w:textAlignment w:val="auto"/>
              <w:rPr>
                <w:rFonts w:hint="default" w:ascii="Times New Roman" w:hAnsi="Times New Roman" w:cs="Times New Roman"/>
                <w:b/>
                <w:bCs/>
                <w:color w:val="auto"/>
                <w:highlight w:val="none"/>
                <w:lang w:val="en-US" w:eastAsia="zh-CN"/>
              </w:rPr>
            </w:pPr>
          </w:p>
          <w:p w14:paraId="44562199">
            <w:pPr>
              <w:keepNext w:val="0"/>
              <w:keepLines w:val="0"/>
              <w:pageBreakBefore w:val="0"/>
              <w:widowControl w:val="0"/>
              <w:wordWrap/>
              <w:overflowPunct/>
              <w:topLinePunct w:val="0"/>
              <w:bidi w:val="0"/>
              <w:adjustRightInd w:val="0"/>
              <w:snapToGrid w:val="0"/>
              <w:ind w:left="0" w:leftChars="0" w:firstLine="0" w:firstLineChars="0"/>
              <w:textAlignment w:val="auto"/>
              <w:rPr>
                <w:rFonts w:hint="default" w:ascii="Times New Roman" w:hAnsi="Times New Roman" w:cs="Times New Roman"/>
                <w:b/>
                <w:bCs/>
                <w:color w:val="auto"/>
                <w:highlight w:val="none"/>
                <w:lang w:val="en-US" w:eastAsia="zh-CN"/>
              </w:rPr>
            </w:pPr>
          </w:p>
          <w:p w14:paraId="37AD9EE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4.2</w:t>
            </w:r>
            <w:r>
              <w:rPr>
                <w:rFonts w:ascii="Times New Roman" w:hAnsi="Times New Roman" w:cs="Times New Roman"/>
                <w:b/>
                <w:bCs/>
                <w:color w:val="auto"/>
                <w:highlight w:val="none"/>
              </w:rPr>
              <w:t>施工期影响分析</w:t>
            </w:r>
          </w:p>
          <w:p w14:paraId="7F906A6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4.2.1</w:t>
            </w:r>
            <w:r>
              <w:rPr>
                <w:rFonts w:ascii="Times New Roman" w:hAnsi="Times New Roman" w:cs="Times New Roman"/>
                <w:b/>
                <w:bCs/>
                <w:color w:val="auto"/>
                <w:highlight w:val="none"/>
              </w:rPr>
              <w:t>施工期废气影响分析</w:t>
            </w:r>
          </w:p>
          <w:p w14:paraId="0862093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本项目废气主要来源为施工扬尘、施工机械运行产生的无组织排放废气，其中以施工扬尘对空气环境质量的影响最大。</w:t>
            </w:r>
          </w:p>
          <w:p w14:paraId="5AF962D6">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（1）施工场地扬尘影响分析</w:t>
            </w:r>
          </w:p>
          <w:p w14:paraId="4F8E6334">
            <w:pPr>
              <w:pStyle w:val="45"/>
              <w:keepNext w:val="0"/>
              <w:keepLines w:val="0"/>
              <w:pageBreakBefore w:val="0"/>
              <w:widowControl w:val="0"/>
              <w:wordWrap/>
              <w:overflowPunct/>
              <w:topLinePunct w:val="0"/>
              <w:bidi w:val="0"/>
              <w:adjustRightInd w:val="0"/>
              <w:snapToGrid w:val="0"/>
              <w:spacing w:before="2" w:line="359" w:lineRule="auto"/>
              <w:ind w:left="105" w:right="41" w:firstLine="479"/>
              <w:jc w:val="both"/>
              <w:textAlignment w:val="auto"/>
              <w:rPr>
                <w:rFonts w:ascii="Times New Roman" w:hAnsi="Times New Roman" w:cs="Times New Roman"/>
                <w:color w:val="auto"/>
                <w:sz w:val="24"/>
                <w:szCs w:val="24"/>
                <w:highlight w:val="none"/>
              </w:rPr>
            </w:pPr>
            <w:r>
              <w:rPr>
                <w:rFonts w:ascii="Times New Roman" w:hAnsi="Times New Roman" w:cs="Times New Roman"/>
                <w:color w:val="auto"/>
                <w:highlight w:val="none"/>
              </w:rPr>
              <w:t>施工扬尘最大产生时间将出现在土方开挖阶段。</w:t>
            </w:r>
            <w:r>
              <w:rPr>
                <w:rFonts w:ascii="Times New Roman" w:hAnsi="Times New Roman" w:cs="Times New Roman"/>
                <w:color w:val="auto"/>
                <w:spacing w:val="-3"/>
                <w:sz w:val="24"/>
                <w:szCs w:val="24"/>
                <w:highlight w:val="none"/>
              </w:rPr>
              <w:t>本项目无外运土，挖掘土</w:t>
            </w:r>
            <w:r>
              <w:rPr>
                <w:rFonts w:ascii="Times New Roman" w:hAnsi="Times New Roman" w:cs="Times New Roman"/>
                <w:color w:val="auto"/>
                <w:spacing w:val="-4"/>
                <w:sz w:val="24"/>
                <w:szCs w:val="24"/>
                <w:highlight w:val="none"/>
              </w:rPr>
              <w:t>石方在场内平衡，但施工现场不</w:t>
            </w:r>
            <w:r>
              <w:rPr>
                <w:rFonts w:ascii="Times New Roman" w:hAnsi="Times New Roman" w:cs="Times New Roman"/>
                <w:color w:val="auto"/>
                <w:spacing w:val="-3"/>
                <w:sz w:val="24"/>
                <w:szCs w:val="24"/>
                <w:highlight w:val="none"/>
              </w:rPr>
              <w:t>可避免地会有临时堆场，且施工场地泥土风</w:t>
            </w:r>
            <w:r>
              <w:rPr>
                <w:rFonts w:ascii="Times New Roman" w:hAnsi="Times New Roman" w:cs="Times New Roman"/>
                <w:color w:val="auto"/>
                <w:spacing w:val="-4"/>
                <w:sz w:val="24"/>
                <w:szCs w:val="24"/>
                <w:highlight w:val="none"/>
              </w:rPr>
              <w:t>干后随着车辆的碾压和行驶，在</w:t>
            </w:r>
            <w:r>
              <w:rPr>
                <w:rFonts w:ascii="Times New Roman" w:hAnsi="Times New Roman" w:cs="Times New Roman"/>
                <w:color w:val="auto"/>
                <w:spacing w:val="-3"/>
                <w:sz w:val="24"/>
                <w:szCs w:val="24"/>
                <w:highlight w:val="none"/>
              </w:rPr>
              <w:t>区域内易带起扬尘，污染环境。因此，必须</w:t>
            </w:r>
            <w:r>
              <w:rPr>
                <w:rFonts w:ascii="Times New Roman" w:hAnsi="Times New Roman" w:cs="Times New Roman"/>
                <w:color w:val="auto"/>
                <w:spacing w:val="-4"/>
                <w:sz w:val="24"/>
                <w:szCs w:val="24"/>
                <w:highlight w:val="none"/>
              </w:rPr>
              <w:t>做到施工现场及时清理，临时堆</w:t>
            </w:r>
            <w:r>
              <w:rPr>
                <w:rFonts w:ascii="Times New Roman" w:hAnsi="Times New Roman" w:cs="Times New Roman"/>
                <w:color w:val="auto"/>
                <w:spacing w:val="-3"/>
                <w:sz w:val="24"/>
                <w:szCs w:val="24"/>
                <w:highlight w:val="none"/>
              </w:rPr>
              <w:t>场应有覆盖措施，减少二次扬尘。</w:t>
            </w:r>
          </w:p>
          <w:p w14:paraId="53FCEDC9">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sz w:val="24"/>
                <w:szCs w:val="24"/>
                <w:highlight w:val="none"/>
              </w:rPr>
            </w:pPr>
            <w:r>
              <w:rPr>
                <w:rFonts w:ascii="Times New Roman" w:hAnsi="Times New Roman" w:cs="Times New Roman"/>
                <w:color w:val="auto"/>
                <w:highlight w:val="none"/>
              </w:rPr>
              <w:t>根据北京环境科学研究院对建筑工程施工工地的扬尘测定结果，在风速为2.4m/s时，建筑施工扬尘的影响范围为其下风向150m之内，被影响地区的TSP浓度日平均值为0.491mg/m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，为上风向对照点的1.5倍，相当于环境空气二级标准的1.6倍。在干燥和风速较大的天气情况下，施工现场近地面粉尘浓度会超过环境空气二级标准中日平均值0.3mg/m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的1~40倍。</w:t>
            </w:r>
            <w:r>
              <w:rPr>
                <w:rFonts w:ascii="Times New Roman" w:hAnsi="Times New Roman" w:cs="Times New Roman"/>
                <w:color w:val="auto"/>
                <w:spacing w:val="-2"/>
                <w:sz w:val="24"/>
                <w:szCs w:val="24"/>
                <w:highlight w:val="none"/>
              </w:rPr>
              <w:t>施工扬尘的影响是暂时的，建设单位只要加强</w:t>
            </w:r>
            <w:r>
              <w:rPr>
                <w:rFonts w:hint="eastAsia" w:cs="Times New Roman"/>
                <w:color w:val="auto"/>
                <w:spacing w:val="-2"/>
                <w:sz w:val="24"/>
                <w:szCs w:val="24"/>
                <w:highlight w:val="none"/>
                <w:lang w:eastAsia="zh-CN"/>
              </w:rPr>
              <w:t>施工</w:t>
            </w:r>
            <w:r>
              <w:rPr>
                <w:rFonts w:ascii="Times New Roman" w:hAnsi="Times New Roman" w:cs="Times New Roman"/>
                <w:color w:val="auto"/>
                <w:spacing w:val="-3"/>
                <w:sz w:val="24"/>
                <w:szCs w:val="24"/>
                <w:highlight w:val="none"/>
              </w:rPr>
              <w:t>现场管理，施工材料采用土工布覆盖等措施</w:t>
            </w:r>
            <w:r>
              <w:rPr>
                <w:rFonts w:ascii="Times New Roman" w:hAnsi="Times New Roman" w:cs="Times New Roman"/>
                <w:color w:val="auto"/>
                <w:spacing w:val="-4"/>
                <w:sz w:val="24"/>
                <w:szCs w:val="24"/>
                <w:highlight w:val="none"/>
              </w:rPr>
              <w:t>，施工现场、建筑材料运输道路</w:t>
            </w:r>
            <w:r>
              <w:rPr>
                <w:rFonts w:ascii="Times New Roman" w:hAnsi="Times New Roman" w:cs="Times New Roman"/>
                <w:color w:val="auto"/>
                <w:spacing w:val="-1"/>
                <w:sz w:val="24"/>
                <w:szCs w:val="24"/>
                <w:highlight w:val="none"/>
              </w:rPr>
              <w:t>等进行洒水降尘，工程一结束，污染影响也就随之而停止。</w:t>
            </w:r>
          </w:p>
          <w:p w14:paraId="3962AC85">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（2）交通运输扬尘影响分析</w:t>
            </w:r>
          </w:p>
          <w:p w14:paraId="7B8EB0CB">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施工期间交通运输将产生扬尘，汽车产生的道路扬尘量与车速、车型、车流量、风速、道路表面积尘量、尘土湿度等因素有关。根据交通运输部公路研究所对施工现场车辆扬尘监测结果，下风向150m处的扬尘瞬时浓度可达到3.49mg/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。此外，物料拉运或堆放过程中，遮盖不严密也会产生粉尘污染，风电场部分运输道路和进场道路穿过村庄，运输途中产生的扬尘会对居民产生一定影响。</w:t>
            </w:r>
          </w:p>
          <w:p w14:paraId="27291621">
            <w:pPr>
              <w:keepNext w:val="0"/>
              <w:keepLines w:val="0"/>
              <w:pageBreakBefore w:val="0"/>
              <w:widowControl w:val="0"/>
              <w:kinsoku/>
              <w:wordWrap/>
              <w:overflowPunct/>
              <w:topLinePunct w:val="0"/>
              <w:autoSpaceDE/>
              <w:autoSpaceDN/>
              <w:bidi w:val="0"/>
              <w:adjustRightInd w:val="0"/>
              <w:snapToGrid w:val="0"/>
              <w:ind w:left="0"/>
              <w:textAlignment w:val="auto"/>
              <w:rPr>
                <w:color w:val="auto"/>
              </w:rPr>
            </w:pPr>
            <w:r>
              <w:rPr>
                <w:color w:val="auto"/>
              </w:rPr>
              <w:t>针对上述污染问题，可采取以下减缓措施：</w:t>
            </w:r>
          </w:p>
          <w:p w14:paraId="250900AF">
            <w:pPr>
              <w:keepNext w:val="0"/>
              <w:keepLines w:val="0"/>
              <w:pageBreakBefore w:val="0"/>
              <w:widowControl w:val="0"/>
              <w:numPr>
                <w:ilvl w:val="0"/>
                <w:numId w:val="8"/>
              </w:numPr>
              <w:kinsoku/>
              <w:wordWrap/>
              <w:overflowPunct/>
              <w:topLinePunct w:val="0"/>
              <w:autoSpaceDE/>
              <w:autoSpaceDN/>
              <w:bidi w:val="0"/>
              <w:adjustRightInd w:val="0"/>
              <w:snapToGrid w:val="0"/>
              <w:spacing w:before="0"/>
              <w:ind w:left="0"/>
              <w:textAlignment w:val="auto"/>
              <w:rPr>
                <w:color w:val="auto"/>
              </w:rPr>
            </w:pPr>
            <w:r>
              <w:rPr>
                <w:color w:val="auto"/>
              </w:rPr>
              <w:t>施工期间可对厂区道路、运输沿线道路定期进行清扫，采用洒水车每日分时段洒水降尘，保持路面湿润减少扬尘起尘量，洒水频次根据天气干燥程度灵活调整，大风天气适当增加洒水次数；</w:t>
            </w:r>
          </w:p>
          <w:p w14:paraId="22761FC4">
            <w:pPr>
              <w:keepNext w:val="0"/>
              <w:keepLines w:val="0"/>
              <w:pageBreakBefore w:val="0"/>
              <w:widowControl w:val="0"/>
              <w:numPr>
                <w:ilvl w:val="0"/>
                <w:numId w:val="8"/>
              </w:numPr>
              <w:kinsoku/>
              <w:wordWrap/>
              <w:overflowPunct/>
              <w:topLinePunct w:val="0"/>
              <w:autoSpaceDE/>
              <w:autoSpaceDN/>
              <w:bidi w:val="0"/>
              <w:adjustRightInd w:val="0"/>
              <w:snapToGrid w:val="0"/>
              <w:ind w:left="0"/>
              <w:textAlignment w:val="auto"/>
              <w:rPr>
                <w:color w:val="auto"/>
              </w:rPr>
            </w:pPr>
            <w:r>
              <w:rPr>
                <w:color w:val="auto"/>
              </w:rPr>
              <w:t>运输粉状物料的车辆必须做好密闭遮盖，不得超载，避免物料沿路撒落，对撒漏到路面的物料安排专人及时清扫；进场车辆需对车轮和车身进行冲洗，避免带泥污染道路；</w:t>
            </w:r>
          </w:p>
          <w:p w14:paraId="32EB3658">
            <w:pPr>
              <w:keepNext w:val="0"/>
              <w:keepLines w:val="0"/>
              <w:pageBreakBefore w:val="0"/>
              <w:widowControl w:val="0"/>
              <w:numPr>
                <w:ilvl w:val="0"/>
                <w:numId w:val="8"/>
              </w:numPr>
              <w:kinsoku/>
              <w:wordWrap/>
              <w:overflowPunct/>
              <w:topLinePunct w:val="0"/>
              <w:autoSpaceDE/>
              <w:autoSpaceDN/>
              <w:bidi w:val="0"/>
              <w:adjustRightInd w:val="0"/>
              <w:snapToGrid w:val="0"/>
              <w:ind w:left="0"/>
              <w:textAlignment w:val="auto"/>
              <w:rPr>
                <w:color w:val="auto"/>
              </w:rPr>
            </w:pPr>
            <w:r>
              <w:rPr>
                <w:color w:val="auto"/>
              </w:rPr>
              <w:t>在途经村庄的路段设置限速标识，限制进场施工车辆车速，减少高速行驶带来的扬尘起尘量；</w:t>
            </w:r>
          </w:p>
          <w:p w14:paraId="2090F38E">
            <w:pPr>
              <w:keepNext w:val="0"/>
              <w:keepLines w:val="0"/>
              <w:pageBreakBefore w:val="0"/>
              <w:widowControl w:val="0"/>
              <w:numPr>
                <w:ilvl w:val="0"/>
                <w:numId w:val="8"/>
              </w:numPr>
              <w:kinsoku/>
              <w:wordWrap/>
              <w:overflowPunct/>
              <w:topLinePunct w:val="0"/>
              <w:autoSpaceDE/>
              <w:autoSpaceDN/>
              <w:bidi w:val="0"/>
              <w:adjustRightInd w:val="0"/>
              <w:snapToGrid w:val="0"/>
              <w:spacing w:after="0"/>
              <w:ind w:left="0"/>
              <w:textAlignment w:val="auto"/>
              <w:rPr>
                <w:color w:val="auto"/>
              </w:rPr>
            </w:pPr>
            <w:r>
              <w:rPr>
                <w:color w:val="auto"/>
              </w:rPr>
              <w:t>若施工运输对沿线村庄正常生产生活造成较大影响，可在道路靠近居民点一侧设置临时防风抑尘网，进一步阻挡扬尘扩散。</w:t>
            </w:r>
          </w:p>
          <w:p w14:paraId="0EA02C3A">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总之，施工期扬尘影响是暂时的，随着施工的完成以及水土保持和生态恢复工程的实施，这些影响也将消失，不会对周围环境产生较大的影响。</w:t>
            </w:r>
          </w:p>
          <w:p w14:paraId="03C87912">
            <w:pPr>
              <w:keepNext w:val="0"/>
              <w:keepLines w:val="0"/>
              <w:pageBreakBefore w:val="0"/>
              <w:widowControl w:val="0"/>
              <w:wordWrap/>
              <w:overflowPunct/>
              <w:topLinePunct w:val="0"/>
              <w:bidi w:val="0"/>
              <w:adjustRightInd w:val="0"/>
              <w:snapToGrid w:val="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4.2.2</w:t>
            </w:r>
            <w:r>
              <w:rPr>
                <w:rFonts w:ascii="Times New Roman" w:hAnsi="Times New Roman" w:cs="Times New Roman"/>
                <w:b/>
                <w:bCs/>
                <w:color w:val="auto"/>
                <w:highlight w:val="none"/>
              </w:rPr>
              <w:t>施工期废水环境影响分析</w:t>
            </w:r>
          </w:p>
          <w:p w14:paraId="0EB47CC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（1）施工废水</w:t>
            </w:r>
          </w:p>
          <w:p w14:paraId="6E318B9E">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本工程使用商品混凝土，不设置砂石料加工系统和混凝土</w:t>
            </w:r>
            <w:r>
              <w:rPr>
                <w:rFonts w:hint="eastAsia" w:cs="Times New Roman"/>
                <w:color w:val="auto"/>
                <w:highlight w:val="none"/>
                <w:lang w:eastAsia="zh-CN"/>
              </w:rPr>
              <w:t>拌和站</w:t>
            </w:r>
            <w:r>
              <w:rPr>
                <w:rFonts w:ascii="Times New Roman" w:hAnsi="Times New Roman" w:cs="Times New Roman"/>
                <w:color w:val="auto"/>
                <w:highlight w:val="none"/>
              </w:rPr>
              <w:t>，无砂石料冲洗废水和混凝土</w:t>
            </w:r>
            <w:r>
              <w:rPr>
                <w:rFonts w:hint="eastAsia" w:cs="Times New Roman"/>
                <w:color w:val="auto"/>
                <w:highlight w:val="none"/>
                <w:lang w:eastAsia="zh-CN"/>
              </w:rPr>
              <w:t>拌和</w:t>
            </w:r>
            <w:r>
              <w:rPr>
                <w:rFonts w:ascii="Times New Roman" w:hAnsi="Times New Roman" w:cs="Times New Roman"/>
                <w:color w:val="auto"/>
                <w:highlight w:val="none"/>
              </w:rPr>
              <w:t>废水产生。本工程施工过程仅会产生少量的施工机械设备冲洗废水，施工废水的产生时间不连续、产生量较小，污染物主要为SS。参照类似工程机械设备冲洗废水产生量，本项目施工废水量约为1.5m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/d。本项目施工废水不含有毒物质，主要是泥沙悬浮物含量较大。施工废水经临时沉淀池沉淀后回用于洒水降尘，不外排，对周边水环境影响小。</w:t>
            </w:r>
          </w:p>
          <w:p w14:paraId="6455A2D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（2）生活污水</w:t>
            </w:r>
          </w:p>
          <w:p w14:paraId="1A29B3D6">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项目位于</w:t>
            </w:r>
            <w:r>
              <w:rPr>
                <w:rFonts w:hint="default" w:ascii="Times New Roman" w:hAnsi="Times New Roman" w:cs="Times New Roman"/>
                <w:color w:val="auto"/>
                <w:highlight w:val="none"/>
                <w:lang w:eastAsia="zh-CN"/>
              </w:rPr>
              <w:t>宣威市海德村</w:t>
            </w:r>
            <w:r>
              <w:rPr>
                <w:rFonts w:ascii="Times New Roman" w:hAnsi="Times New Roman" w:cs="Times New Roman"/>
                <w:color w:val="auto"/>
                <w:highlight w:val="none"/>
              </w:rPr>
              <w:t>农村地区，项目区不设施工营地，施工人员仅在现场进行简单的清洁后返回</w:t>
            </w:r>
            <w:r>
              <w:rPr>
                <w:rFonts w:hint="eastAsia" w:cs="Times New Roman"/>
                <w:color w:val="auto"/>
                <w:highlight w:val="none"/>
                <w:lang w:eastAsia="zh-CN"/>
              </w:rPr>
              <w:t>海德村</w:t>
            </w:r>
            <w:r>
              <w:rPr>
                <w:rFonts w:ascii="Times New Roman" w:hAnsi="Times New Roman" w:cs="Times New Roman"/>
                <w:color w:val="auto"/>
                <w:highlight w:val="none"/>
              </w:rPr>
              <w:t>自家民房，项目施工</w:t>
            </w:r>
            <w:r>
              <w:rPr>
                <w:rFonts w:hint="eastAsia" w:cs="Times New Roman"/>
                <w:color w:val="auto"/>
                <w:highlight w:val="none"/>
                <w:lang w:eastAsia="zh-CN"/>
              </w:rPr>
              <w:t>期间</w:t>
            </w:r>
            <w:r>
              <w:rPr>
                <w:rFonts w:ascii="Times New Roman" w:hAnsi="Times New Roman" w:cs="Times New Roman"/>
                <w:color w:val="auto"/>
                <w:highlight w:val="none"/>
              </w:rPr>
              <w:t>施工人员清洁用水按量10（L/d·人）计；平均每天施工人员约</w:t>
            </w:r>
            <w:r>
              <w:rPr>
                <w:rFonts w:hint="default" w:ascii="Times New Roman" w:hAnsi="Times New Roman" w:cs="Times New Roman"/>
                <w:color w:val="auto"/>
                <w:highlight w:val="none"/>
                <w:lang w:val="en-US" w:eastAsia="zh-CN"/>
              </w:rPr>
              <w:t>40</w:t>
            </w:r>
            <w:r>
              <w:rPr>
                <w:rFonts w:ascii="Times New Roman" w:hAnsi="Times New Roman" w:cs="Times New Roman"/>
                <w:color w:val="auto"/>
                <w:highlight w:val="none"/>
              </w:rPr>
              <w:t>人，生活用水量为</w:t>
            </w:r>
            <w:r>
              <w:rPr>
                <w:rFonts w:hint="default" w:ascii="Times New Roman" w:hAnsi="Times New Roman" w:cs="Times New Roman"/>
                <w:color w:val="auto"/>
                <w:highlight w:val="none"/>
                <w:lang w:val="en-US" w:eastAsia="zh-CN"/>
              </w:rPr>
              <w:t>0.4</w:t>
            </w:r>
            <w:r>
              <w:rPr>
                <w:rFonts w:ascii="Times New Roman" w:hAnsi="Times New Roman" w:cs="Times New Roman"/>
                <w:color w:val="auto"/>
                <w:highlight w:val="none"/>
              </w:rPr>
              <w:t>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/d，产污系数按0.8计，则产生生活污水约</w:t>
            </w:r>
            <w:r>
              <w:rPr>
                <w:rFonts w:hint="default" w:ascii="Times New Roman" w:hAnsi="Times New Roman" w:cs="Times New Roman"/>
                <w:color w:val="auto"/>
                <w:highlight w:val="none"/>
                <w:lang w:val="en-US" w:eastAsia="zh-CN"/>
              </w:rPr>
              <w:t>0.32</w:t>
            </w:r>
            <w:r>
              <w:rPr>
                <w:rFonts w:ascii="Times New Roman" w:hAnsi="Times New Roman" w:cs="Times New Roman"/>
                <w:color w:val="auto"/>
                <w:highlight w:val="none"/>
              </w:rPr>
              <w:t>m</w:t>
            </w:r>
            <w:r>
              <w:rPr>
                <w:rFonts w:ascii="Times New Roman" w:hAnsi="Times New Roman" w:cs="Times New Roman"/>
                <w:color w:val="auto"/>
                <w:highlight w:val="none"/>
                <w:vertAlign w:val="superscript"/>
              </w:rPr>
              <w:t>3</w:t>
            </w:r>
            <w:r>
              <w:rPr>
                <w:rFonts w:ascii="Times New Roman" w:hAnsi="Times New Roman" w:cs="Times New Roman"/>
                <w:color w:val="auto"/>
                <w:highlight w:val="none"/>
              </w:rPr>
              <w:t>/d。</w:t>
            </w:r>
          </w:p>
          <w:p w14:paraId="12613BEA">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由于本工程施工工人主要为周边村民，其食宿均依托</w:t>
            </w:r>
            <w:r>
              <w:rPr>
                <w:rFonts w:hint="eastAsia" w:cs="Times New Roman"/>
                <w:color w:val="auto"/>
                <w:highlight w:val="none"/>
                <w:lang w:eastAsia="zh-CN"/>
              </w:rPr>
              <w:t>海德村</w:t>
            </w:r>
            <w:r>
              <w:rPr>
                <w:rFonts w:ascii="Times New Roman" w:hAnsi="Times New Roman" w:cs="Times New Roman"/>
                <w:color w:val="auto"/>
                <w:highlight w:val="none"/>
              </w:rPr>
              <w:t>自家民房，生活污水依托自建既有的环保设施（旱厕）收集后用作农肥；环评要求：在施工现场的风机平台设置临时旱厕（移动式旱厕），用于收集施工现场人员产生的排泄物，定期清运用作植被恢复和场地绿化肥料，并在工程结束后进行拆除。</w:t>
            </w:r>
          </w:p>
          <w:p w14:paraId="2DA70DF9">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综上所述，项目施工期产生的废水均经处理后全部回收利用，不外排，对周围地表水环境影响较小。</w:t>
            </w:r>
          </w:p>
          <w:p w14:paraId="336D810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3</w:t>
            </w:r>
            <w:r>
              <w:rPr>
                <w:rFonts w:ascii="Times New Roman" w:hAnsi="Times New Roman" w:cs="Times New Roman"/>
                <w:b/>
                <w:bCs/>
                <w:color w:val="auto"/>
                <w:highlight w:val="none"/>
              </w:rPr>
              <w:t>）混凝土养护废水</w:t>
            </w:r>
          </w:p>
          <w:p w14:paraId="55D610E4">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风机基础混凝土养护一般为浇筑后7d</w:t>
            </w:r>
            <w:r>
              <w:rPr>
                <w:rFonts w:hint="eastAsia" w:cs="Times New Roman"/>
                <w:color w:val="auto"/>
                <w:highlight w:val="none"/>
                <w:lang w:eastAsia="zh-CN"/>
              </w:rPr>
              <w:t>～</w:t>
            </w:r>
            <w:r>
              <w:rPr>
                <w:rFonts w:ascii="Times New Roman" w:hAnsi="Times New Roman" w:cs="Times New Roman"/>
                <w:color w:val="auto"/>
                <w:highlight w:val="none"/>
              </w:rPr>
              <w:t>14d，废水产生时间短，废水量小且分散，主要污染物为悬浮物，SS浓度约为200mg/L~2000mg/L。养护废水一般在喷洒后即被吸收和蒸发。不会对周边水体造成影响。</w:t>
            </w:r>
          </w:p>
          <w:p w14:paraId="3E9683E9">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w:t>
            </w:r>
            <w:r>
              <w:rPr>
                <w:rFonts w:hint="default" w:ascii="Times New Roman" w:hAnsi="Times New Roman" w:cs="Times New Roman"/>
                <w:b/>
                <w:bCs/>
                <w:color w:val="auto"/>
                <w:highlight w:val="none"/>
                <w:lang w:val="en-US" w:eastAsia="zh-CN"/>
              </w:rPr>
              <w:t>4</w:t>
            </w:r>
            <w:r>
              <w:rPr>
                <w:rFonts w:ascii="Times New Roman" w:hAnsi="Times New Roman" w:cs="Times New Roman"/>
                <w:b/>
                <w:bCs/>
                <w:color w:val="auto"/>
                <w:highlight w:val="none"/>
              </w:rPr>
              <w:t>）对地表水体的影响分析</w:t>
            </w:r>
          </w:p>
          <w:p w14:paraId="27406472">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周边水体均无饮用功能，在施工过程中风机基础施工过程中应在施工场地周围设置排水沟，并在排水沟末端设置沉淀池，保证地表径流经沉淀后排入周围沟箐，减少泥沙进入周围地表水体。施工废水经沉淀处理后回用，加强管理，减少施工材料在施工场地内的堆存。定期对施工道路和道路排水沟进行维护，减少雨水冲砂废水进入周围地表水水体。通过采取上述措施后，工程施工对周围地表水体的影响较小。</w:t>
            </w:r>
          </w:p>
          <w:p w14:paraId="5AE56562">
            <w:pPr>
              <w:pStyle w:val="45"/>
              <w:keepNext w:val="0"/>
              <w:keepLines w:val="0"/>
              <w:pageBreakBefore w:val="0"/>
              <w:widowControl w:val="0"/>
              <w:wordWrap/>
              <w:overflowPunct/>
              <w:topLinePunct w:val="0"/>
              <w:bidi w:val="0"/>
              <w:adjustRightInd w:val="0"/>
              <w:snapToGrid w:val="0"/>
              <w:spacing w:line="220" w:lineRule="auto"/>
              <w:textAlignment w:val="auto"/>
              <w:rPr>
                <w:rFonts w:ascii="Times New Roman" w:hAnsi="Times New Roman" w:eastAsia="Times New Roman" w:cs="Times New Roman"/>
                <w:b/>
                <w:bCs/>
                <w:color w:val="auto"/>
                <w:spacing w:val="-2"/>
                <w:highlight w:val="none"/>
              </w:rPr>
            </w:pPr>
            <w:r>
              <w:rPr>
                <w:rFonts w:hint="default" w:ascii="Times New Roman" w:hAnsi="Times New Roman" w:eastAsia="宋体" w:cs="Times New Roman"/>
                <w:b/>
                <w:bCs/>
                <w:color w:val="auto"/>
                <w:spacing w:val="-5"/>
                <w:highlight w:val="none"/>
                <w:lang w:val="en-US" w:eastAsia="zh-CN"/>
              </w:rPr>
              <w:t>4.2.3</w:t>
            </w:r>
            <w:r>
              <w:rPr>
                <w:rFonts w:ascii="Times New Roman" w:hAnsi="Times New Roman" w:cs="Times New Roman"/>
                <w:b/>
                <w:bCs/>
                <w:color w:val="auto"/>
                <w:spacing w:val="-5"/>
                <w:highlight w:val="none"/>
              </w:rPr>
              <w:t>施工期声环境影响分析</w:t>
            </w:r>
          </w:p>
          <w:p w14:paraId="606FE8CB">
            <w:pPr>
              <w:pStyle w:val="45"/>
              <w:keepNext w:val="0"/>
              <w:keepLines w:val="0"/>
              <w:pageBreakBefore w:val="0"/>
              <w:widowControl w:val="0"/>
              <w:wordWrap/>
              <w:overflowPunct/>
              <w:topLinePunct w:val="0"/>
              <w:bidi w:val="0"/>
              <w:adjustRightInd w:val="0"/>
              <w:snapToGrid w:val="0"/>
              <w:spacing w:before="181" w:line="220" w:lineRule="auto"/>
              <w:textAlignment w:val="auto"/>
              <w:rPr>
                <w:rFonts w:ascii="Times New Roman" w:hAnsi="Times New Roman" w:cs="Times New Roman"/>
                <w:color w:val="auto"/>
                <w:highlight w:val="none"/>
              </w:rPr>
            </w:pPr>
            <w:r>
              <w:rPr>
                <w:rFonts w:hint="default" w:ascii="Times New Roman" w:hAnsi="Times New Roman" w:eastAsia="宋体" w:cs="Times New Roman"/>
                <w:b/>
                <w:bCs/>
                <w:color w:val="auto"/>
                <w:spacing w:val="-2"/>
                <w:highlight w:val="none"/>
                <w:lang w:val="en-US" w:eastAsia="zh-CN"/>
              </w:rPr>
              <w:t>4.2.3.1</w:t>
            </w:r>
            <w:r>
              <w:rPr>
                <w:rFonts w:ascii="Times New Roman" w:hAnsi="Times New Roman" w:cs="Times New Roman"/>
                <w:b/>
                <w:bCs/>
                <w:color w:val="auto"/>
                <w:spacing w:val="-2"/>
                <w:highlight w:val="none"/>
              </w:rPr>
              <w:t>噪声源强分析</w:t>
            </w:r>
          </w:p>
          <w:p w14:paraId="21CB7B7A">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（1）厂界噪声影响分析</w:t>
            </w:r>
          </w:p>
          <w:p w14:paraId="7019492B">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项目施工期噪声源主要来自</w:t>
            </w:r>
            <w:r>
              <w:rPr>
                <w:rFonts w:hint="eastAsia" w:cs="Times New Roman"/>
                <w:color w:val="auto"/>
                <w:highlight w:val="none"/>
                <w:lang w:eastAsia="zh-CN"/>
              </w:rPr>
              <w:t>开关</w:t>
            </w:r>
            <w:r>
              <w:rPr>
                <w:rFonts w:ascii="Times New Roman" w:hAnsi="Times New Roman" w:cs="Times New Roman"/>
                <w:color w:val="auto"/>
                <w:highlight w:val="none"/>
              </w:rPr>
              <w:t>站建设、运输施工材料和设备及风电机组吊装等，施工期的噪声主要为机械噪声和车辆运输噪声。</w:t>
            </w:r>
          </w:p>
          <w:p w14:paraId="6DC0C06E">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拟建项目施工机械主要有发电机、振捣器、压路机、挖掘机、装载机、自卸汽车、推土机、挖掘机、吊车等。主要设备源强见下表。</w:t>
            </w:r>
          </w:p>
          <w:p w14:paraId="09919E93">
            <w:pPr>
              <w:pStyle w:val="49"/>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表4-3施工机械噪声源强一览表</w:t>
            </w:r>
          </w:p>
          <w:tbl>
            <w:tblPr>
              <w:tblStyle w:val="46"/>
              <w:tblW w:w="499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4"/>
              <w:gridCol w:w="2359"/>
              <w:gridCol w:w="2895"/>
              <w:gridCol w:w="2318"/>
            </w:tblGrid>
            <w:tr w14:paraId="3F2E59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447" w:type="pct"/>
                  <w:vAlign w:val="top"/>
                </w:tcPr>
                <w:p w14:paraId="1776CFE6">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序号</w:t>
                  </w:r>
                </w:p>
              </w:tc>
              <w:tc>
                <w:tcPr>
                  <w:tcW w:w="1418" w:type="pct"/>
                  <w:vAlign w:val="top"/>
                </w:tcPr>
                <w:p w14:paraId="79F640B5">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机械名称</w:t>
                  </w:r>
                </w:p>
              </w:tc>
              <w:tc>
                <w:tcPr>
                  <w:tcW w:w="1740" w:type="pct"/>
                  <w:vAlign w:val="top"/>
                </w:tcPr>
                <w:p w14:paraId="69E47FFB">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噪声源强dB（A）</w:t>
                  </w:r>
                </w:p>
              </w:tc>
              <w:tc>
                <w:tcPr>
                  <w:tcW w:w="1393" w:type="pct"/>
                  <w:vAlign w:val="top"/>
                </w:tcPr>
                <w:p w14:paraId="492B7A8D">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距离声源距离（m）</w:t>
                  </w:r>
                </w:p>
              </w:tc>
            </w:tr>
            <w:tr w14:paraId="0964A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447" w:type="pct"/>
                  <w:vAlign w:val="top"/>
                </w:tcPr>
                <w:p w14:paraId="6B69A08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c>
                <w:tcPr>
                  <w:tcW w:w="1418" w:type="pct"/>
                  <w:vAlign w:val="top"/>
                </w:tcPr>
                <w:p w14:paraId="2CA0EA55">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压路机</w:t>
                  </w:r>
                </w:p>
              </w:tc>
              <w:tc>
                <w:tcPr>
                  <w:tcW w:w="1740" w:type="pct"/>
                  <w:vAlign w:val="top"/>
                </w:tcPr>
                <w:p w14:paraId="65695DDC">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81</w:t>
                  </w:r>
                </w:p>
              </w:tc>
              <w:tc>
                <w:tcPr>
                  <w:tcW w:w="1393" w:type="pct"/>
                  <w:vAlign w:val="top"/>
                </w:tcPr>
                <w:p w14:paraId="5EE4A75A">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5</w:t>
                  </w:r>
                </w:p>
              </w:tc>
            </w:tr>
            <w:tr w14:paraId="7B39A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447" w:type="pct"/>
                  <w:vAlign w:val="top"/>
                </w:tcPr>
                <w:p w14:paraId="5F027C14">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w:t>
                  </w:r>
                </w:p>
              </w:tc>
              <w:tc>
                <w:tcPr>
                  <w:tcW w:w="1418" w:type="pct"/>
                  <w:vAlign w:val="top"/>
                </w:tcPr>
                <w:p w14:paraId="417EA325">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装载机</w:t>
                  </w:r>
                </w:p>
              </w:tc>
              <w:tc>
                <w:tcPr>
                  <w:tcW w:w="1740" w:type="pct"/>
                  <w:vAlign w:val="top"/>
                </w:tcPr>
                <w:p w14:paraId="1592B2B9">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90</w:t>
                  </w:r>
                </w:p>
              </w:tc>
              <w:tc>
                <w:tcPr>
                  <w:tcW w:w="1393" w:type="pct"/>
                  <w:vAlign w:val="top"/>
                </w:tcPr>
                <w:p w14:paraId="0F009E8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r>
            <w:tr w14:paraId="25B86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 w:hRule="atLeast"/>
              </w:trPr>
              <w:tc>
                <w:tcPr>
                  <w:tcW w:w="447" w:type="pct"/>
                  <w:vAlign w:val="top"/>
                </w:tcPr>
                <w:p w14:paraId="54D0F6D4">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3</w:t>
                  </w:r>
                </w:p>
              </w:tc>
              <w:tc>
                <w:tcPr>
                  <w:tcW w:w="1418" w:type="pct"/>
                  <w:vAlign w:val="top"/>
                </w:tcPr>
                <w:p w14:paraId="231EAB7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挖掘机</w:t>
                  </w:r>
                </w:p>
              </w:tc>
              <w:tc>
                <w:tcPr>
                  <w:tcW w:w="1740" w:type="pct"/>
                  <w:vAlign w:val="top"/>
                </w:tcPr>
                <w:p w14:paraId="6BC8F76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84</w:t>
                  </w:r>
                </w:p>
              </w:tc>
              <w:tc>
                <w:tcPr>
                  <w:tcW w:w="1393" w:type="pct"/>
                  <w:vAlign w:val="top"/>
                </w:tcPr>
                <w:p w14:paraId="6EB0D74B">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5</w:t>
                  </w:r>
                </w:p>
              </w:tc>
            </w:tr>
            <w:tr w14:paraId="533997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447" w:type="pct"/>
                  <w:vAlign w:val="top"/>
                </w:tcPr>
                <w:p w14:paraId="02CB4BA8">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4</w:t>
                  </w:r>
                </w:p>
              </w:tc>
              <w:tc>
                <w:tcPr>
                  <w:tcW w:w="1418" w:type="pct"/>
                  <w:vAlign w:val="top"/>
                </w:tcPr>
                <w:p w14:paraId="1F3CED91">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混凝土运输车</w:t>
                  </w:r>
                </w:p>
              </w:tc>
              <w:tc>
                <w:tcPr>
                  <w:tcW w:w="1740" w:type="pct"/>
                  <w:vAlign w:val="top"/>
                </w:tcPr>
                <w:p w14:paraId="7A71C98D">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80</w:t>
                  </w:r>
                </w:p>
              </w:tc>
              <w:tc>
                <w:tcPr>
                  <w:tcW w:w="1393" w:type="pct"/>
                  <w:vAlign w:val="top"/>
                </w:tcPr>
                <w:p w14:paraId="4E8172BC">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r>
            <w:tr w14:paraId="4391684A">
              <w:tblPrEx>
                <w:tblCellMar>
                  <w:top w:w="0" w:type="dxa"/>
                  <w:left w:w="0" w:type="dxa"/>
                  <w:bottom w:w="0" w:type="dxa"/>
                  <w:right w:w="0" w:type="dxa"/>
                </w:tblCellMar>
              </w:tblPrEx>
              <w:trPr>
                <w:trHeight w:val="272" w:hRule="atLeast"/>
              </w:trPr>
              <w:tc>
                <w:tcPr>
                  <w:tcW w:w="447" w:type="pct"/>
                  <w:vAlign w:val="top"/>
                </w:tcPr>
                <w:p w14:paraId="50008E21">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5</w:t>
                  </w:r>
                </w:p>
              </w:tc>
              <w:tc>
                <w:tcPr>
                  <w:tcW w:w="1418" w:type="pct"/>
                  <w:vAlign w:val="top"/>
                </w:tcPr>
                <w:p w14:paraId="68380DC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吊车</w:t>
                  </w:r>
                </w:p>
              </w:tc>
              <w:tc>
                <w:tcPr>
                  <w:tcW w:w="1740" w:type="pct"/>
                  <w:vAlign w:val="top"/>
                </w:tcPr>
                <w:p w14:paraId="0CD3389F">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90</w:t>
                  </w:r>
                </w:p>
              </w:tc>
              <w:tc>
                <w:tcPr>
                  <w:tcW w:w="1393" w:type="pct"/>
                  <w:vAlign w:val="top"/>
                </w:tcPr>
                <w:p w14:paraId="285B8ED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r>
            <w:tr w14:paraId="3505F8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 w:hRule="atLeast"/>
              </w:trPr>
              <w:tc>
                <w:tcPr>
                  <w:tcW w:w="447" w:type="pct"/>
                  <w:vAlign w:val="top"/>
                </w:tcPr>
                <w:p w14:paraId="478ABB8E">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w:t>
                  </w:r>
                </w:p>
              </w:tc>
              <w:tc>
                <w:tcPr>
                  <w:tcW w:w="1418" w:type="pct"/>
                  <w:vAlign w:val="top"/>
                </w:tcPr>
                <w:p w14:paraId="1EFFC321">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发电机</w:t>
                  </w:r>
                </w:p>
              </w:tc>
              <w:tc>
                <w:tcPr>
                  <w:tcW w:w="1740" w:type="pct"/>
                  <w:vAlign w:val="top"/>
                </w:tcPr>
                <w:p w14:paraId="7633E68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98</w:t>
                  </w:r>
                </w:p>
              </w:tc>
              <w:tc>
                <w:tcPr>
                  <w:tcW w:w="1393" w:type="pct"/>
                  <w:vAlign w:val="top"/>
                </w:tcPr>
                <w:p w14:paraId="59EEE26E">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r>
            <w:tr w14:paraId="2BCE0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 w:hRule="atLeast"/>
              </w:trPr>
              <w:tc>
                <w:tcPr>
                  <w:tcW w:w="447" w:type="pct"/>
                  <w:vAlign w:val="top"/>
                </w:tcPr>
                <w:p w14:paraId="7B2D67AE">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7</w:t>
                  </w:r>
                </w:p>
              </w:tc>
              <w:tc>
                <w:tcPr>
                  <w:tcW w:w="1418" w:type="pct"/>
                  <w:vAlign w:val="top"/>
                </w:tcPr>
                <w:p w14:paraId="642D2F85">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混凝土振动器</w:t>
                  </w:r>
                </w:p>
              </w:tc>
              <w:tc>
                <w:tcPr>
                  <w:tcW w:w="1740" w:type="pct"/>
                  <w:vAlign w:val="top"/>
                </w:tcPr>
                <w:p w14:paraId="1F8D8497">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95</w:t>
                  </w:r>
                </w:p>
              </w:tc>
              <w:tc>
                <w:tcPr>
                  <w:tcW w:w="1393" w:type="pct"/>
                  <w:vAlign w:val="top"/>
                </w:tcPr>
                <w:p w14:paraId="2577A96F">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w:t>
                  </w:r>
                </w:p>
              </w:tc>
            </w:tr>
          </w:tbl>
          <w:p w14:paraId="52FF62B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spacing w:val="-3"/>
                <w:highlight w:val="none"/>
              </w:rPr>
              <w:t>上</w:t>
            </w:r>
            <w:r>
              <w:rPr>
                <w:rFonts w:ascii="Times New Roman" w:hAnsi="Times New Roman" w:cs="Times New Roman"/>
                <w:color w:val="auto"/>
                <w:highlight w:val="none"/>
              </w:rPr>
              <w:t>述施工机械噪声源均按点源计，噪声预测按室外点声源在预测点产生的声级计算公式进行预测，预测模式见公式一。</w:t>
            </w:r>
          </w:p>
          <w:p w14:paraId="06BBA4C5">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Lp（r）=Lp（r</w:t>
            </w:r>
            <w:r>
              <w:rPr>
                <w:rFonts w:ascii="Times New Roman" w:hAnsi="Times New Roman" w:cs="Times New Roman"/>
                <w:color w:val="auto"/>
                <w:highlight w:val="none"/>
                <w:vertAlign w:val="subscript"/>
              </w:rPr>
              <w:t>0</w:t>
            </w:r>
            <w:r>
              <w:rPr>
                <w:rFonts w:ascii="Times New Roman" w:hAnsi="Times New Roman" w:cs="Times New Roman"/>
                <w:color w:val="auto"/>
                <w:highlight w:val="none"/>
              </w:rPr>
              <w:t>）–20lg（r/r</w:t>
            </w:r>
            <w:r>
              <w:rPr>
                <w:rFonts w:ascii="Times New Roman" w:hAnsi="Times New Roman" w:cs="Times New Roman"/>
                <w:color w:val="auto"/>
                <w:highlight w:val="none"/>
                <w:vertAlign w:val="subscript"/>
              </w:rPr>
              <w:t>0</w:t>
            </w:r>
            <w:r>
              <w:rPr>
                <w:rFonts w:ascii="Times New Roman" w:hAnsi="Times New Roman" w:cs="Times New Roman"/>
                <w:color w:val="auto"/>
                <w:highlight w:val="none"/>
              </w:rPr>
              <w:t>）（式1）</w:t>
            </w:r>
          </w:p>
          <w:p w14:paraId="341C65A5">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Lp（r）——预测点处的A声级。</w:t>
            </w:r>
          </w:p>
          <w:p w14:paraId="3C3C9D6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Lp（r</w:t>
            </w:r>
            <w:r>
              <w:rPr>
                <w:rFonts w:ascii="Times New Roman" w:hAnsi="Times New Roman" w:cs="Times New Roman"/>
                <w:color w:val="auto"/>
                <w:highlight w:val="none"/>
                <w:vertAlign w:val="subscript"/>
              </w:rPr>
              <w:t>0</w:t>
            </w:r>
            <w:r>
              <w:rPr>
                <w:rFonts w:ascii="Times New Roman" w:hAnsi="Times New Roman" w:cs="Times New Roman"/>
                <w:color w:val="auto"/>
                <w:highlight w:val="none"/>
              </w:rPr>
              <w:t>）——距声源r</w:t>
            </w:r>
            <w:r>
              <w:rPr>
                <w:rFonts w:ascii="Times New Roman" w:hAnsi="Times New Roman" w:cs="Times New Roman"/>
                <w:color w:val="auto"/>
                <w:highlight w:val="none"/>
                <w:vertAlign w:val="subscript"/>
              </w:rPr>
              <w:t>0</w:t>
            </w:r>
            <w:r>
              <w:rPr>
                <w:rFonts w:ascii="Times New Roman" w:hAnsi="Times New Roman" w:cs="Times New Roman"/>
                <w:color w:val="auto"/>
                <w:highlight w:val="none"/>
              </w:rPr>
              <w:t>处的A声级。</w:t>
            </w:r>
          </w:p>
          <w:p w14:paraId="5D5A0C87">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r——预测点距离声源的距离，m。</w:t>
            </w:r>
          </w:p>
          <w:p w14:paraId="3E30E01B">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公式计算出的各种施工机械在不同距离处的噪声预测值见表上述设备噪声经公式计算，预测结果见下表。</w:t>
            </w:r>
          </w:p>
          <w:p w14:paraId="5650ED62">
            <w:pPr>
              <w:pStyle w:val="49"/>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cs="Times New Roman"/>
                <w:color w:val="auto"/>
                <w:highlight w:val="none"/>
              </w:rPr>
            </w:pPr>
          </w:p>
          <w:p w14:paraId="5767AF3B">
            <w:pPr>
              <w:pStyle w:val="49"/>
              <w:keepNext w:val="0"/>
              <w:keepLines w:val="0"/>
              <w:pageBreakBefore w:val="0"/>
              <w:widowControl w:val="0"/>
              <w:kinsoku/>
              <w:wordWrap/>
              <w:overflowPunct/>
              <w:topLinePunct w:val="0"/>
              <w:autoSpaceDE/>
              <w:autoSpaceDN/>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表4-4各施工机械噪声值预测成果表</w:t>
            </w:r>
          </w:p>
          <w:tbl>
            <w:tblPr>
              <w:tblStyle w:val="46"/>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07"/>
              <w:gridCol w:w="575"/>
              <w:gridCol w:w="587"/>
              <w:gridCol w:w="588"/>
              <w:gridCol w:w="588"/>
              <w:gridCol w:w="588"/>
              <w:gridCol w:w="588"/>
              <w:gridCol w:w="588"/>
              <w:gridCol w:w="576"/>
              <w:gridCol w:w="576"/>
              <w:gridCol w:w="576"/>
              <w:gridCol w:w="578"/>
              <w:gridCol w:w="606"/>
            </w:tblGrid>
            <w:tr w14:paraId="36663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6" w:type="pct"/>
                  <w:vMerge w:val="restart"/>
                  <w:tcBorders>
                    <w:top w:val="single" w:color="000000" w:sz="6" w:space="0"/>
                  </w:tcBorders>
                  <w:vAlign w:val="center"/>
                </w:tcPr>
                <w:p w14:paraId="4C31322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施工机械</w:t>
                  </w:r>
                </w:p>
              </w:tc>
              <w:tc>
                <w:tcPr>
                  <w:tcW w:w="4213" w:type="pct"/>
                  <w:gridSpan w:val="12"/>
                  <w:tcBorders>
                    <w:top w:val="single" w:color="000000" w:sz="6" w:space="0"/>
                  </w:tcBorders>
                  <w:vAlign w:val="center"/>
                </w:tcPr>
                <w:p w14:paraId="2B1D4F1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噪声预测值dB（A）</w:t>
                  </w:r>
                </w:p>
              </w:tc>
            </w:tr>
            <w:tr w14:paraId="73289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86" w:type="pct"/>
                  <w:vMerge w:val="continue"/>
                  <w:shd w:val="clear" w:color="auto" w:fill="auto"/>
                  <w:vAlign w:val="center"/>
                </w:tcPr>
                <w:p w14:paraId="54557EA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p>
              </w:tc>
              <w:tc>
                <w:tcPr>
                  <w:tcW w:w="346" w:type="pct"/>
                  <w:tcBorders>
                    <w:top w:val="single" w:color="000000" w:sz="6" w:space="0"/>
                  </w:tcBorders>
                  <w:shd w:val="clear" w:color="auto" w:fill="auto"/>
                  <w:vAlign w:val="center"/>
                </w:tcPr>
                <w:p w14:paraId="02D79734">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5m</w:t>
                  </w:r>
                </w:p>
              </w:tc>
              <w:tc>
                <w:tcPr>
                  <w:tcW w:w="353" w:type="pct"/>
                  <w:tcBorders>
                    <w:top w:val="single" w:color="000000" w:sz="6" w:space="0"/>
                  </w:tcBorders>
                  <w:shd w:val="clear" w:color="auto" w:fill="auto"/>
                  <w:vAlign w:val="center"/>
                </w:tcPr>
                <w:p w14:paraId="2A2D7790">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10m</w:t>
                  </w:r>
                </w:p>
              </w:tc>
              <w:tc>
                <w:tcPr>
                  <w:tcW w:w="353" w:type="pct"/>
                  <w:tcBorders>
                    <w:top w:val="single" w:color="000000" w:sz="6" w:space="0"/>
                  </w:tcBorders>
                  <w:shd w:val="clear" w:color="auto" w:fill="auto"/>
                  <w:vAlign w:val="center"/>
                </w:tcPr>
                <w:p w14:paraId="7C4B13F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20m</w:t>
                  </w:r>
                </w:p>
              </w:tc>
              <w:tc>
                <w:tcPr>
                  <w:tcW w:w="353" w:type="pct"/>
                  <w:tcBorders>
                    <w:top w:val="single" w:color="000000" w:sz="6" w:space="0"/>
                  </w:tcBorders>
                  <w:shd w:val="clear" w:color="auto" w:fill="auto"/>
                  <w:vAlign w:val="center"/>
                </w:tcPr>
                <w:p w14:paraId="6FD459B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40m</w:t>
                  </w:r>
                </w:p>
              </w:tc>
              <w:tc>
                <w:tcPr>
                  <w:tcW w:w="353" w:type="pct"/>
                  <w:tcBorders>
                    <w:top w:val="single" w:color="000000" w:sz="6" w:space="0"/>
                  </w:tcBorders>
                  <w:shd w:val="clear" w:color="auto" w:fill="auto"/>
                  <w:vAlign w:val="center"/>
                </w:tcPr>
                <w:p w14:paraId="0134901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50m</w:t>
                  </w:r>
                </w:p>
              </w:tc>
              <w:tc>
                <w:tcPr>
                  <w:tcW w:w="353" w:type="pct"/>
                  <w:tcBorders>
                    <w:top w:val="single" w:color="000000" w:sz="6" w:space="0"/>
                  </w:tcBorders>
                  <w:shd w:val="clear" w:color="auto" w:fill="auto"/>
                  <w:vAlign w:val="center"/>
                </w:tcPr>
                <w:p w14:paraId="1EF7344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60m</w:t>
                  </w:r>
                </w:p>
              </w:tc>
              <w:tc>
                <w:tcPr>
                  <w:tcW w:w="353" w:type="pct"/>
                  <w:tcBorders>
                    <w:top w:val="single" w:color="000000" w:sz="6" w:space="0"/>
                  </w:tcBorders>
                  <w:shd w:val="clear" w:color="auto" w:fill="auto"/>
                  <w:vAlign w:val="center"/>
                </w:tcPr>
                <w:p w14:paraId="3976E984">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80m</w:t>
                  </w:r>
                </w:p>
              </w:tc>
              <w:tc>
                <w:tcPr>
                  <w:tcW w:w="346" w:type="pct"/>
                  <w:tcBorders>
                    <w:top w:val="single" w:color="000000" w:sz="6" w:space="0"/>
                  </w:tcBorders>
                  <w:shd w:val="clear" w:color="auto" w:fill="auto"/>
                  <w:vAlign w:val="center"/>
                </w:tcPr>
                <w:p w14:paraId="37E2D62A">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100</w:t>
                  </w:r>
                </w:p>
                <w:p w14:paraId="07B8CE0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m</w:t>
                  </w:r>
                </w:p>
              </w:tc>
              <w:tc>
                <w:tcPr>
                  <w:tcW w:w="346" w:type="pct"/>
                  <w:tcBorders>
                    <w:top w:val="single" w:color="000000" w:sz="6" w:space="0"/>
                  </w:tcBorders>
                  <w:shd w:val="clear" w:color="auto" w:fill="auto"/>
                  <w:vAlign w:val="center"/>
                </w:tcPr>
                <w:p w14:paraId="464F89FA">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110</w:t>
                  </w:r>
                </w:p>
                <w:p w14:paraId="291AB8E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m</w:t>
                  </w:r>
                </w:p>
              </w:tc>
              <w:tc>
                <w:tcPr>
                  <w:tcW w:w="346" w:type="pct"/>
                  <w:tcBorders>
                    <w:top w:val="single" w:color="000000" w:sz="6" w:space="0"/>
                  </w:tcBorders>
                  <w:shd w:val="clear" w:color="auto" w:fill="auto"/>
                  <w:vAlign w:val="center"/>
                </w:tcPr>
                <w:p w14:paraId="33F33BD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120</w:t>
                  </w:r>
                </w:p>
                <w:p w14:paraId="6D9F25D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m</w:t>
                  </w:r>
                </w:p>
              </w:tc>
              <w:tc>
                <w:tcPr>
                  <w:tcW w:w="347" w:type="pct"/>
                  <w:tcBorders>
                    <w:top w:val="single" w:color="000000" w:sz="6" w:space="0"/>
                  </w:tcBorders>
                  <w:shd w:val="clear" w:color="auto" w:fill="auto"/>
                  <w:vAlign w:val="center"/>
                </w:tcPr>
                <w:p w14:paraId="5EAAA41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150</w:t>
                  </w:r>
                </w:p>
                <w:p w14:paraId="3978FE9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m</w:t>
                  </w:r>
                </w:p>
              </w:tc>
              <w:tc>
                <w:tcPr>
                  <w:tcW w:w="360" w:type="pct"/>
                  <w:tcBorders>
                    <w:top w:val="single" w:color="000000" w:sz="6" w:space="0"/>
                  </w:tcBorders>
                  <w:shd w:val="clear" w:color="auto" w:fill="auto"/>
                  <w:vAlign w:val="center"/>
                </w:tcPr>
                <w:p w14:paraId="49E8E81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200</w:t>
                  </w:r>
                </w:p>
                <w:p w14:paraId="68890D27">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lang w:val="en-US" w:eastAsia="en-US"/>
                    </w:rPr>
                  </w:pPr>
                  <w:r>
                    <w:rPr>
                      <w:rFonts w:ascii="Times New Roman" w:hAnsi="Times New Roman" w:cs="Times New Roman"/>
                      <w:color w:val="auto"/>
                      <w:highlight w:val="none"/>
                    </w:rPr>
                    <w:t>m</w:t>
                  </w:r>
                </w:p>
              </w:tc>
            </w:tr>
            <w:tr w14:paraId="731A9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86" w:type="pct"/>
                  <w:vAlign w:val="center"/>
                </w:tcPr>
                <w:p w14:paraId="444CC53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压路机</w:t>
                  </w:r>
                </w:p>
              </w:tc>
              <w:tc>
                <w:tcPr>
                  <w:tcW w:w="346" w:type="pct"/>
                  <w:vAlign w:val="center"/>
                </w:tcPr>
                <w:p w14:paraId="2BDC958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81.0</w:t>
                  </w:r>
                </w:p>
              </w:tc>
              <w:tc>
                <w:tcPr>
                  <w:tcW w:w="353" w:type="pct"/>
                  <w:vAlign w:val="center"/>
                </w:tcPr>
                <w:p w14:paraId="5BBB7CA0">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75.0</w:t>
                  </w:r>
                </w:p>
              </w:tc>
              <w:tc>
                <w:tcPr>
                  <w:tcW w:w="353" w:type="pct"/>
                  <w:vAlign w:val="center"/>
                </w:tcPr>
                <w:p w14:paraId="79395D1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69.0</w:t>
                  </w:r>
                </w:p>
              </w:tc>
              <w:tc>
                <w:tcPr>
                  <w:tcW w:w="353" w:type="pct"/>
                  <w:vAlign w:val="center"/>
                </w:tcPr>
                <w:p w14:paraId="32B6577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62.9</w:t>
                  </w:r>
                </w:p>
              </w:tc>
              <w:tc>
                <w:tcPr>
                  <w:tcW w:w="353" w:type="pct"/>
                  <w:vAlign w:val="center"/>
                </w:tcPr>
                <w:p w14:paraId="3DE05B5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61.0</w:t>
                  </w:r>
                </w:p>
              </w:tc>
              <w:tc>
                <w:tcPr>
                  <w:tcW w:w="353" w:type="pct"/>
                  <w:vAlign w:val="center"/>
                </w:tcPr>
                <w:p w14:paraId="1166380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59.4</w:t>
                  </w:r>
                </w:p>
              </w:tc>
              <w:tc>
                <w:tcPr>
                  <w:tcW w:w="353" w:type="pct"/>
                  <w:vAlign w:val="center"/>
                </w:tcPr>
                <w:p w14:paraId="04041F5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56.9</w:t>
                  </w:r>
                </w:p>
              </w:tc>
              <w:tc>
                <w:tcPr>
                  <w:tcW w:w="346" w:type="pct"/>
                  <w:vAlign w:val="center"/>
                </w:tcPr>
                <w:p w14:paraId="53C36CF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55.0</w:t>
                  </w:r>
                </w:p>
              </w:tc>
              <w:tc>
                <w:tcPr>
                  <w:tcW w:w="346" w:type="pct"/>
                  <w:vAlign w:val="center"/>
                </w:tcPr>
                <w:p w14:paraId="0D740D9B">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54.2</w:t>
                  </w:r>
                </w:p>
              </w:tc>
              <w:tc>
                <w:tcPr>
                  <w:tcW w:w="346" w:type="pct"/>
                  <w:vAlign w:val="center"/>
                </w:tcPr>
                <w:p w14:paraId="25AA046A">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53.4</w:t>
                  </w:r>
                </w:p>
              </w:tc>
              <w:tc>
                <w:tcPr>
                  <w:tcW w:w="347" w:type="pct"/>
                  <w:vAlign w:val="center"/>
                </w:tcPr>
                <w:p w14:paraId="6E9BE37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51.5</w:t>
                  </w:r>
                </w:p>
              </w:tc>
              <w:tc>
                <w:tcPr>
                  <w:tcW w:w="360" w:type="pct"/>
                  <w:vAlign w:val="center"/>
                </w:tcPr>
                <w:p w14:paraId="5A5E7634">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49.0</w:t>
                  </w:r>
                </w:p>
              </w:tc>
            </w:tr>
            <w:tr w14:paraId="55F87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86" w:type="pct"/>
                  <w:vAlign w:val="center"/>
                </w:tcPr>
                <w:p w14:paraId="09F462B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装载机</w:t>
                  </w:r>
                </w:p>
              </w:tc>
              <w:tc>
                <w:tcPr>
                  <w:tcW w:w="346" w:type="pct"/>
                  <w:vAlign w:val="center"/>
                </w:tcPr>
                <w:p w14:paraId="411E8C9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76.0</w:t>
                  </w:r>
                </w:p>
              </w:tc>
              <w:tc>
                <w:tcPr>
                  <w:tcW w:w="353" w:type="pct"/>
                  <w:vAlign w:val="center"/>
                </w:tcPr>
                <w:p w14:paraId="272824B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70.0</w:t>
                  </w:r>
                </w:p>
              </w:tc>
              <w:tc>
                <w:tcPr>
                  <w:tcW w:w="353" w:type="pct"/>
                  <w:vAlign w:val="center"/>
                </w:tcPr>
                <w:p w14:paraId="18D1249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64.0</w:t>
                  </w:r>
                </w:p>
              </w:tc>
              <w:tc>
                <w:tcPr>
                  <w:tcW w:w="353" w:type="pct"/>
                  <w:vAlign w:val="center"/>
                </w:tcPr>
                <w:p w14:paraId="34E2A1AF">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58.0</w:t>
                  </w:r>
                </w:p>
              </w:tc>
              <w:tc>
                <w:tcPr>
                  <w:tcW w:w="353" w:type="pct"/>
                  <w:vAlign w:val="center"/>
                </w:tcPr>
                <w:p w14:paraId="5F89241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56.0</w:t>
                  </w:r>
                </w:p>
              </w:tc>
              <w:tc>
                <w:tcPr>
                  <w:tcW w:w="353" w:type="pct"/>
                  <w:vAlign w:val="center"/>
                </w:tcPr>
                <w:p w14:paraId="0BF6EB4B">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54.4</w:t>
                  </w:r>
                </w:p>
              </w:tc>
              <w:tc>
                <w:tcPr>
                  <w:tcW w:w="353" w:type="pct"/>
                  <w:vAlign w:val="center"/>
                </w:tcPr>
                <w:p w14:paraId="4A29F5C9">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51.9</w:t>
                  </w:r>
                </w:p>
              </w:tc>
              <w:tc>
                <w:tcPr>
                  <w:tcW w:w="346" w:type="pct"/>
                  <w:vAlign w:val="center"/>
                </w:tcPr>
                <w:p w14:paraId="713EAF3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50.0</w:t>
                  </w:r>
                </w:p>
              </w:tc>
              <w:tc>
                <w:tcPr>
                  <w:tcW w:w="346" w:type="pct"/>
                  <w:vAlign w:val="center"/>
                </w:tcPr>
                <w:p w14:paraId="2630A1E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49.2</w:t>
                  </w:r>
                </w:p>
              </w:tc>
              <w:tc>
                <w:tcPr>
                  <w:tcW w:w="346" w:type="pct"/>
                  <w:vAlign w:val="center"/>
                </w:tcPr>
                <w:p w14:paraId="30EE95A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48.4</w:t>
                  </w:r>
                </w:p>
              </w:tc>
              <w:tc>
                <w:tcPr>
                  <w:tcW w:w="347" w:type="pct"/>
                  <w:vAlign w:val="center"/>
                </w:tcPr>
                <w:p w14:paraId="6FED7A47">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46.5</w:t>
                  </w:r>
                </w:p>
              </w:tc>
              <w:tc>
                <w:tcPr>
                  <w:tcW w:w="360" w:type="pct"/>
                  <w:vAlign w:val="center"/>
                </w:tcPr>
                <w:p w14:paraId="198FC27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44.0</w:t>
                  </w:r>
                </w:p>
              </w:tc>
            </w:tr>
            <w:tr w14:paraId="1F1C1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86" w:type="pct"/>
                  <w:vAlign w:val="center"/>
                </w:tcPr>
                <w:p w14:paraId="2FA1472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挖掘机</w:t>
                  </w:r>
                </w:p>
              </w:tc>
              <w:tc>
                <w:tcPr>
                  <w:tcW w:w="346" w:type="pct"/>
                  <w:vAlign w:val="center"/>
                </w:tcPr>
                <w:p w14:paraId="3D5B7B97">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84.0</w:t>
                  </w:r>
                </w:p>
              </w:tc>
              <w:tc>
                <w:tcPr>
                  <w:tcW w:w="353" w:type="pct"/>
                  <w:vAlign w:val="center"/>
                </w:tcPr>
                <w:p w14:paraId="7DEB880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78.0</w:t>
                  </w:r>
                </w:p>
              </w:tc>
              <w:tc>
                <w:tcPr>
                  <w:tcW w:w="353" w:type="pct"/>
                  <w:vAlign w:val="center"/>
                </w:tcPr>
                <w:p w14:paraId="635DB21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72.0</w:t>
                  </w:r>
                </w:p>
              </w:tc>
              <w:tc>
                <w:tcPr>
                  <w:tcW w:w="353" w:type="pct"/>
                  <w:vAlign w:val="center"/>
                </w:tcPr>
                <w:p w14:paraId="7420A84F">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65.9</w:t>
                  </w:r>
                </w:p>
              </w:tc>
              <w:tc>
                <w:tcPr>
                  <w:tcW w:w="353" w:type="pct"/>
                  <w:vAlign w:val="center"/>
                </w:tcPr>
                <w:p w14:paraId="0BAF47F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64.0</w:t>
                  </w:r>
                </w:p>
              </w:tc>
              <w:tc>
                <w:tcPr>
                  <w:tcW w:w="353" w:type="pct"/>
                  <w:vAlign w:val="center"/>
                </w:tcPr>
                <w:p w14:paraId="59CD618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62.4</w:t>
                  </w:r>
                </w:p>
              </w:tc>
              <w:tc>
                <w:tcPr>
                  <w:tcW w:w="353" w:type="pct"/>
                  <w:vAlign w:val="center"/>
                </w:tcPr>
                <w:p w14:paraId="5057DB49">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59.9</w:t>
                  </w:r>
                </w:p>
              </w:tc>
              <w:tc>
                <w:tcPr>
                  <w:tcW w:w="346" w:type="pct"/>
                  <w:vAlign w:val="center"/>
                </w:tcPr>
                <w:p w14:paraId="64ADA67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58.0</w:t>
                  </w:r>
                </w:p>
              </w:tc>
              <w:tc>
                <w:tcPr>
                  <w:tcW w:w="346" w:type="pct"/>
                  <w:vAlign w:val="center"/>
                </w:tcPr>
                <w:p w14:paraId="6B17FCC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57.2</w:t>
                  </w:r>
                </w:p>
              </w:tc>
              <w:tc>
                <w:tcPr>
                  <w:tcW w:w="346" w:type="pct"/>
                  <w:vAlign w:val="center"/>
                </w:tcPr>
                <w:p w14:paraId="33ABDCA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56.4</w:t>
                  </w:r>
                </w:p>
              </w:tc>
              <w:tc>
                <w:tcPr>
                  <w:tcW w:w="347" w:type="pct"/>
                  <w:vAlign w:val="center"/>
                </w:tcPr>
                <w:p w14:paraId="0775A07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54.5</w:t>
                  </w:r>
                </w:p>
              </w:tc>
              <w:tc>
                <w:tcPr>
                  <w:tcW w:w="360" w:type="pct"/>
                  <w:vAlign w:val="center"/>
                </w:tcPr>
                <w:p w14:paraId="1C7D8F20">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52.0</w:t>
                  </w:r>
                </w:p>
              </w:tc>
            </w:tr>
            <w:tr w14:paraId="15184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786" w:type="pct"/>
                  <w:vAlign w:val="center"/>
                </w:tcPr>
                <w:p w14:paraId="52FA620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混凝土</w:t>
                  </w:r>
                </w:p>
                <w:p w14:paraId="71C47621">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运输车</w:t>
                  </w:r>
                </w:p>
              </w:tc>
              <w:tc>
                <w:tcPr>
                  <w:tcW w:w="346" w:type="pct"/>
                  <w:vAlign w:val="center"/>
                </w:tcPr>
                <w:p w14:paraId="2FDDA7B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66.0</w:t>
                  </w:r>
                </w:p>
              </w:tc>
              <w:tc>
                <w:tcPr>
                  <w:tcW w:w="353" w:type="pct"/>
                  <w:vAlign w:val="center"/>
                </w:tcPr>
                <w:p w14:paraId="2B04C75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60.0</w:t>
                  </w:r>
                </w:p>
              </w:tc>
              <w:tc>
                <w:tcPr>
                  <w:tcW w:w="353" w:type="pct"/>
                  <w:vAlign w:val="center"/>
                </w:tcPr>
                <w:p w14:paraId="06E861A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54.0</w:t>
                  </w:r>
                </w:p>
              </w:tc>
              <w:tc>
                <w:tcPr>
                  <w:tcW w:w="353" w:type="pct"/>
                  <w:vAlign w:val="center"/>
                </w:tcPr>
                <w:p w14:paraId="53333CC0">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48.0</w:t>
                  </w:r>
                </w:p>
              </w:tc>
              <w:tc>
                <w:tcPr>
                  <w:tcW w:w="353" w:type="pct"/>
                  <w:vAlign w:val="center"/>
                </w:tcPr>
                <w:p w14:paraId="1DB26D09">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46.0</w:t>
                  </w:r>
                </w:p>
              </w:tc>
              <w:tc>
                <w:tcPr>
                  <w:tcW w:w="353" w:type="pct"/>
                  <w:vAlign w:val="center"/>
                </w:tcPr>
                <w:p w14:paraId="14B7069A">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44.4</w:t>
                  </w:r>
                </w:p>
              </w:tc>
              <w:tc>
                <w:tcPr>
                  <w:tcW w:w="353" w:type="pct"/>
                  <w:vAlign w:val="center"/>
                </w:tcPr>
                <w:p w14:paraId="7623E8D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41.9</w:t>
                  </w:r>
                </w:p>
              </w:tc>
              <w:tc>
                <w:tcPr>
                  <w:tcW w:w="346" w:type="pct"/>
                  <w:vAlign w:val="center"/>
                </w:tcPr>
                <w:p w14:paraId="78457D7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40.0</w:t>
                  </w:r>
                </w:p>
              </w:tc>
              <w:tc>
                <w:tcPr>
                  <w:tcW w:w="346" w:type="pct"/>
                  <w:vAlign w:val="center"/>
                </w:tcPr>
                <w:p w14:paraId="044FFFB9">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39.2</w:t>
                  </w:r>
                </w:p>
              </w:tc>
              <w:tc>
                <w:tcPr>
                  <w:tcW w:w="346" w:type="pct"/>
                  <w:vAlign w:val="center"/>
                </w:tcPr>
                <w:p w14:paraId="139318F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38.4</w:t>
                  </w:r>
                </w:p>
              </w:tc>
              <w:tc>
                <w:tcPr>
                  <w:tcW w:w="347" w:type="pct"/>
                  <w:vAlign w:val="center"/>
                </w:tcPr>
                <w:p w14:paraId="570D4C7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36.5</w:t>
                  </w:r>
                </w:p>
              </w:tc>
              <w:tc>
                <w:tcPr>
                  <w:tcW w:w="360" w:type="pct"/>
                  <w:vAlign w:val="center"/>
                </w:tcPr>
                <w:p w14:paraId="7FF5E32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34.0</w:t>
                  </w:r>
                </w:p>
              </w:tc>
            </w:tr>
            <w:tr w14:paraId="3993A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786" w:type="pct"/>
                  <w:vAlign w:val="center"/>
                </w:tcPr>
                <w:p w14:paraId="15A7BF6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吊车</w:t>
                  </w:r>
                </w:p>
              </w:tc>
              <w:tc>
                <w:tcPr>
                  <w:tcW w:w="346" w:type="pct"/>
                  <w:vAlign w:val="center"/>
                </w:tcPr>
                <w:p w14:paraId="79BE274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76.0</w:t>
                  </w:r>
                </w:p>
              </w:tc>
              <w:tc>
                <w:tcPr>
                  <w:tcW w:w="353" w:type="pct"/>
                  <w:vAlign w:val="center"/>
                </w:tcPr>
                <w:p w14:paraId="055D3307">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70.0</w:t>
                  </w:r>
                </w:p>
              </w:tc>
              <w:tc>
                <w:tcPr>
                  <w:tcW w:w="353" w:type="pct"/>
                  <w:vAlign w:val="center"/>
                </w:tcPr>
                <w:p w14:paraId="4B2F3C1C">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64.0</w:t>
                  </w:r>
                </w:p>
              </w:tc>
              <w:tc>
                <w:tcPr>
                  <w:tcW w:w="353" w:type="pct"/>
                  <w:vAlign w:val="center"/>
                </w:tcPr>
                <w:p w14:paraId="3E95BD2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58.0</w:t>
                  </w:r>
                </w:p>
              </w:tc>
              <w:tc>
                <w:tcPr>
                  <w:tcW w:w="353" w:type="pct"/>
                  <w:vAlign w:val="center"/>
                </w:tcPr>
                <w:p w14:paraId="2BC6362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56.0</w:t>
                  </w:r>
                </w:p>
              </w:tc>
              <w:tc>
                <w:tcPr>
                  <w:tcW w:w="353" w:type="pct"/>
                  <w:vAlign w:val="center"/>
                </w:tcPr>
                <w:p w14:paraId="7D83238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54.4</w:t>
                  </w:r>
                </w:p>
              </w:tc>
              <w:tc>
                <w:tcPr>
                  <w:tcW w:w="353" w:type="pct"/>
                  <w:vAlign w:val="center"/>
                </w:tcPr>
                <w:p w14:paraId="3EAA9F3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51.9</w:t>
                  </w:r>
                </w:p>
              </w:tc>
              <w:tc>
                <w:tcPr>
                  <w:tcW w:w="346" w:type="pct"/>
                  <w:vAlign w:val="center"/>
                </w:tcPr>
                <w:p w14:paraId="2D46D56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50.0</w:t>
                  </w:r>
                </w:p>
              </w:tc>
              <w:tc>
                <w:tcPr>
                  <w:tcW w:w="346" w:type="pct"/>
                  <w:vAlign w:val="center"/>
                </w:tcPr>
                <w:p w14:paraId="00C9C7F4">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49.2</w:t>
                  </w:r>
                </w:p>
              </w:tc>
              <w:tc>
                <w:tcPr>
                  <w:tcW w:w="346" w:type="pct"/>
                  <w:vAlign w:val="center"/>
                </w:tcPr>
                <w:p w14:paraId="148F75C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48.4</w:t>
                  </w:r>
                </w:p>
              </w:tc>
              <w:tc>
                <w:tcPr>
                  <w:tcW w:w="347" w:type="pct"/>
                  <w:vAlign w:val="center"/>
                </w:tcPr>
                <w:p w14:paraId="04EC883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46.5</w:t>
                  </w:r>
                </w:p>
              </w:tc>
              <w:tc>
                <w:tcPr>
                  <w:tcW w:w="360" w:type="pct"/>
                  <w:vAlign w:val="center"/>
                </w:tcPr>
                <w:p w14:paraId="3EA8B06B">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44.0</w:t>
                  </w:r>
                </w:p>
              </w:tc>
            </w:tr>
            <w:tr w14:paraId="5785F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786" w:type="pct"/>
                  <w:vAlign w:val="center"/>
                </w:tcPr>
                <w:p w14:paraId="465A3BA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发电机</w:t>
                  </w:r>
                </w:p>
              </w:tc>
              <w:tc>
                <w:tcPr>
                  <w:tcW w:w="346" w:type="pct"/>
                  <w:vAlign w:val="center"/>
                </w:tcPr>
                <w:p w14:paraId="2B83107A">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84.0</w:t>
                  </w:r>
                </w:p>
              </w:tc>
              <w:tc>
                <w:tcPr>
                  <w:tcW w:w="353" w:type="pct"/>
                  <w:vAlign w:val="center"/>
                </w:tcPr>
                <w:p w14:paraId="45AFB8F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78.0</w:t>
                  </w:r>
                </w:p>
              </w:tc>
              <w:tc>
                <w:tcPr>
                  <w:tcW w:w="353" w:type="pct"/>
                  <w:vAlign w:val="center"/>
                </w:tcPr>
                <w:p w14:paraId="288E586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72.0</w:t>
                  </w:r>
                </w:p>
              </w:tc>
              <w:tc>
                <w:tcPr>
                  <w:tcW w:w="353" w:type="pct"/>
                  <w:vAlign w:val="center"/>
                </w:tcPr>
                <w:p w14:paraId="4564FFE0">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66.0</w:t>
                  </w:r>
                </w:p>
              </w:tc>
              <w:tc>
                <w:tcPr>
                  <w:tcW w:w="353" w:type="pct"/>
                  <w:vAlign w:val="center"/>
                </w:tcPr>
                <w:p w14:paraId="74049B1F">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64.0</w:t>
                  </w:r>
                </w:p>
              </w:tc>
              <w:tc>
                <w:tcPr>
                  <w:tcW w:w="353" w:type="pct"/>
                  <w:vAlign w:val="center"/>
                </w:tcPr>
                <w:p w14:paraId="61A469EB">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62.4</w:t>
                  </w:r>
                </w:p>
              </w:tc>
              <w:tc>
                <w:tcPr>
                  <w:tcW w:w="353" w:type="pct"/>
                  <w:vAlign w:val="center"/>
                </w:tcPr>
                <w:p w14:paraId="6273E7B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59.9</w:t>
                  </w:r>
                </w:p>
              </w:tc>
              <w:tc>
                <w:tcPr>
                  <w:tcW w:w="346" w:type="pct"/>
                  <w:vAlign w:val="center"/>
                </w:tcPr>
                <w:p w14:paraId="47593E56">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58.0</w:t>
                  </w:r>
                </w:p>
              </w:tc>
              <w:tc>
                <w:tcPr>
                  <w:tcW w:w="346" w:type="pct"/>
                  <w:vAlign w:val="center"/>
                </w:tcPr>
                <w:p w14:paraId="365A0C13">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57.2</w:t>
                  </w:r>
                </w:p>
              </w:tc>
              <w:tc>
                <w:tcPr>
                  <w:tcW w:w="346" w:type="pct"/>
                  <w:vAlign w:val="center"/>
                </w:tcPr>
                <w:p w14:paraId="579F05E1">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56.4</w:t>
                  </w:r>
                </w:p>
              </w:tc>
              <w:tc>
                <w:tcPr>
                  <w:tcW w:w="347" w:type="pct"/>
                  <w:vAlign w:val="center"/>
                </w:tcPr>
                <w:p w14:paraId="2B29AE3E">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54.5</w:t>
                  </w:r>
                </w:p>
              </w:tc>
              <w:tc>
                <w:tcPr>
                  <w:tcW w:w="360" w:type="pct"/>
                  <w:vAlign w:val="center"/>
                </w:tcPr>
                <w:p w14:paraId="6C34F0B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52.0</w:t>
                  </w:r>
                </w:p>
              </w:tc>
            </w:tr>
            <w:tr w14:paraId="5482D5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8" w:hRule="atLeast"/>
              </w:trPr>
              <w:tc>
                <w:tcPr>
                  <w:tcW w:w="786" w:type="pct"/>
                  <w:vAlign w:val="center"/>
                </w:tcPr>
                <w:p w14:paraId="41C0387B">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混凝土</w:t>
                  </w:r>
                </w:p>
                <w:p w14:paraId="43AA228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振动器</w:t>
                  </w:r>
                </w:p>
              </w:tc>
              <w:tc>
                <w:tcPr>
                  <w:tcW w:w="346" w:type="pct"/>
                  <w:vAlign w:val="center"/>
                </w:tcPr>
                <w:p w14:paraId="18B534F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81.0</w:t>
                  </w:r>
                </w:p>
              </w:tc>
              <w:tc>
                <w:tcPr>
                  <w:tcW w:w="353" w:type="pct"/>
                  <w:vAlign w:val="center"/>
                </w:tcPr>
                <w:p w14:paraId="29B609F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75.0</w:t>
                  </w:r>
                </w:p>
              </w:tc>
              <w:tc>
                <w:tcPr>
                  <w:tcW w:w="353" w:type="pct"/>
                  <w:vAlign w:val="center"/>
                </w:tcPr>
                <w:p w14:paraId="7879AA68">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69.0</w:t>
                  </w:r>
                </w:p>
              </w:tc>
              <w:tc>
                <w:tcPr>
                  <w:tcW w:w="353" w:type="pct"/>
                  <w:vAlign w:val="center"/>
                </w:tcPr>
                <w:p w14:paraId="047003D7">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63.0</w:t>
                  </w:r>
                </w:p>
              </w:tc>
              <w:tc>
                <w:tcPr>
                  <w:tcW w:w="353" w:type="pct"/>
                  <w:vAlign w:val="center"/>
                </w:tcPr>
                <w:p w14:paraId="069291D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61.0</w:t>
                  </w:r>
                </w:p>
              </w:tc>
              <w:tc>
                <w:tcPr>
                  <w:tcW w:w="353" w:type="pct"/>
                  <w:vAlign w:val="center"/>
                </w:tcPr>
                <w:p w14:paraId="57CF105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59.4</w:t>
                  </w:r>
                </w:p>
              </w:tc>
              <w:tc>
                <w:tcPr>
                  <w:tcW w:w="353" w:type="pct"/>
                  <w:vAlign w:val="center"/>
                </w:tcPr>
                <w:p w14:paraId="1725B1D9">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56.9</w:t>
                  </w:r>
                </w:p>
              </w:tc>
              <w:tc>
                <w:tcPr>
                  <w:tcW w:w="346" w:type="pct"/>
                  <w:vAlign w:val="center"/>
                </w:tcPr>
                <w:p w14:paraId="3F4B74A5">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55.0</w:t>
                  </w:r>
                </w:p>
              </w:tc>
              <w:tc>
                <w:tcPr>
                  <w:tcW w:w="346" w:type="pct"/>
                  <w:vAlign w:val="center"/>
                </w:tcPr>
                <w:p w14:paraId="7C1F7332">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54.2</w:t>
                  </w:r>
                </w:p>
              </w:tc>
              <w:tc>
                <w:tcPr>
                  <w:tcW w:w="346" w:type="pct"/>
                  <w:vAlign w:val="center"/>
                </w:tcPr>
                <w:p w14:paraId="30EDD97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53.4</w:t>
                  </w:r>
                </w:p>
              </w:tc>
              <w:tc>
                <w:tcPr>
                  <w:tcW w:w="347" w:type="pct"/>
                  <w:vAlign w:val="center"/>
                </w:tcPr>
                <w:p w14:paraId="3ABC311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51.5</w:t>
                  </w:r>
                </w:p>
              </w:tc>
              <w:tc>
                <w:tcPr>
                  <w:tcW w:w="360" w:type="pct"/>
                  <w:vAlign w:val="center"/>
                </w:tcPr>
                <w:p w14:paraId="7E3CF7ED">
                  <w:pPr>
                    <w:pStyle w:val="28"/>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cs="Times New Roman"/>
                      <w:color w:val="auto"/>
                      <w:highlight w:val="none"/>
                    </w:rPr>
                    <w:t>49.0</w:t>
                  </w:r>
                </w:p>
              </w:tc>
            </w:tr>
          </w:tbl>
          <w:p w14:paraId="1BB3DD5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项目夜间不施工，根据预测可知，单机施工机械噪声昼间在距施工场地25m处可满足建筑施工场界环境噪声排放标准要求。如果有多种机械设备同时施工，则噪声影响更大。</w:t>
            </w:r>
          </w:p>
          <w:p w14:paraId="105104A8">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（2）最不利工况下项目施工影响范围</w:t>
            </w:r>
          </w:p>
          <w:p w14:paraId="0D94B4D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计算最不利情况，即所有声源同时作用工况下，在不同距离处的噪声贡献值，预测结果见下表。</w:t>
            </w:r>
          </w:p>
          <w:p w14:paraId="35F6897A">
            <w:pPr>
              <w:pStyle w:val="49"/>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表4-5最不利工况下施工噪声贡献值预测成果</w:t>
            </w:r>
          </w:p>
          <w:tbl>
            <w:tblPr>
              <w:tblStyle w:val="46"/>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79"/>
              <w:gridCol w:w="722"/>
              <w:gridCol w:w="722"/>
              <w:gridCol w:w="722"/>
              <w:gridCol w:w="723"/>
              <w:gridCol w:w="723"/>
              <w:gridCol w:w="723"/>
              <w:gridCol w:w="723"/>
              <w:gridCol w:w="723"/>
              <w:gridCol w:w="723"/>
              <w:gridCol w:w="739"/>
            </w:tblGrid>
            <w:tr w14:paraId="0A810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49" w:type="pct"/>
                  <w:vMerge w:val="restart"/>
                  <w:tcBorders>
                    <w:bottom w:val="nil"/>
                  </w:tcBorders>
                  <w:vAlign w:val="top"/>
                </w:tcPr>
                <w:p w14:paraId="70479058">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距离</w:t>
                  </w:r>
                </w:p>
              </w:tc>
              <w:tc>
                <w:tcPr>
                  <w:tcW w:w="4350" w:type="pct"/>
                  <w:gridSpan w:val="10"/>
                  <w:vAlign w:val="top"/>
                </w:tcPr>
                <w:p w14:paraId="26D17C40">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噪声预测值dB（A）</w:t>
                  </w:r>
                </w:p>
              </w:tc>
            </w:tr>
            <w:tr w14:paraId="3B0AC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649" w:type="pct"/>
                  <w:vMerge w:val="continue"/>
                  <w:tcBorders>
                    <w:top w:val="nil"/>
                  </w:tcBorders>
                  <w:vAlign w:val="top"/>
                </w:tcPr>
                <w:p w14:paraId="24395C4A">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p>
              </w:tc>
              <w:tc>
                <w:tcPr>
                  <w:tcW w:w="434" w:type="pct"/>
                  <w:vAlign w:val="top"/>
                </w:tcPr>
                <w:p w14:paraId="0F996572">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5m</w:t>
                  </w:r>
                </w:p>
              </w:tc>
              <w:tc>
                <w:tcPr>
                  <w:tcW w:w="434" w:type="pct"/>
                  <w:vAlign w:val="top"/>
                </w:tcPr>
                <w:p w14:paraId="45F68C5F">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10m</w:t>
                  </w:r>
                </w:p>
              </w:tc>
              <w:tc>
                <w:tcPr>
                  <w:tcW w:w="434" w:type="pct"/>
                  <w:vAlign w:val="top"/>
                </w:tcPr>
                <w:p w14:paraId="792C80EA">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20m</w:t>
                  </w:r>
                </w:p>
              </w:tc>
              <w:tc>
                <w:tcPr>
                  <w:tcW w:w="434" w:type="pct"/>
                  <w:vAlign w:val="top"/>
                </w:tcPr>
                <w:p w14:paraId="119EBD1C">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40m</w:t>
                  </w:r>
                </w:p>
              </w:tc>
              <w:tc>
                <w:tcPr>
                  <w:tcW w:w="434" w:type="pct"/>
                  <w:vAlign w:val="top"/>
                </w:tcPr>
                <w:p w14:paraId="50D76066">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50m</w:t>
                  </w:r>
                </w:p>
              </w:tc>
              <w:tc>
                <w:tcPr>
                  <w:tcW w:w="434" w:type="pct"/>
                  <w:vAlign w:val="top"/>
                </w:tcPr>
                <w:p w14:paraId="206A9E83">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60m</w:t>
                  </w:r>
                </w:p>
              </w:tc>
              <w:tc>
                <w:tcPr>
                  <w:tcW w:w="434" w:type="pct"/>
                  <w:vAlign w:val="top"/>
                </w:tcPr>
                <w:p w14:paraId="055537E0">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80m</w:t>
                  </w:r>
                </w:p>
              </w:tc>
              <w:tc>
                <w:tcPr>
                  <w:tcW w:w="434" w:type="pct"/>
                  <w:vAlign w:val="top"/>
                </w:tcPr>
                <w:p w14:paraId="55D51C2A">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100m</w:t>
                  </w:r>
                </w:p>
              </w:tc>
              <w:tc>
                <w:tcPr>
                  <w:tcW w:w="434" w:type="pct"/>
                  <w:vAlign w:val="top"/>
                </w:tcPr>
                <w:p w14:paraId="27845D81">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110m</w:t>
                  </w:r>
                </w:p>
              </w:tc>
              <w:tc>
                <w:tcPr>
                  <w:tcW w:w="438" w:type="pct"/>
                  <w:vAlign w:val="top"/>
                </w:tcPr>
                <w:p w14:paraId="782A447C">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120m</w:t>
                  </w:r>
                </w:p>
              </w:tc>
            </w:tr>
            <w:tr w14:paraId="0C808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49" w:type="pct"/>
                  <w:vAlign w:val="top"/>
                </w:tcPr>
                <w:p w14:paraId="3DC3DE77">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预测值</w:t>
                  </w:r>
                </w:p>
              </w:tc>
              <w:tc>
                <w:tcPr>
                  <w:tcW w:w="434" w:type="pct"/>
                  <w:vAlign w:val="top"/>
                </w:tcPr>
                <w:p w14:paraId="0A30949B">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89.2</w:t>
                  </w:r>
                </w:p>
              </w:tc>
              <w:tc>
                <w:tcPr>
                  <w:tcW w:w="434" w:type="pct"/>
                  <w:vAlign w:val="top"/>
                </w:tcPr>
                <w:p w14:paraId="2D513D3D">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83.2</w:t>
                  </w:r>
                </w:p>
              </w:tc>
              <w:tc>
                <w:tcPr>
                  <w:tcW w:w="434" w:type="pct"/>
                  <w:vAlign w:val="top"/>
                </w:tcPr>
                <w:p w14:paraId="6DC9FF44">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77.2</w:t>
                  </w:r>
                </w:p>
              </w:tc>
              <w:tc>
                <w:tcPr>
                  <w:tcW w:w="434" w:type="pct"/>
                  <w:vAlign w:val="top"/>
                </w:tcPr>
                <w:p w14:paraId="6E32FDC1">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71.2</w:t>
                  </w:r>
                </w:p>
              </w:tc>
              <w:tc>
                <w:tcPr>
                  <w:tcW w:w="434" w:type="pct"/>
                  <w:vAlign w:val="top"/>
                </w:tcPr>
                <w:p w14:paraId="6B49E6D3">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69.2</w:t>
                  </w:r>
                </w:p>
              </w:tc>
              <w:tc>
                <w:tcPr>
                  <w:tcW w:w="434" w:type="pct"/>
                  <w:vAlign w:val="top"/>
                </w:tcPr>
                <w:p w14:paraId="3C06A207">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67.7</w:t>
                  </w:r>
                </w:p>
              </w:tc>
              <w:tc>
                <w:tcPr>
                  <w:tcW w:w="434" w:type="pct"/>
                  <w:vAlign w:val="top"/>
                </w:tcPr>
                <w:p w14:paraId="032F8FE6">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65.2</w:t>
                  </w:r>
                </w:p>
              </w:tc>
              <w:tc>
                <w:tcPr>
                  <w:tcW w:w="434" w:type="pct"/>
                  <w:vAlign w:val="top"/>
                </w:tcPr>
                <w:p w14:paraId="173B40B5">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63.2</w:t>
                  </w:r>
                </w:p>
              </w:tc>
              <w:tc>
                <w:tcPr>
                  <w:tcW w:w="434" w:type="pct"/>
                  <w:vAlign w:val="top"/>
                </w:tcPr>
                <w:p w14:paraId="1398FAE1">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62.4</w:t>
                  </w:r>
                </w:p>
              </w:tc>
              <w:tc>
                <w:tcPr>
                  <w:tcW w:w="438" w:type="pct"/>
                  <w:vAlign w:val="top"/>
                </w:tcPr>
                <w:p w14:paraId="7F4B5CB3">
                  <w:pPr>
                    <w:pStyle w:val="28"/>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61.6</w:t>
                  </w:r>
                </w:p>
              </w:tc>
            </w:tr>
          </w:tbl>
          <w:p w14:paraId="1791A059">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项目夜间不施工，预测表明：所有声源同时作用时，在仅考虑几何发散的情况下，昼间施工46m处可满足建筑施工场界环境噪声排放标准要求。</w:t>
            </w:r>
          </w:p>
          <w:p w14:paraId="7FABC870">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（3）项目施工对居民点影响预测</w:t>
            </w:r>
          </w:p>
          <w:p w14:paraId="267731E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项目风机周边700m范围内无噪声敏感点分布，最不利工况下，对风机周边居民无影响。</w:t>
            </w:r>
          </w:p>
          <w:p w14:paraId="112299D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（4）施工交通运输噪声影响分析</w:t>
            </w:r>
          </w:p>
          <w:p w14:paraId="17A784F0">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由于拟建电场内部的运输道路两侧200m范围内有居民点，因此，运输车辆经过村庄时应控制车速，并且禁止鸣笛，尽量减少运输车辆对居民点影响。</w:t>
            </w:r>
          </w:p>
          <w:p w14:paraId="7225E21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4.2.4施工期固体废弃物环境影响分析</w:t>
            </w:r>
          </w:p>
          <w:p w14:paraId="0D7044E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（1）施工期弃渣影响分析</w:t>
            </w:r>
          </w:p>
          <w:p w14:paraId="21A90472">
            <w:pPr>
              <w:keepNext w:val="0"/>
              <w:keepLines w:val="0"/>
              <w:pageBreakBefore w:val="0"/>
              <w:widowControl w:val="0"/>
              <w:wordWrap/>
              <w:overflowPunct/>
              <w:topLinePunct w:val="0"/>
              <w:bidi w:val="0"/>
              <w:adjustRightInd w:val="0"/>
              <w:snapToGrid w:val="0"/>
              <w:textAlignment w:val="auto"/>
              <w:rPr>
                <w:rFonts w:hint="eastAsia" w:ascii="Times New Roman" w:hAnsi="Times New Roman" w:eastAsia="宋体" w:cs="Times New Roman"/>
                <w:color w:val="auto"/>
                <w:highlight w:val="none"/>
                <w:lang w:eastAsia="zh-CN"/>
              </w:rPr>
            </w:pPr>
            <w:r>
              <w:rPr>
                <w:rFonts w:ascii="Times New Roman" w:hAnsi="Times New Roman" w:cs="Times New Roman"/>
                <w:color w:val="auto"/>
                <w:highlight w:val="none"/>
              </w:rPr>
              <w:t>根据项目《水土保持方案》，</w:t>
            </w:r>
            <w:r>
              <w:rPr>
                <w:rFonts w:hint="default" w:ascii="Times New Roman" w:hAnsi="Times New Roman" w:cs="Times New Roman"/>
                <w:color w:val="auto"/>
                <w:highlight w:val="none"/>
                <w:lang w:val="en-US" w:eastAsia="zh-CN"/>
              </w:rPr>
              <w:t>施工共开挖土石方</w:t>
            </w:r>
            <w:r>
              <w:rPr>
                <w:rFonts w:hint="eastAsia" w:ascii="Times New Roman" w:hAnsi="Times New Roman" w:cs="Times New Roman"/>
                <w:color w:val="auto"/>
                <w:highlight w:val="none"/>
                <w:lang w:val="en-US" w:eastAsia="zh-CN"/>
              </w:rPr>
              <w:t>26040.42</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（其中场平开挖</w:t>
            </w:r>
            <w:r>
              <w:rPr>
                <w:rFonts w:hint="eastAsia" w:ascii="Times New Roman" w:hAnsi="Times New Roman" w:cs="Times New Roman"/>
                <w:color w:val="auto"/>
                <w:highlight w:val="none"/>
                <w:lang w:val="en-US" w:eastAsia="zh-CN"/>
              </w:rPr>
              <w:t>12934.42</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，基础开挖</w:t>
            </w:r>
            <w:r>
              <w:rPr>
                <w:rFonts w:hint="eastAsia" w:ascii="Times New Roman" w:hAnsi="Times New Roman" w:cs="Times New Roman"/>
                <w:color w:val="auto"/>
                <w:highlight w:val="none"/>
                <w:lang w:val="en-US" w:eastAsia="zh-CN"/>
              </w:rPr>
              <w:t>13106.00</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）；回填</w:t>
            </w:r>
            <w:r>
              <w:rPr>
                <w:rFonts w:hint="eastAsia" w:ascii="Times New Roman" w:hAnsi="Times New Roman" w:cs="Times New Roman"/>
                <w:color w:val="auto"/>
                <w:highlight w:val="none"/>
                <w:lang w:val="en-US" w:eastAsia="zh-CN"/>
              </w:rPr>
              <w:t>26040.42</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（其中场平回填</w:t>
            </w:r>
            <w:r>
              <w:rPr>
                <w:rFonts w:hint="eastAsia" w:ascii="Times New Roman" w:hAnsi="Times New Roman" w:cs="Times New Roman"/>
                <w:color w:val="auto"/>
                <w:highlight w:val="none"/>
                <w:lang w:val="en-US" w:eastAsia="zh-CN"/>
              </w:rPr>
              <w:t>19455.53</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，用作建筑材料石方</w:t>
            </w:r>
            <w:r>
              <w:rPr>
                <w:rFonts w:hint="eastAsia" w:ascii="Times New Roman" w:hAnsi="Times New Roman" w:cs="Times New Roman"/>
                <w:color w:val="auto"/>
                <w:highlight w:val="none"/>
                <w:lang w:val="en-US" w:eastAsia="zh-CN"/>
              </w:rPr>
              <w:t>442.25</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，基础回填</w:t>
            </w:r>
            <w:r>
              <w:rPr>
                <w:rFonts w:hint="eastAsia" w:ascii="Times New Roman" w:hAnsi="Times New Roman" w:cs="Times New Roman"/>
                <w:color w:val="auto"/>
                <w:highlight w:val="none"/>
                <w:lang w:val="en-US" w:eastAsia="zh-CN"/>
              </w:rPr>
              <w:t>6142.64</w:t>
            </w:r>
            <w:r>
              <w:rPr>
                <w:rFonts w:hint="default" w:ascii="Times New Roman" w:hAnsi="Times New Roman" w:cs="Times New Roman"/>
                <w:color w:val="auto"/>
                <w:highlight w:val="none"/>
                <w:lang w:val="en-US" w:eastAsia="zh-CN"/>
              </w:rPr>
              <w:t>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w:t>
            </w:r>
            <w:r>
              <w:rPr>
                <w:rFonts w:ascii="Times New Roman" w:hAnsi="Times New Roman" w:cs="Times New Roman"/>
                <w:color w:val="auto"/>
                <w:highlight w:val="none"/>
              </w:rPr>
              <w:t>本项目土石方挖填平衡，无弃渣产生</w:t>
            </w:r>
            <w:r>
              <w:rPr>
                <w:rFonts w:hint="eastAsia" w:cs="Times New Roman"/>
                <w:color w:val="auto"/>
                <w:highlight w:val="none"/>
                <w:lang w:eastAsia="zh-CN"/>
              </w:rPr>
              <w:t>，</w:t>
            </w:r>
            <w:r>
              <w:rPr>
                <w:rFonts w:ascii="宋体" w:hAnsi="宋体" w:eastAsia="宋体" w:cs="宋体"/>
                <w:color w:val="auto"/>
                <w:sz w:val="24"/>
                <w:szCs w:val="24"/>
              </w:rPr>
              <w:t>因此工程不设置弃渣场</w:t>
            </w:r>
            <w:r>
              <w:rPr>
                <w:rFonts w:hint="eastAsia" w:ascii="宋体" w:hAnsi="宋体" w:eastAsia="宋体" w:cs="宋体"/>
                <w:color w:val="auto"/>
                <w:sz w:val="24"/>
                <w:szCs w:val="24"/>
                <w:lang w:eastAsia="zh-CN"/>
              </w:rPr>
              <w:t>。</w:t>
            </w:r>
            <w:r>
              <w:rPr>
                <w:rFonts w:ascii="宋体" w:hAnsi="宋体" w:eastAsia="宋体" w:cs="宋体"/>
                <w:color w:val="auto"/>
                <w:sz w:val="24"/>
                <w:szCs w:val="24"/>
              </w:rPr>
              <w:t>若额外配套建设弃渣场，将新增土地征占，直接损毁区域原生植被、破坏陆生动物栖息迁徙环境，裸露松散渣土堆体抗冲刷能力弱，同时</w:t>
            </w:r>
            <w:r>
              <w:rPr>
                <w:rFonts w:hint="eastAsia" w:ascii="宋体" w:hAnsi="宋体" w:eastAsia="宋体" w:cs="宋体"/>
                <w:color w:val="auto"/>
                <w:sz w:val="24"/>
                <w:szCs w:val="24"/>
                <w:lang w:eastAsia="zh-CN"/>
              </w:rPr>
              <w:t>弃</w:t>
            </w:r>
            <w:r>
              <w:rPr>
                <w:rFonts w:ascii="宋体" w:hAnsi="宋体" w:eastAsia="宋体" w:cs="宋体"/>
                <w:color w:val="auto"/>
                <w:sz w:val="24"/>
                <w:szCs w:val="24"/>
              </w:rPr>
              <w:t>渣土场内摊铺、分层堆存及弃渣外运作业将大幅增加施工无组织扬尘、运输交通噪声，加重沿线村庄环境干扰</w:t>
            </w:r>
            <w:r>
              <w:rPr>
                <w:rFonts w:hint="eastAsia" w:ascii="宋体" w:hAnsi="宋体" w:eastAsia="宋体" w:cs="宋体"/>
                <w:color w:val="auto"/>
                <w:sz w:val="24"/>
                <w:szCs w:val="24"/>
                <w:lang w:eastAsia="zh-CN"/>
              </w:rPr>
              <w:t>；</w:t>
            </w:r>
            <w:r>
              <w:rPr>
                <w:rFonts w:ascii="宋体" w:hAnsi="宋体" w:eastAsia="宋体" w:cs="宋体"/>
                <w:color w:val="auto"/>
                <w:sz w:val="24"/>
                <w:szCs w:val="24"/>
              </w:rPr>
              <w:t>项目通过风机机组富余土方场内短途调配补给集电线路、开关站土方缺口区域，</w:t>
            </w:r>
            <w:r>
              <w:rPr>
                <w:rFonts w:hint="eastAsia" w:ascii="宋体" w:hAnsi="宋体" w:eastAsia="宋体" w:cs="宋体"/>
                <w:color w:val="auto"/>
                <w:sz w:val="24"/>
                <w:szCs w:val="24"/>
                <w:lang w:eastAsia="zh-CN"/>
              </w:rPr>
              <w:t>项目</w:t>
            </w:r>
            <w:r>
              <w:rPr>
                <w:rFonts w:ascii="宋体" w:hAnsi="宋体" w:eastAsia="宋体" w:cs="宋体"/>
                <w:color w:val="auto"/>
                <w:sz w:val="24"/>
                <w:szCs w:val="24"/>
              </w:rPr>
              <w:t>施工可实现土方随挖随填、周转消纳，无长期裸露渣土堆存，既省去弃渣场征地、拦挡护坡、植被恢复等工程投资，又从源头减少地表扰动范围、彻底消除弃渣堆存带来的水土流失、大气噪声污染及地质风险，土石方场内自平衡消纳方案施工组织可行、环境效益更优。</w:t>
            </w:r>
          </w:p>
          <w:p w14:paraId="012CB3C4">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eastAsia="zh-CN"/>
              </w:rPr>
              <w:t>）</w:t>
            </w:r>
            <w:r>
              <w:rPr>
                <w:rFonts w:ascii="Times New Roman" w:hAnsi="Times New Roman" w:cs="Times New Roman"/>
                <w:b/>
                <w:bCs/>
                <w:color w:val="auto"/>
                <w:highlight w:val="none"/>
              </w:rPr>
              <w:t>建筑垃圾</w:t>
            </w:r>
          </w:p>
          <w:p w14:paraId="621BFD62">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建筑垃圾主要为废钢筋、废混凝土、废木材、废砖石等，项目内产生的建筑垃圾经分拣、剔除或粉碎后，大多是可以作为再生资源重新利用的，如废钢筋、废铁丝和各种废钢配件等金属、经分拣、集中、重新回炉后，可以再加工制造成各种规格的钢材；废竹木则可以用于制造人造木材；砖、石、混凝土等废料经破碎后，可用于制作砌块、铺道砖等建材制品。项目内废弃、不可利用的建筑垃圾拟集中收集，清运至当地政府指定地点，不会对周围环境造成大的影响。</w:t>
            </w:r>
          </w:p>
          <w:p w14:paraId="70192380">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3</w:t>
            </w:r>
            <w:r>
              <w:rPr>
                <w:rFonts w:hint="default" w:ascii="Times New Roman" w:hAnsi="Times New Roman" w:cs="Times New Roman"/>
                <w:b/>
                <w:bCs/>
                <w:color w:val="auto"/>
                <w:highlight w:val="none"/>
                <w:lang w:eastAsia="zh-CN"/>
              </w:rPr>
              <w:t>）</w:t>
            </w:r>
            <w:r>
              <w:rPr>
                <w:rFonts w:ascii="Times New Roman" w:hAnsi="Times New Roman" w:cs="Times New Roman"/>
                <w:b/>
                <w:bCs/>
                <w:color w:val="auto"/>
                <w:highlight w:val="none"/>
              </w:rPr>
              <w:t>生活垃圾</w:t>
            </w:r>
          </w:p>
          <w:p w14:paraId="55B822AB">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不设施工营地，本项目施工人员均不在项目内食宿，生活垃圾产生量较少，施工期生活垃圾主要为有机废物，如不及时进行清理，则会腐烂变质，滋生蚊虫苍蝇，产生恶臭，传染疾病，从而对周围环境和作业人员健康带来不利影响。每个施工点均应设置垃圾收集点统一收集后，运至附近村庄的垃圾收集点纳入当地生活垃圾收集处理系统处置。</w:t>
            </w:r>
          </w:p>
          <w:p w14:paraId="0C32681E">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4.2.5</w:t>
            </w:r>
            <w:r>
              <w:rPr>
                <w:rFonts w:ascii="Times New Roman" w:hAnsi="Times New Roman" w:cs="Times New Roman"/>
                <w:b/>
                <w:bCs/>
                <w:color w:val="auto"/>
                <w:highlight w:val="none"/>
              </w:rPr>
              <w:t>施工期生态影响分析</w:t>
            </w:r>
          </w:p>
          <w:p w14:paraId="1DF895AD">
            <w:pPr>
              <w:keepNext w:val="0"/>
              <w:keepLines w:val="0"/>
              <w:pageBreakBefore w:val="0"/>
              <w:widowControl w:val="0"/>
              <w:wordWrap/>
              <w:overflowPunct/>
              <w:topLinePunct w:val="0"/>
              <w:bidi w:val="0"/>
              <w:adjustRightInd w:val="0"/>
              <w:snapToGrid w:val="0"/>
              <w:textAlignment w:val="auto"/>
              <w:rPr>
                <w:rFonts w:hint="eastAsia" w:cs="Times New Roman"/>
                <w:b/>
                <w:bCs/>
                <w:color w:val="auto"/>
                <w:highlight w:val="none"/>
                <w:lang w:val="en-US" w:eastAsia="zh-CN"/>
              </w:rPr>
            </w:pPr>
            <w:r>
              <w:rPr>
                <w:rFonts w:hint="default" w:ascii="Times New Roman" w:hAnsi="Times New Roman" w:cs="Times New Roman"/>
                <w:b/>
                <w:bCs/>
                <w:color w:val="auto"/>
                <w:highlight w:val="none"/>
                <w:lang w:val="en-US" w:eastAsia="zh-CN"/>
              </w:rPr>
              <w:t>4.2.5.1</w:t>
            </w:r>
            <w:r>
              <w:rPr>
                <w:rFonts w:hint="eastAsia" w:cs="Times New Roman"/>
                <w:b/>
                <w:bCs/>
                <w:color w:val="auto"/>
                <w:highlight w:val="none"/>
                <w:lang w:val="en-US" w:eastAsia="zh-CN"/>
              </w:rPr>
              <w:t>对土地利用的影响</w:t>
            </w:r>
          </w:p>
          <w:p w14:paraId="65E3B581">
            <w:pPr>
              <w:pStyle w:val="58"/>
              <w:ind w:firstLine="472"/>
              <w:rPr>
                <w:rFonts w:hint="default" w:ascii="Times New Roman" w:hAnsi="Times New Roman"/>
                <w:b/>
                <w:bCs/>
                <w:color w:val="auto"/>
                <w:lang w:val="en-US" w:eastAsia="zh-CN"/>
              </w:rPr>
            </w:pPr>
            <w:r>
              <w:rPr>
                <w:rFonts w:hint="eastAsia" w:ascii="Times New Roman" w:hAnsi="Times New Roman"/>
                <w:b/>
                <w:bCs/>
                <w:color w:val="auto"/>
                <w:lang w:val="en-US" w:eastAsia="zh-CN"/>
              </w:rPr>
              <w:t>1、工程占用的土地利用类型情况</w:t>
            </w:r>
          </w:p>
          <w:p w14:paraId="06A90825">
            <w:pPr>
              <w:bidi w:val="0"/>
              <w:rPr>
                <w:rFonts w:hint="eastAsia" w:eastAsia="宋体"/>
                <w:color w:val="auto"/>
                <w:highlight w:val="none"/>
                <w:lang w:eastAsia="zh-CN"/>
              </w:rPr>
            </w:pPr>
            <w:r>
              <w:rPr>
                <w:rFonts w:hint="eastAsia" w:ascii="Times New Roman" w:hAnsi="Times New Roman" w:eastAsia="宋体" w:cs="Times New Roman"/>
                <w:color w:val="auto"/>
                <w:sz w:val="24"/>
                <w:szCs w:val="24"/>
                <w:highlight w:val="none"/>
                <w:lang w:val="en-US" w:eastAsia="zh-CN"/>
              </w:rPr>
              <w:t>本项目总用地面积</w:t>
            </w:r>
            <w:r>
              <w:rPr>
                <w:rFonts w:hint="eastAsia" w:cs="Times New Roman"/>
                <w:color w:val="auto"/>
                <w:sz w:val="24"/>
                <w:szCs w:val="24"/>
                <w:highlight w:val="none"/>
                <w:lang w:val="en-US" w:eastAsia="zh-CN"/>
              </w:rPr>
              <w:t>1.5343</w:t>
            </w:r>
            <w:r>
              <w:rPr>
                <w:rFonts w:hint="eastAsia" w:ascii="Times New Roman" w:hAnsi="Times New Roman" w:eastAsia="宋体" w:cs="Times New Roman"/>
                <w:color w:val="auto"/>
                <w:sz w:val="24"/>
                <w:szCs w:val="24"/>
                <w:highlight w:val="none"/>
                <w:lang w:val="en-US" w:eastAsia="zh-CN"/>
              </w:rPr>
              <w:t>hm²，其中永久用地0.2408hm²，临时用地</w:t>
            </w:r>
            <w:r>
              <w:rPr>
                <w:rFonts w:hint="eastAsia" w:cs="Times New Roman"/>
                <w:color w:val="auto"/>
                <w:sz w:val="24"/>
                <w:szCs w:val="24"/>
                <w:highlight w:val="none"/>
                <w:lang w:val="en-US" w:eastAsia="zh-CN"/>
              </w:rPr>
              <w:t>1.2935</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eastAsia="宋体" w:cs="Times New Roman"/>
                <w:color w:val="auto"/>
                <w:sz w:val="24"/>
                <w:szCs w:val="24"/>
                <w:highlight w:val="none"/>
                <w:vertAlign w:val="baseline"/>
                <w:lang w:val="en-US" w:eastAsia="zh-CN"/>
              </w:rPr>
              <w:t>²。永久占地涉及林地0.0848hm²（含乔木林地0.0424hm²，灌木林地0.0424</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eastAsia="宋体" w:cs="Times New Roman"/>
                <w:color w:val="auto"/>
                <w:sz w:val="24"/>
                <w:szCs w:val="24"/>
                <w:highlight w:val="none"/>
                <w:vertAlign w:val="baseline"/>
                <w:lang w:val="en-US" w:eastAsia="zh-CN"/>
              </w:rPr>
              <w:t>²）、草地0.156hm²；临时占地涉及耕地（水浇地）0.0609hm²、林地</w:t>
            </w:r>
            <w:r>
              <w:rPr>
                <w:rFonts w:hint="eastAsia" w:cs="Times New Roman"/>
                <w:color w:val="auto"/>
                <w:sz w:val="24"/>
                <w:szCs w:val="24"/>
                <w:highlight w:val="none"/>
                <w:vertAlign w:val="baseline"/>
                <w:lang w:val="en-US" w:eastAsia="zh-CN"/>
              </w:rPr>
              <w:t>0.9644</w:t>
            </w:r>
            <w:r>
              <w:rPr>
                <w:rFonts w:hint="eastAsia" w:ascii="Times New Roman" w:hAnsi="Times New Roman" w:eastAsia="宋体" w:cs="Times New Roman"/>
                <w:color w:val="auto"/>
                <w:sz w:val="24"/>
                <w:szCs w:val="24"/>
                <w:highlight w:val="none"/>
                <w:lang w:val="en-US" w:eastAsia="zh-CN"/>
              </w:rPr>
              <w:t>h</w:t>
            </w:r>
            <w:r>
              <w:rPr>
                <w:rFonts w:hint="eastAsia" w:ascii="Times New Roman" w:hAnsi="Times New Roman" w:eastAsia="宋体" w:cs="Times New Roman"/>
                <w:color w:val="auto"/>
                <w:sz w:val="24"/>
                <w:szCs w:val="24"/>
                <w:highlight w:val="none"/>
                <w:vertAlign w:val="baseline"/>
                <w:lang w:val="en-US" w:eastAsia="zh-CN"/>
              </w:rPr>
              <w:t>m²（含乔木林地0.3490</w:t>
            </w:r>
            <w:r>
              <w:rPr>
                <w:rFonts w:hint="eastAsia" w:ascii="Times New Roman" w:hAnsi="Times New Roman" w:eastAsia="宋体" w:cs="Times New Roman"/>
                <w:color w:val="auto"/>
                <w:sz w:val="24"/>
                <w:szCs w:val="24"/>
                <w:highlight w:val="none"/>
                <w:lang w:val="en-US" w:eastAsia="zh-CN"/>
              </w:rPr>
              <w:t>h</w:t>
            </w:r>
            <w:r>
              <w:rPr>
                <w:rFonts w:hint="eastAsia" w:ascii="Times New Roman" w:hAnsi="Times New Roman" w:eastAsia="宋体" w:cs="Times New Roman"/>
                <w:color w:val="auto"/>
                <w:sz w:val="24"/>
                <w:szCs w:val="24"/>
                <w:highlight w:val="none"/>
                <w:vertAlign w:val="baseline"/>
                <w:lang w:val="en-US" w:eastAsia="zh-CN"/>
              </w:rPr>
              <w:t>m²，灌木林地</w:t>
            </w:r>
            <w:r>
              <w:rPr>
                <w:rFonts w:hint="eastAsia" w:cs="Times New Roman"/>
                <w:color w:val="auto"/>
                <w:sz w:val="24"/>
                <w:szCs w:val="24"/>
                <w:highlight w:val="none"/>
                <w:vertAlign w:val="baseline"/>
                <w:lang w:val="en-US" w:eastAsia="zh-CN"/>
              </w:rPr>
              <w:t>0.6155</w:t>
            </w:r>
            <w:r>
              <w:rPr>
                <w:rFonts w:hint="eastAsia" w:ascii="Times New Roman" w:hAnsi="Times New Roman" w:eastAsia="宋体" w:cs="Times New Roman"/>
                <w:color w:val="auto"/>
                <w:sz w:val="24"/>
                <w:szCs w:val="24"/>
                <w:highlight w:val="none"/>
                <w:vertAlign w:val="baseline"/>
                <w:lang w:val="en-US" w:eastAsia="zh-CN"/>
              </w:rPr>
              <w:t>hm²）、草地0.2588hm²、其他土地0.0093</w:t>
            </w:r>
            <w:r>
              <w:rPr>
                <w:rFonts w:hint="eastAsia" w:ascii="Times New Roman" w:hAnsi="Times New Roman" w:eastAsia="宋体" w:cs="Times New Roman"/>
                <w:color w:val="auto"/>
                <w:sz w:val="24"/>
                <w:szCs w:val="24"/>
                <w:highlight w:val="none"/>
                <w:lang w:val="en-US" w:eastAsia="zh-CN"/>
              </w:rPr>
              <w:t>hm</w:t>
            </w:r>
            <w:r>
              <w:rPr>
                <w:rFonts w:hint="eastAsia" w:ascii="Times New Roman" w:hAnsi="Times New Roman" w:cs="Times New Roman"/>
                <w:color w:val="auto"/>
                <w:highlight w:val="none"/>
                <w:lang w:val="en-US" w:eastAsia="zh-CN"/>
              </w:rPr>
              <w:t>²。工程占地情况如下表所示。</w:t>
            </w:r>
          </w:p>
          <w:p w14:paraId="2FE222C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bCs/>
                <w:color w:val="auto"/>
                <w:spacing w:val="-3"/>
                <w:sz w:val="21"/>
                <w:szCs w:val="21"/>
                <w:highlight w:val="none"/>
              </w:rPr>
            </w:pPr>
            <w:r>
              <w:rPr>
                <w:rFonts w:ascii="Times New Roman" w:hAnsi="Times New Roman" w:cs="Times New Roman"/>
                <w:b/>
                <w:bCs/>
                <w:color w:val="auto"/>
                <w:spacing w:val="-3"/>
                <w:sz w:val="21"/>
                <w:szCs w:val="21"/>
                <w:highlight w:val="none"/>
              </w:rPr>
              <w:t>表</w:t>
            </w:r>
            <w:r>
              <w:rPr>
                <w:rFonts w:hint="eastAsia" w:cs="Times New Roman"/>
                <w:b/>
                <w:bCs/>
                <w:color w:val="auto"/>
                <w:spacing w:val="-3"/>
                <w:sz w:val="21"/>
                <w:szCs w:val="21"/>
                <w:highlight w:val="none"/>
                <w:lang w:val="en-US" w:eastAsia="zh-CN"/>
              </w:rPr>
              <w:t>4.2.5-1</w:t>
            </w:r>
            <w:r>
              <w:rPr>
                <w:rFonts w:ascii="Times New Roman" w:hAnsi="Times New Roman" w:cs="Times New Roman"/>
                <w:b/>
                <w:bCs/>
                <w:color w:val="auto"/>
                <w:spacing w:val="-3"/>
                <w:sz w:val="21"/>
                <w:szCs w:val="21"/>
                <w:highlight w:val="none"/>
              </w:rPr>
              <w:t>工程占地情况一览表</w:t>
            </w:r>
          </w:p>
          <w:tbl>
            <w:tblPr>
              <w:tblStyle w:val="46"/>
              <w:tblW w:w="497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354"/>
              <w:gridCol w:w="1068"/>
              <w:gridCol w:w="1002"/>
              <w:gridCol w:w="970"/>
              <w:gridCol w:w="658"/>
              <w:gridCol w:w="917"/>
              <w:gridCol w:w="1310"/>
              <w:gridCol w:w="10"/>
            </w:tblGrid>
            <w:tr w14:paraId="2C5746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1420" w:type="pct"/>
                  <w:vMerge w:val="restart"/>
                  <w:vAlign w:val="center"/>
                </w:tcPr>
                <w:p w14:paraId="6ACB53F6">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项目名称</w:t>
                  </w:r>
                </w:p>
              </w:tc>
              <w:tc>
                <w:tcPr>
                  <w:tcW w:w="2783" w:type="pct"/>
                  <w:gridSpan w:val="5"/>
                  <w:tcBorders>
                    <w:bottom w:val="single" w:color="000000" w:sz="6" w:space="0"/>
                    <w:right w:val="single" w:color="auto" w:sz="4" w:space="0"/>
                  </w:tcBorders>
                  <w:vAlign w:val="center"/>
                </w:tcPr>
                <w:p w14:paraId="109A84C4">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占地类型（hm</w:t>
                  </w:r>
                  <w:r>
                    <w:rPr>
                      <w:rFonts w:ascii="Times New Roman" w:hAnsi="Times New Roman" w:cs="Times New Roman"/>
                      <w:color w:val="auto"/>
                      <w:highlight w:val="none"/>
                      <w:vertAlign w:val="superscript"/>
                    </w:rPr>
                    <w:t>2</w:t>
                  </w:r>
                  <w:r>
                    <w:rPr>
                      <w:rFonts w:ascii="Times New Roman" w:hAnsi="Times New Roman" w:cs="Times New Roman"/>
                      <w:color w:val="auto"/>
                      <w:highlight w:val="none"/>
                    </w:rPr>
                    <w:t>）</w:t>
                  </w:r>
                </w:p>
              </w:tc>
              <w:tc>
                <w:tcPr>
                  <w:tcW w:w="796" w:type="pct"/>
                  <w:gridSpan w:val="2"/>
                  <w:tcBorders>
                    <w:bottom w:val="single" w:color="000000" w:sz="6" w:space="0"/>
                  </w:tcBorders>
                  <w:vAlign w:val="center"/>
                </w:tcPr>
                <w:p w14:paraId="2D0F5415">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占地性质</w:t>
                  </w:r>
                </w:p>
              </w:tc>
            </w:tr>
            <w:tr w14:paraId="2E059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98" w:hRule="atLeast"/>
              </w:trPr>
              <w:tc>
                <w:tcPr>
                  <w:tcW w:w="1420" w:type="pct"/>
                  <w:vMerge w:val="continue"/>
                  <w:vAlign w:val="center"/>
                </w:tcPr>
                <w:p w14:paraId="04B692A4">
                  <w:pPr>
                    <w:pStyle w:val="28"/>
                    <w:bidi w:val="0"/>
                    <w:jc w:val="center"/>
                    <w:rPr>
                      <w:rFonts w:ascii="Times New Roman" w:hAnsi="Times New Roman" w:cs="Times New Roman"/>
                      <w:color w:val="auto"/>
                      <w:highlight w:val="none"/>
                    </w:rPr>
                  </w:pPr>
                </w:p>
              </w:tc>
              <w:tc>
                <w:tcPr>
                  <w:tcW w:w="644" w:type="pct"/>
                  <w:vMerge w:val="restart"/>
                  <w:tcBorders>
                    <w:top w:val="single" w:color="000000" w:sz="6" w:space="0"/>
                  </w:tcBorders>
                  <w:vAlign w:val="center"/>
                </w:tcPr>
                <w:p w14:paraId="3D9CCF29">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草地</w:t>
                  </w:r>
                </w:p>
              </w:tc>
              <w:tc>
                <w:tcPr>
                  <w:tcW w:w="1189" w:type="pct"/>
                  <w:gridSpan w:val="2"/>
                  <w:tcBorders>
                    <w:top w:val="single" w:color="000000" w:sz="6" w:space="0"/>
                    <w:bottom w:val="single" w:color="auto" w:sz="4" w:space="0"/>
                  </w:tcBorders>
                  <w:vAlign w:val="center"/>
                </w:tcPr>
                <w:p w14:paraId="112C56F4">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林地</w:t>
                  </w:r>
                </w:p>
              </w:tc>
              <w:tc>
                <w:tcPr>
                  <w:tcW w:w="397" w:type="pct"/>
                  <w:vMerge w:val="restart"/>
                  <w:tcBorders>
                    <w:top w:val="single" w:color="000000" w:sz="6" w:space="0"/>
                  </w:tcBorders>
                  <w:vAlign w:val="center"/>
                </w:tcPr>
                <w:p w14:paraId="6F440708">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耕地</w:t>
                  </w:r>
                </w:p>
              </w:tc>
              <w:tc>
                <w:tcPr>
                  <w:tcW w:w="552" w:type="pct"/>
                  <w:vMerge w:val="restart"/>
                  <w:tcBorders>
                    <w:top w:val="single" w:color="000000" w:sz="6" w:space="0"/>
                    <w:right w:val="single" w:color="auto" w:sz="4" w:space="0"/>
                  </w:tcBorders>
                  <w:vAlign w:val="center"/>
                </w:tcPr>
                <w:p w14:paraId="1ECFA040">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其他土</w:t>
                  </w:r>
                </w:p>
                <w:p w14:paraId="35CB5C75">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地</w:t>
                  </w:r>
                </w:p>
              </w:tc>
              <w:tc>
                <w:tcPr>
                  <w:tcW w:w="790" w:type="pct"/>
                  <w:vMerge w:val="restart"/>
                  <w:tcBorders>
                    <w:top w:val="single" w:color="000000" w:sz="6" w:space="0"/>
                  </w:tcBorders>
                  <w:vAlign w:val="center"/>
                </w:tcPr>
                <w:p w14:paraId="7B0D1FC1">
                  <w:pPr>
                    <w:pStyle w:val="28"/>
                    <w:bidi w:val="0"/>
                    <w:jc w:val="center"/>
                    <w:rPr>
                      <w:rFonts w:ascii="Times New Roman" w:hAnsi="Times New Roman" w:cs="Times New Roman"/>
                      <w:color w:val="auto"/>
                      <w:highlight w:val="none"/>
                    </w:rPr>
                  </w:pPr>
                </w:p>
              </w:tc>
            </w:tr>
            <w:tr w14:paraId="71549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64" w:hRule="atLeast"/>
              </w:trPr>
              <w:tc>
                <w:tcPr>
                  <w:tcW w:w="1420" w:type="pct"/>
                  <w:vMerge w:val="continue"/>
                  <w:vAlign w:val="center"/>
                </w:tcPr>
                <w:p w14:paraId="76964E85">
                  <w:pPr>
                    <w:pStyle w:val="28"/>
                    <w:bidi w:val="0"/>
                    <w:jc w:val="center"/>
                    <w:rPr>
                      <w:rFonts w:ascii="Times New Roman" w:hAnsi="Times New Roman" w:cs="Times New Roman"/>
                      <w:color w:val="auto"/>
                      <w:highlight w:val="none"/>
                    </w:rPr>
                  </w:pPr>
                </w:p>
              </w:tc>
              <w:tc>
                <w:tcPr>
                  <w:tcW w:w="644" w:type="pct"/>
                  <w:vMerge w:val="continue"/>
                  <w:vAlign w:val="center"/>
                </w:tcPr>
                <w:p w14:paraId="06D606C8">
                  <w:pPr>
                    <w:pStyle w:val="28"/>
                    <w:bidi w:val="0"/>
                    <w:jc w:val="center"/>
                    <w:rPr>
                      <w:rFonts w:ascii="Times New Roman" w:hAnsi="Times New Roman" w:cs="Times New Roman"/>
                      <w:color w:val="auto"/>
                      <w:highlight w:val="none"/>
                    </w:rPr>
                  </w:pPr>
                </w:p>
              </w:tc>
              <w:tc>
                <w:tcPr>
                  <w:tcW w:w="604" w:type="pct"/>
                  <w:tcBorders>
                    <w:top w:val="single" w:color="auto" w:sz="4" w:space="0"/>
                    <w:right w:val="single" w:color="auto" w:sz="4" w:space="0"/>
                  </w:tcBorders>
                  <w:vAlign w:val="center"/>
                </w:tcPr>
                <w:p w14:paraId="6468C9A9">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乔木林地</w:t>
                  </w:r>
                </w:p>
              </w:tc>
              <w:tc>
                <w:tcPr>
                  <w:tcW w:w="585" w:type="pct"/>
                  <w:tcBorders>
                    <w:top w:val="single" w:color="auto" w:sz="4" w:space="0"/>
                    <w:left w:val="single" w:color="auto" w:sz="4" w:space="0"/>
                  </w:tcBorders>
                  <w:vAlign w:val="center"/>
                </w:tcPr>
                <w:p w14:paraId="64F12401">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灌木林地</w:t>
                  </w:r>
                </w:p>
              </w:tc>
              <w:tc>
                <w:tcPr>
                  <w:tcW w:w="397" w:type="pct"/>
                  <w:vMerge w:val="continue"/>
                  <w:vAlign w:val="center"/>
                </w:tcPr>
                <w:p w14:paraId="21655135">
                  <w:pPr>
                    <w:pStyle w:val="28"/>
                    <w:bidi w:val="0"/>
                    <w:jc w:val="center"/>
                    <w:rPr>
                      <w:rFonts w:hint="eastAsia" w:ascii="Times New Roman" w:hAnsi="Times New Roman" w:cs="Times New Roman"/>
                      <w:color w:val="auto"/>
                      <w:highlight w:val="none"/>
                      <w:lang w:eastAsia="zh-CN"/>
                    </w:rPr>
                  </w:pPr>
                </w:p>
              </w:tc>
              <w:tc>
                <w:tcPr>
                  <w:tcW w:w="552" w:type="pct"/>
                  <w:vMerge w:val="continue"/>
                  <w:tcBorders>
                    <w:right w:val="single" w:color="auto" w:sz="4" w:space="0"/>
                  </w:tcBorders>
                  <w:vAlign w:val="center"/>
                </w:tcPr>
                <w:p w14:paraId="7B9116CB">
                  <w:pPr>
                    <w:pStyle w:val="28"/>
                    <w:bidi w:val="0"/>
                    <w:jc w:val="center"/>
                    <w:rPr>
                      <w:rFonts w:ascii="Times New Roman" w:hAnsi="Times New Roman" w:cs="Times New Roman"/>
                      <w:color w:val="auto"/>
                      <w:highlight w:val="none"/>
                    </w:rPr>
                  </w:pPr>
                </w:p>
              </w:tc>
              <w:tc>
                <w:tcPr>
                  <w:tcW w:w="790" w:type="pct"/>
                  <w:vMerge w:val="continue"/>
                  <w:vAlign w:val="center"/>
                </w:tcPr>
                <w:p w14:paraId="1584B87C">
                  <w:pPr>
                    <w:pStyle w:val="28"/>
                    <w:bidi w:val="0"/>
                    <w:jc w:val="center"/>
                    <w:rPr>
                      <w:rFonts w:ascii="Times New Roman" w:hAnsi="Times New Roman" w:cs="Times New Roman"/>
                      <w:color w:val="auto"/>
                      <w:highlight w:val="none"/>
                    </w:rPr>
                  </w:pPr>
                </w:p>
              </w:tc>
            </w:tr>
            <w:tr w14:paraId="14A4F1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435" w:hRule="atLeast"/>
              </w:trPr>
              <w:tc>
                <w:tcPr>
                  <w:tcW w:w="1420" w:type="pct"/>
                  <w:tcBorders>
                    <w:bottom w:val="single" w:color="auto" w:sz="4" w:space="0"/>
                  </w:tcBorders>
                  <w:vAlign w:val="center"/>
                </w:tcPr>
                <w:p w14:paraId="3613CB03">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风机机组区</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风机基础</w:t>
                  </w:r>
                  <w:r>
                    <w:rPr>
                      <w:rFonts w:hint="eastAsia" w:ascii="Times New Roman" w:hAnsi="Times New Roman" w:cs="Times New Roman"/>
                      <w:color w:val="auto"/>
                      <w:highlight w:val="none"/>
                      <w:lang w:eastAsia="zh-CN"/>
                    </w:rPr>
                    <w:t>、</w:t>
                  </w:r>
                  <w:r>
                    <w:rPr>
                      <w:rFonts w:ascii="Times New Roman" w:hAnsi="Times New Roman" w:cs="Times New Roman"/>
                      <w:color w:val="auto"/>
                      <w:highlight w:val="none"/>
                    </w:rPr>
                    <w:t>箱变基础</w:t>
                  </w:r>
                  <w:r>
                    <w:rPr>
                      <w:rFonts w:hint="eastAsia" w:ascii="Times New Roman" w:hAnsi="Times New Roman" w:cs="Times New Roman"/>
                      <w:color w:val="auto"/>
                      <w:highlight w:val="none"/>
                      <w:lang w:eastAsia="zh-CN"/>
                    </w:rPr>
                    <w:t>、开关站）</w:t>
                  </w:r>
                </w:p>
              </w:tc>
              <w:tc>
                <w:tcPr>
                  <w:tcW w:w="644" w:type="pct"/>
                  <w:tcBorders>
                    <w:bottom w:val="single" w:color="auto" w:sz="4" w:space="0"/>
                  </w:tcBorders>
                  <w:vAlign w:val="center"/>
                </w:tcPr>
                <w:p w14:paraId="149110DF">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0.156</w:t>
                  </w:r>
                </w:p>
              </w:tc>
              <w:tc>
                <w:tcPr>
                  <w:tcW w:w="604" w:type="pct"/>
                  <w:tcBorders>
                    <w:right w:val="single" w:color="auto" w:sz="4" w:space="0"/>
                  </w:tcBorders>
                  <w:vAlign w:val="center"/>
                </w:tcPr>
                <w:p w14:paraId="39664ABB">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585" w:type="pct"/>
                  <w:tcBorders>
                    <w:left w:val="single" w:color="auto" w:sz="4" w:space="0"/>
                  </w:tcBorders>
                  <w:vAlign w:val="center"/>
                </w:tcPr>
                <w:p w14:paraId="0B87EE80">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0.0374</w:t>
                  </w:r>
                </w:p>
              </w:tc>
              <w:tc>
                <w:tcPr>
                  <w:tcW w:w="397" w:type="pct"/>
                  <w:vAlign w:val="center"/>
                </w:tcPr>
                <w:p w14:paraId="410FD77C">
                  <w:pPr>
                    <w:pStyle w:val="28"/>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0A8C89DA">
                  <w:pPr>
                    <w:pStyle w:val="28"/>
                    <w:bidi w:val="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790" w:type="pct"/>
                  <w:vAlign w:val="center"/>
                </w:tcPr>
                <w:p w14:paraId="702AFDB3">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永久占地</w:t>
                  </w:r>
                </w:p>
              </w:tc>
            </w:tr>
            <w:tr w14:paraId="47000D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298" w:hRule="atLeast"/>
              </w:trPr>
              <w:tc>
                <w:tcPr>
                  <w:tcW w:w="1420" w:type="pct"/>
                  <w:tcBorders>
                    <w:bottom w:val="single" w:color="auto" w:sz="4" w:space="0"/>
                  </w:tcBorders>
                  <w:vAlign w:val="center"/>
                </w:tcPr>
                <w:p w14:paraId="4115CE1D">
                  <w:pPr>
                    <w:pStyle w:val="28"/>
                    <w:bidi w:val="0"/>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进站道路</w:t>
                  </w:r>
                </w:p>
              </w:tc>
              <w:tc>
                <w:tcPr>
                  <w:tcW w:w="644" w:type="pct"/>
                  <w:tcBorders>
                    <w:bottom w:val="single" w:color="auto" w:sz="4" w:space="0"/>
                  </w:tcBorders>
                  <w:vAlign w:val="center"/>
                </w:tcPr>
                <w:p w14:paraId="058B69B1">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1E520530">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7C26EAC1">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0.005</w:t>
                  </w:r>
                </w:p>
              </w:tc>
              <w:tc>
                <w:tcPr>
                  <w:tcW w:w="397" w:type="pct"/>
                  <w:vAlign w:val="center"/>
                </w:tcPr>
                <w:p w14:paraId="034492FC">
                  <w:pPr>
                    <w:pStyle w:val="28"/>
                    <w:bidi w:val="0"/>
                    <w:jc w:val="center"/>
                    <w:rPr>
                      <w:rFonts w:hint="eastAsia" w:ascii="Times New Roman" w:hAnsi="Times New Roman" w:cs="Times New Roman"/>
                      <w:color w:val="auto"/>
                      <w:highlight w:val="none"/>
                      <w:lang w:val="en-US" w:eastAsia="zh-CN"/>
                    </w:rPr>
                  </w:pPr>
                </w:p>
              </w:tc>
              <w:tc>
                <w:tcPr>
                  <w:tcW w:w="552" w:type="pct"/>
                  <w:vAlign w:val="center"/>
                </w:tcPr>
                <w:p w14:paraId="5B928122">
                  <w:pPr>
                    <w:pStyle w:val="28"/>
                    <w:bidi w:val="0"/>
                    <w:jc w:val="center"/>
                    <w:rPr>
                      <w:rFonts w:hint="eastAsia" w:ascii="Times New Roman" w:hAnsi="Times New Roman" w:cs="Times New Roman"/>
                      <w:color w:val="auto"/>
                      <w:highlight w:val="none"/>
                      <w:lang w:val="en-US" w:eastAsia="zh-CN"/>
                    </w:rPr>
                  </w:pPr>
                </w:p>
              </w:tc>
              <w:tc>
                <w:tcPr>
                  <w:tcW w:w="790" w:type="pct"/>
                  <w:vAlign w:val="center"/>
                </w:tcPr>
                <w:p w14:paraId="6EFA1CE0">
                  <w:pPr>
                    <w:pStyle w:val="28"/>
                    <w:bidi w:val="0"/>
                    <w:jc w:val="center"/>
                    <w:rPr>
                      <w:rFonts w:ascii="Times New Roman" w:hAnsi="Times New Roman" w:cs="Times New Roman"/>
                      <w:color w:val="auto"/>
                      <w:highlight w:val="none"/>
                    </w:rPr>
                  </w:pPr>
                </w:p>
              </w:tc>
            </w:tr>
            <w:tr w14:paraId="06439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18" w:hRule="atLeast"/>
              </w:trPr>
              <w:tc>
                <w:tcPr>
                  <w:tcW w:w="1420" w:type="pct"/>
                  <w:tcBorders>
                    <w:top w:val="single" w:color="auto" w:sz="4" w:space="0"/>
                  </w:tcBorders>
                  <w:vAlign w:val="center"/>
                </w:tcPr>
                <w:p w14:paraId="29C37FFD">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小计</w:t>
                  </w:r>
                </w:p>
              </w:tc>
              <w:tc>
                <w:tcPr>
                  <w:tcW w:w="644" w:type="pct"/>
                  <w:vAlign w:val="center"/>
                </w:tcPr>
                <w:p w14:paraId="0049B96F">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0.156</w:t>
                  </w:r>
                </w:p>
              </w:tc>
              <w:tc>
                <w:tcPr>
                  <w:tcW w:w="604" w:type="pct"/>
                  <w:tcBorders>
                    <w:right w:val="single" w:color="auto" w:sz="4" w:space="0"/>
                  </w:tcBorders>
                  <w:vAlign w:val="center"/>
                </w:tcPr>
                <w:p w14:paraId="3568AC9D">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585" w:type="pct"/>
                  <w:tcBorders>
                    <w:left w:val="single" w:color="auto" w:sz="4" w:space="0"/>
                  </w:tcBorders>
                  <w:vAlign w:val="center"/>
                </w:tcPr>
                <w:p w14:paraId="3E0029DE">
                  <w:pPr>
                    <w:pStyle w:val="28"/>
                    <w:bidi w:val="0"/>
                    <w:ind w:firstLine="0" w:firstLineChars="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0.0424</w:t>
                  </w:r>
                </w:p>
              </w:tc>
              <w:tc>
                <w:tcPr>
                  <w:tcW w:w="397" w:type="pct"/>
                  <w:vAlign w:val="center"/>
                </w:tcPr>
                <w:p w14:paraId="53F9EF44">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2A72EFB0">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790" w:type="pct"/>
                  <w:vAlign w:val="center"/>
                </w:tcPr>
                <w:p w14:paraId="53CECE2B">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eastAsia="zh-CN"/>
                    </w:rPr>
                    <w:t>永久占地合计</w:t>
                  </w:r>
                  <w:r>
                    <w:rPr>
                      <w:rFonts w:hint="eastAsia" w:ascii="Times New Roman" w:hAnsi="Times New Roman" w:cs="Times New Roman"/>
                      <w:color w:val="auto"/>
                      <w:highlight w:val="none"/>
                      <w:lang w:val="en-US" w:eastAsia="zh-CN"/>
                    </w:rPr>
                    <w:t>0.2408</w:t>
                  </w: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r>
            <w:tr w14:paraId="750EA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02" w:hRule="atLeast"/>
              </w:trPr>
              <w:tc>
                <w:tcPr>
                  <w:tcW w:w="1420" w:type="pct"/>
                  <w:tcBorders>
                    <w:bottom w:val="single" w:color="auto" w:sz="4" w:space="0"/>
                  </w:tcBorders>
                  <w:shd w:val="clear" w:color="auto" w:fill="auto"/>
                  <w:vAlign w:val="center"/>
                </w:tcPr>
                <w:p w14:paraId="54B2AD47">
                  <w:pPr>
                    <w:bidi w:val="0"/>
                    <w:ind w:left="0" w:leftChars="0"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w:t>
                  </w:r>
                  <w:r>
                    <w:rPr>
                      <w:rFonts w:hint="eastAsia"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（吊装平台</w:t>
                  </w:r>
                  <w:r>
                    <w:rPr>
                      <w:rFonts w:hint="eastAsia"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w:t>
                  </w:r>
                </w:p>
              </w:tc>
              <w:tc>
                <w:tcPr>
                  <w:tcW w:w="644" w:type="pct"/>
                  <w:shd w:val="clear" w:color="auto" w:fill="auto"/>
                  <w:vAlign w:val="center"/>
                </w:tcPr>
                <w:p w14:paraId="2B669166">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shd w:val="clear" w:color="auto" w:fill="auto"/>
                  <w:vAlign w:val="center"/>
                </w:tcPr>
                <w:p w14:paraId="6E295696">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0.3353</w:t>
                  </w:r>
                </w:p>
              </w:tc>
              <w:tc>
                <w:tcPr>
                  <w:tcW w:w="585" w:type="pct"/>
                  <w:tcBorders>
                    <w:left w:val="single" w:color="auto" w:sz="4" w:space="0"/>
                  </w:tcBorders>
                  <w:shd w:val="clear" w:color="auto" w:fill="auto"/>
                  <w:vAlign w:val="center"/>
                </w:tcPr>
                <w:p w14:paraId="56498D53">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p>
              </w:tc>
              <w:tc>
                <w:tcPr>
                  <w:tcW w:w="397" w:type="pct"/>
                  <w:shd w:val="clear" w:color="auto" w:fill="auto"/>
                  <w:vAlign w:val="center"/>
                </w:tcPr>
                <w:p w14:paraId="5D84A052">
                  <w:pPr>
                    <w:pStyle w:val="28"/>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0.0609</w:t>
                  </w:r>
                </w:p>
              </w:tc>
              <w:tc>
                <w:tcPr>
                  <w:tcW w:w="552" w:type="pct"/>
                  <w:shd w:val="clear" w:color="auto" w:fill="auto"/>
                  <w:vAlign w:val="center"/>
                </w:tcPr>
                <w:p w14:paraId="5A0F663D">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highlight w:val="none"/>
                      <w:lang w:val="en-US" w:eastAsia="zh-CN"/>
                    </w:rPr>
                    <w:t>0.0093</w:t>
                  </w:r>
                </w:p>
              </w:tc>
              <w:tc>
                <w:tcPr>
                  <w:tcW w:w="790" w:type="pct"/>
                  <w:shd w:val="clear" w:color="auto" w:fill="auto"/>
                  <w:vAlign w:val="center"/>
                </w:tcPr>
                <w:p w14:paraId="70983EFF">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0A1E4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98" w:hRule="atLeast"/>
              </w:trPr>
              <w:tc>
                <w:tcPr>
                  <w:tcW w:w="1420" w:type="pct"/>
                  <w:tcBorders>
                    <w:top w:val="single" w:color="auto" w:sz="4" w:space="0"/>
                    <w:bottom w:val="single" w:color="auto" w:sz="4" w:space="0"/>
                  </w:tcBorders>
                  <w:vAlign w:val="center"/>
                </w:tcPr>
                <w:p w14:paraId="741A078C">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地块2（吊装平台</w:t>
                  </w:r>
                  <w:r>
                    <w:rPr>
                      <w:rFonts w:hint="eastAsia" w:cs="Times New Roman"/>
                      <w:color w:val="auto"/>
                      <w:kern w:val="0"/>
                      <w:sz w:val="21"/>
                      <w:szCs w:val="21"/>
                      <w:highlight w:val="none"/>
                      <w:lang w:val="en-US" w:eastAsia="zh-CN" w:bidi="ar-SA"/>
                    </w:rPr>
                    <w:t>2</w:t>
                  </w:r>
                  <w:r>
                    <w:rPr>
                      <w:rFonts w:hint="eastAsia" w:ascii="Times New Roman" w:hAnsi="Times New Roman" w:eastAsia="宋体" w:cs="Times New Roman"/>
                      <w:color w:val="auto"/>
                      <w:kern w:val="0"/>
                      <w:sz w:val="21"/>
                      <w:szCs w:val="21"/>
                      <w:highlight w:val="none"/>
                      <w:lang w:val="en-US" w:eastAsia="zh-CN" w:bidi="ar-SA"/>
                    </w:rPr>
                    <w:t>）</w:t>
                  </w:r>
                </w:p>
              </w:tc>
              <w:tc>
                <w:tcPr>
                  <w:tcW w:w="644" w:type="pct"/>
                  <w:vAlign w:val="center"/>
                </w:tcPr>
                <w:p w14:paraId="709A243D">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0.2588</w:t>
                  </w:r>
                </w:p>
              </w:tc>
              <w:tc>
                <w:tcPr>
                  <w:tcW w:w="604" w:type="pct"/>
                  <w:tcBorders>
                    <w:right w:val="single" w:color="auto" w:sz="4" w:space="0"/>
                  </w:tcBorders>
                  <w:vAlign w:val="center"/>
                </w:tcPr>
                <w:p w14:paraId="104055D5">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0.0137</w:t>
                  </w:r>
                </w:p>
              </w:tc>
              <w:tc>
                <w:tcPr>
                  <w:tcW w:w="585" w:type="pct"/>
                  <w:tcBorders>
                    <w:left w:val="single" w:color="auto" w:sz="4" w:space="0"/>
                  </w:tcBorders>
                  <w:vAlign w:val="center"/>
                </w:tcPr>
                <w:p w14:paraId="4ED81A97">
                  <w:pPr>
                    <w:pStyle w:val="28"/>
                    <w:bidi w:val="0"/>
                    <w:jc w:val="center"/>
                    <w:rPr>
                      <w:rFonts w:hint="eastAsia" w:ascii="Times New Roman" w:hAnsi="Times New Roman" w:cs="Times New Roman"/>
                      <w:color w:val="auto"/>
                      <w:highlight w:val="none"/>
                      <w:lang w:val="en-US" w:eastAsia="zh-CN"/>
                    </w:rPr>
                  </w:pPr>
                </w:p>
              </w:tc>
              <w:tc>
                <w:tcPr>
                  <w:tcW w:w="397" w:type="pct"/>
                  <w:vAlign w:val="center"/>
                </w:tcPr>
                <w:p w14:paraId="5B2C574A">
                  <w:pPr>
                    <w:pStyle w:val="28"/>
                    <w:bidi w:val="0"/>
                    <w:jc w:val="center"/>
                    <w:rPr>
                      <w:rFonts w:ascii="Times New Roman" w:hAnsi="Times New Roman" w:cs="Times New Roman"/>
                      <w:color w:val="auto"/>
                      <w:highlight w:val="none"/>
                    </w:rPr>
                  </w:pPr>
                </w:p>
              </w:tc>
              <w:tc>
                <w:tcPr>
                  <w:tcW w:w="552" w:type="pct"/>
                  <w:vAlign w:val="center"/>
                </w:tcPr>
                <w:p w14:paraId="2FBA6755">
                  <w:pPr>
                    <w:pStyle w:val="28"/>
                    <w:bidi w:val="0"/>
                    <w:jc w:val="center"/>
                    <w:rPr>
                      <w:rFonts w:ascii="Times New Roman" w:hAnsi="Times New Roman" w:cs="Times New Roman"/>
                      <w:color w:val="auto"/>
                      <w:highlight w:val="none"/>
                    </w:rPr>
                  </w:pPr>
                </w:p>
              </w:tc>
              <w:tc>
                <w:tcPr>
                  <w:tcW w:w="790" w:type="pct"/>
                  <w:vAlign w:val="center"/>
                </w:tcPr>
                <w:p w14:paraId="3803EA68">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4E0D1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16" w:hRule="atLeast"/>
              </w:trPr>
              <w:tc>
                <w:tcPr>
                  <w:tcW w:w="1420" w:type="pct"/>
                  <w:tcBorders>
                    <w:top w:val="single" w:color="auto" w:sz="4" w:space="0"/>
                    <w:bottom w:val="single" w:color="auto" w:sz="4" w:space="0"/>
                  </w:tcBorders>
                  <w:vAlign w:val="center"/>
                </w:tcPr>
                <w:p w14:paraId="4B5B80B6">
                  <w:pPr>
                    <w:pStyle w:val="28"/>
                    <w:bidi w:val="0"/>
                    <w:ind w:firstLine="0" w:firstLineChars="0"/>
                    <w:jc w:val="center"/>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地块</w:t>
                  </w:r>
                  <w:r>
                    <w:rPr>
                      <w:rFonts w:hint="eastAsia" w:ascii="Times New Roman" w:hAnsi="Times New Roman"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（吊装平台</w:t>
                  </w:r>
                  <w:r>
                    <w:rPr>
                      <w:rFonts w:hint="eastAsia" w:ascii="Times New Roman" w:hAnsi="Times New Roman"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w:t>
                  </w:r>
                </w:p>
              </w:tc>
              <w:tc>
                <w:tcPr>
                  <w:tcW w:w="644" w:type="pct"/>
                  <w:vAlign w:val="center"/>
                </w:tcPr>
                <w:p w14:paraId="35E593C5">
                  <w:pPr>
                    <w:pStyle w:val="28"/>
                    <w:bidi w:val="0"/>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23419CAA">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02C11C09">
                  <w:pPr>
                    <w:pStyle w:val="28"/>
                    <w:bidi w:val="0"/>
                    <w:ind w:firstLine="0" w:firstLineChars="0"/>
                    <w:jc w:val="center"/>
                    <w:rPr>
                      <w:rFonts w:hint="eastAsia"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0.2995</w:t>
                  </w:r>
                </w:p>
              </w:tc>
              <w:tc>
                <w:tcPr>
                  <w:tcW w:w="397" w:type="pct"/>
                  <w:vAlign w:val="center"/>
                </w:tcPr>
                <w:p w14:paraId="158E5EC2">
                  <w:pPr>
                    <w:pStyle w:val="28"/>
                    <w:bidi w:val="0"/>
                    <w:ind w:firstLine="0" w:firstLineChars="0"/>
                    <w:jc w:val="center"/>
                    <w:rPr>
                      <w:rFonts w:ascii="Times New Roman" w:hAnsi="Times New Roman" w:cs="Times New Roman"/>
                      <w:color w:val="auto"/>
                      <w:highlight w:val="none"/>
                    </w:rPr>
                  </w:pPr>
                </w:p>
              </w:tc>
              <w:tc>
                <w:tcPr>
                  <w:tcW w:w="552" w:type="pct"/>
                  <w:vAlign w:val="center"/>
                </w:tcPr>
                <w:p w14:paraId="588B2CFE">
                  <w:pPr>
                    <w:pStyle w:val="28"/>
                    <w:bidi w:val="0"/>
                    <w:ind w:firstLine="0" w:firstLineChars="0"/>
                    <w:jc w:val="center"/>
                    <w:rPr>
                      <w:rFonts w:hint="default" w:ascii="Times New Roman" w:hAnsi="Times New Roman" w:eastAsia="宋体" w:cs="Times New Roman"/>
                      <w:color w:val="auto"/>
                      <w:highlight w:val="none"/>
                      <w:lang w:val="en-US" w:eastAsia="zh-CN"/>
                    </w:rPr>
                  </w:pPr>
                </w:p>
              </w:tc>
              <w:tc>
                <w:tcPr>
                  <w:tcW w:w="790" w:type="pct"/>
                  <w:vAlign w:val="center"/>
                </w:tcPr>
                <w:p w14:paraId="03738603">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6CBB0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116" w:hRule="atLeast"/>
              </w:trPr>
              <w:tc>
                <w:tcPr>
                  <w:tcW w:w="1420" w:type="pct"/>
                  <w:tcBorders>
                    <w:top w:val="single" w:color="auto" w:sz="4" w:space="0"/>
                    <w:bottom w:val="single" w:color="auto" w:sz="4" w:space="0"/>
                  </w:tcBorders>
                  <w:vAlign w:val="center"/>
                </w:tcPr>
                <w:p w14:paraId="17E64633">
                  <w:pPr>
                    <w:pStyle w:val="28"/>
                    <w:bidi w:val="0"/>
                    <w:ind w:firstLine="0" w:firstLineChars="0"/>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 w:val="21"/>
                      <w:szCs w:val="21"/>
                      <w:highlight w:val="none"/>
                      <w:lang w:val="en-US" w:eastAsia="zh-CN" w:bidi="ar-SA"/>
                    </w:rPr>
                    <w:t>集电线路</w:t>
                  </w:r>
                </w:p>
              </w:tc>
              <w:tc>
                <w:tcPr>
                  <w:tcW w:w="644" w:type="pct"/>
                  <w:vAlign w:val="center"/>
                </w:tcPr>
                <w:p w14:paraId="5372673E">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604" w:type="pct"/>
                  <w:tcBorders>
                    <w:right w:val="single" w:color="auto" w:sz="4" w:space="0"/>
                  </w:tcBorders>
                  <w:vAlign w:val="center"/>
                </w:tcPr>
                <w:p w14:paraId="32D0896B">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85" w:type="pct"/>
                  <w:tcBorders>
                    <w:left w:val="single" w:color="auto" w:sz="4" w:space="0"/>
                  </w:tcBorders>
                  <w:vAlign w:val="center"/>
                </w:tcPr>
                <w:p w14:paraId="4378C206">
                  <w:pPr>
                    <w:pStyle w:val="28"/>
                    <w:bidi w:val="0"/>
                    <w:ind w:firstLine="0" w:firstLineChars="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397" w:type="pct"/>
                  <w:vAlign w:val="center"/>
                </w:tcPr>
                <w:p w14:paraId="0CF6DF69">
                  <w:pPr>
                    <w:pStyle w:val="28"/>
                    <w:bidi w:val="0"/>
                    <w:ind w:firstLine="0" w:firstLineChars="0"/>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w:t>
                  </w:r>
                </w:p>
              </w:tc>
              <w:tc>
                <w:tcPr>
                  <w:tcW w:w="552" w:type="pct"/>
                  <w:vAlign w:val="center"/>
                </w:tcPr>
                <w:p w14:paraId="354F8F6B">
                  <w:pPr>
                    <w:pStyle w:val="28"/>
                    <w:bidi w:val="0"/>
                    <w:ind w:firstLine="0" w:firstLineChars="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0.316（交通运输用地）</w:t>
                  </w:r>
                </w:p>
              </w:tc>
              <w:tc>
                <w:tcPr>
                  <w:tcW w:w="790" w:type="pct"/>
                  <w:vAlign w:val="center"/>
                </w:tcPr>
                <w:p w14:paraId="058252F5">
                  <w:pPr>
                    <w:bidi w:val="0"/>
                    <w:ind w:left="0" w:leftChars="0" w:firstLine="0" w:firstLineChars="0"/>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临时占地</w:t>
                  </w:r>
                </w:p>
              </w:tc>
            </w:tr>
            <w:tr w14:paraId="29F5A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5" w:type="pct"/>
                <w:trHeight w:val="309" w:hRule="atLeast"/>
              </w:trPr>
              <w:tc>
                <w:tcPr>
                  <w:tcW w:w="1420" w:type="pct"/>
                  <w:tcBorders>
                    <w:top w:val="single" w:color="auto" w:sz="4" w:space="0"/>
                    <w:bottom w:val="single" w:color="auto" w:sz="4" w:space="0"/>
                  </w:tcBorders>
                  <w:vAlign w:val="center"/>
                </w:tcPr>
                <w:p w14:paraId="44297BED">
                  <w:pPr>
                    <w:pStyle w:val="28"/>
                    <w:bidi w:val="0"/>
                    <w:jc w:val="center"/>
                    <w:rPr>
                      <w:rFonts w:ascii="Times New Roman" w:hAnsi="Times New Roman" w:cs="Times New Roman"/>
                      <w:color w:val="auto"/>
                      <w:highlight w:val="none"/>
                    </w:rPr>
                  </w:pPr>
                  <w:r>
                    <w:rPr>
                      <w:rFonts w:ascii="Times New Roman" w:hAnsi="Times New Roman" w:cs="Times New Roman"/>
                      <w:color w:val="auto"/>
                      <w:highlight w:val="none"/>
                    </w:rPr>
                    <w:t>小计</w:t>
                  </w:r>
                </w:p>
              </w:tc>
              <w:tc>
                <w:tcPr>
                  <w:tcW w:w="644" w:type="pct"/>
                  <w:vAlign w:val="center"/>
                </w:tcPr>
                <w:p w14:paraId="44CBCFF4">
                  <w:pPr>
                    <w:pStyle w:val="28"/>
                    <w:bidi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0.2588</w:t>
                  </w:r>
                </w:p>
              </w:tc>
              <w:tc>
                <w:tcPr>
                  <w:tcW w:w="1189" w:type="pct"/>
                  <w:gridSpan w:val="2"/>
                  <w:vAlign w:val="center"/>
                </w:tcPr>
                <w:p w14:paraId="47886AC1">
                  <w:pPr>
                    <w:pStyle w:val="28"/>
                    <w:bidi w:val="0"/>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0.6485</w:t>
                  </w:r>
                </w:p>
              </w:tc>
              <w:tc>
                <w:tcPr>
                  <w:tcW w:w="397" w:type="pct"/>
                  <w:vAlign w:val="center"/>
                </w:tcPr>
                <w:p w14:paraId="04EF07B9">
                  <w:pPr>
                    <w:pStyle w:val="28"/>
                    <w:bidi w:val="0"/>
                    <w:jc w:val="center"/>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0.0609</w:t>
                  </w:r>
                </w:p>
              </w:tc>
              <w:tc>
                <w:tcPr>
                  <w:tcW w:w="552" w:type="pct"/>
                  <w:vAlign w:val="center"/>
                </w:tcPr>
                <w:p w14:paraId="3776D1A5">
                  <w:pPr>
                    <w:pStyle w:val="28"/>
                    <w:bidi w:val="0"/>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0.3253</w:t>
                  </w:r>
                </w:p>
              </w:tc>
              <w:tc>
                <w:tcPr>
                  <w:tcW w:w="790" w:type="pct"/>
                  <w:vAlign w:val="center"/>
                </w:tcPr>
                <w:p w14:paraId="434C439F">
                  <w:pPr>
                    <w:pStyle w:val="28"/>
                    <w:bidi w:val="0"/>
                    <w:jc w:val="center"/>
                    <w:rPr>
                      <w:rFonts w:ascii="Times New Roman" w:hAnsi="Times New Roman" w:cs="Times New Roman"/>
                      <w:color w:val="auto"/>
                      <w:highlight w:val="none"/>
                    </w:rPr>
                  </w:pPr>
                  <w:r>
                    <w:rPr>
                      <w:rFonts w:ascii="Times New Roman" w:hAnsi="Times New Roman" w:eastAsia="宋体" w:cs="Times New Roman"/>
                      <w:color w:val="auto"/>
                      <w:kern w:val="0"/>
                      <w:sz w:val="21"/>
                      <w:szCs w:val="21"/>
                      <w:highlight w:val="none"/>
                      <w:lang w:val="en-US" w:eastAsia="zh-CN" w:bidi="ar-SA"/>
                    </w:rPr>
                    <w:t>临时占地</w:t>
                  </w:r>
                  <w:r>
                    <w:rPr>
                      <w:rFonts w:hint="eastAsia" w:ascii="Times New Roman" w:hAnsi="Times New Roman" w:cs="Times New Roman"/>
                      <w:color w:val="auto"/>
                      <w:highlight w:val="none"/>
                      <w:lang w:eastAsia="zh-CN"/>
                    </w:rPr>
                    <w:t>合计</w:t>
                  </w:r>
                  <w:r>
                    <w:rPr>
                      <w:rFonts w:hint="eastAsia" w:ascii="Times New Roman" w:hAnsi="Times New Roman" w:cs="Times New Roman"/>
                      <w:color w:val="auto"/>
                      <w:highlight w:val="none"/>
                      <w:lang w:val="en-US" w:eastAsia="zh-CN"/>
                    </w:rPr>
                    <w:t>1.2935</w:t>
                  </w:r>
                  <w:r>
                    <w:rPr>
                      <w:rFonts w:hint="eastAsia" w:ascii="Times New Roman" w:hAnsi="Times New Roman" w:eastAsia="仿宋_GB2312" w:cs="Times New Roman"/>
                      <w:color w:val="auto"/>
                      <w:sz w:val="21"/>
                      <w:szCs w:val="21"/>
                      <w:highlight w:val="none"/>
                      <w:lang w:val="en-US" w:eastAsia="zh-CN"/>
                    </w:rPr>
                    <w:t>hm</w:t>
                  </w:r>
                  <w:r>
                    <w:rPr>
                      <w:rFonts w:hint="eastAsia" w:ascii="Times New Roman" w:hAnsi="Times New Roman" w:eastAsia="仿宋_GB2312" w:cs="Times New Roman"/>
                      <w:color w:val="auto"/>
                      <w:sz w:val="21"/>
                      <w:szCs w:val="21"/>
                      <w:highlight w:val="none"/>
                      <w:vertAlign w:val="superscript"/>
                      <w:lang w:val="en-US" w:eastAsia="zh-CN"/>
                    </w:rPr>
                    <w:t>2</w:t>
                  </w:r>
                </w:p>
              </w:tc>
            </w:tr>
          </w:tbl>
          <w:p w14:paraId="4CB96EFC">
            <w:pPr>
              <w:pStyle w:val="58"/>
              <w:ind w:firstLine="472"/>
              <w:rPr>
                <w:rFonts w:ascii="Times New Roman" w:hAnsi="Times New Roman"/>
                <w:b/>
                <w:bCs/>
                <w:color w:val="auto"/>
              </w:rPr>
            </w:pPr>
            <w:r>
              <w:rPr>
                <w:rFonts w:hint="eastAsia" w:ascii="Times New Roman" w:hAnsi="Times New Roman"/>
                <w:b/>
                <w:bCs/>
                <w:color w:val="auto"/>
                <w:lang w:val="en-US" w:eastAsia="zh-CN"/>
              </w:rPr>
              <w:t>2、</w:t>
            </w:r>
            <w:r>
              <w:rPr>
                <w:rFonts w:ascii="Times New Roman" w:hAnsi="Times New Roman"/>
                <w:b/>
                <w:bCs/>
                <w:color w:val="auto"/>
              </w:rPr>
              <w:t>工程永久占地影响分析</w:t>
            </w:r>
          </w:p>
          <w:p w14:paraId="12E44FAC">
            <w:pPr>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本工程永久占地</w:t>
            </w:r>
            <w:r>
              <w:rPr>
                <w:rFonts w:hint="eastAsia" w:ascii="Times New Roman" w:hAnsi="Times New Roman" w:eastAsia="宋体" w:cs="Times New Roman"/>
                <w:color w:val="auto"/>
                <w:sz w:val="24"/>
                <w:szCs w:val="24"/>
                <w:highlight w:val="none"/>
                <w:lang w:val="en-US" w:eastAsia="zh-CN"/>
              </w:rPr>
              <w:t>0.2408hm²</w:t>
            </w:r>
            <w:r>
              <w:rPr>
                <w:rFonts w:hint="eastAsia" w:eastAsia="宋体" w:cs="Times New Roman"/>
                <w:color w:val="auto"/>
                <w:sz w:val="24"/>
                <w:szCs w:val="24"/>
                <w:highlight w:val="none"/>
                <w:lang w:val="en-US" w:eastAsia="zh-CN"/>
              </w:rPr>
              <w:t>，</w:t>
            </w:r>
            <w:r>
              <w:rPr>
                <w:rFonts w:ascii="Times New Roman" w:hAnsi="Times New Roman" w:eastAsia="宋体" w:cs="Times New Roman"/>
                <w:color w:val="auto"/>
                <w:sz w:val="24"/>
                <w:szCs w:val="24"/>
                <w:highlight w:val="none"/>
              </w:rPr>
              <w:t>具体占地类型详见下表。。</w:t>
            </w:r>
          </w:p>
          <w:p w14:paraId="3298A1D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bCs/>
                <w:color w:val="auto"/>
                <w:spacing w:val="-3"/>
                <w:sz w:val="21"/>
                <w:szCs w:val="21"/>
                <w:highlight w:val="none"/>
              </w:rPr>
            </w:pPr>
            <w:r>
              <w:rPr>
                <w:rFonts w:ascii="Times New Roman" w:hAnsi="Times New Roman" w:cs="Times New Roman"/>
                <w:b/>
                <w:bCs/>
                <w:color w:val="auto"/>
                <w:spacing w:val="-3"/>
                <w:sz w:val="21"/>
                <w:szCs w:val="21"/>
                <w:highlight w:val="none"/>
              </w:rPr>
              <w:t>表</w:t>
            </w:r>
            <w:r>
              <w:rPr>
                <w:rFonts w:hint="eastAsia" w:cs="Times New Roman"/>
                <w:b/>
                <w:bCs/>
                <w:color w:val="auto"/>
                <w:spacing w:val="-3"/>
                <w:sz w:val="21"/>
                <w:szCs w:val="21"/>
                <w:highlight w:val="none"/>
                <w:lang w:val="en-US" w:eastAsia="zh-CN"/>
              </w:rPr>
              <w:t>4.2.5-2</w:t>
            </w:r>
            <w:r>
              <w:rPr>
                <w:rFonts w:hint="eastAsia" w:cs="Times New Roman"/>
                <w:b/>
                <w:bCs/>
                <w:color w:val="auto"/>
                <w:spacing w:val="-3"/>
                <w:sz w:val="21"/>
                <w:szCs w:val="21"/>
                <w:highlight w:val="none"/>
                <w:lang w:eastAsia="zh-CN"/>
              </w:rPr>
              <w:t>永久</w:t>
            </w:r>
            <w:r>
              <w:rPr>
                <w:rFonts w:ascii="Times New Roman" w:hAnsi="Times New Roman" w:cs="Times New Roman"/>
                <w:b/>
                <w:bCs/>
                <w:color w:val="auto"/>
                <w:spacing w:val="-3"/>
                <w:sz w:val="21"/>
                <w:szCs w:val="21"/>
                <w:highlight w:val="none"/>
              </w:rPr>
              <w:t>占地情况一览表</w:t>
            </w:r>
          </w:p>
          <w:tbl>
            <w:tblPr>
              <w:tblStyle w:val="20"/>
              <w:tblW w:w="502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1" w:type="dxa"/>
                <w:bottom w:w="0" w:type="dxa"/>
                <w:right w:w="51" w:type="dxa"/>
              </w:tblCellMar>
            </w:tblPr>
            <w:tblGrid>
              <w:gridCol w:w="2468"/>
              <w:gridCol w:w="1703"/>
              <w:gridCol w:w="1608"/>
              <w:gridCol w:w="2583"/>
            </w:tblGrid>
            <w:tr w14:paraId="3FB74E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23" w:hRule="atLeast"/>
                <w:jc w:val="center"/>
              </w:trPr>
              <w:tc>
                <w:tcPr>
                  <w:tcW w:w="1475" w:type="pct"/>
                  <w:vMerge w:val="restart"/>
                  <w:tcBorders>
                    <w:tl2br w:val="nil"/>
                    <w:tr2bl w:val="nil"/>
                  </w:tcBorders>
                  <w:noWrap w:val="0"/>
                  <w:vAlign w:val="center"/>
                </w:tcPr>
                <w:p w14:paraId="57D173B5">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土地利用类型</w:t>
                  </w:r>
                </w:p>
              </w:tc>
              <w:tc>
                <w:tcPr>
                  <w:tcW w:w="1018" w:type="pct"/>
                  <w:vMerge w:val="restart"/>
                  <w:tcBorders>
                    <w:tl2br w:val="nil"/>
                    <w:tr2bl w:val="nil"/>
                  </w:tcBorders>
                  <w:noWrap w:val="0"/>
                  <w:vAlign w:val="center"/>
                </w:tcPr>
                <w:p w14:paraId="7A226E49">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评价区面积</w:t>
                  </w:r>
                </w:p>
              </w:tc>
              <w:tc>
                <w:tcPr>
                  <w:tcW w:w="961" w:type="pct"/>
                  <w:tcBorders>
                    <w:tl2br w:val="nil"/>
                    <w:tr2bl w:val="nil"/>
                  </w:tcBorders>
                  <w:noWrap w:val="0"/>
                  <w:vAlign w:val="center"/>
                </w:tcPr>
                <w:p w14:paraId="020FCB81">
                  <w:pPr>
                    <w:keepNext w:val="0"/>
                    <w:keepLines w:val="0"/>
                    <w:pageBreakBefore w:val="0"/>
                    <w:widowControl/>
                    <w:kinsoku/>
                    <w:wordWrap/>
                    <w:overflowPunct/>
                    <w:topLinePunct w:val="0"/>
                    <w:autoSpaceDE/>
                    <w:autoSpaceDN/>
                    <w:bidi w:val="0"/>
                    <w:adjustRightInd w:val="0"/>
                    <w:snapToGrid w:val="0"/>
                    <w:ind w:left="0" w:leftChars="0" w:firstLine="0" w:firstLineChars="0"/>
                    <w:jc w:val="both"/>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占用面积</w:t>
                  </w:r>
                  <w:r>
                    <w:rPr>
                      <w:rFonts w:hint="eastAsia" w:eastAsia="宋体" w:cs="Times New Roman"/>
                      <w:b w:val="0"/>
                      <w:bCs w:val="0"/>
                      <w:color w:val="auto"/>
                      <w:kern w:val="0"/>
                      <w:sz w:val="21"/>
                      <w:szCs w:val="21"/>
                      <w:highlight w:val="none"/>
                      <w:lang w:eastAsia="zh-CN" w:bidi="ar"/>
                    </w:rPr>
                    <w:t>（</w:t>
                  </w:r>
                  <w:r>
                    <w:rPr>
                      <w:rFonts w:ascii="Times New Roman" w:hAnsi="Times New Roman" w:eastAsia="宋体" w:cs="Times New Roman"/>
                      <w:color w:val="auto"/>
                      <w:sz w:val="24"/>
                      <w:szCs w:val="24"/>
                      <w:highlight w:val="none"/>
                    </w:rPr>
                    <w:t>hm²</w:t>
                  </w:r>
                  <w:r>
                    <w:rPr>
                      <w:rFonts w:hint="eastAsia" w:eastAsia="宋体" w:cs="Times New Roman"/>
                      <w:b w:val="0"/>
                      <w:bCs w:val="0"/>
                      <w:color w:val="auto"/>
                      <w:kern w:val="0"/>
                      <w:sz w:val="21"/>
                      <w:szCs w:val="21"/>
                      <w:highlight w:val="none"/>
                      <w:lang w:eastAsia="zh-CN" w:bidi="ar"/>
                    </w:rPr>
                    <w:t>）</w:t>
                  </w:r>
                </w:p>
              </w:tc>
              <w:tc>
                <w:tcPr>
                  <w:tcW w:w="1544" w:type="pct"/>
                  <w:tcBorders>
                    <w:tl2br w:val="nil"/>
                    <w:tr2bl w:val="nil"/>
                  </w:tcBorders>
                  <w:noWrap w:val="0"/>
                  <w:vAlign w:val="center"/>
                </w:tcPr>
                <w:p w14:paraId="4BD25D4D">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占评价区同类比例（%）</w:t>
                  </w:r>
                </w:p>
              </w:tc>
            </w:tr>
            <w:tr w14:paraId="356310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65" w:hRule="atLeast"/>
                <w:jc w:val="center"/>
              </w:trPr>
              <w:tc>
                <w:tcPr>
                  <w:tcW w:w="1475" w:type="pct"/>
                  <w:vMerge w:val="continue"/>
                  <w:tcBorders>
                    <w:tl2br w:val="nil"/>
                    <w:tr2bl w:val="nil"/>
                  </w:tcBorders>
                  <w:noWrap w:val="0"/>
                  <w:vAlign w:val="center"/>
                </w:tcPr>
                <w:p w14:paraId="221014D9">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p>
              </w:tc>
              <w:tc>
                <w:tcPr>
                  <w:tcW w:w="1018" w:type="pct"/>
                  <w:vMerge w:val="continue"/>
                  <w:tcBorders>
                    <w:tl2br w:val="nil"/>
                    <w:tr2bl w:val="nil"/>
                  </w:tcBorders>
                  <w:noWrap w:val="0"/>
                  <w:vAlign w:val="center"/>
                </w:tcPr>
                <w:p w14:paraId="66D476F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p>
              </w:tc>
              <w:tc>
                <w:tcPr>
                  <w:tcW w:w="961" w:type="pct"/>
                  <w:tcBorders>
                    <w:tl2br w:val="nil"/>
                    <w:tr2bl w:val="nil"/>
                  </w:tcBorders>
                  <w:noWrap w:val="0"/>
                  <w:vAlign w:val="center"/>
                </w:tcPr>
                <w:p w14:paraId="4BBA1A1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bCs/>
                      <w:color w:val="auto"/>
                      <w:kern w:val="0"/>
                      <w:sz w:val="21"/>
                      <w:szCs w:val="21"/>
                      <w:highlight w:val="none"/>
                      <w:lang w:bidi="ar"/>
                    </w:rPr>
                    <w:t>永久占地</w:t>
                  </w:r>
                </w:p>
              </w:tc>
              <w:tc>
                <w:tcPr>
                  <w:tcW w:w="1544" w:type="pct"/>
                  <w:tcBorders>
                    <w:tl2br w:val="nil"/>
                    <w:tr2bl w:val="nil"/>
                  </w:tcBorders>
                  <w:noWrap w:val="0"/>
                  <w:vAlign w:val="center"/>
                </w:tcPr>
                <w:p w14:paraId="57669BE7">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永久占地</w:t>
                  </w:r>
                </w:p>
              </w:tc>
            </w:tr>
            <w:tr w14:paraId="300E3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65" w:hRule="atLeast"/>
                <w:jc w:val="center"/>
              </w:trPr>
              <w:tc>
                <w:tcPr>
                  <w:tcW w:w="1475" w:type="pct"/>
                  <w:tcBorders>
                    <w:tl2br w:val="nil"/>
                    <w:tr2bl w:val="nil"/>
                  </w:tcBorders>
                  <w:noWrap w:val="0"/>
                  <w:vAlign w:val="center"/>
                </w:tcPr>
                <w:p w14:paraId="55025FFC">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sz w:val="21"/>
                      <w:szCs w:val="21"/>
                      <w:highlight w:val="none"/>
                    </w:rPr>
                    <w:t>乔木林地</w:t>
                  </w:r>
                </w:p>
              </w:tc>
              <w:tc>
                <w:tcPr>
                  <w:tcW w:w="1018" w:type="pct"/>
                  <w:tcBorders>
                    <w:tl2br w:val="nil"/>
                    <w:tr2bl w:val="nil"/>
                  </w:tcBorders>
                  <w:noWrap w:val="0"/>
                  <w:vAlign w:val="center"/>
                </w:tcPr>
                <w:p w14:paraId="4947538A">
                  <w:pPr>
                    <w:keepNext/>
                    <w:keepLines w:val="0"/>
                    <w:pageBreakBefore w:val="0"/>
                    <w:widowControl w:val="0"/>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70.73</w:t>
                  </w:r>
                </w:p>
              </w:tc>
              <w:tc>
                <w:tcPr>
                  <w:tcW w:w="961" w:type="pct"/>
                  <w:tcBorders>
                    <w:tl2br w:val="nil"/>
                    <w:tr2bl w:val="nil"/>
                  </w:tcBorders>
                  <w:noWrap w:val="0"/>
                  <w:vAlign w:val="center"/>
                </w:tcPr>
                <w:p w14:paraId="67C40918">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0.0424</w:t>
                  </w:r>
                </w:p>
              </w:tc>
              <w:tc>
                <w:tcPr>
                  <w:tcW w:w="1544" w:type="pct"/>
                  <w:tcBorders>
                    <w:tl2br w:val="nil"/>
                    <w:tr2bl w:val="nil"/>
                  </w:tcBorders>
                  <w:noWrap w:val="0"/>
                  <w:vAlign w:val="center"/>
                </w:tcPr>
                <w:p w14:paraId="2951A265">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0.06</w:t>
                  </w:r>
                </w:p>
              </w:tc>
            </w:tr>
            <w:tr w14:paraId="2EB2CB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4CBFB404">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kern w:val="0"/>
                      <w:sz w:val="21"/>
                      <w:szCs w:val="21"/>
                      <w:highlight w:val="none"/>
                      <w:lang w:eastAsia="zh-CN" w:bidi="ar"/>
                    </w:rPr>
                  </w:pPr>
                  <w:r>
                    <w:rPr>
                      <w:rFonts w:hint="default" w:ascii="Times New Roman" w:hAnsi="Times New Roman" w:eastAsia="宋体" w:cs="Times New Roman"/>
                      <w:b w:val="0"/>
                      <w:bCs w:val="0"/>
                      <w:color w:val="auto"/>
                      <w:sz w:val="21"/>
                      <w:szCs w:val="21"/>
                      <w:highlight w:val="none"/>
                    </w:rPr>
                    <w:t>灌木林地</w:t>
                  </w:r>
                </w:p>
              </w:tc>
              <w:tc>
                <w:tcPr>
                  <w:tcW w:w="1018" w:type="pct"/>
                  <w:tcBorders>
                    <w:tl2br w:val="nil"/>
                    <w:tr2bl w:val="nil"/>
                  </w:tcBorders>
                  <w:noWrap w:val="0"/>
                  <w:vAlign w:val="center"/>
                </w:tcPr>
                <w:p w14:paraId="1473B7E0">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15.64</w:t>
                  </w:r>
                </w:p>
              </w:tc>
              <w:tc>
                <w:tcPr>
                  <w:tcW w:w="961" w:type="pct"/>
                  <w:tcBorders>
                    <w:tl2br w:val="nil"/>
                    <w:tr2bl w:val="nil"/>
                  </w:tcBorders>
                  <w:noWrap w:val="0"/>
                  <w:vAlign w:val="center"/>
                </w:tcPr>
                <w:p w14:paraId="256DF634">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0.0424</w:t>
                  </w:r>
                </w:p>
              </w:tc>
              <w:tc>
                <w:tcPr>
                  <w:tcW w:w="1544" w:type="pct"/>
                  <w:tcBorders>
                    <w:tl2br w:val="nil"/>
                    <w:tr2bl w:val="nil"/>
                  </w:tcBorders>
                  <w:noWrap w:val="0"/>
                  <w:vAlign w:val="center"/>
                </w:tcPr>
                <w:p w14:paraId="63E0181E">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0.27</w:t>
                  </w:r>
                </w:p>
              </w:tc>
            </w:tr>
            <w:tr w14:paraId="538525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59BEF96A">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草地</w:t>
                  </w:r>
                </w:p>
              </w:tc>
              <w:tc>
                <w:tcPr>
                  <w:tcW w:w="1018" w:type="pct"/>
                  <w:tcBorders>
                    <w:tl2br w:val="nil"/>
                    <w:tr2bl w:val="nil"/>
                  </w:tcBorders>
                  <w:noWrap w:val="0"/>
                  <w:vAlign w:val="center"/>
                </w:tcPr>
                <w:p w14:paraId="206D410A">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6.12</w:t>
                  </w:r>
                </w:p>
              </w:tc>
              <w:tc>
                <w:tcPr>
                  <w:tcW w:w="961" w:type="pct"/>
                  <w:tcBorders>
                    <w:tl2br w:val="nil"/>
                    <w:tr2bl w:val="nil"/>
                  </w:tcBorders>
                  <w:noWrap w:val="0"/>
                  <w:vAlign w:val="center"/>
                </w:tcPr>
                <w:p w14:paraId="1A00DA88">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0.156</w:t>
                  </w:r>
                </w:p>
              </w:tc>
              <w:tc>
                <w:tcPr>
                  <w:tcW w:w="1544" w:type="pct"/>
                  <w:tcBorders>
                    <w:tl2br w:val="nil"/>
                    <w:tr2bl w:val="nil"/>
                  </w:tcBorders>
                  <w:noWrap w:val="0"/>
                  <w:vAlign w:val="center"/>
                </w:tcPr>
                <w:p w14:paraId="749D56F4">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2.55</w:t>
                  </w:r>
                </w:p>
              </w:tc>
            </w:tr>
            <w:tr w14:paraId="6EAE07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5527DEF6">
                  <w:pPr>
                    <w:keepNext w:val="0"/>
                    <w:keepLines w:val="0"/>
                    <w:pageBreakBefore w:val="0"/>
                    <w:widowControl/>
                    <w:kinsoku/>
                    <w:wordWrap/>
                    <w:overflowPunct/>
                    <w:topLinePunct w:val="0"/>
                    <w:autoSpaceDE/>
                    <w:autoSpaceDN/>
                    <w:bidi w:val="0"/>
                    <w:adjustRightInd w:val="0"/>
                    <w:snapToGrid w:val="0"/>
                    <w:jc w:val="center"/>
                    <w:textAlignment w:val="center"/>
                    <w:rPr>
                      <w:rFonts w:hint="eastAsia"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耕地</w:t>
                  </w:r>
                </w:p>
              </w:tc>
              <w:tc>
                <w:tcPr>
                  <w:tcW w:w="1018" w:type="pct"/>
                  <w:tcBorders>
                    <w:tl2br w:val="nil"/>
                    <w:tr2bl w:val="nil"/>
                  </w:tcBorders>
                  <w:noWrap w:val="0"/>
                  <w:vAlign w:val="center"/>
                </w:tcPr>
                <w:p w14:paraId="220E9DA1">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4.08</w:t>
                  </w:r>
                </w:p>
              </w:tc>
              <w:tc>
                <w:tcPr>
                  <w:tcW w:w="961" w:type="pct"/>
                  <w:tcBorders>
                    <w:tl2br w:val="nil"/>
                    <w:tr2bl w:val="nil"/>
                  </w:tcBorders>
                  <w:noWrap w:val="0"/>
                  <w:vAlign w:val="center"/>
                </w:tcPr>
                <w:p w14:paraId="42F2C311">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544" w:type="pct"/>
                  <w:tcBorders>
                    <w:tl2br w:val="nil"/>
                    <w:tr2bl w:val="nil"/>
                  </w:tcBorders>
                  <w:noWrap w:val="0"/>
                  <w:vAlign w:val="center"/>
                </w:tcPr>
                <w:p w14:paraId="23ABB58E">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0799F8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05801187">
                  <w:pPr>
                    <w:keepNext w:val="0"/>
                    <w:keepLines w:val="0"/>
                    <w:pageBreakBefore w:val="0"/>
                    <w:widowControl/>
                    <w:kinsoku/>
                    <w:wordWrap/>
                    <w:overflowPunct/>
                    <w:topLinePunct w:val="0"/>
                    <w:autoSpaceDE/>
                    <w:autoSpaceDN/>
                    <w:bidi w:val="0"/>
                    <w:adjustRightInd w:val="0"/>
                    <w:snapToGrid w:val="0"/>
                    <w:jc w:val="center"/>
                    <w:textAlignment w:val="center"/>
                    <w:rPr>
                      <w:rFonts w:hint="eastAsia"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其他土地</w:t>
                  </w:r>
                </w:p>
              </w:tc>
              <w:tc>
                <w:tcPr>
                  <w:tcW w:w="1018" w:type="pct"/>
                  <w:tcBorders>
                    <w:tl2br w:val="nil"/>
                    <w:tr2bl w:val="nil"/>
                  </w:tcBorders>
                  <w:noWrap w:val="0"/>
                  <w:vAlign w:val="center"/>
                </w:tcPr>
                <w:p w14:paraId="55C7BD91">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1.69</w:t>
                  </w:r>
                </w:p>
              </w:tc>
              <w:tc>
                <w:tcPr>
                  <w:tcW w:w="961" w:type="pct"/>
                  <w:tcBorders>
                    <w:tl2br w:val="nil"/>
                    <w:tr2bl w:val="nil"/>
                  </w:tcBorders>
                  <w:noWrap w:val="0"/>
                  <w:vAlign w:val="center"/>
                </w:tcPr>
                <w:p w14:paraId="7AED83F1">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c>
                <w:tcPr>
                  <w:tcW w:w="1544" w:type="pct"/>
                  <w:tcBorders>
                    <w:tl2br w:val="nil"/>
                    <w:tr2bl w:val="nil"/>
                  </w:tcBorders>
                  <w:noWrap w:val="0"/>
                  <w:vAlign w:val="center"/>
                </w:tcPr>
                <w:p w14:paraId="1C09CA35">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w:t>
                  </w:r>
                </w:p>
              </w:tc>
            </w:tr>
            <w:tr w14:paraId="53A60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3BEB3B12">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合计</w:t>
                  </w:r>
                </w:p>
              </w:tc>
              <w:tc>
                <w:tcPr>
                  <w:tcW w:w="1018" w:type="pct"/>
                  <w:tcBorders>
                    <w:tl2br w:val="nil"/>
                    <w:tr2bl w:val="nil"/>
                  </w:tcBorders>
                  <w:noWrap w:val="0"/>
                  <w:vAlign w:val="center"/>
                </w:tcPr>
                <w:p w14:paraId="04DFC524">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98.26</w:t>
                  </w:r>
                </w:p>
              </w:tc>
              <w:tc>
                <w:tcPr>
                  <w:tcW w:w="961" w:type="pct"/>
                  <w:tcBorders>
                    <w:tl2br w:val="nil"/>
                    <w:tr2bl w:val="nil"/>
                  </w:tcBorders>
                  <w:noWrap w:val="0"/>
                  <w:vAlign w:val="center"/>
                </w:tcPr>
                <w:p w14:paraId="4F4F7067">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bCs/>
                      <w:color w:val="auto"/>
                      <w:sz w:val="21"/>
                      <w:szCs w:val="21"/>
                      <w:highlight w:val="none"/>
                      <w:lang w:val="en-US" w:eastAsia="zh-CN"/>
                    </w:rPr>
                    <w:t>0.2408</w:t>
                  </w:r>
                </w:p>
              </w:tc>
              <w:tc>
                <w:tcPr>
                  <w:tcW w:w="1544" w:type="pct"/>
                  <w:tcBorders>
                    <w:tl2br w:val="nil"/>
                    <w:tr2bl w:val="nil"/>
                  </w:tcBorders>
                  <w:noWrap w:val="0"/>
                  <w:vAlign w:val="center"/>
                </w:tcPr>
                <w:p w14:paraId="7A845333">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0.25</w:t>
                  </w:r>
                </w:p>
              </w:tc>
            </w:tr>
          </w:tbl>
          <w:p w14:paraId="52F613CD">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工程永久占用</w:t>
            </w:r>
            <w:r>
              <w:rPr>
                <w:rFonts w:hint="eastAsia" w:ascii="Times New Roman" w:hAnsi="Times New Roman" w:eastAsia="宋体" w:cs="Times New Roman"/>
                <w:color w:val="auto"/>
                <w:sz w:val="24"/>
                <w:szCs w:val="24"/>
                <w:highlight w:val="none"/>
              </w:rPr>
              <w:t>乔木林地面积</w:t>
            </w:r>
            <w:r>
              <w:rPr>
                <w:rFonts w:hint="eastAsia" w:eastAsia="宋体" w:cs="Times New Roman"/>
                <w:color w:val="auto"/>
                <w:sz w:val="24"/>
                <w:szCs w:val="24"/>
                <w:highlight w:val="none"/>
                <w:lang w:val="en-US" w:eastAsia="zh-CN"/>
              </w:rPr>
              <w:t>0.0424</w:t>
            </w:r>
            <w:r>
              <w:rPr>
                <w:rFonts w:hint="eastAsia" w:ascii="Times New Roman" w:hAnsi="Times New Roman" w:eastAsia="宋体" w:cs="Times New Roman"/>
                <w:color w:val="auto"/>
                <w:sz w:val="24"/>
                <w:szCs w:val="24"/>
                <w:highlight w:val="none"/>
              </w:rPr>
              <w:t>hm²，占评价区同类型土地利用面积的</w:t>
            </w:r>
            <w:r>
              <w:rPr>
                <w:rFonts w:hint="eastAsia" w:ascii="Times New Roman" w:hAnsi="Times New Roman" w:eastAsia="宋体" w:cs="Times New Roman"/>
                <w:color w:val="auto"/>
                <w:sz w:val="24"/>
                <w:szCs w:val="24"/>
                <w:highlight w:val="none"/>
                <w:lang w:val="en-US" w:eastAsia="zh-CN"/>
              </w:rPr>
              <w:t>0.</w:t>
            </w:r>
            <w:r>
              <w:rPr>
                <w:rFonts w:hint="eastAsia" w:eastAsia="宋体" w:cs="Times New Roman"/>
                <w:color w:val="auto"/>
                <w:sz w:val="24"/>
                <w:szCs w:val="24"/>
                <w:highlight w:val="none"/>
                <w:lang w:val="en-US" w:eastAsia="zh-CN"/>
              </w:rPr>
              <w:t>06</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；永久占用灌木</w:t>
            </w:r>
            <w:r>
              <w:rPr>
                <w:rFonts w:ascii="Times New Roman" w:hAnsi="Times New Roman" w:eastAsia="宋体" w:cs="Times New Roman"/>
                <w:color w:val="auto"/>
                <w:sz w:val="24"/>
                <w:szCs w:val="24"/>
                <w:highlight w:val="none"/>
              </w:rPr>
              <w:t>林地面积</w:t>
            </w:r>
            <w:r>
              <w:rPr>
                <w:rFonts w:hint="eastAsia" w:eastAsia="宋体" w:cs="Times New Roman"/>
                <w:color w:val="auto"/>
                <w:sz w:val="24"/>
                <w:szCs w:val="24"/>
                <w:highlight w:val="none"/>
                <w:lang w:val="en-US" w:eastAsia="zh-CN"/>
              </w:rPr>
              <w:t>0.0424</w:t>
            </w:r>
            <w:r>
              <w:rPr>
                <w:rFonts w:ascii="Times New Roman" w:hAnsi="Times New Roman" w:eastAsia="宋体" w:cs="Times New Roman"/>
                <w:color w:val="auto"/>
                <w:sz w:val="24"/>
                <w:szCs w:val="24"/>
                <w:highlight w:val="none"/>
              </w:rPr>
              <w:t>hm²，占评价区同类型土地利用面积的</w:t>
            </w:r>
            <w:r>
              <w:rPr>
                <w:rFonts w:hint="eastAsia" w:ascii="Times New Roman" w:hAnsi="Times New Roman" w:eastAsia="宋体" w:cs="Times New Roman"/>
                <w:color w:val="auto"/>
                <w:sz w:val="24"/>
                <w:szCs w:val="24"/>
                <w:highlight w:val="none"/>
                <w:lang w:val="en-US" w:eastAsia="zh-CN"/>
              </w:rPr>
              <w:t>0.</w:t>
            </w:r>
            <w:r>
              <w:rPr>
                <w:rFonts w:hint="eastAsia" w:eastAsia="宋体" w:cs="Times New Roman"/>
                <w:color w:val="auto"/>
                <w:sz w:val="24"/>
                <w:szCs w:val="24"/>
                <w:highlight w:val="none"/>
                <w:lang w:val="en-US" w:eastAsia="zh-CN"/>
              </w:rPr>
              <w:t>27</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永久</w:t>
            </w:r>
            <w:r>
              <w:rPr>
                <w:rFonts w:hint="eastAsia" w:ascii="Times New Roman" w:hAnsi="Times New Roman" w:eastAsia="宋体" w:cs="Times New Roman"/>
                <w:color w:val="auto"/>
                <w:sz w:val="24"/>
                <w:szCs w:val="24"/>
                <w:highlight w:val="none"/>
                <w:lang w:eastAsia="zh-CN"/>
              </w:rPr>
              <w:t>占用</w:t>
            </w:r>
            <w:r>
              <w:rPr>
                <w:rFonts w:hint="eastAsia" w:eastAsia="宋体" w:cs="Times New Roman"/>
                <w:color w:val="auto"/>
                <w:sz w:val="24"/>
                <w:szCs w:val="24"/>
                <w:highlight w:val="none"/>
                <w:lang w:val="en-US" w:eastAsia="zh-CN"/>
              </w:rPr>
              <w:t>草地</w:t>
            </w:r>
            <w:r>
              <w:rPr>
                <w:rFonts w:hint="eastAsia" w:ascii="Times New Roman" w:hAnsi="Times New Roman" w:eastAsia="宋体" w:cs="Times New Roman"/>
                <w:color w:val="auto"/>
                <w:sz w:val="24"/>
                <w:szCs w:val="24"/>
                <w:highlight w:val="none"/>
                <w:lang w:val="en-US" w:eastAsia="zh-CN"/>
              </w:rPr>
              <w:t>用地</w:t>
            </w:r>
            <w:r>
              <w:rPr>
                <w:rFonts w:hint="eastAsia" w:eastAsia="宋体" w:cs="Times New Roman"/>
                <w:color w:val="auto"/>
                <w:sz w:val="24"/>
                <w:szCs w:val="24"/>
                <w:highlight w:val="none"/>
                <w:lang w:val="en-US" w:eastAsia="zh-CN"/>
              </w:rPr>
              <w:t>0.156</w:t>
            </w:r>
            <w:r>
              <w:rPr>
                <w:rFonts w:ascii="Times New Roman" w:hAnsi="Times New Roman" w:eastAsia="宋体" w:cs="Times New Roman"/>
                <w:color w:val="auto"/>
                <w:sz w:val="24"/>
                <w:szCs w:val="24"/>
                <w:highlight w:val="none"/>
              </w:rPr>
              <w:t>hm²，占评价区同类型土地利用类型的</w:t>
            </w:r>
            <w:r>
              <w:rPr>
                <w:rFonts w:hint="eastAsia" w:eastAsia="宋体" w:cs="Times New Roman"/>
                <w:color w:val="auto"/>
                <w:sz w:val="24"/>
                <w:szCs w:val="24"/>
                <w:highlight w:val="none"/>
                <w:lang w:val="en-US" w:eastAsia="zh-CN"/>
              </w:rPr>
              <w:t>2.55</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w:t>
            </w:r>
            <w:r>
              <w:rPr>
                <w:rFonts w:ascii="Times New Roman" w:hAnsi="Times New Roman" w:eastAsia="宋体" w:cs="Times New Roman"/>
                <w:color w:val="auto"/>
                <w:sz w:val="24"/>
                <w:szCs w:val="24"/>
                <w:highlight w:val="none"/>
              </w:rPr>
              <w:t>所占用</w:t>
            </w:r>
            <w:r>
              <w:rPr>
                <w:rFonts w:hint="eastAsia" w:ascii="Times New Roman" w:hAnsi="Times New Roman" w:eastAsia="宋体" w:cs="Times New Roman"/>
                <w:color w:val="auto"/>
                <w:sz w:val="24"/>
                <w:szCs w:val="24"/>
                <w:highlight w:val="none"/>
                <w:lang w:val="en-US" w:eastAsia="zh-CN"/>
              </w:rPr>
              <w:t>林地</w:t>
            </w:r>
            <w:r>
              <w:rPr>
                <w:rFonts w:ascii="Times New Roman" w:hAnsi="Times New Roman" w:eastAsia="宋体" w:cs="Times New Roman"/>
                <w:color w:val="auto"/>
                <w:sz w:val="24"/>
                <w:szCs w:val="24"/>
                <w:highlight w:val="none"/>
              </w:rPr>
              <w:t>的比例均较小，对</w:t>
            </w:r>
            <w:r>
              <w:rPr>
                <w:rFonts w:hint="eastAsia" w:ascii="Times New Roman" w:hAnsi="Times New Roman" w:eastAsia="宋体" w:cs="Times New Roman"/>
                <w:color w:val="auto"/>
                <w:sz w:val="24"/>
                <w:szCs w:val="24"/>
                <w:highlight w:val="none"/>
              </w:rPr>
              <w:t>评价区</w:t>
            </w:r>
            <w:r>
              <w:rPr>
                <w:rFonts w:ascii="Times New Roman" w:hAnsi="Times New Roman" w:eastAsia="宋体" w:cs="Times New Roman"/>
                <w:color w:val="auto"/>
                <w:sz w:val="24"/>
                <w:szCs w:val="24"/>
                <w:highlight w:val="none"/>
              </w:rPr>
              <w:t>土地利用的影响较小</w:t>
            </w:r>
            <w:r>
              <w:rPr>
                <w:rFonts w:hint="eastAsia" w:ascii="Times New Roman" w:hAnsi="Times New Roman" w:eastAsia="宋体" w:cs="Times New Roman"/>
                <w:color w:val="auto"/>
                <w:sz w:val="24"/>
                <w:szCs w:val="24"/>
                <w:highlight w:val="none"/>
              </w:rPr>
              <w:t>，不会造成评价区土地利用格局的明显改变</w:t>
            </w:r>
            <w:r>
              <w:rPr>
                <w:rFonts w:ascii="Times New Roman" w:hAnsi="Times New Roman" w:eastAsia="宋体" w:cs="Times New Roman"/>
                <w:color w:val="auto"/>
                <w:sz w:val="24"/>
                <w:szCs w:val="24"/>
                <w:highlight w:val="none"/>
              </w:rPr>
              <w:t>。</w:t>
            </w:r>
          </w:p>
          <w:p w14:paraId="4EDF423F">
            <w:pPr>
              <w:pStyle w:val="58"/>
              <w:ind w:firstLine="472"/>
              <w:rPr>
                <w:rFonts w:ascii="Times New Roman" w:hAnsi="Times New Roman"/>
                <w:b/>
                <w:bCs/>
                <w:color w:val="auto"/>
                <w:sz w:val="36"/>
                <w:szCs w:val="36"/>
                <w:highlight w:val="none"/>
              </w:rPr>
            </w:pPr>
            <w:r>
              <w:rPr>
                <w:rFonts w:hint="eastAsia" w:ascii="Times New Roman" w:hAnsi="Times New Roman"/>
                <w:b/>
                <w:bCs/>
                <w:color w:val="auto"/>
                <w:highlight w:val="none"/>
                <w:lang w:val="en-US" w:eastAsia="zh-CN"/>
              </w:rPr>
              <w:t>3、</w:t>
            </w:r>
            <w:r>
              <w:rPr>
                <w:rFonts w:ascii="Times New Roman" w:hAnsi="Times New Roman"/>
                <w:b/>
                <w:bCs/>
                <w:color w:val="auto"/>
                <w:highlight w:val="none"/>
              </w:rPr>
              <w:t>工程临时占地影响分析</w:t>
            </w:r>
          </w:p>
          <w:p w14:paraId="4492C425">
            <w:pPr>
              <w:keepNext w:val="0"/>
              <w:keepLines w:val="0"/>
              <w:pageBreakBefore w:val="0"/>
              <w:widowControl w:val="0"/>
              <w:wordWrap/>
              <w:overflowPunct/>
              <w:topLinePunct w:val="0"/>
              <w:bidi w:val="0"/>
              <w:adjustRightInd w:val="0"/>
              <w:snapToGrid w:val="0"/>
              <w:ind w:left="0" w:leftChars="0" w:firstLine="480" w:firstLineChars="200"/>
              <w:textAlignment w:val="auto"/>
              <w:rPr>
                <w:rFonts w:ascii="Times New Roman" w:hAnsi="Times New Roman" w:cs="Times New Roman"/>
                <w:color w:val="auto"/>
                <w:highlight w:val="none"/>
              </w:rPr>
            </w:pPr>
            <w:r>
              <w:rPr>
                <w:rFonts w:ascii="Times New Roman" w:hAnsi="Times New Roman" w:eastAsia="宋体" w:cs="Times New Roman"/>
                <w:color w:val="auto"/>
                <w:sz w:val="24"/>
                <w:szCs w:val="24"/>
                <w:highlight w:val="none"/>
              </w:rPr>
              <w:t>本工程临时占地面积为</w:t>
            </w:r>
            <w:r>
              <w:rPr>
                <w:rFonts w:hint="eastAsia" w:cs="Times New Roman"/>
                <w:color w:val="auto"/>
                <w:sz w:val="24"/>
                <w:szCs w:val="24"/>
                <w:highlight w:val="none"/>
                <w:lang w:val="en-US" w:eastAsia="zh-CN"/>
              </w:rPr>
              <w:t>1.2935</w:t>
            </w:r>
            <w:r>
              <w:rPr>
                <w:rFonts w:ascii="Times New Roman" w:hAnsi="Times New Roman" w:eastAsia="宋体" w:cs="Times New Roman"/>
                <w:color w:val="auto"/>
                <w:sz w:val="24"/>
                <w:szCs w:val="24"/>
                <w:highlight w:val="none"/>
              </w:rPr>
              <w:t>hm</w:t>
            </w:r>
            <w:r>
              <w:rPr>
                <w:rFonts w:ascii="Times New Roman" w:hAnsi="Times New Roman" w:eastAsia="宋体" w:cs="Times New Roman"/>
                <w:color w:val="auto"/>
                <w:sz w:val="24"/>
                <w:szCs w:val="24"/>
                <w:highlight w:val="none"/>
                <w:vertAlign w:val="superscript"/>
              </w:rPr>
              <w:t>2</w:t>
            </w:r>
            <w:r>
              <w:rPr>
                <w:rFonts w:ascii="Times New Roman" w:hAnsi="Times New Roman" w:eastAsia="宋体" w:cs="Times New Roman"/>
                <w:color w:val="auto"/>
                <w:sz w:val="24"/>
                <w:szCs w:val="24"/>
                <w:highlight w:val="none"/>
              </w:rPr>
              <w:t>，具体占地类型详见下表。</w:t>
            </w:r>
          </w:p>
          <w:p w14:paraId="3A107B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b/>
                <w:bCs/>
                <w:color w:val="auto"/>
                <w:spacing w:val="-3"/>
                <w:sz w:val="21"/>
                <w:szCs w:val="21"/>
                <w:highlight w:val="none"/>
              </w:rPr>
            </w:pPr>
            <w:r>
              <w:rPr>
                <w:rFonts w:ascii="Times New Roman" w:hAnsi="Times New Roman" w:cs="Times New Roman"/>
                <w:b/>
                <w:bCs/>
                <w:color w:val="auto"/>
                <w:spacing w:val="-3"/>
                <w:sz w:val="21"/>
                <w:szCs w:val="21"/>
                <w:highlight w:val="none"/>
              </w:rPr>
              <w:t>表</w:t>
            </w:r>
            <w:r>
              <w:rPr>
                <w:rFonts w:hint="eastAsia" w:cs="Times New Roman"/>
                <w:b/>
                <w:bCs/>
                <w:color w:val="auto"/>
                <w:spacing w:val="-3"/>
                <w:sz w:val="21"/>
                <w:szCs w:val="21"/>
                <w:highlight w:val="none"/>
                <w:lang w:val="en-US" w:eastAsia="zh-CN"/>
              </w:rPr>
              <w:t>4.2.5-3 临时</w:t>
            </w:r>
            <w:r>
              <w:rPr>
                <w:rFonts w:ascii="Times New Roman" w:hAnsi="Times New Roman" w:cs="Times New Roman"/>
                <w:b/>
                <w:bCs/>
                <w:color w:val="auto"/>
                <w:spacing w:val="-3"/>
                <w:sz w:val="21"/>
                <w:szCs w:val="21"/>
                <w:highlight w:val="none"/>
              </w:rPr>
              <w:t>占地情况一览表</w:t>
            </w:r>
          </w:p>
          <w:tbl>
            <w:tblPr>
              <w:tblStyle w:val="20"/>
              <w:tblW w:w="502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1" w:type="dxa"/>
                <w:bottom w:w="0" w:type="dxa"/>
                <w:right w:w="51" w:type="dxa"/>
              </w:tblCellMar>
            </w:tblPr>
            <w:tblGrid>
              <w:gridCol w:w="2468"/>
              <w:gridCol w:w="1703"/>
              <w:gridCol w:w="1608"/>
              <w:gridCol w:w="2583"/>
            </w:tblGrid>
            <w:tr w14:paraId="1E26C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3" w:hRule="atLeast"/>
                <w:jc w:val="center"/>
              </w:trPr>
              <w:tc>
                <w:tcPr>
                  <w:tcW w:w="1475" w:type="pct"/>
                  <w:vMerge w:val="restart"/>
                  <w:tcBorders>
                    <w:tl2br w:val="nil"/>
                    <w:tr2bl w:val="nil"/>
                  </w:tcBorders>
                  <w:noWrap w:val="0"/>
                  <w:vAlign w:val="center"/>
                </w:tcPr>
                <w:p w14:paraId="6364CF7B">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土地利用类型</w:t>
                  </w:r>
                </w:p>
              </w:tc>
              <w:tc>
                <w:tcPr>
                  <w:tcW w:w="1018" w:type="pct"/>
                  <w:vMerge w:val="restart"/>
                  <w:tcBorders>
                    <w:tl2br w:val="nil"/>
                    <w:tr2bl w:val="nil"/>
                  </w:tcBorders>
                  <w:noWrap w:val="0"/>
                  <w:vAlign w:val="center"/>
                </w:tcPr>
                <w:p w14:paraId="580DBCE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评价区面积</w:t>
                  </w:r>
                </w:p>
              </w:tc>
              <w:tc>
                <w:tcPr>
                  <w:tcW w:w="961" w:type="pct"/>
                  <w:tcBorders>
                    <w:tl2br w:val="nil"/>
                    <w:tr2bl w:val="nil"/>
                  </w:tcBorders>
                  <w:noWrap w:val="0"/>
                  <w:vAlign w:val="center"/>
                </w:tcPr>
                <w:p w14:paraId="60CCF1D5">
                  <w:pPr>
                    <w:keepNext w:val="0"/>
                    <w:keepLines w:val="0"/>
                    <w:pageBreakBefore w:val="0"/>
                    <w:widowControl/>
                    <w:kinsoku/>
                    <w:wordWrap/>
                    <w:overflowPunct/>
                    <w:topLinePunct w:val="0"/>
                    <w:autoSpaceDE/>
                    <w:autoSpaceDN/>
                    <w:bidi w:val="0"/>
                    <w:adjustRightInd w:val="0"/>
                    <w:snapToGrid w:val="0"/>
                    <w:ind w:left="0" w:leftChars="0" w:firstLine="0" w:firstLineChars="0"/>
                    <w:jc w:val="both"/>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占用面积</w:t>
                  </w:r>
                  <w:r>
                    <w:rPr>
                      <w:rFonts w:hint="eastAsia" w:eastAsia="宋体" w:cs="Times New Roman"/>
                      <w:b w:val="0"/>
                      <w:bCs w:val="0"/>
                      <w:color w:val="auto"/>
                      <w:kern w:val="0"/>
                      <w:sz w:val="21"/>
                      <w:szCs w:val="21"/>
                      <w:highlight w:val="none"/>
                      <w:lang w:eastAsia="zh-CN" w:bidi="ar"/>
                    </w:rPr>
                    <w:t>（</w:t>
                  </w:r>
                  <w:r>
                    <w:rPr>
                      <w:rFonts w:ascii="Times New Roman" w:hAnsi="Times New Roman" w:eastAsia="宋体" w:cs="Times New Roman"/>
                      <w:color w:val="auto"/>
                      <w:sz w:val="24"/>
                      <w:szCs w:val="24"/>
                      <w:highlight w:val="none"/>
                    </w:rPr>
                    <w:t>hm²</w:t>
                  </w:r>
                  <w:r>
                    <w:rPr>
                      <w:rFonts w:hint="eastAsia" w:eastAsia="宋体" w:cs="Times New Roman"/>
                      <w:b w:val="0"/>
                      <w:bCs w:val="0"/>
                      <w:color w:val="auto"/>
                      <w:kern w:val="0"/>
                      <w:sz w:val="21"/>
                      <w:szCs w:val="21"/>
                      <w:highlight w:val="none"/>
                      <w:lang w:eastAsia="zh-CN" w:bidi="ar"/>
                    </w:rPr>
                    <w:t>）</w:t>
                  </w:r>
                </w:p>
              </w:tc>
              <w:tc>
                <w:tcPr>
                  <w:tcW w:w="1544" w:type="pct"/>
                  <w:tcBorders>
                    <w:tl2br w:val="nil"/>
                    <w:tr2bl w:val="nil"/>
                  </w:tcBorders>
                  <w:noWrap w:val="0"/>
                  <w:vAlign w:val="center"/>
                </w:tcPr>
                <w:p w14:paraId="3938C54A">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kern w:val="0"/>
                      <w:sz w:val="21"/>
                      <w:szCs w:val="21"/>
                      <w:highlight w:val="none"/>
                      <w:lang w:bidi="ar"/>
                    </w:rPr>
                    <w:t>占评价区同类比例（%）</w:t>
                  </w:r>
                </w:p>
              </w:tc>
            </w:tr>
            <w:tr w14:paraId="48EE51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65" w:hRule="atLeast"/>
                <w:jc w:val="center"/>
              </w:trPr>
              <w:tc>
                <w:tcPr>
                  <w:tcW w:w="1475" w:type="pct"/>
                  <w:vMerge w:val="continue"/>
                  <w:tcBorders>
                    <w:tl2br w:val="nil"/>
                    <w:tr2bl w:val="nil"/>
                  </w:tcBorders>
                  <w:noWrap w:val="0"/>
                  <w:vAlign w:val="center"/>
                </w:tcPr>
                <w:p w14:paraId="0955FEE4">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p>
              </w:tc>
              <w:tc>
                <w:tcPr>
                  <w:tcW w:w="1018" w:type="pct"/>
                  <w:vMerge w:val="continue"/>
                  <w:tcBorders>
                    <w:tl2br w:val="nil"/>
                    <w:tr2bl w:val="nil"/>
                  </w:tcBorders>
                  <w:noWrap w:val="0"/>
                  <w:vAlign w:val="center"/>
                </w:tcPr>
                <w:p w14:paraId="2EED18C0">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p>
              </w:tc>
              <w:tc>
                <w:tcPr>
                  <w:tcW w:w="961" w:type="pct"/>
                  <w:tcBorders>
                    <w:tl2br w:val="nil"/>
                    <w:tr2bl w:val="nil"/>
                  </w:tcBorders>
                  <w:noWrap w:val="0"/>
                  <w:vAlign w:val="center"/>
                </w:tcPr>
                <w:p w14:paraId="54AAC91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eastAsia" w:cs="Times New Roman"/>
                      <w:b w:val="0"/>
                      <w:bCs w:val="0"/>
                      <w:color w:val="auto"/>
                      <w:kern w:val="0"/>
                      <w:sz w:val="21"/>
                      <w:szCs w:val="21"/>
                      <w:highlight w:val="none"/>
                      <w:lang w:eastAsia="zh-CN" w:bidi="ar"/>
                    </w:rPr>
                    <w:t>临时</w:t>
                  </w:r>
                  <w:r>
                    <w:rPr>
                      <w:rFonts w:hint="default" w:ascii="Times New Roman" w:hAnsi="Times New Roman" w:eastAsia="宋体" w:cs="Times New Roman"/>
                      <w:b w:val="0"/>
                      <w:bCs w:val="0"/>
                      <w:color w:val="auto"/>
                      <w:kern w:val="0"/>
                      <w:sz w:val="21"/>
                      <w:szCs w:val="21"/>
                      <w:highlight w:val="none"/>
                      <w:lang w:bidi="ar"/>
                    </w:rPr>
                    <w:t>占地</w:t>
                  </w:r>
                </w:p>
              </w:tc>
              <w:tc>
                <w:tcPr>
                  <w:tcW w:w="1544" w:type="pct"/>
                  <w:tcBorders>
                    <w:tl2br w:val="nil"/>
                    <w:tr2bl w:val="nil"/>
                  </w:tcBorders>
                  <w:noWrap w:val="0"/>
                  <w:vAlign w:val="center"/>
                </w:tcPr>
                <w:p w14:paraId="1C836181">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eastAsia" w:cs="Times New Roman"/>
                      <w:b w:val="0"/>
                      <w:bCs w:val="0"/>
                      <w:color w:val="auto"/>
                      <w:kern w:val="0"/>
                      <w:sz w:val="21"/>
                      <w:szCs w:val="21"/>
                      <w:highlight w:val="none"/>
                      <w:lang w:eastAsia="zh-CN" w:bidi="ar"/>
                    </w:rPr>
                    <w:t>临时</w:t>
                  </w:r>
                  <w:r>
                    <w:rPr>
                      <w:rFonts w:hint="default" w:ascii="Times New Roman" w:hAnsi="Times New Roman" w:eastAsia="宋体" w:cs="Times New Roman"/>
                      <w:b w:val="0"/>
                      <w:bCs w:val="0"/>
                      <w:color w:val="auto"/>
                      <w:kern w:val="0"/>
                      <w:sz w:val="21"/>
                      <w:szCs w:val="21"/>
                      <w:highlight w:val="none"/>
                      <w:lang w:bidi="ar"/>
                    </w:rPr>
                    <w:t>占地</w:t>
                  </w:r>
                </w:p>
              </w:tc>
            </w:tr>
            <w:tr w14:paraId="3FC50B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365" w:hRule="atLeast"/>
                <w:jc w:val="center"/>
              </w:trPr>
              <w:tc>
                <w:tcPr>
                  <w:tcW w:w="1475" w:type="pct"/>
                  <w:tcBorders>
                    <w:tl2br w:val="nil"/>
                    <w:tr2bl w:val="nil"/>
                  </w:tcBorders>
                  <w:noWrap w:val="0"/>
                  <w:vAlign w:val="center"/>
                </w:tcPr>
                <w:p w14:paraId="42D90183">
                  <w:pPr>
                    <w:keepNext w:val="0"/>
                    <w:keepLines w:val="0"/>
                    <w:pageBreakBefore w:val="0"/>
                    <w:widowControl/>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b w:val="0"/>
                      <w:bCs w:val="0"/>
                      <w:color w:val="auto"/>
                      <w:kern w:val="0"/>
                      <w:sz w:val="21"/>
                      <w:szCs w:val="21"/>
                      <w:highlight w:val="none"/>
                      <w:lang w:bidi="ar"/>
                    </w:rPr>
                  </w:pPr>
                  <w:r>
                    <w:rPr>
                      <w:rFonts w:hint="default" w:ascii="Times New Roman" w:hAnsi="Times New Roman" w:eastAsia="宋体" w:cs="Times New Roman"/>
                      <w:b w:val="0"/>
                      <w:bCs w:val="0"/>
                      <w:color w:val="auto"/>
                      <w:sz w:val="21"/>
                      <w:szCs w:val="21"/>
                      <w:highlight w:val="none"/>
                    </w:rPr>
                    <w:t>乔木林地</w:t>
                  </w:r>
                </w:p>
              </w:tc>
              <w:tc>
                <w:tcPr>
                  <w:tcW w:w="1018" w:type="pct"/>
                  <w:tcBorders>
                    <w:tl2br w:val="nil"/>
                    <w:tr2bl w:val="nil"/>
                  </w:tcBorders>
                  <w:noWrap w:val="0"/>
                  <w:vAlign w:val="center"/>
                </w:tcPr>
                <w:p w14:paraId="79CC009B">
                  <w:pPr>
                    <w:keepNext/>
                    <w:keepLines w:val="0"/>
                    <w:pageBreakBefore w:val="0"/>
                    <w:widowControl w:val="0"/>
                    <w:suppressLineNumbers w:val="0"/>
                    <w:kinsoku/>
                    <w:wordWrap/>
                    <w:overflowPunct/>
                    <w:topLinePunct w:val="0"/>
                    <w:autoSpaceDE/>
                    <w:autoSpaceDN/>
                    <w:bidi w:val="0"/>
                    <w:adjustRightInd/>
                    <w:snapToGrid/>
                    <w:spacing w:line="320" w:lineRule="exact"/>
                    <w:jc w:val="center"/>
                    <w:textAlignment w:val="bottom"/>
                    <w:rPr>
                      <w:rFonts w:hint="default" w:ascii="Times New Roman" w:hAnsi="Times New Roman" w:eastAsia="宋体" w:cs="Times New Roman"/>
                      <w:b w:val="0"/>
                      <w:bCs w:val="0"/>
                      <w:color w:val="auto"/>
                      <w:kern w:val="0"/>
                      <w:sz w:val="21"/>
                      <w:szCs w:val="21"/>
                      <w:highlight w:val="none"/>
                      <w:lang w:val="en-US" w:eastAsia="zh-CN" w:bidi="ar"/>
                    </w:rPr>
                  </w:pPr>
                  <w:r>
                    <w:rPr>
                      <w:rFonts w:hint="eastAsia" w:cs="Times New Roman"/>
                      <w:b w:val="0"/>
                      <w:bCs w:val="0"/>
                      <w:color w:val="auto"/>
                      <w:kern w:val="0"/>
                      <w:sz w:val="21"/>
                      <w:szCs w:val="21"/>
                      <w:highlight w:val="none"/>
                      <w:lang w:val="en-US" w:eastAsia="zh-CN" w:bidi="ar"/>
                    </w:rPr>
                    <w:t>70.73</w:t>
                  </w:r>
                </w:p>
              </w:tc>
              <w:tc>
                <w:tcPr>
                  <w:tcW w:w="961" w:type="pct"/>
                  <w:tcBorders>
                    <w:tl2br w:val="nil"/>
                    <w:tr2bl w:val="nil"/>
                  </w:tcBorders>
                  <w:noWrap w:val="0"/>
                  <w:vAlign w:val="center"/>
                </w:tcPr>
                <w:p w14:paraId="086E646C">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0.349</w:t>
                  </w:r>
                </w:p>
              </w:tc>
              <w:tc>
                <w:tcPr>
                  <w:tcW w:w="1544" w:type="pct"/>
                  <w:tcBorders>
                    <w:tl2br w:val="nil"/>
                    <w:tr2bl w:val="nil"/>
                  </w:tcBorders>
                  <w:noWrap w:val="0"/>
                  <w:vAlign w:val="center"/>
                </w:tcPr>
                <w:p w14:paraId="518D3875">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0.49</w:t>
                  </w:r>
                </w:p>
              </w:tc>
            </w:tr>
            <w:tr w14:paraId="3C48B5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00" w:hRule="atLeast"/>
                <w:jc w:val="center"/>
              </w:trPr>
              <w:tc>
                <w:tcPr>
                  <w:tcW w:w="1475" w:type="pct"/>
                  <w:tcBorders>
                    <w:tl2br w:val="nil"/>
                    <w:tr2bl w:val="nil"/>
                  </w:tcBorders>
                  <w:noWrap w:val="0"/>
                  <w:vAlign w:val="center"/>
                </w:tcPr>
                <w:p w14:paraId="3C2B561F">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kern w:val="0"/>
                      <w:sz w:val="21"/>
                      <w:szCs w:val="21"/>
                      <w:highlight w:val="none"/>
                      <w:lang w:eastAsia="zh-CN" w:bidi="ar"/>
                    </w:rPr>
                  </w:pPr>
                  <w:r>
                    <w:rPr>
                      <w:rFonts w:hint="default" w:ascii="Times New Roman" w:hAnsi="Times New Roman" w:eastAsia="宋体" w:cs="Times New Roman"/>
                      <w:b w:val="0"/>
                      <w:bCs w:val="0"/>
                      <w:color w:val="auto"/>
                      <w:sz w:val="21"/>
                      <w:szCs w:val="21"/>
                      <w:highlight w:val="none"/>
                    </w:rPr>
                    <w:t>灌木林地</w:t>
                  </w:r>
                </w:p>
              </w:tc>
              <w:tc>
                <w:tcPr>
                  <w:tcW w:w="1018" w:type="pct"/>
                  <w:tcBorders>
                    <w:tl2br w:val="nil"/>
                    <w:tr2bl w:val="nil"/>
                  </w:tcBorders>
                  <w:noWrap w:val="0"/>
                  <w:vAlign w:val="center"/>
                </w:tcPr>
                <w:p w14:paraId="11FDB8A6">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15.64</w:t>
                  </w:r>
                </w:p>
              </w:tc>
              <w:tc>
                <w:tcPr>
                  <w:tcW w:w="961" w:type="pct"/>
                  <w:tcBorders>
                    <w:tl2br w:val="nil"/>
                    <w:tr2bl w:val="nil"/>
                  </w:tcBorders>
                  <w:noWrap w:val="0"/>
                  <w:vAlign w:val="center"/>
                </w:tcPr>
                <w:p w14:paraId="3E8523FE">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0.2995</w:t>
                  </w:r>
                </w:p>
              </w:tc>
              <w:tc>
                <w:tcPr>
                  <w:tcW w:w="1544" w:type="pct"/>
                  <w:tcBorders>
                    <w:tl2br w:val="nil"/>
                    <w:tr2bl w:val="nil"/>
                  </w:tcBorders>
                  <w:noWrap w:val="0"/>
                  <w:vAlign w:val="center"/>
                </w:tcPr>
                <w:p w14:paraId="6507D171">
                  <w:pPr>
                    <w:keepNext w:val="0"/>
                    <w:keepLines w:val="0"/>
                    <w:widowControl/>
                    <w:suppressLineNumbers w:val="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1.91</w:t>
                  </w:r>
                </w:p>
              </w:tc>
            </w:tr>
            <w:tr w14:paraId="0BA47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7B20544E">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耕地</w:t>
                  </w:r>
                </w:p>
              </w:tc>
              <w:tc>
                <w:tcPr>
                  <w:tcW w:w="1018" w:type="pct"/>
                  <w:tcBorders>
                    <w:tl2br w:val="nil"/>
                    <w:tr2bl w:val="nil"/>
                  </w:tcBorders>
                  <w:noWrap w:val="0"/>
                  <w:vAlign w:val="center"/>
                </w:tcPr>
                <w:p w14:paraId="1C364055">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4.08</w:t>
                  </w:r>
                </w:p>
              </w:tc>
              <w:tc>
                <w:tcPr>
                  <w:tcW w:w="961" w:type="pct"/>
                  <w:tcBorders>
                    <w:tl2br w:val="nil"/>
                    <w:tr2bl w:val="nil"/>
                  </w:tcBorders>
                  <w:noWrap w:val="0"/>
                  <w:vAlign w:val="center"/>
                </w:tcPr>
                <w:p w14:paraId="2D79A173">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0.0609</w:t>
                  </w:r>
                </w:p>
              </w:tc>
              <w:tc>
                <w:tcPr>
                  <w:tcW w:w="1544" w:type="pct"/>
                  <w:tcBorders>
                    <w:tl2br w:val="nil"/>
                    <w:tr2bl w:val="nil"/>
                  </w:tcBorders>
                  <w:noWrap w:val="0"/>
                  <w:vAlign w:val="center"/>
                </w:tcPr>
                <w:p w14:paraId="01DE1214">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1.49</w:t>
                  </w:r>
                </w:p>
              </w:tc>
            </w:tr>
            <w:tr w14:paraId="7B84F5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6B8CF514">
                  <w:pPr>
                    <w:keepNext w:val="0"/>
                    <w:keepLines w:val="0"/>
                    <w:pageBreakBefore w:val="0"/>
                    <w:widowControl/>
                    <w:kinsoku/>
                    <w:wordWrap/>
                    <w:overflowPunct/>
                    <w:topLinePunct w:val="0"/>
                    <w:autoSpaceDE/>
                    <w:autoSpaceDN/>
                    <w:bidi w:val="0"/>
                    <w:adjustRightInd w:val="0"/>
                    <w:snapToGrid w:val="0"/>
                    <w:jc w:val="center"/>
                    <w:textAlignment w:val="center"/>
                    <w:rPr>
                      <w:rFonts w:hint="eastAsia"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草地</w:t>
                  </w:r>
                </w:p>
              </w:tc>
              <w:tc>
                <w:tcPr>
                  <w:tcW w:w="1018" w:type="pct"/>
                  <w:tcBorders>
                    <w:tl2br w:val="nil"/>
                    <w:tr2bl w:val="nil"/>
                  </w:tcBorders>
                  <w:noWrap w:val="0"/>
                  <w:vAlign w:val="center"/>
                </w:tcPr>
                <w:p w14:paraId="0EB38801">
                  <w:pPr>
                    <w:keepNext w:val="0"/>
                    <w:keepLines w:val="0"/>
                    <w:widowControl/>
                    <w:suppressLineNumbers w:val="0"/>
                    <w:jc w:val="center"/>
                    <w:textAlignment w:val="cente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6.12</w:t>
                  </w:r>
                </w:p>
              </w:tc>
              <w:tc>
                <w:tcPr>
                  <w:tcW w:w="961" w:type="pct"/>
                  <w:tcBorders>
                    <w:tl2br w:val="nil"/>
                    <w:tr2bl w:val="nil"/>
                  </w:tcBorders>
                  <w:noWrap w:val="0"/>
                  <w:vAlign w:val="center"/>
                </w:tcPr>
                <w:p w14:paraId="19D86D97">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0.2588</w:t>
                  </w:r>
                </w:p>
              </w:tc>
              <w:tc>
                <w:tcPr>
                  <w:tcW w:w="1544" w:type="pct"/>
                  <w:tcBorders>
                    <w:tl2br w:val="nil"/>
                    <w:tr2bl w:val="nil"/>
                  </w:tcBorders>
                  <w:noWrap w:val="0"/>
                  <w:vAlign w:val="center"/>
                </w:tcPr>
                <w:p w14:paraId="311AE2FD">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4.23</w:t>
                  </w:r>
                </w:p>
              </w:tc>
            </w:tr>
            <w:tr w14:paraId="00D0C6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1475" w:type="pct"/>
                  <w:tcBorders>
                    <w:tl2br w:val="nil"/>
                    <w:tr2bl w:val="nil"/>
                  </w:tcBorders>
                  <w:noWrap w:val="0"/>
                  <w:vAlign w:val="center"/>
                </w:tcPr>
                <w:p w14:paraId="73E0C1D3">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Times New Roman" w:hAnsi="Times New Roman" w:eastAsia="宋体"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其他土地</w:t>
                  </w:r>
                </w:p>
              </w:tc>
              <w:tc>
                <w:tcPr>
                  <w:tcW w:w="1018" w:type="pct"/>
                  <w:tcBorders>
                    <w:tl2br w:val="nil"/>
                    <w:tr2bl w:val="nil"/>
                  </w:tcBorders>
                  <w:noWrap w:val="0"/>
                  <w:vAlign w:val="center"/>
                </w:tcPr>
                <w:p w14:paraId="44EF0B00">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1.69</w:t>
                  </w:r>
                </w:p>
              </w:tc>
              <w:tc>
                <w:tcPr>
                  <w:tcW w:w="961" w:type="pct"/>
                  <w:tcBorders>
                    <w:tl2br w:val="nil"/>
                    <w:tr2bl w:val="nil"/>
                  </w:tcBorders>
                  <w:noWrap w:val="0"/>
                  <w:vAlign w:val="center"/>
                </w:tcPr>
                <w:p w14:paraId="475970D1">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0.3253</w:t>
                  </w:r>
                </w:p>
              </w:tc>
              <w:tc>
                <w:tcPr>
                  <w:tcW w:w="1544" w:type="pct"/>
                  <w:tcBorders>
                    <w:tl2br w:val="nil"/>
                    <w:tr2bl w:val="nil"/>
                  </w:tcBorders>
                  <w:noWrap w:val="0"/>
                  <w:vAlign w:val="center"/>
                </w:tcPr>
                <w:p w14:paraId="031771A0">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19.25</w:t>
                  </w:r>
                </w:p>
              </w:tc>
            </w:tr>
            <w:tr w14:paraId="5EB070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00" w:hRule="atLeast"/>
                <w:jc w:val="center"/>
              </w:trPr>
              <w:tc>
                <w:tcPr>
                  <w:tcW w:w="1475" w:type="pct"/>
                  <w:tcBorders>
                    <w:tl2br w:val="nil"/>
                    <w:tr2bl w:val="nil"/>
                  </w:tcBorders>
                  <w:noWrap w:val="0"/>
                  <w:vAlign w:val="center"/>
                </w:tcPr>
                <w:p w14:paraId="22CA3E3F">
                  <w:pPr>
                    <w:keepNext w:val="0"/>
                    <w:keepLines w:val="0"/>
                    <w:pageBreakBefore w:val="0"/>
                    <w:widowControl/>
                    <w:kinsoku/>
                    <w:wordWrap/>
                    <w:overflowPunct/>
                    <w:topLinePunct w:val="0"/>
                    <w:autoSpaceDE/>
                    <w:autoSpaceDN/>
                    <w:bidi w:val="0"/>
                    <w:adjustRightInd w:val="0"/>
                    <w:snapToGrid w:val="0"/>
                    <w:jc w:val="center"/>
                    <w:textAlignment w:val="center"/>
                    <w:rPr>
                      <w:rFonts w:hint="eastAsia" w:cs="Times New Roman"/>
                      <w:b w:val="0"/>
                      <w:bCs w:val="0"/>
                      <w:color w:val="auto"/>
                      <w:sz w:val="21"/>
                      <w:szCs w:val="21"/>
                      <w:highlight w:val="none"/>
                      <w:lang w:eastAsia="zh-CN"/>
                    </w:rPr>
                  </w:pPr>
                  <w:r>
                    <w:rPr>
                      <w:rFonts w:hint="eastAsia" w:cs="Times New Roman"/>
                      <w:b w:val="0"/>
                      <w:bCs w:val="0"/>
                      <w:color w:val="auto"/>
                      <w:sz w:val="21"/>
                      <w:szCs w:val="21"/>
                      <w:highlight w:val="none"/>
                      <w:lang w:eastAsia="zh-CN"/>
                    </w:rPr>
                    <w:t>合计</w:t>
                  </w:r>
                </w:p>
              </w:tc>
              <w:tc>
                <w:tcPr>
                  <w:tcW w:w="1018" w:type="pct"/>
                  <w:tcBorders>
                    <w:tl2br w:val="nil"/>
                    <w:tr2bl w:val="nil"/>
                  </w:tcBorders>
                  <w:noWrap w:val="0"/>
                  <w:vAlign w:val="center"/>
                </w:tcPr>
                <w:p w14:paraId="506273D7">
                  <w:pPr>
                    <w:keepNext w:val="0"/>
                    <w:keepLines w:val="0"/>
                    <w:widowControl/>
                    <w:suppressLineNumbers w:val="0"/>
                    <w:jc w:val="center"/>
                    <w:textAlignment w:val="center"/>
                    <w:rPr>
                      <w:rFonts w:hint="default" w:ascii="Times New Roman Regular" w:hAnsi="Times New Roman Regular" w:eastAsia="Times New Roman Regular" w:cs="Times New Roman Regular"/>
                      <w:b w:val="0"/>
                      <w:bCs w:val="0"/>
                      <w:i w:val="0"/>
                      <w:iCs w:val="0"/>
                      <w:color w:val="auto"/>
                      <w:sz w:val="20"/>
                      <w:szCs w:val="20"/>
                      <w:u w:val="none"/>
                      <w:lang w:val="en-US" w:eastAsia="zh-CN" w:bidi="ar-SA"/>
                    </w:rPr>
                  </w:pPr>
                  <w:r>
                    <w:rPr>
                      <w:rFonts w:hint="eastAsia" w:ascii="Times New Roman Regular" w:hAnsi="Times New Roman Regular" w:eastAsia="Times New Roman Regular" w:cs="Times New Roman Regular"/>
                      <w:b w:val="0"/>
                      <w:bCs w:val="0"/>
                      <w:i w:val="0"/>
                      <w:iCs w:val="0"/>
                      <w:color w:val="auto"/>
                      <w:sz w:val="20"/>
                      <w:szCs w:val="20"/>
                      <w:u w:val="none"/>
                      <w:lang w:val="en-US" w:eastAsia="zh-CN" w:bidi="ar-SA"/>
                    </w:rPr>
                    <w:t>98.26</w:t>
                  </w:r>
                </w:p>
              </w:tc>
              <w:tc>
                <w:tcPr>
                  <w:tcW w:w="961" w:type="pct"/>
                  <w:tcBorders>
                    <w:tl2br w:val="nil"/>
                    <w:tr2bl w:val="nil"/>
                  </w:tcBorders>
                  <w:noWrap w:val="0"/>
                  <w:vAlign w:val="center"/>
                </w:tcPr>
                <w:p w14:paraId="0CB1D41C">
                  <w:pPr>
                    <w:keepNext w:val="0"/>
                    <w:keepLines w:val="0"/>
                    <w:pageBreakBefore w:val="0"/>
                    <w:widowControl/>
                    <w:kinsoku/>
                    <w:wordWrap/>
                    <w:overflowPunct/>
                    <w:topLinePunct w:val="0"/>
                    <w:autoSpaceDE/>
                    <w:autoSpaceDN/>
                    <w:bidi w:val="0"/>
                    <w:adjustRightInd w:val="0"/>
                    <w:snapToGrid w:val="0"/>
                    <w:jc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1.2935</w:t>
                  </w:r>
                </w:p>
              </w:tc>
              <w:tc>
                <w:tcPr>
                  <w:tcW w:w="1544" w:type="pct"/>
                  <w:tcBorders>
                    <w:tl2br w:val="nil"/>
                    <w:tr2bl w:val="nil"/>
                  </w:tcBorders>
                  <w:noWrap w:val="0"/>
                  <w:vAlign w:val="center"/>
                </w:tcPr>
                <w:p w14:paraId="73276FA5">
                  <w:pPr>
                    <w:keepNext w:val="0"/>
                    <w:keepLines w:val="0"/>
                    <w:widowControl/>
                    <w:suppressLineNumbers w:val="0"/>
                    <w:jc w:val="center"/>
                    <w:textAlignment w:val="center"/>
                    <w:rPr>
                      <w:rFonts w:hint="default"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1.32</w:t>
                  </w:r>
                </w:p>
              </w:tc>
            </w:tr>
          </w:tbl>
          <w:p w14:paraId="45F263AD">
            <w:pPr>
              <w:keepNext w:val="0"/>
              <w:keepLines w:val="0"/>
              <w:pageBreakBefore w:val="0"/>
              <w:widowControl w:val="0"/>
              <w:wordWrap/>
              <w:overflowPunct/>
              <w:topLinePunct w:val="0"/>
              <w:bidi w:val="0"/>
              <w:adjustRightInd w:val="0"/>
              <w:snapToGrid w:val="0"/>
              <w:ind w:left="0" w:leftChars="0" w:firstLine="480" w:firstLineChars="200"/>
              <w:textAlignment w:val="auto"/>
              <w:rPr>
                <w:rFonts w:ascii="Times New Roman" w:hAnsi="Times New Roman" w:cs="Times New Roman"/>
                <w:color w:val="auto"/>
                <w:highlight w:val="none"/>
              </w:rPr>
            </w:pPr>
            <w:r>
              <w:rPr>
                <w:rFonts w:ascii="Times New Roman" w:hAnsi="Times New Roman" w:eastAsia="宋体" w:cs="Times New Roman"/>
                <w:color w:val="auto"/>
                <w:sz w:val="24"/>
                <w:szCs w:val="24"/>
                <w:highlight w:val="none"/>
              </w:rPr>
              <w:t>工程</w:t>
            </w:r>
            <w:r>
              <w:rPr>
                <w:rFonts w:hint="eastAsia" w:eastAsia="宋体" w:cs="Times New Roman"/>
                <w:color w:val="auto"/>
                <w:sz w:val="24"/>
                <w:szCs w:val="24"/>
                <w:highlight w:val="none"/>
                <w:lang w:eastAsia="zh-CN"/>
              </w:rPr>
              <w:t>临时</w:t>
            </w:r>
            <w:r>
              <w:rPr>
                <w:rFonts w:ascii="Times New Roman" w:hAnsi="Times New Roman" w:eastAsia="宋体" w:cs="Times New Roman"/>
                <w:color w:val="auto"/>
                <w:sz w:val="24"/>
                <w:szCs w:val="24"/>
                <w:highlight w:val="none"/>
              </w:rPr>
              <w:t>占用</w:t>
            </w:r>
            <w:r>
              <w:rPr>
                <w:rFonts w:hint="eastAsia" w:ascii="Times New Roman" w:hAnsi="Times New Roman" w:eastAsia="宋体" w:cs="Times New Roman"/>
                <w:color w:val="auto"/>
                <w:sz w:val="24"/>
                <w:szCs w:val="24"/>
                <w:highlight w:val="none"/>
              </w:rPr>
              <w:t>乔木林地面积</w:t>
            </w:r>
            <w:r>
              <w:rPr>
                <w:rFonts w:hint="eastAsia" w:eastAsia="宋体" w:cs="Times New Roman"/>
                <w:color w:val="auto"/>
                <w:sz w:val="24"/>
                <w:szCs w:val="24"/>
                <w:highlight w:val="none"/>
                <w:lang w:val="en-US" w:eastAsia="zh-CN"/>
              </w:rPr>
              <w:t>0.349</w:t>
            </w:r>
            <w:r>
              <w:rPr>
                <w:rFonts w:hint="eastAsia" w:ascii="Times New Roman" w:hAnsi="Times New Roman" w:eastAsia="宋体" w:cs="Times New Roman"/>
                <w:color w:val="auto"/>
                <w:sz w:val="24"/>
                <w:szCs w:val="24"/>
                <w:highlight w:val="none"/>
              </w:rPr>
              <w:t>hm²，占评价区同类型土地利用面积的</w:t>
            </w:r>
            <w:r>
              <w:rPr>
                <w:rFonts w:hint="eastAsia" w:eastAsia="宋体" w:cs="Times New Roman"/>
                <w:color w:val="auto"/>
                <w:sz w:val="24"/>
                <w:szCs w:val="24"/>
                <w:highlight w:val="none"/>
                <w:lang w:val="en-US" w:eastAsia="zh-CN"/>
              </w:rPr>
              <w:t>0.49</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w:t>
            </w:r>
            <w:r>
              <w:rPr>
                <w:rFonts w:hint="eastAsia" w:eastAsia="宋体" w:cs="Times New Roman"/>
                <w:color w:val="auto"/>
                <w:sz w:val="24"/>
                <w:szCs w:val="24"/>
                <w:highlight w:val="none"/>
                <w:lang w:eastAsia="zh-CN"/>
              </w:rPr>
              <w:t>临时</w:t>
            </w:r>
            <w:r>
              <w:rPr>
                <w:rFonts w:hint="eastAsia" w:ascii="Times New Roman" w:hAnsi="Times New Roman" w:eastAsia="宋体" w:cs="Times New Roman"/>
                <w:color w:val="auto"/>
                <w:sz w:val="24"/>
                <w:szCs w:val="24"/>
                <w:highlight w:val="none"/>
              </w:rPr>
              <w:t>占用灌木</w:t>
            </w:r>
            <w:r>
              <w:rPr>
                <w:rFonts w:ascii="Times New Roman" w:hAnsi="Times New Roman" w:eastAsia="宋体" w:cs="Times New Roman"/>
                <w:color w:val="auto"/>
                <w:sz w:val="24"/>
                <w:szCs w:val="24"/>
                <w:highlight w:val="none"/>
              </w:rPr>
              <w:t>林地面积</w:t>
            </w:r>
            <w:r>
              <w:rPr>
                <w:rFonts w:hint="eastAsia" w:eastAsia="宋体" w:cs="Times New Roman"/>
                <w:color w:val="auto"/>
                <w:sz w:val="24"/>
                <w:szCs w:val="24"/>
                <w:highlight w:val="none"/>
                <w:lang w:val="en-US" w:eastAsia="zh-CN"/>
              </w:rPr>
              <w:t>0.2995</w:t>
            </w:r>
            <w:r>
              <w:rPr>
                <w:rFonts w:ascii="Times New Roman" w:hAnsi="Times New Roman" w:eastAsia="宋体" w:cs="Times New Roman"/>
                <w:color w:val="auto"/>
                <w:sz w:val="24"/>
                <w:szCs w:val="24"/>
                <w:highlight w:val="none"/>
              </w:rPr>
              <w:t>hm²，占评价区同类型土地利用面积的</w:t>
            </w:r>
            <w:r>
              <w:rPr>
                <w:rFonts w:hint="eastAsia" w:eastAsia="宋体" w:cs="Times New Roman"/>
                <w:color w:val="auto"/>
                <w:sz w:val="24"/>
                <w:szCs w:val="24"/>
                <w:highlight w:val="none"/>
                <w:lang w:val="en-US" w:eastAsia="zh-CN"/>
              </w:rPr>
              <w:t>1.91</w:t>
            </w:r>
            <w:r>
              <w:rPr>
                <w:rFonts w:ascii="Times New Roman" w:hAnsi="Times New Roman" w:eastAsia="宋体" w:cs="Times New Roman"/>
                <w:color w:val="auto"/>
                <w:sz w:val="24"/>
                <w:szCs w:val="24"/>
                <w:highlight w:val="none"/>
              </w:rPr>
              <w:t>%</w:t>
            </w:r>
            <w:r>
              <w:rPr>
                <w:rFonts w:hint="eastAsia" w:eastAsia="宋体" w:cs="Times New Roman"/>
                <w:color w:val="auto"/>
                <w:sz w:val="24"/>
                <w:szCs w:val="24"/>
                <w:highlight w:val="none"/>
                <w:lang w:eastAsia="zh-CN"/>
              </w:rPr>
              <w:t>；临时</w:t>
            </w:r>
            <w:r>
              <w:rPr>
                <w:rFonts w:hint="eastAsia" w:ascii="Times New Roman" w:hAnsi="Times New Roman" w:eastAsia="宋体" w:cs="Times New Roman"/>
                <w:color w:val="auto"/>
                <w:sz w:val="24"/>
                <w:szCs w:val="24"/>
                <w:highlight w:val="none"/>
              </w:rPr>
              <w:t>占用</w:t>
            </w:r>
            <w:r>
              <w:rPr>
                <w:rFonts w:hint="eastAsia" w:eastAsia="宋体" w:cs="Times New Roman"/>
                <w:color w:val="auto"/>
                <w:sz w:val="24"/>
                <w:szCs w:val="24"/>
                <w:highlight w:val="none"/>
                <w:lang w:eastAsia="zh-CN"/>
              </w:rPr>
              <w:t>耕地</w:t>
            </w:r>
            <w:r>
              <w:rPr>
                <w:rFonts w:ascii="Times New Roman" w:hAnsi="Times New Roman" w:eastAsia="宋体" w:cs="Times New Roman"/>
                <w:color w:val="auto"/>
                <w:sz w:val="24"/>
                <w:szCs w:val="24"/>
                <w:highlight w:val="none"/>
              </w:rPr>
              <w:t>面积</w:t>
            </w:r>
            <w:r>
              <w:rPr>
                <w:rFonts w:hint="eastAsia" w:eastAsia="宋体" w:cs="Times New Roman"/>
                <w:color w:val="auto"/>
                <w:sz w:val="24"/>
                <w:szCs w:val="24"/>
                <w:highlight w:val="none"/>
                <w:lang w:val="en-US" w:eastAsia="zh-CN"/>
              </w:rPr>
              <w:t>0.0609</w:t>
            </w:r>
            <w:r>
              <w:rPr>
                <w:rFonts w:ascii="Times New Roman" w:hAnsi="Times New Roman" w:eastAsia="宋体" w:cs="Times New Roman"/>
                <w:color w:val="auto"/>
                <w:sz w:val="24"/>
                <w:szCs w:val="24"/>
                <w:highlight w:val="none"/>
              </w:rPr>
              <w:t>hm²，占评价区同类型土地利用面积的</w:t>
            </w:r>
            <w:r>
              <w:rPr>
                <w:rFonts w:hint="eastAsia" w:eastAsia="宋体" w:cs="Times New Roman"/>
                <w:color w:val="auto"/>
                <w:sz w:val="24"/>
                <w:szCs w:val="24"/>
                <w:highlight w:val="none"/>
                <w:lang w:val="en-US" w:eastAsia="zh-CN"/>
              </w:rPr>
              <w:t>1.49</w:t>
            </w:r>
            <w:r>
              <w:rPr>
                <w:rFonts w:ascii="Times New Roman" w:hAnsi="Times New Roman" w:eastAsia="宋体" w:cs="Times New Roman"/>
                <w:color w:val="auto"/>
                <w:sz w:val="24"/>
                <w:szCs w:val="24"/>
                <w:highlight w:val="none"/>
              </w:rPr>
              <w:t>%</w:t>
            </w:r>
            <w:r>
              <w:rPr>
                <w:rFonts w:hint="eastAsia" w:eastAsia="宋体" w:cs="Times New Roman"/>
                <w:color w:val="auto"/>
                <w:sz w:val="24"/>
                <w:szCs w:val="24"/>
                <w:highlight w:val="none"/>
                <w:lang w:eastAsia="zh-CN"/>
              </w:rPr>
              <w:t>；临时</w:t>
            </w:r>
            <w:r>
              <w:rPr>
                <w:rFonts w:hint="eastAsia" w:ascii="Times New Roman" w:hAnsi="Times New Roman" w:eastAsia="宋体" w:cs="Times New Roman"/>
                <w:color w:val="auto"/>
                <w:sz w:val="24"/>
                <w:szCs w:val="24"/>
                <w:highlight w:val="none"/>
              </w:rPr>
              <w:t>占用</w:t>
            </w:r>
            <w:r>
              <w:rPr>
                <w:rFonts w:hint="eastAsia" w:eastAsia="宋体" w:cs="Times New Roman"/>
                <w:color w:val="auto"/>
                <w:sz w:val="24"/>
                <w:szCs w:val="24"/>
                <w:highlight w:val="none"/>
                <w:lang w:eastAsia="zh-CN"/>
              </w:rPr>
              <w:t>草地</w:t>
            </w:r>
            <w:r>
              <w:rPr>
                <w:rFonts w:ascii="Times New Roman" w:hAnsi="Times New Roman" w:eastAsia="宋体" w:cs="Times New Roman"/>
                <w:color w:val="auto"/>
                <w:sz w:val="24"/>
                <w:szCs w:val="24"/>
                <w:highlight w:val="none"/>
              </w:rPr>
              <w:t>面积</w:t>
            </w:r>
            <w:r>
              <w:rPr>
                <w:rFonts w:hint="eastAsia" w:eastAsia="宋体" w:cs="Times New Roman"/>
                <w:color w:val="auto"/>
                <w:sz w:val="24"/>
                <w:szCs w:val="24"/>
                <w:highlight w:val="none"/>
                <w:lang w:val="en-US" w:eastAsia="zh-CN"/>
              </w:rPr>
              <w:t>0.2588</w:t>
            </w:r>
            <w:r>
              <w:rPr>
                <w:rFonts w:ascii="Times New Roman" w:hAnsi="Times New Roman" w:eastAsia="宋体" w:cs="Times New Roman"/>
                <w:color w:val="auto"/>
                <w:sz w:val="24"/>
                <w:szCs w:val="24"/>
                <w:highlight w:val="none"/>
              </w:rPr>
              <w:t>hm²，占评价区同类型土地利用面积的</w:t>
            </w:r>
            <w:r>
              <w:rPr>
                <w:rFonts w:hint="eastAsia" w:eastAsia="宋体" w:cs="Times New Roman"/>
                <w:color w:val="auto"/>
                <w:sz w:val="24"/>
                <w:szCs w:val="24"/>
                <w:highlight w:val="none"/>
                <w:lang w:val="en-US" w:eastAsia="zh-CN"/>
              </w:rPr>
              <w:t>4.23</w:t>
            </w:r>
            <w:r>
              <w:rPr>
                <w:rFonts w:ascii="Times New Roman" w:hAnsi="Times New Roman" w:eastAsia="宋体" w:cs="Times New Roman"/>
                <w:color w:val="auto"/>
                <w:sz w:val="24"/>
                <w:szCs w:val="24"/>
                <w:highlight w:val="none"/>
              </w:rPr>
              <w:t>%</w:t>
            </w:r>
            <w:r>
              <w:rPr>
                <w:rFonts w:hint="eastAsia" w:eastAsia="宋体" w:cs="Times New Roman"/>
                <w:color w:val="auto"/>
                <w:sz w:val="24"/>
                <w:szCs w:val="24"/>
                <w:highlight w:val="none"/>
                <w:lang w:eastAsia="zh-CN"/>
              </w:rPr>
              <w:t>；临时</w:t>
            </w:r>
            <w:r>
              <w:rPr>
                <w:rFonts w:hint="eastAsia" w:ascii="Times New Roman" w:hAnsi="Times New Roman" w:eastAsia="宋体" w:cs="Times New Roman"/>
                <w:color w:val="auto"/>
                <w:sz w:val="24"/>
                <w:szCs w:val="24"/>
                <w:highlight w:val="none"/>
              </w:rPr>
              <w:t>占用</w:t>
            </w:r>
            <w:r>
              <w:rPr>
                <w:rFonts w:hint="eastAsia" w:eastAsia="宋体" w:cs="Times New Roman"/>
                <w:color w:val="auto"/>
                <w:sz w:val="24"/>
                <w:szCs w:val="24"/>
                <w:highlight w:val="none"/>
                <w:lang w:eastAsia="zh-CN"/>
              </w:rPr>
              <w:t>其他土地</w:t>
            </w:r>
            <w:r>
              <w:rPr>
                <w:rFonts w:ascii="Times New Roman" w:hAnsi="Times New Roman" w:eastAsia="宋体" w:cs="Times New Roman"/>
                <w:color w:val="auto"/>
                <w:sz w:val="24"/>
                <w:szCs w:val="24"/>
                <w:highlight w:val="none"/>
              </w:rPr>
              <w:t>面积</w:t>
            </w:r>
            <w:r>
              <w:rPr>
                <w:rFonts w:hint="eastAsia" w:eastAsia="宋体" w:cs="Times New Roman"/>
                <w:color w:val="auto"/>
                <w:sz w:val="24"/>
                <w:szCs w:val="24"/>
                <w:highlight w:val="none"/>
                <w:lang w:val="en-US" w:eastAsia="zh-CN"/>
              </w:rPr>
              <w:t>0.3253</w:t>
            </w:r>
            <w:r>
              <w:rPr>
                <w:rFonts w:ascii="Times New Roman" w:hAnsi="Times New Roman" w:eastAsia="宋体" w:cs="Times New Roman"/>
                <w:color w:val="auto"/>
                <w:sz w:val="24"/>
                <w:szCs w:val="24"/>
                <w:highlight w:val="none"/>
              </w:rPr>
              <w:t>hm²，占评价区同类型土地利用面积的</w:t>
            </w:r>
            <w:r>
              <w:rPr>
                <w:rFonts w:hint="eastAsia" w:eastAsia="宋体" w:cs="Times New Roman"/>
                <w:color w:val="auto"/>
                <w:sz w:val="24"/>
                <w:szCs w:val="24"/>
                <w:highlight w:val="none"/>
                <w:lang w:val="en-US" w:eastAsia="zh-CN"/>
              </w:rPr>
              <w:t>19.25</w:t>
            </w:r>
            <w:r>
              <w:rPr>
                <w:rFonts w:ascii="Times New Roman" w:hAnsi="Times New Roman" w:eastAsia="宋体" w:cs="Times New Roman"/>
                <w:color w:val="auto"/>
                <w:sz w:val="24"/>
                <w:szCs w:val="24"/>
                <w:highlight w:val="none"/>
              </w:rPr>
              <w:t>%</w:t>
            </w:r>
            <w:r>
              <w:rPr>
                <w:rFonts w:hint="eastAsia"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所占用</w:t>
            </w:r>
            <w:r>
              <w:rPr>
                <w:rFonts w:hint="eastAsia" w:ascii="Times New Roman" w:hAnsi="Times New Roman" w:eastAsia="宋体" w:cs="Times New Roman"/>
                <w:color w:val="auto"/>
                <w:sz w:val="24"/>
                <w:szCs w:val="24"/>
                <w:highlight w:val="none"/>
                <w:lang w:val="en-US" w:eastAsia="zh-CN"/>
              </w:rPr>
              <w:t>林地</w:t>
            </w:r>
            <w:r>
              <w:rPr>
                <w:rFonts w:ascii="Times New Roman" w:hAnsi="Times New Roman" w:eastAsia="宋体" w:cs="Times New Roman"/>
                <w:color w:val="auto"/>
                <w:sz w:val="24"/>
                <w:szCs w:val="24"/>
                <w:highlight w:val="none"/>
              </w:rPr>
              <w:t>的比例均较小，</w:t>
            </w:r>
            <w:r>
              <w:rPr>
                <w:rFonts w:ascii="Times New Roman" w:hAnsi="Times New Roman" w:eastAsia="宋体" w:cs="Times New Roman"/>
                <w:color w:val="auto"/>
                <w:sz w:val="24"/>
                <w:szCs w:val="24"/>
              </w:rPr>
              <w:t>且工程施工期较短，施工期占地影响具有暂时性，工程临时性占地在工程竣工后可通过一定恢复</w:t>
            </w:r>
            <w:r>
              <w:rPr>
                <w:rFonts w:hint="eastAsia" w:ascii="Times New Roman" w:hAnsi="Times New Roman" w:eastAsia="宋体" w:cs="Times New Roman"/>
                <w:color w:val="auto"/>
                <w:sz w:val="24"/>
                <w:szCs w:val="24"/>
                <w:lang w:val="en-US" w:eastAsia="zh-CN"/>
              </w:rPr>
              <w:t>措施</w:t>
            </w:r>
            <w:r>
              <w:rPr>
                <w:rFonts w:ascii="Times New Roman" w:hAnsi="Times New Roman" w:eastAsia="宋体" w:cs="Times New Roman"/>
                <w:color w:val="auto"/>
                <w:sz w:val="24"/>
                <w:szCs w:val="24"/>
              </w:rPr>
              <w:t>使其保有一定的植被覆盖率或恢复成</w:t>
            </w:r>
            <w:r>
              <w:rPr>
                <w:rFonts w:hint="eastAsia" w:ascii="Times New Roman" w:hAnsi="Times New Roman" w:eastAsia="宋体" w:cs="Times New Roman"/>
                <w:color w:val="auto"/>
                <w:sz w:val="24"/>
                <w:szCs w:val="24"/>
                <w:lang w:val="en-US" w:eastAsia="zh-CN"/>
              </w:rPr>
              <w:t>林地</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经生态恢复后影响不大</w:t>
            </w:r>
            <w:r>
              <w:rPr>
                <w:rFonts w:ascii="Times New Roman" w:hAnsi="Times New Roman" w:eastAsia="宋体" w:cs="Times New Roman"/>
                <w:color w:val="auto"/>
                <w:sz w:val="24"/>
                <w:szCs w:val="24"/>
              </w:rPr>
              <w:t>。</w:t>
            </w:r>
          </w:p>
          <w:p w14:paraId="6E2DEDFD">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4.2.5.2</w:t>
            </w:r>
            <w:r>
              <w:rPr>
                <w:rFonts w:ascii="Times New Roman" w:hAnsi="Times New Roman" w:cs="Times New Roman"/>
                <w:b/>
                <w:bCs/>
                <w:color w:val="auto"/>
                <w:highlight w:val="none"/>
              </w:rPr>
              <w:t>对植被及植物的影响</w:t>
            </w:r>
          </w:p>
          <w:p w14:paraId="5AE844E8">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拟建项目对生态环境的直接影响主要是施工期的影响。施工期对生态环境影响和破坏的途径主要是工程占用和分割土地，使沿线植被覆盖率降低；新修道路，弃土占地，破坏土壤结构和肥力；工程活动扰动了自然的生态平衡，对沿线植被的生存将产生一定的不利影响。</w:t>
            </w:r>
          </w:p>
          <w:p w14:paraId="29751C18">
            <w:pPr>
              <w:keepNext w:val="0"/>
              <w:keepLines w:val="0"/>
              <w:pageBreakBefore w:val="0"/>
              <w:widowControl w:val="0"/>
              <w:wordWrap/>
              <w:overflowPunct/>
              <w:topLinePunct w:val="0"/>
              <w:bidi w:val="0"/>
              <w:adjustRightInd w:val="0"/>
              <w:snapToGrid w:val="0"/>
              <w:textAlignment w:val="auto"/>
              <w:rPr>
                <w:rFonts w:hint="eastAsia" w:ascii="Times New Roman" w:hAnsi="Times New Roman" w:eastAsia="宋体" w:cs="Times New Roman"/>
                <w:b/>
                <w:bCs/>
                <w:color w:val="auto"/>
                <w:highlight w:val="none"/>
                <w:lang w:eastAsia="zh-CN"/>
              </w:rPr>
            </w:pPr>
            <w:r>
              <w:rPr>
                <w:rFonts w:hint="eastAsia" w:cs="Times New Roman"/>
                <w:b/>
                <w:bCs/>
                <w:color w:val="auto"/>
                <w:highlight w:val="none"/>
                <w:lang w:eastAsia="zh-CN"/>
              </w:rPr>
              <w:t>（</w:t>
            </w:r>
            <w:r>
              <w:rPr>
                <w:rFonts w:hint="eastAsia" w:cs="Times New Roman"/>
                <w:b/>
                <w:bCs/>
                <w:color w:val="auto"/>
                <w:highlight w:val="none"/>
                <w:lang w:val="en-US" w:eastAsia="zh-CN"/>
              </w:rPr>
              <w:t>1</w:t>
            </w:r>
            <w:r>
              <w:rPr>
                <w:rFonts w:hint="eastAsia" w:cs="Times New Roman"/>
                <w:b/>
                <w:bCs/>
                <w:color w:val="auto"/>
                <w:highlight w:val="none"/>
                <w:lang w:eastAsia="zh-CN"/>
              </w:rPr>
              <w:t>）永久占地的影响</w:t>
            </w:r>
          </w:p>
          <w:p w14:paraId="0CFD287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w:t>
            </w:r>
            <w:r>
              <w:rPr>
                <w:rFonts w:ascii="Times New Roman" w:hAnsi="Times New Roman" w:cs="Times New Roman"/>
                <w:b/>
                <w:bCs/>
                <w:color w:val="auto"/>
                <w:highlight w:val="none"/>
              </w:rPr>
              <w:t>永久占用</w:t>
            </w:r>
            <w:r>
              <w:rPr>
                <w:rFonts w:ascii="Times New Roman" w:hAnsi="Times New Roman" w:cs="Times New Roman"/>
                <w:color w:val="auto"/>
                <w:highlight w:val="none"/>
              </w:rPr>
              <w:t>的植被类型主要为暖温性针叶林和灌丛植被类型，但总的来说，减少的面积占评价区同类植被面积的比例不大，影响有限。再者，本项目工程占用的自然植被属于当地常见的植被类型，工程永久占地的占用仅会使评价区该植被类型面积和数量减少，但不会造成各类植被的消失。</w:t>
            </w:r>
          </w:p>
          <w:p w14:paraId="66A56A9E">
            <w:pPr>
              <w:keepNext w:val="0"/>
              <w:keepLines w:val="0"/>
              <w:pageBreakBefore w:val="0"/>
              <w:widowControl w:val="0"/>
              <w:wordWrap/>
              <w:overflowPunct/>
              <w:topLinePunct w:val="0"/>
              <w:bidi w:val="0"/>
              <w:adjustRightInd w:val="0"/>
              <w:snapToGrid w:val="0"/>
              <w:textAlignment w:val="auto"/>
              <w:rPr>
                <w:rFonts w:hint="eastAsia" w:ascii="Times New Roman" w:hAnsi="Times New Roman" w:eastAsia="宋体" w:cs="Times New Roman"/>
                <w:b/>
                <w:bCs/>
                <w:color w:val="auto"/>
                <w:highlight w:val="none"/>
                <w:lang w:eastAsia="zh-CN"/>
              </w:rPr>
            </w:pPr>
            <w:r>
              <w:rPr>
                <w:rFonts w:hint="eastAsia" w:cs="Times New Roman"/>
                <w:b/>
                <w:bCs/>
                <w:color w:val="auto"/>
                <w:highlight w:val="none"/>
                <w:lang w:eastAsia="zh-CN"/>
              </w:rPr>
              <w:t>（</w:t>
            </w:r>
            <w:r>
              <w:rPr>
                <w:rFonts w:hint="eastAsia" w:cs="Times New Roman"/>
                <w:b/>
                <w:bCs/>
                <w:color w:val="auto"/>
                <w:highlight w:val="none"/>
                <w:lang w:val="en-US" w:eastAsia="zh-CN"/>
              </w:rPr>
              <w:t>2</w:t>
            </w:r>
            <w:r>
              <w:rPr>
                <w:rFonts w:hint="eastAsia" w:cs="Times New Roman"/>
                <w:b/>
                <w:bCs/>
                <w:color w:val="auto"/>
                <w:highlight w:val="none"/>
                <w:lang w:eastAsia="zh-CN"/>
              </w:rPr>
              <w:t>）临时占地的影响</w:t>
            </w:r>
          </w:p>
          <w:p w14:paraId="3C58F8EA">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b/>
                <w:bCs/>
                <w:color w:val="auto"/>
                <w:highlight w:val="none"/>
              </w:rPr>
              <w:t>临时占地</w:t>
            </w:r>
            <w:r>
              <w:rPr>
                <w:rFonts w:ascii="Times New Roman" w:hAnsi="Times New Roman" w:cs="Times New Roman"/>
                <w:color w:val="auto"/>
                <w:highlight w:val="none"/>
              </w:rPr>
              <w:t>造成的植被损失将随着植被措施的落实而得到恢复，其影响随植被逐步恢复而随之减缓或消失，同时对于占用区域植被覆盖率不高，本项目人工植被恢复措施的实施将使这临时占地区域的生态功能得以恢复。工程临时占地造成的植被损失是暂时和局部的，不会造成任何植被类型的消失，影响较小。再者，本项目评价区分布的自然植被属于当地常见的植被类型，工程占用仅会使评价区占用的植被类型面积和数量减少，但不会造成各类植被的消失。</w:t>
            </w:r>
          </w:p>
          <w:p w14:paraId="7FE333E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综上所述，项目对区域植被的影响有限，在环境可接受的范围内。</w:t>
            </w:r>
          </w:p>
          <w:p w14:paraId="12FB9D58">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cs="Times New Roman"/>
                <w:color w:val="auto"/>
                <w:highlight w:val="none"/>
                <w:lang w:val="en-US" w:eastAsia="zh-CN"/>
              </w:rPr>
              <w:t>3</w:t>
            </w:r>
            <w:r>
              <w:rPr>
                <w:rFonts w:ascii="Times New Roman" w:hAnsi="Times New Roman" w:cs="Times New Roman"/>
                <w:color w:val="auto"/>
                <w:highlight w:val="none"/>
              </w:rPr>
              <w:t>）对植物资源的影响</w:t>
            </w:r>
          </w:p>
          <w:p w14:paraId="46254E5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工程对评价区植物区系的影响主要是工程永久占地和临时用地对评价区内植被的直接破坏，这使得其上生活着的植物全部死亡，主要影响植物为华山松、云南松、毛蕨菜等，受影响的植物物种都是本区域的常见种和广布种，并且工程影响到的是植物种群的部分个体，种群的大部分个体在影响区域以外广泛分布，不会导致物种灭绝，也不会改变评价区域的区系性质，不会造成较大的生物多样性流失。因此，经过一定时间，工程对植被及植物的影响将逐步减弱。</w:t>
            </w:r>
          </w:p>
          <w:p w14:paraId="4BFEDA0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cs="Times New Roman"/>
                <w:color w:val="auto"/>
                <w:highlight w:val="none"/>
                <w:lang w:val="en-US" w:eastAsia="zh-CN"/>
              </w:rPr>
              <w:t>4</w:t>
            </w:r>
            <w:r>
              <w:rPr>
                <w:rFonts w:ascii="Times New Roman" w:hAnsi="Times New Roman" w:cs="Times New Roman"/>
                <w:color w:val="auto"/>
                <w:highlight w:val="none"/>
              </w:rPr>
              <w:t>）对保护植物的影响</w:t>
            </w:r>
          </w:p>
          <w:p w14:paraId="7A1747B5">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据野外实地调查，调查期间未发现国家级和省级保护植物分布。</w:t>
            </w:r>
          </w:p>
          <w:p w14:paraId="7C5B672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cs="Times New Roman"/>
                <w:color w:val="auto"/>
                <w:highlight w:val="none"/>
                <w:lang w:val="en-US" w:eastAsia="zh-CN"/>
              </w:rPr>
              <w:t>5</w:t>
            </w:r>
            <w:r>
              <w:rPr>
                <w:rFonts w:ascii="Times New Roman" w:hAnsi="Times New Roman" w:cs="Times New Roman"/>
                <w:color w:val="auto"/>
                <w:highlight w:val="none"/>
              </w:rPr>
              <w:t>）对名木古树的影响</w:t>
            </w:r>
          </w:p>
          <w:p w14:paraId="3CD6F5D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据野外实地调查和相关资料记载，评价区内未发现名木古树。</w:t>
            </w:r>
          </w:p>
          <w:p w14:paraId="4D81DF8D">
            <w:pPr>
              <w:adjustRightInd w:val="0"/>
              <w:snapToGrid w:val="0"/>
              <w:spacing w:line="360" w:lineRule="auto"/>
              <w:ind w:firstLine="482" w:firstLineChars="200"/>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w:t>
            </w:r>
            <w:r>
              <w:rPr>
                <w:rFonts w:hint="eastAsia" w:eastAsia="宋体" w:cs="Times New Roman"/>
                <w:b/>
                <w:bCs/>
                <w:color w:val="auto"/>
                <w:lang w:val="en-US" w:eastAsia="zh-CN"/>
              </w:rPr>
              <w:t>6</w:t>
            </w:r>
            <w:r>
              <w:rPr>
                <w:rFonts w:hint="default" w:ascii="Times New Roman" w:hAnsi="Times New Roman" w:eastAsia="宋体" w:cs="Times New Roman"/>
                <w:b/>
                <w:bCs/>
                <w:color w:val="auto"/>
                <w:lang w:val="en-US" w:eastAsia="zh-CN"/>
              </w:rPr>
              <w:t>）外来入侵种影响分析</w:t>
            </w:r>
          </w:p>
          <w:p w14:paraId="04914F05">
            <w:pPr>
              <w:adjustRightInd w:val="0"/>
              <w:snapToGrid w:val="0"/>
              <w:spacing w:line="360" w:lineRule="auto"/>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本次生态调查</w:t>
            </w:r>
            <w:r>
              <w:rPr>
                <w:rFonts w:hint="eastAsia" w:ascii="Times New Roman" w:hAnsi="Times New Roman" w:eastAsia="宋体" w:cs="Times New Roman"/>
                <w:color w:val="auto"/>
                <w:lang w:val="en-US" w:eastAsia="zh-CN"/>
              </w:rPr>
              <w:t>发现</w:t>
            </w:r>
            <w:r>
              <w:rPr>
                <w:rFonts w:hint="default" w:ascii="Times New Roman" w:hAnsi="Times New Roman" w:eastAsia="宋体" w:cs="Times New Roman"/>
                <w:color w:val="auto"/>
                <w:lang w:val="en-US" w:eastAsia="zh-CN"/>
              </w:rPr>
              <w:t>评价区内分布有</w:t>
            </w:r>
            <w:r>
              <w:rPr>
                <w:rFonts w:hint="default" w:ascii="Times New Roman" w:hAnsi="Times New Roman" w:eastAsia="宋体" w:cs="Times New Roman"/>
                <w:b/>
                <w:bCs/>
                <w:color w:val="auto"/>
                <w:lang w:val="en-US" w:eastAsia="zh-CN"/>
              </w:rPr>
              <w:t>紫茎泽兰</w:t>
            </w:r>
            <w:r>
              <w:rPr>
                <w:rFonts w:hint="default" w:ascii="Times New Roman" w:hAnsi="Times New Roman" w:eastAsia="宋体" w:cs="Times New Roman"/>
                <w:color w:val="auto"/>
                <w:lang w:val="en-US" w:eastAsia="zh-CN"/>
              </w:rPr>
              <w:t>等外来入侵物种。此类物种的分布具有明显的生境偏好性，大多集中于人类活动频繁或地表生境遭受扰动的区域，如道路两侧、耕地、溪流河岸及林缘地带等。上述区域受人为干扰影响，本土植物群落结构完整性被破坏，生存环境稳定性下降，为外来入侵物种的定植、扩散提供了适宜的生存空间；而在群落结构稳定、生态系统功能完善的成熟森林植被内，几乎无外来入侵物种分布。</w:t>
            </w:r>
          </w:p>
          <w:p w14:paraId="4F134466">
            <w:pPr>
              <w:adjustRightInd w:val="0"/>
              <w:snapToGrid w:val="0"/>
              <w:spacing w:line="360" w:lineRule="auto"/>
              <w:ind w:firstLine="480" w:firstLineChars="20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需重点关注的是，评价区水热条件优越，外来入侵物种一旦侵入，若缺乏有效的管控措施，极易在植被群落稳定性较弱的区域快速扩散蔓延，进而挤占本土植物的生存资源，威胁区域生态系统的稳定性。针对这一潜在风险，本工程采取严格的生态管控措施：除永久工程占地外，所有临时占地均在施工结束后开展标准化植被恢复工作；植被恢复过程中严禁引入任何外来物种，植物物种</w:t>
            </w:r>
            <w:r>
              <w:rPr>
                <w:rFonts w:hint="eastAsia" w:ascii="Times New Roman" w:hAnsi="Times New Roman" w:eastAsia="宋体" w:cs="Times New Roman"/>
                <w:color w:val="auto"/>
                <w:lang w:val="en-US" w:eastAsia="zh-CN"/>
              </w:rPr>
              <w:t>以</w:t>
            </w:r>
            <w:r>
              <w:rPr>
                <w:rFonts w:hint="default" w:ascii="Times New Roman" w:hAnsi="Times New Roman" w:eastAsia="宋体" w:cs="Times New Roman"/>
                <w:color w:val="auto"/>
                <w:lang w:val="en-US" w:eastAsia="zh-CN"/>
              </w:rPr>
              <w:t>本乡</w:t>
            </w:r>
            <w:r>
              <w:rPr>
                <w:rFonts w:hint="eastAsia" w:cs="Times New Roman"/>
                <w:color w:val="auto"/>
                <w:lang w:val="en-US" w:eastAsia="zh-CN"/>
              </w:rPr>
              <w:t>本</w:t>
            </w:r>
            <w:r>
              <w:rPr>
                <w:rFonts w:hint="default" w:ascii="Times New Roman" w:hAnsi="Times New Roman" w:eastAsia="宋体" w:cs="Times New Roman"/>
                <w:color w:val="auto"/>
                <w:lang w:val="en-US" w:eastAsia="zh-CN"/>
              </w:rPr>
              <w:t>土树种为主，同时注重乔、灌、草的合理搭配与群落结构优化，构建具有较强抗干扰能力的本土植物群落，从源头降低外来入侵物种的扩散风险，保障区域生态系统的健康稳定。</w:t>
            </w:r>
          </w:p>
          <w:p w14:paraId="34194D0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4.2.5.3</w:t>
            </w:r>
            <w:r>
              <w:rPr>
                <w:rFonts w:ascii="Times New Roman" w:hAnsi="Times New Roman" w:cs="Times New Roman"/>
                <w:b/>
                <w:bCs/>
                <w:color w:val="auto"/>
                <w:highlight w:val="none"/>
              </w:rPr>
              <w:t>对动物资源的影响</w:t>
            </w:r>
          </w:p>
          <w:p w14:paraId="17647A15">
            <w:pPr>
              <w:keepNext w:val="0"/>
              <w:keepLines w:val="0"/>
              <w:pageBreakBefore w:val="0"/>
              <w:widowControl w:val="0"/>
              <w:wordWrap/>
              <w:overflowPunct/>
              <w:topLinePunct w:val="0"/>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（1）对两栖爬行类的影响</w:t>
            </w:r>
          </w:p>
          <w:p w14:paraId="5A3B4316">
            <w:pPr>
              <w:keepNext w:val="0"/>
              <w:keepLines w:val="0"/>
              <w:pageBreakBefore w:val="0"/>
              <w:widowControl w:val="0"/>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两栖动物主要栖息在谷地潮湿区域，项目建设主要在海拔较高的干燥山地，两栖动物分布的</w:t>
            </w:r>
            <w:r>
              <w:rPr>
                <w:rFonts w:hint="eastAsia" w:cs="Times New Roman"/>
                <w:color w:val="auto"/>
                <w:sz w:val="24"/>
                <w:highlight w:val="none"/>
                <w:lang w:eastAsia="zh-CN"/>
              </w:rPr>
              <w:t>种类</w:t>
            </w:r>
            <w:r>
              <w:rPr>
                <w:rFonts w:hint="default" w:ascii="Times New Roman" w:hAnsi="Times New Roman" w:eastAsia="宋体" w:cs="Times New Roman"/>
                <w:color w:val="auto"/>
                <w:sz w:val="24"/>
                <w:highlight w:val="none"/>
              </w:rPr>
              <w:t>和数量很小，工程建设对</w:t>
            </w:r>
            <w:r>
              <w:rPr>
                <w:rFonts w:hint="eastAsia" w:cs="Times New Roman"/>
                <w:color w:val="auto"/>
                <w:sz w:val="24"/>
                <w:highlight w:val="none"/>
                <w:lang w:eastAsia="zh-CN"/>
              </w:rPr>
              <w:t>其影响</w:t>
            </w:r>
            <w:r>
              <w:rPr>
                <w:rFonts w:hint="default" w:ascii="Times New Roman" w:hAnsi="Times New Roman" w:eastAsia="宋体" w:cs="Times New Roman"/>
                <w:color w:val="auto"/>
                <w:sz w:val="24"/>
                <w:highlight w:val="none"/>
              </w:rPr>
              <w:t>较小。</w:t>
            </w:r>
          </w:p>
          <w:p w14:paraId="4D19859D">
            <w:pPr>
              <w:keepNext w:val="0"/>
              <w:keepLines w:val="0"/>
              <w:pageBreakBefore w:val="0"/>
              <w:widowControl w:val="0"/>
              <w:wordWrap/>
              <w:overflowPunct/>
              <w:topLinePunct w:val="0"/>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（2）对鸟类的影响</w:t>
            </w:r>
          </w:p>
          <w:p w14:paraId="38F8014E">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highlight w:val="none"/>
              </w:rPr>
              <w:t>项目施工期间对鸟类栖息地的破坏、噪声影响、人为干扰等对项目区域内的鸟类会产生一定影响，但影响不大，且施工期是短暂的，施工期结束，此类影响也将随之结束，待做好相应植被恢复工作后，同时又会给鸟类创造新的栖息地，且大多数鸟类会通过飞翔，短距离的迁移来避免项目施工对其造成伤害。</w:t>
            </w:r>
            <w:r>
              <w:rPr>
                <w:rFonts w:hint="default" w:ascii="Times New Roman" w:hAnsi="Times New Roman" w:eastAsia="宋体" w:cs="Times New Roman"/>
                <w:color w:val="auto"/>
                <w:sz w:val="24"/>
                <w:szCs w:val="24"/>
                <w:highlight w:val="none"/>
                <w:lang w:val="en-US" w:eastAsia="zh-CN"/>
              </w:rPr>
              <w:t>根据查阅相关文献资料，</w:t>
            </w:r>
            <w:r>
              <w:rPr>
                <w:rFonts w:hint="default" w:ascii="Times New Roman" w:hAnsi="Times New Roman" w:cs="Times New Roman"/>
                <w:color w:val="auto"/>
                <w:sz w:val="24"/>
                <w:szCs w:val="24"/>
              </w:rPr>
              <w:t>评价区内鸟类有8目1</w:t>
            </w:r>
            <w:r>
              <w:rPr>
                <w:rFonts w:hint="eastAsia" w:cs="Times New Roman"/>
                <w:color w:val="auto"/>
                <w:sz w:val="24"/>
                <w:szCs w:val="24"/>
                <w:lang w:val="en-US" w:eastAsia="zh-CN"/>
              </w:rPr>
              <w:t>4</w:t>
            </w:r>
            <w:r>
              <w:rPr>
                <w:rFonts w:hint="default" w:ascii="Times New Roman" w:hAnsi="Times New Roman" w:cs="Times New Roman"/>
                <w:color w:val="auto"/>
                <w:sz w:val="24"/>
                <w:szCs w:val="24"/>
              </w:rPr>
              <w:t>科2</w:t>
            </w:r>
            <w:r>
              <w:rPr>
                <w:rFonts w:hint="eastAsia" w:cs="Times New Roman"/>
                <w:color w:val="auto"/>
                <w:sz w:val="24"/>
                <w:szCs w:val="24"/>
                <w:lang w:val="en-US" w:eastAsia="zh-CN"/>
              </w:rPr>
              <w:t>1</w:t>
            </w:r>
            <w:r>
              <w:rPr>
                <w:rFonts w:hint="default" w:ascii="Times New Roman" w:hAnsi="Times New Roman" w:cs="Times New Roman"/>
                <w:color w:val="auto"/>
                <w:sz w:val="24"/>
                <w:szCs w:val="24"/>
              </w:rPr>
              <w:t>种。评价区鸟类动物区系以东洋界成分为主，同时分布较多古北</w:t>
            </w:r>
            <w:r>
              <w:rPr>
                <w:rFonts w:hint="default" w:ascii="Times New Roman" w:hAnsi="Times New Roman" w:cs="Times New Roman"/>
                <w:color w:val="auto"/>
                <w:sz w:val="24"/>
                <w:szCs w:val="24"/>
              </w:rPr>
              <w:noBreakHyphen/>
            </w:r>
            <w:r>
              <w:rPr>
                <w:rFonts w:hint="default" w:ascii="Times New Roman" w:hAnsi="Times New Roman" w:cs="Times New Roman"/>
                <w:color w:val="auto"/>
                <w:sz w:val="24"/>
                <w:szCs w:val="24"/>
              </w:rPr>
              <w:t>东洋两界广布种及古北界迁徙鸟类，体现滇东北山地动物地理过渡特征。东洋界成分共10种，以白腹锦鸡、画眉、红嘴蓝鹊等为代表；沼泽山雀、三道眉草鹀为古北界成分；猛禽、广布性雀形目鸟类多为两界广布种。评价区分布白腹锦鸡、红隼</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等8种国家Ⅱ级保护鸟类，其余为三有保护动物。</w:t>
            </w:r>
          </w:p>
          <w:p w14:paraId="13AECA8D">
            <w:pPr>
              <w:keepNext w:val="0"/>
              <w:keepLines w:val="0"/>
              <w:pageBreakBefore w:val="0"/>
              <w:widowControl w:val="0"/>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所以项目的建设不会对候鸟造成较大的影响。</w:t>
            </w:r>
          </w:p>
          <w:p w14:paraId="0AE64560">
            <w:pPr>
              <w:keepNext w:val="0"/>
              <w:keepLines w:val="0"/>
              <w:pageBreakBefore w:val="0"/>
              <w:widowControl w:val="0"/>
              <w:wordWrap/>
              <w:overflowPunct/>
              <w:topLinePunct w:val="0"/>
              <w:bidi w:val="0"/>
              <w:adjustRightInd w:val="0"/>
              <w:snapToGrid w:val="0"/>
              <w:spacing w:line="360" w:lineRule="auto"/>
              <w:ind w:firstLine="482" w:firstLineChars="200"/>
              <w:textAlignment w:val="auto"/>
              <w:rPr>
                <w:rFonts w:hint="default" w:ascii="Times New Roman" w:hAnsi="Times New Roman" w:eastAsia="宋体" w:cs="Times New Roman"/>
                <w:b/>
                <w:color w:val="auto"/>
                <w:sz w:val="24"/>
                <w:highlight w:val="none"/>
              </w:rPr>
            </w:pPr>
            <w:r>
              <w:rPr>
                <w:rFonts w:hint="default" w:ascii="Times New Roman" w:hAnsi="Times New Roman" w:eastAsia="宋体" w:cs="Times New Roman"/>
                <w:b/>
                <w:color w:val="auto"/>
                <w:sz w:val="24"/>
                <w:highlight w:val="none"/>
              </w:rPr>
              <w:t>（3）对兽类的影响</w:t>
            </w:r>
          </w:p>
          <w:p w14:paraId="10A09F6F">
            <w:pPr>
              <w:keepNext w:val="0"/>
              <w:keepLines w:val="0"/>
              <w:pageBreakBefore w:val="0"/>
              <w:widowControl w:val="0"/>
              <w:wordWrap/>
              <w:overflowPunct/>
              <w:topLinePunct w:val="0"/>
              <w:bidi w:val="0"/>
              <w:adjustRightInd w:val="0"/>
              <w:snapToGrid w:val="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施工期对兽类的影响主要体现在对动物栖息觅食地所在生态环境的破坏，各种施工人员以及施工机械的干扰等，使评价区及其周边环境发生改变，受影响的主要是适生于灌草丛的小型兽类，如兔类和松鼠等，将迁移至附近受干扰小的区域，在施工区附近，上述兽类栖息适宜度降低，种类和数量将相应减少，而伴随人类生活的一些啮齿目、食虫目其种群数量会有所增加，与此对应，主要以鼠类为食的黄鼬等种群数量将也会有所增加。</w:t>
            </w:r>
          </w:p>
          <w:p w14:paraId="296CA983">
            <w:pPr>
              <w:keepNext w:val="0"/>
              <w:keepLines w:val="0"/>
              <w:pageBreakBefore w:val="0"/>
              <w:widowControl w:val="0"/>
              <w:wordWrap/>
              <w:overflowPunct/>
              <w:topLinePunct w:val="0"/>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工程建成后，随着植被的逐渐恢复，生态环境的好转，人为干扰减少，许多外迁的兽类会陆续回到原来的栖息地。</w:t>
            </w:r>
          </w:p>
          <w:p w14:paraId="00854FBE">
            <w:pPr>
              <w:keepNext w:val="0"/>
              <w:keepLines w:val="0"/>
              <w:pageBreakBefore w:val="0"/>
              <w:widowControl w:val="0"/>
              <w:kinsoku/>
              <w:wordWrap/>
              <w:overflowPunct/>
              <w:topLinePunct w:val="0"/>
              <w:autoSpaceDE/>
              <w:autoSpaceDN/>
              <w:bidi w:val="0"/>
              <w:adjustRightInd w:val="0"/>
              <w:snapToGrid w:val="0"/>
              <w:ind w:left="0"/>
              <w:textAlignment w:val="auto"/>
              <w:rPr>
                <w:color w:val="auto"/>
              </w:rPr>
            </w:pPr>
            <w:r>
              <w:rPr>
                <w:color w:val="auto"/>
              </w:rPr>
              <w:t>且项目施工时间短，施工结束后场区内集中式的人为活动停止，在其后的运行期内大部分时间人为活动大大减少，动物仍可迁回该区域活动，不会造成区域动物数量与种群的改变。若施工过程中侵占动物栖息地、阻断原有活动廊道，仍会对动物的觅食、迁徙繁殖产生短期干扰，若运行期光伏组件的反光及运营噪声也可能对部分对环境敏感的野生动物产生驱避效应，改变动物原有活动习性。</w:t>
            </w:r>
          </w:p>
          <w:p w14:paraId="41236EAA">
            <w:pPr>
              <w:keepNext w:val="0"/>
              <w:keepLines w:val="0"/>
              <w:pageBreakBefore w:val="0"/>
              <w:widowControl w:val="0"/>
              <w:kinsoku/>
              <w:wordWrap/>
              <w:overflowPunct/>
              <w:topLinePunct w:val="0"/>
              <w:autoSpaceDE/>
              <w:autoSpaceDN/>
              <w:bidi w:val="0"/>
              <w:adjustRightInd w:val="0"/>
              <w:snapToGrid w:val="0"/>
              <w:ind w:left="0"/>
              <w:textAlignment w:val="auto"/>
              <w:rPr>
                <w:color w:val="auto"/>
              </w:rPr>
            </w:pPr>
            <w:r>
              <w:rPr>
                <w:color w:val="auto"/>
              </w:rPr>
              <w:t>可采取以下针对性减缓措施：</w:t>
            </w:r>
          </w:p>
          <w:p w14:paraId="05291148">
            <w:pPr>
              <w:keepNext w:val="0"/>
              <w:keepLines w:val="0"/>
              <w:pageBreakBefore w:val="0"/>
              <w:widowControl w:val="0"/>
              <w:numPr>
                <w:ilvl w:val="0"/>
                <w:numId w:val="9"/>
              </w:numPr>
              <w:kinsoku/>
              <w:wordWrap/>
              <w:overflowPunct/>
              <w:topLinePunct w:val="0"/>
              <w:autoSpaceDE/>
              <w:autoSpaceDN/>
              <w:bidi w:val="0"/>
              <w:adjustRightInd w:val="0"/>
              <w:snapToGrid w:val="0"/>
              <w:spacing w:before="0"/>
              <w:ind w:left="0"/>
              <w:textAlignment w:val="auto"/>
              <w:rPr>
                <w:color w:val="auto"/>
              </w:rPr>
            </w:pPr>
            <w:r>
              <w:rPr>
                <w:color w:val="auto"/>
              </w:rPr>
              <w:t>施工期严格控制作业范围，禁止施工人员擅自扩大施工占地、进入周边原生植被区活动，严禁违规捕猎野生动物，最大程度减少对栖息地的破坏；施工时间避开当地野生动物的主要繁殖季，降低对种群繁衍的干扰。</w:t>
            </w:r>
          </w:p>
          <w:p w14:paraId="36CDC0E5">
            <w:pPr>
              <w:keepNext w:val="0"/>
              <w:keepLines w:val="0"/>
              <w:pageBreakBefore w:val="0"/>
              <w:widowControl w:val="0"/>
              <w:numPr>
                <w:ilvl w:val="0"/>
                <w:numId w:val="9"/>
              </w:numPr>
              <w:kinsoku/>
              <w:wordWrap/>
              <w:overflowPunct/>
              <w:topLinePunct w:val="0"/>
              <w:autoSpaceDE/>
              <w:autoSpaceDN/>
              <w:bidi w:val="0"/>
              <w:adjustRightInd w:val="0"/>
              <w:snapToGrid w:val="0"/>
              <w:ind w:left="0"/>
              <w:textAlignment w:val="auto"/>
              <w:rPr>
                <w:color w:val="auto"/>
              </w:rPr>
            </w:pPr>
            <w:r>
              <w:rPr>
                <w:color w:val="auto"/>
              </w:rPr>
              <w:t>设计阶段提前调查区域内野生动物的常规活动路线，在项目阻隔处预留足够宽度的动物通行廊道，保障动物迁徙、活动的连通性。</w:t>
            </w:r>
          </w:p>
          <w:p w14:paraId="23FCBAF2">
            <w:pPr>
              <w:keepNext w:val="0"/>
              <w:keepLines w:val="0"/>
              <w:pageBreakBefore w:val="0"/>
              <w:widowControl w:val="0"/>
              <w:numPr>
                <w:ilvl w:val="0"/>
                <w:numId w:val="9"/>
              </w:numPr>
              <w:kinsoku/>
              <w:wordWrap/>
              <w:overflowPunct/>
              <w:topLinePunct w:val="0"/>
              <w:autoSpaceDE/>
              <w:autoSpaceDN/>
              <w:bidi w:val="0"/>
              <w:adjustRightInd w:val="0"/>
              <w:snapToGrid w:val="0"/>
              <w:spacing w:after="0"/>
              <w:ind w:left="0"/>
              <w:textAlignment w:val="auto"/>
              <w:rPr>
                <w:rFonts w:hint="default" w:ascii="Times New Roman" w:hAnsi="Times New Roman" w:eastAsia="宋体" w:cs="Times New Roman"/>
                <w:color w:val="auto"/>
                <w:sz w:val="24"/>
                <w:highlight w:val="none"/>
              </w:rPr>
            </w:pPr>
            <w:r>
              <w:rPr>
                <w:color w:val="auto"/>
              </w:rPr>
              <w:t>运行期定期清理场区周边入侵植被，恢复本土原生植被，为动物提供适宜的觅食栖息环境，同时规范运营管理，避免不必要的夜间灯光、人为活动干扰。</w:t>
            </w:r>
          </w:p>
          <w:p w14:paraId="0F52AC3B">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4.2.6</w:t>
            </w:r>
            <w:r>
              <w:rPr>
                <w:rFonts w:ascii="Times New Roman" w:hAnsi="Times New Roman" w:cs="Times New Roman"/>
                <w:b/>
                <w:bCs/>
                <w:color w:val="auto"/>
                <w:highlight w:val="none"/>
              </w:rPr>
              <w:t>施工期水土流失影响分析</w:t>
            </w:r>
          </w:p>
          <w:p w14:paraId="1932B74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工程建设过程中，工程征占地区及影响范围内的地表将遭受不同程度的扰动、破坏，局部地貌将发生较大的改变。如不采取任何防治措施，项目产生的水土流失可能影响工程本身的建设及安全，也将对区域生态环境和社会环境造成不利影响。</w:t>
            </w:r>
          </w:p>
          <w:p w14:paraId="1A8598C3">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工程在建设过程中，新增的水土流失将对工程所在区域的水土资源及生态环境带来不利影响，其可能产生的危害有以下几个方面：</w:t>
            </w:r>
          </w:p>
          <w:p w14:paraId="51023AC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（1）对本工程的施工建设和运行的影响</w:t>
            </w:r>
          </w:p>
          <w:p w14:paraId="1E31A53E">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工程有大量的土石方工程，基础开挖、路基的开挖填筑等施工过程严重影响了这些单元土层的稳定性，为水土流失的加剧创造了条件。工程建设可能导致的水土流失与工程建设的安全息息相关，工程施工产生的弃渣及临时堆土如不能及时有效地处理，流失的水土将进入施工现场，影响施工进度，以及施工期的安全。</w:t>
            </w:r>
          </w:p>
          <w:p w14:paraId="7177B305">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（2）对周边沟道的影响</w:t>
            </w:r>
          </w:p>
          <w:p w14:paraId="29196B49">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项目建设过程中，土石方开挖扰动较大，产生大量弃渣，若不及时布设水土保持措施和治理，严格规范施工程序，土石方开挖、运输过程中或遇雨季暴雨将会携带大量泥沙进入位于汇水范围内的沟道。</w:t>
            </w:r>
          </w:p>
          <w:p w14:paraId="67E242DF">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（3）降低土壤肥力，对土地资源的影响</w:t>
            </w:r>
          </w:p>
          <w:p w14:paraId="54095F11">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由于工程施工扰动了原地貌，引起地表植被损坏，使裸地在雨水的冲刷下引发水土流失，从而带走土壤表层的营养元素，降低土壤肥力，影响植被的生长，对土地资源带来不利影响。同时，流失的土石方还会造成占压农田，破坏农业耕作环境。</w:t>
            </w:r>
          </w:p>
          <w:p w14:paraId="24FA34A2">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（4）对生态环境的影响</w:t>
            </w:r>
          </w:p>
          <w:p w14:paraId="4C05999E">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工程建设将破坏占地区域的林地，造成区域水土流失。水土流失本身是一项衡量区域生态环境状况的重要指标，水土流失的加剧，意味着生态环境质量的降低。由于本工程的建设，在施工期间，工程区域特别是堆渣、堆土场，将产生大量的裸露地表和大量的临时堆土，如果水土保持防护措施不到位，将破坏工程区域的生态环境状况。做好本工程水土保持工作，不仅可以使工程区植被最大限度的得到恢复，还可以抑制原生水土流失的发生和发展。同时，风蚀将造成空气中颗粒物含量增大，影响农业生态环境。</w:t>
            </w:r>
          </w:p>
          <w:p w14:paraId="2C14906C">
            <w:pPr>
              <w:keepNext w:val="0"/>
              <w:keepLines w:val="0"/>
              <w:pageBreakBefore w:val="0"/>
              <w:widowControl w:val="0"/>
              <w:wordWrap/>
              <w:overflowPunct/>
              <w:topLinePunct w:val="0"/>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通过水土保持分析论证，在工程建设过程中建设单位实施一系列水土保持措施后，能有效防止新增水土流失，实现项目区环境的恢复和改善，工程总体对水土流失的影响可以接受。</w:t>
            </w:r>
          </w:p>
          <w:p w14:paraId="25B9FAA1">
            <w:pPr>
              <w:keepNext w:val="0"/>
              <w:keepLines w:val="0"/>
              <w:pageBreakBefore w:val="0"/>
              <w:widowControl w:val="0"/>
              <w:wordWrap/>
              <w:overflowPunct/>
              <w:topLinePunct w:val="0"/>
              <w:bidi w:val="0"/>
              <w:adjustRightInd w:val="0"/>
              <w:snapToGrid w:val="0"/>
              <w:textAlignment w:val="auto"/>
              <w:rPr>
                <w:rFonts w:hint="eastAsia" w:eastAsia="宋体" w:cs="Times New Roman"/>
                <w:b/>
                <w:bCs/>
                <w:color w:val="auto"/>
                <w:highlight w:val="none"/>
                <w:lang w:val="en-US" w:eastAsia="zh-CN"/>
              </w:rPr>
            </w:pPr>
            <w:r>
              <w:rPr>
                <w:rFonts w:hint="eastAsia" w:ascii="Times New Roman" w:hAnsi="Times New Roman" w:eastAsia="宋体" w:cs="Times New Roman"/>
                <w:b/>
                <w:bCs/>
                <w:color w:val="auto"/>
                <w:highlight w:val="none"/>
                <w:lang w:val="en-US" w:eastAsia="zh-CN"/>
              </w:rPr>
              <w:t>4.2.7</w:t>
            </w:r>
            <w:r>
              <w:rPr>
                <w:rFonts w:hint="eastAsia" w:eastAsia="宋体" w:cs="Times New Roman"/>
                <w:b/>
                <w:bCs/>
                <w:color w:val="auto"/>
                <w:highlight w:val="none"/>
                <w:lang w:val="en-US" w:eastAsia="zh-CN"/>
              </w:rPr>
              <w:t>施工期对永久基本农田的影响分析</w:t>
            </w:r>
          </w:p>
          <w:p w14:paraId="78421688">
            <w:pPr>
              <w:keepNext w:val="0"/>
              <w:keepLines w:val="0"/>
              <w:pageBreakBefore w:val="0"/>
              <w:widowControl w:val="0"/>
              <w:wordWrap/>
              <w:overflowPunct/>
              <w:topLinePunct w:val="0"/>
              <w:bidi w:val="0"/>
              <w:adjustRightInd w:val="0"/>
              <w:snapToGrid w:val="0"/>
              <w:spacing w:before="0" w:beforeAutospacing="0" w:afterAutospacing="0"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本</w:t>
            </w:r>
            <w:r>
              <w:rPr>
                <w:rFonts w:hint="eastAsia" w:ascii="Times New Roman" w:hAnsi="Times New Roman" w:eastAsia="宋体" w:cs="Times New Roman"/>
                <w:color w:val="auto"/>
                <w:sz w:val="24"/>
                <w:szCs w:val="24"/>
                <w:lang w:eastAsia="zh-CN"/>
              </w:rPr>
              <w:t>项目</w:t>
            </w:r>
            <w:r>
              <w:rPr>
                <w:rFonts w:hint="default" w:ascii="Times New Roman" w:hAnsi="Times New Roman" w:eastAsia="宋体" w:cs="Times New Roman"/>
                <w:color w:val="auto"/>
                <w:sz w:val="24"/>
                <w:szCs w:val="24"/>
              </w:rPr>
              <w:t>A1机位南侧集电线路</w:t>
            </w:r>
            <w:r>
              <w:rPr>
                <w:rFonts w:hint="eastAsia" w:ascii="Times New Roman" w:hAnsi="Times New Roman" w:eastAsia="宋体" w:cs="Times New Roman"/>
                <w:color w:val="auto"/>
                <w:sz w:val="24"/>
                <w:szCs w:val="24"/>
                <w:lang w:eastAsia="zh-CN"/>
              </w:rPr>
              <w:t>填埋区域</w:t>
            </w:r>
            <w:r>
              <w:rPr>
                <w:rFonts w:hint="default" w:ascii="Times New Roman" w:hAnsi="Times New Roman" w:eastAsia="宋体" w:cs="Times New Roman"/>
                <w:color w:val="auto"/>
                <w:sz w:val="24"/>
                <w:szCs w:val="24"/>
              </w:rPr>
              <w:t>紧邻基本农田</w:t>
            </w:r>
            <w:r>
              <w:rPr>
                <w:rFonts w:hint="eastAsia" w:ascii="Times New Roman" w:hAnsi="Times New Roman" w:eastAsia="宋体" w:cs="Times New Roman"/>
                <w:color w:val="auto"/>
                <w:sz w:val="24"/>
                <w:szCs w:val="24"/>
                <w:lang w:eastAsia="zh-CN"/>
              </w:rPr>
              <w:t>。根据现场调查，紧邻的基本农田目前未种植农作物，现状为杂草丛。施工期仅进行地下集电线路填埋作业，施工完成后将对场地进行植被恢复。施工过程中仅占用少量临时作业面，不会改变永久基本农田的数量与用途，也不会破坏耕作层土壤结构；施工结束后立即开展土地平整作业，恢复原有土地利用条件，可保障永久基本农田功能不受影响。同时，施工期间若落实临时拦挡、排水等防护措施，可有效避免施工扬尘、机械碾压对周边基本农田耕作环境的不利影响。总体而言，本项目施工期对永久基本农田的影响处于可接受范围内。</w:t>
            </w:r>
          </w:p>
          <w:p w14:paraId="2D938BCE">
            <w:pPr>
              <w:keepNext w:val="0"/>
              <w:keepLines w:val="0"/>
              <w:pageBreakBefore w:val="0"/>
              <w:widowControl w:val="0"/>
              <w:wordWrap/>
              <w:overflowPunct/>
              <w:topLinePunct w:val="0"/>
              <w:bidi w:val="0"/>
              <w:adjustRightInd w:val="0"/>
              <w:snapToGrid w:val="0"/>
              <w:textAlignment w:val="auto"/>
              <w:rPr>
                <w:rFonts w:hint="default" w:ascii="Times New Roman" w:hAnsi="Times New Roman" w:cs="Times New Roman"/>
                <w:color w:val="auto"/>
                <w:spacing w:val="-1"/>
                <w:highlight w:val="none"/>
                <w:lang w:val="en-US" w:eastAsia="zh-CN"/>
              </w:rPr>
            </w:pPr>
          </w:p>
        </w:tc>
      </w:tr>
      <w:tr w14:paraId="3F08A4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tcMar>
              <w:left w:w="28" w:type="dxa"/>
              <w:right w:w="28" w:type="dxa"/>
            </w:tcMar>
            <w:vAlign w:val="center"/>
          </w:tcPr>
          <w:p w14:paraId="59CF410F">
            <w:pPr>
              <w:pStyle w:val="16"/>
              <w:keepNext w:val="0"/>
              <w:keepLines w:val="0"/>
              <w:pageBreakBefore w:val="0"/>
              <w:widowControl w:val="0"/>
              <w:wordWrap/>
              <w:bidi w:val="0"/>
              <w:adjustRightInd w:val="0"/>
              <w:snapToGrid w:val="0"/>
              <w:spacing w:before="0" w:beforeAutospacing="0" w:after="0" w:afterAutospacing="0"/>
              <w:ind w:left="0" w:leftChars="0" w:firstLine="0" w:firstLineChars="0"/>
              <w:jc w:val="both"/>
              <w:textAlignment w:val="auto"/>
              <w:rPr>
                <w:rFonts w:ascii="Times New Roman" w:hAnsi="Times New Roman" w:cs="Times New Roman"/>
                <w:bCs/>
                <w:color w:val="auto"/>
                <w:kern w:val="2"/>
                <w:sz w:val="21"/>
                <w:szCs w:val="21"/>
                <w:highlight w:val="none"/>
              </w:rPr>
            </w:pPr>
            <w:r>
              <w:rPr>
                <w:rFonts w:hint="default" w:ascii="Times New Roman" w:hAnsi="Times New Roman" w:cs="Times New Roman"/>
                <w:bCs/>
                <w:color w:val="auto"/>
                <w:spacing w:val="10"/>
                <w:kern w:val="2"/>
                <w:sz w:val="21"/>
                <w:szCs w:val="21"/>
                <w:highlight w:val="none"/>
              </w:rPr>
              <w:t>运营期生态环境影响分析</w:t>
            </w:r>
          </w:p>
        </w:tc>
        <w:tc>
          <w:tcPr>
            <w:tcW w:w="0" w:type="auto"/>
            <w:noWrap w:val="0"/>
            <w:vAlign w:val="top"/>
          </w:tcPr>
          <w:p w14:paraId="13894EA1">
            <w:pPr>
              <w:pStyle w:val="45"/>
              <w:keepNext w:val="0"/>
              <w:keepLines w:val="0"/>
              <w:pageBreakBefore w:val="0"/>
              <w:widowControl w:val="0"/>
              <w:wordWrap/>
              <w:bidi w:val="0"/>
              <w:adjustRightInd w:val="0"/>
              <w:snapToGrid w:val="0"/>
              <w:spacing w:before="41" w:line="220" w:lineRule="auto"/>
              <w:ind w:left="103"/>
              <w:textAlignment w:val="auto"/>
              <w:rPr>
                <w:rFonts w:ascii="Times New Roman" w:hAnsi="Times New Roman" w:cs="Times New Roman"/>
                <w:color w:val="auto"/>
                <w:sz w:val="24"/>
                <w:szCs w:val="24"/>
                <w:highlight w:val="none"/>
              </w:rPr>
            </w:pPr>
            <w:r>
              <w:rPr>
                <w:rFonts w:ascii="Times New Roman" w:hAnsi="Times New Roman" w:eastAsia="Times New Roman" w:cs="Times New Roman"/>
                <w:b/>
                <w:bCs/>
                <w:color w:val="auto"/>
                <w:spacing w:val="-2"/>
                <w:sz w:val="24"/>
                <w:szCs w:val="24"/>
                <w:highlight w:val="none"/>
              </w:rPr>
              <w:t>4.3</w:t>
            </w:r>
            <w:r>
              <w:rPr>
                <w:rFonts w:ascii="Times New Roman" w:hAnsi="Times New Roman" w:cs="Times New Roman"/>
                <w:b/>
                <w:bCs/>
                <w:color w:val="auto"/>
                <w:spacing w:val="-2"/>
                <w:sz w:val="24"/>
                <w:szCs w:val="24"/>
                <w:highlight w:val="none"/>
              </w:rPr>
              <w:t>运营期工艺流程及污染源强分析</w:t>
            </w:r>
          </w:p>
          <w:p w14:paraId="70770FD3">
            <w:pPr>
              <w:pStyle w:val="45"/>
              <w:keepNext w:val="0"/>
              <w:keepLines w:val="0"/>
              <w:pageBreakBefore w:val="0"/>
              <w:widowControl w:val="0"/>
              <w:wordWrap/>
              <w:bidi w:val="0"/>
              <w:adjustRightInd w:val="0"/>
              <w:snapToGrid w:val="0"/>
              <w:spacing w:before="179" w:line="220" w:lineRule="auto"/>
              <w:ind w:left="103"/>
              <w:textAlignment w:val="auto"/>
              <w:rPr>
                <w:rFonts w:ascii="Times New Roman" w:hAnsi="Times New Roman" w:cs="Times New Roman"/>
                <w:color w:val="auto"/>
                <w:sz w:val="24"/>
                <w:szCs w:val="24"/>
                <w:highlight w:val="none"/>
              </w:rPr>
            </w:pPr>
            <w:r>
              <w:rPr>
                <w:rFonts w:ascii="Times New Roman" w:hAnsi="Times New Roman" w:eastAsia="Times New Roman" w:cs="Times New Roman"/>
                <w:b/>
                <w:bCs/>
                <w:color w:val="auto"/>
                <w:spacing w:val="-2"/>
                <w:sz w:val="24"/>
                <w:szCs w:val="24"/>
                <w:highlight w:val="none"/>
              </w:rPr>
              <w:t>4.3.1</w:t>
            </w:r>
            <w:r>
              <w:rPr>
                <w:rFonts w:ascii="Times New Roman" w:hAnsi="Times New Roman" w:cs="Times New Roman"/>
                <w:b/>
                <w:bCs/>
                <w:color w:val="auto"/>
                <w:spacing w:val="-2"/>
                <w:sz w:val="24"/>
                <w:szCs w:val="24"/>
                <w:highlight w:val="none"/>
              </w:rPr>
              <w:t>项目运行流程</w:t>
            </w:r>
          </w:p>
          <w:p w14:paraId="67276DB7">
            <w:pPr>
              <w:keepNext w:val="0"/>
              <w:keepLines w:val="0"/>
              <w:pageBreakBefore w:val="0"/>
              <w:widowControl w:val="0"/>
              <w:wordWrap/>
              <w:bidi w:val="0"/>
              <w:adjustRightInd w:val="0"/>
              <w:snapToGrid w:val="0"/>
              <w:textAlignment w:val="auto"/>
              <w:rPr>
                <w:rFonts w:hint="eastAsia" w:eastAsia="宋体"/>
                <w:color w:val="auto"/>
                <w:highlight w:val="none"/>
                <w:lang w:eastAsia="zh-CN"/>
              </w:rPr>
            </w:pPr>
            <w:r>
              <w:rPr>
                <w:rFonts w:hint="eastAsia" w:ascii="Times New Roman" w:hAnsi="Times New Roman" w:cs="Times New Roman"/>
                <w:color w:val="auto"/>
                <w:highlight w:val="none"/>
                <w:lang w:eastAsia="zh-CN"/>
              </w:rPr>
              <w:t>风力发电场营运期以风能为主要原料，产品为电能。风推动叶轮转动，带动风力发电机组产生电流，电流经箱式变压器升压至35</w:t>
            </w:r>
            <w:r>
              <w:rPr>
                <w:rFonts w:hint="eastAsia" w:ascii="Times New Roman" w:hAnsi="Times New Roman" w:cs="Times New Roman"/>
                <w:color w:val="auto"/>
                <w:highlight w:val="none"/>
                <w:lang w:val="en-US" w:eastAsia="zh-CN"/>
              </w:rPr>
              <w:t>kV后，通过集电线路输送至</w:t>
            </w:r>
            <w:r>
              <w:rPr>
                <w:rFonts w:hint="eastAsia" w:cs="Times New Roman"/>
                <w:color w:val="auto"/>
                <w:highlight w:val="none"/>
                <w:lang w:val="en-US" w:eastAsia="zh-CN"/>
              </w:rPr>
              <w:t>开关站</w:t>
            </w:r>
            <w:r>
              <w:rPr>
                <w:rFonts w:hint="eastAsia" w:ascii="Times New Roman" w:hAnsi="Times New Roman" w:cs="Times New Roman"/>
                <w:color w:val="auto"/>
                <w:highlight w:val="none"/>
                <w:lang w:val="en-US" w:eastAsia="zh-CN"/>
              </w:rPr>
              <w:t>。</w:t>
            </w:r>
          </w:p>
          <w:p w14:paraId="5DC9514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cs="Times New Roman"/>
                <w:color w:val="auto"/>
                <w:position w:val="-46"/>
                <w:highlight w:val="none"/>
              </w:rPr>
            </w:pPr>
            <w:r>
              <w:rPr>
                <w:rFonts w:ascii="Times New Roman" w:hAnsi="Times New Roman" w:cs="Times New Roman"/>
                <w:color w:val="auto"/>
                <w:highlight w:val="none"/>
              </w:rPr>
              <w:object>
                <v:shape id="_x0000_i1026" o:spt="75" type="#_x0000_t75" style="height:125.85pt;width:391.8pt;" o:ole="t" filled="f" o:preferrelative="t" stroked="f" coordsize="21600,21600">
                  <v:path/>
                  <v:fill on="f" focussize="0,0"/>
                  <v:stroke on="f"/>
                  <v:imagedata r:id="rId29" o:title=""/>
                  <o:lock v:ext="edit" aspectratio="f"/>
                  <w10:wrap type="none"/>
                  <w10:anchorlock/>
                </v:shape>
                <o:OLEObject Type="Embed" ProgID="Visio.Drawing.11" ShapeID="_x0000_i1026" DrawAspect="Content" ObjectID="_1468075726" r:id="rId28">
                  <o:LockedField>false</o:LockedField>
                </o:OLEObject>
              </w:object>
            </w:r>
          </w:p>
          <w:p w14:paraId="1C73C570">
            <w:pPr>
              <w:pStyle w:val="45"/>
              <w:keepNext w:val="0"/>
              <w:keepLines w:val="0"/>
              <w:pageBreakBefore w:val="0"/>
              <w:widowControl w:val="0"/>
              <w:kinsoku/>
              <w:wordWrap/>
              <w:overflowPunct/>
              <w:topLinePunct w:val="0"/>
              <w:autoSpaceDE/>
              <w:autoSpaceDN/>
              <w:bidi w:val="0"/>
              <w:adjustRightInd w:val="0"/>
              <w:snapToGrid w:val="0"/>
              <w:spacing w:before="152" w:line="240" w:lineRule="auto"/>
              <w:ind w:left="2259"/>
              <w:textAlignment w:val="auto"/>
              <w:rPr>
                <w:rFonts w:ascii="Times New Roman" w:hAnsi="Times New Roman" w:cs="Times New Roman"/>
                <w:color w:val="auto"/>
                <w:sz w:val="20"/>
                <w:szCs w:val="20"/>
                <w:highlight w:val="none"/>
              </w:rPr>
            </w:pPr>
            <w:r>
              <w:rPr>
                <w:rFonts w:ascii="Times New Roman" w:hAnsi="Times New Roman" w:cs="Times New Roman"/>
                <w:b/>
                <w:bCs/>
                <w:color w:val="auto"/>
                <w:spacing w:val="5"/>
                <w:sz w:val="20"/>
                <w:szCs w:val="20"/>
                <w:highlight w:val="none"/>
              </w:rPr>
              <w:t>图</w:t>
            </w:r>
            <w:r>
              <w:rPr>
                <w:rFonts w:ascii="Times New Roman" w:hAnsi="Times New Roman" w:eastAsia="Times New Roman" w:cs="Times New Roman"/>
                <w:b/>
                <w:bCs/>
                <w:color w:val="auto"/>
                <w:spacing w:val="5"/>
                <w:sz w:val="20"/>
                <w:szCs w:val="20"/>
                <w:highlight w:val="none"/>
              </w:rPr>
              <w:t>4-2</w:t>
            </w:r>
            <w:r>
              <w:rPr>
                <w:rFonts w:ascii="Times New Roman" w:hAnsi="Times New Roman" w:cs="Times New Roman"/>
                <w:b/>
                <w:bCs/>
                <w:color w:val="auto"/>
                <w:spacing w:val="5"/>
                <w:sz w:val="20"/>
                <w:szCs w:val="20"/>
                <w:highlight w:val="none"/>
              </w:rPr>
              <w:t>营运期风电场发电工艺及产污环节图</w:t>
            </w:r>
          </w:p>
          <w:p w14:paraId="551BCFC2">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4.3.2营运期主要污染源强</w:t>
            </w:r>
          </w:p>
          <w:p w14:paraId="2D3DB5C2">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eastAsia" w:cs="Times New Roman"/>
                <w:b/>
                <w:bCs/>
                <w:color w:val="auto"/>
                <w:highlight w:val="none"/>
                <w:lang w:eastAsia="zh-CN"/>
              </w:rPr>
              <w:t>1.</w:t>
            </w:r>
            <w:r>
              <w:rPr>
                <w:rFonts w:ascii="Times New Roman" w:hAnsi="Times New Roman" w:cs="Times New Roman"/>
                <w:b/>
                <w:bCs/>
                <w:color w:val="auto"/>
                <w:highlight w:val="none"/>
              </w:rPr>
              <w:t>废气影响分析</w:t>
            </w:r>
          </w:p>
          <w:p w14:paraId="2AC3412B">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风力发电场运营</w:t>
            </w:r>
            <w:r>
              <w:rPr>
                <w:rFonts w:hint="eastAsia" w:cs="Times New Roman"/>
                <w:color w:val="auto"/>
                <w:highlight w:val="none"/>
                <w:lang w:eastAsia="zh-CN"/>
              </w:rPr>
              <w:t>过程</w:t>
            </w:r>
            <w:r>
              <w:rPr>
                <w:rFonts w:ascii="Times New Roman" w:hAnsi="Times New Roman" w:cs="Times New Roman"/>
                <w:color w:val="auto"/>
                <w:highlight w:val="none"/>
              </w:rPr>
              <w:t>中无废气产生，</w:t>
            </w:r>
            <w:r>
              <w:rPr>
                <w:rFonts w:hint="default" w:ascii="Times New Roman" w:hAnsi="Times New Roman" w:cs="Times New Roman"/>
                <w:color w:val="auto"/>
                <w:highlight w:val="none"/>
                <w:lang w:eastAsia="zh-CN"/>
              </w:rPr>
              <w:t>不设置食堂，</w:t>
            </w:r>
            <w:r>
              <w:rPr>
                <w:rFonts w:hint="eastAsia" w:cs="Times New Roman"/>
                <w:color w:val="auto"/>
                <w:highlight w:val="none"/>
                <w:lang w:eastAsia="zh-CN"/>
              </w:rPr>
              <w:t>依托</w:t>
            </w:r>
            <w:r>
              <w:rPr>
                <w:rFonts w:hint="default" w:ascii="Times New Roman" w:hAnsi="Times New Roman" w:cs="Times New Roman"/>
                <w:color w:val="auto"/>
                <w:highlight w:val="none"/>
                <w:lang w:eastAsia="zh-CN"/>
              </w:rPr>
              <w:t>热水光伏电站管理人员，无</w:t>
            </w:r>
            <w:r>
              <w:rPr>
                <w:rFonts w:ascii="Times New Roman" w:hAnsi="Times New Roman" w:cs="Times New Roman"/>
                <w:color w:val="auto"/>
                <w:highlight w:val="none"/>
              </w:rPr>
              <w:t>废气影响。</w:t>
            </w:r>
          </w:p>
          <w:p w14:paraId="6FDCE8EE">
            <w:pPr>
              <w:keepNext w:val="0"/>
              <w:keepLines w:val="0"/>
              <w:pageBreakBefore w:val="0"/>
              <w:widowControl w:val="0"/>
              <w:wordWrap/>
              <w:bidi w:val="0"/>
              <w:adjustRightInd w:val="0"/>
              <w:snapToGrid w:val="0"/>
              <w:textAlignment w:val="auto"/>
              <w:rPr>
                <w:rFonts w:hint="default" w:ascii="Times New Roman" w:hAnsi="Times New Roman" w:cs="Times New Roman"/>
                <w:b/>
                <w:bCs/>
                <w:color w:val="auto"/>
                <w:highlight w:val="none"/>
                <w:lang w:val="en-US" w:eastAsia="zh-CN"/>
              </w:rPr>
            </w:pPr>
            <w:r>
              <w:rPr>
                <w:rFonts w:hint="eastAsia" w:cs="Times New Roman"/>
                <w:b/>
                <w:bCs/>
                <w:color w:val="auto"/>
                <w:highlight w:val="none"/>
                <w:lang w:val="en-US" w:eastAsia="zh-CN"/>
              </w:rPr>
              <w:t>2.</w:t>
            </w:r>
            <w:r>
              <w:rPr>
                <w:rFonts w:hint="default" w:ascii="Times New Roman" w:hAnsi="Times New Roman" w:cs="Times New Roman"/>
                <w:b/>
                <w:bCs/>
                <w:color w:val="auto"/>
                <w:highlight w:val="none"/>
                <w:lang w:val="en-US" w:eastAsia="zh-CN"/>
              </w:rPr>
              <w:t>废水影响分析</w:t>
            </w:r>
          </w:p>
          <w:p w14:paraId="7B1CE860">
            <w:pPr>
              <w:keepNext w:val="0"/>
              <w:keepLines w:val="0"/>
              <w:pageBreakBefore w:val="0"/>
              <w:widowControl w:val="0"/>
              <w:tabs>
                <w:tab w:val="left" w:pos="420"/>
              </w:tabs>
              <w:wordWrap/>
              <w:bidi w:val="0"/>
              <w:adjustRightInd w:val="0"/>
              <w:snapToGrid w:val="0"/>
              <w:spacing w:line="360" w:lineRule="auto"/>
              <w:ind w:firstLine="482"/>
              <w:textAlignment w:val="auto"/>
              <w:rPr>
                <w:rFonts w:ascii="Times New Roman" w:hAnsi="Times New Roman" w:cs="Times New Roman"/>
                <w:color w:val="auto"/>
                <w:sz w:val="24"/>
                <w:highlight w:val="none"/>
              </w:rPr>
            </w:pPr>
            <w:r>
              <w:rPr>
                <w:rFonts w:hint="default" w:ascii="Times New Roman" w:hAnsi="Times New Roman" w:cs="Times New Roman"/>
                <w:color w:val="auto"/>
                <w:sz w:val="24"/>
                <w:highlight w:val="none"/>
              </w:rPr>
              <w:t>开关站按“无人值班</w:t>
            </w:r>
            <w:r>
              <w:rPr>
                <w:rFonts w:ascii="Times New Roman" w:hAnsi="Times New Roman" w:cs="Times New Roman"/>
                <w:color w:val="auto"/>
                <w:sz w:val="24"/>
                <w:highlight w:val="none"/>
              </w:rPr>
              <w:t>，</w:t>
            </w:r>
            <w:r>
              <w:rPr>
                <w:rFonts w:hint="default" w:ascii="Times New Roman" w:hAnsi="Times New Roman" w:cs="Times New Roman"/>
                <w:color w:val="auto"/>
                <w:sz w:val="24"/>
                <w:highlight w:val="none"/>
              </w:rPr>
              <w:t>无人</w:t>
            </w:r>
            <w:r>
              <w:rPr>
                <w:rFonts w:ascii="Times New Roman" w:hAnsi="Times New Roman" w:cs="Times New Roman"/>
                <w:color w:val="auto"/>
                <w:sz w:val="24"/>
                <w:highlight w:val="none"/>
              </w:rPr>
              <w:t>值守</w:t>
            </w:r>
            <w:r>
              <w:rPr>
                <w:rFonts w:hint="default" w:ascii="Times New Roman" w:hAnsi="Times New Roman" w:cs="Times New Roman"/>
                <w:color w:val="auto"/>
                <w:sz w:val="24"/>
                <w:highlight w:val="none"/>
              </w:rPr>
              <w:t>”原则</w:t>
            </w:r>
            <w:r>
              <w:rPr>
                <w:rFonts w:ascii="Times New Roman" w:hAnsi="Times New Roman" w:cs="Times New Roman"/>
                <w:color w:val="auto"/>
                <w:sz w:val="24"/>
                <w:highlight w:val="none"/>
              </w:rPr>
              <w:t>方式</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管理人员</w:t>
            </w:r>
            <w:r>
              <w:rPr>
                <w:rFonts w:hint="eastAsia" w:cs="Times New Roman"/>
                <w:color w:val="auto"/>
                <w:highlight w:val="none"/>
                <w:lang w:eastAsia="zh-CN"/>
              </w:rPr>
              <w:t>依托</w:t>
            </w:r>
            <w:r>
              <w:rPr>
                <w:rFonts w:hint="default" w:ascii="Times New Roman" w:hAnsi="Times New Roman" w:cs="Times New Roman"/>
                <w:color w:val="auto"/>
                <w:highlight w:val="none"/>
                <w:lang w:eastAsia="zh-CN"/>
              </w:rPr>
              <w:t>热水光伏电站管理人员，</w:t>
            </w:r>
            <w:r>
              <w:rPr>
                <w:rFonts w:ascii="Times New Roman" w:hAnsi="Times New Roman" w:cs="Times New Roman"/>
                <w:color w:val="auto"/>
                <w:sz w:val="24"/>
                <w:szCs w:val="24"/>
                <w:highlight w:val="none"/>
              </w:rPr>
              <w:t>生活污水纳入当地污水处理系统，</w:t>
            </w:r>
            <w:r>
              <w:rPr>
                <w:rFonts w:ascii="Times New Roman" w:hAnsi="Times New Roman" w:cs="Times New Roman"/>
                <w:color w:val="auto"/>
                <w:highlight w:val="none"/>
              </w:rPr>
              <w:t>对周围环境影响较小</w:t>
            </w:r>
            <w:r>
              <w:rPr>
                <w:rFonts w:hint="default" w:ascii="Times New Roman" w:hAnsi="Times New Roman" w:cs="Times New Roman"/>
                <w:color w:val="auto"/>
                <w:sz w:val="24"/>
                <w:highlight w:val="none"/>
              </w:rPr>
              <w:t>。</w:t>
            </w:r>
          </w:p>
          <w:p w14:paraId="1FA288FC">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eastAsia" w:cs="Times New Roman"/>
                <w:b/>
                <w:bCs/>
                <w:color w:val="auto"/>
                <w:highlight w:val="none"/>
                <w:lang w:eastAsia="zh-CN"/>
              </w:rPr>
              <w:t>3.</w:t>
            </w:r>
            <w:r>
              <w:rPr>
                <w:rFonts w:ascii="Times New Roman" w:hAnsi="Times New Roman" w:cs="Times New Roman"/>
                <w:b/>
                <w:bCs/>
                <w:color w:val="auto"/>
                <w:highlight w:val="none"/>
              </w:rPr>
              <w:t>声环境影响分析</w:t>
            </w:r>
          </w:p>
          <w:p w14:paraId="3CABDF96">
            <w:pPr>
              <w:keepNext w:val="0"/>
              <w:keepLines w:val="0"/>
              <w:pageBreakBefore w:val="0"/>
              <w:widowControl w:val="0"/>
              <w:wordWrap/>
              <w:bidi w:val="0"/>
              <w:adjustRightInd w:val="0"/>
              <w:snapToGrid w:val="0"/>
              <w:spacing w:line="360" w:lineRule="auto"/>
              <w:ind w:firstLine="482" w:firstLineChars="200"/>
              <w:textAlignment w:val="auto"/>
              <w:rPr>
                <w:b/>
                <w:bCs/>
                <w:color w:val="auto"/>
              </w:rPr>
            </w:pPr>
            <w:r>
              <w:rPr>
                <w:b/>
                <w:bCs/>
                <w:color w:val="auto"/>
              </w:rPr>
              <w:t>（1）</w:t>
            </w:r>
            <w:r>
              <w:rPr>
                <w:rFonts w:hint="eastAsia"/>
                <w:b/>
                <w:bCs/>
                <w:color w:val="auto"/>
                <w:lang w:eastAsia="zh-CN"/>
              </w:rPr>
              <w:t>风机声</w:t>
            </w:r>
            <w:r>
              <w:rPr>
                <w:b/>
                <w:bCs/>
                <w:color w:val="auto"/>
              </w:rPr>
              <w:t>源</w:t>
            </w:r>
          </w:p>
          <w:p w14:paraId="4462B57A">
            <w:pPr>
              <w:keepNext w:val="0"/>
              <w:keepLines w:val="0"/>
              <w:pageBreakBefore w:val="0"/>
              <w:widowControl w:val="0"/>
              <w:wordWrap/>
              <w:bidi w:val="0"/>
              <w:adjustRightInd w:val="0"/>
              <w:snapToGrid w:val="0"/>
              <w:spacing w:line="360" w:lineRule="auto"/>
              <w:ind w:firstLine="480" w:firstLineChars="200"/>
              <w:textAlignment w:val="auto"/>
              <w:rPr>
                <w:color w:val="auto"/>
              </w:rPr>
            </w:pPr>
            <w:r>
              <w:rPr>
                <w:color w:val="auto"/>
              </w:rPr>
              <w:t>风力发电机通常由风轮、齿轮箱、调速装置、发电机、塔架、控制系统及附属装置部件组成，其中为了保护齿轮箱、发电机等部件，通常会采用罩壳把它们密封起来，此罩壳称为“机舱”。</w:t>
            </w:r>
          </w:p>
          <w:p w14:paraId="6EB50AEB">
            <w:pPr>
              <w:keepNext w:val="0"/>
              <w:keepLines w:val="0"/>
              <w:pageBreakBefore w:val="0"/>
              <w:widowControl w:val="0"/>
              <w:wordWrap/>
              <w:bidi w:val="0"/>
              <w:adjustRightInd w:val="0"/>
              <w:snapToGrid w:val="0"/>
              <w:spacing w:line="360" w:lineRule="auto"/>
              <w:ind w:firstLine="480" w:firstLineChars="200"/>
              <w:textAlignment w:val="auto"/>
              <w:rPr>
                <w:color w:val="auto"/>
              </w:rPr>
            </w:pPr>
            <w:r>
              <w:rPr>
                <w:color w:val="auto"/>
              </w:rPr>
              <w:t>风力发电机在正常运转时产生的噪声主要</w:t>
            </w:r>
            <w:r>
              <w:rPr>
                <w:rFonts w:hint="eastAsia"/>
                <w:color w:val="auto"/>
                <w:lang w:eastAsia="zh-CN"/>
              </w:rPr>
              <w:t>是</w:t>
            </w:r>
            <w:r>
              <w:rPr>
                <w:color w:val="auto"/>
              </w:rPr>
              <w:t>空气动力学噪声、机械噪声及电磁噪声，其中空气动力噪声影响最大。机械噪声来自齿轮、轴承等机械部件在运转过程中相互碰撞摩擦产生的机械噪声。电磁噪声来自不平衡的电磁力使发电机产生电磁振动，并通过固体结构辐射电磁噪声。电磁噪声和机械噪声都在风机电机舱内部。空气动力学噪声来源于旋转的风机叶片和空气的摩擦声，影响空气动力噪声的主要因素有风速、风向，当风速增加时，风机噪声随之增大，当风向改变时，风机机舱水平转动会惯性减速刹车，产生突发噪声。（摘自李晓玲，蒋立克，李凌云.风电场运行期噪声影响范围及防治措施［D］内燃机与配件，2017）。</w:t>
            </w:r>
          </w:p>
          <w:p w14:paraId="040D2C31">
            <w:pPr>
              <w:keepNext w:val="0"/>
              <w:keepLines w:val="0"/>
              <w:pageBreakBefore w:val="0"/>
              <w:widowControl w:val="0"/>
              <w:wordWrap/>
              <w:bidi w:val="0"/>
              <w:adjustRightInd w:val="0"/>
              <w:snapToGrid w:val="0"/>
              <w:spacing w:line="360" w:lineRule="auto"/>
              <w:ind w:firstLine="482"/>
              <w:textAlignment w:val="auto"/>
              <w:rPr>
                <w:rFonts w:hint="eastAsia"/>
                <w:color w:val="auto"/>
              </w:rPr>
            </w:pPr>
            <w:r>
              <w:rPr>
                <w:rFonts w:hint="eastAsia"/>
                <w:color w:val="auto"/>
              </w:rPr>
              <w:t>根据风机源强的研究，风机轮毂风速达到8.12m/s时，源强为102.9dB（A）；风速达到9.47m/s时，源强为103.4dB（A），风速达到和超过10.83m/s时，源强</w:t>
            </w:r>
            <w:r>
              <w:rPr>
                <w:rFonts w:hint="eastAsia"/>
                <w:color w:val="auto"/>
                <w:lang w:eastAsia="zh-CN"/>
              </w:rPr>
              <w:t>为</w:t>
            </w:r>
            <w:r>
              <w:rPr>
                <w:rFonts w:hint="eastAsia"/>
                <w:color w:val="auto"/>
              </w:rPr>
              <w:t>10</w:t>
            </w:r>
            <w:r>
              <w:rPr>
                <w:rFonts w:hint="eastAsia"/>
                <w:color w:val="auto"/>
                <w:lang w:val="en-US" w:eastAsia="zh-CN"/>
              </w:rPr>
              <w:t>5</w:t>
            </w:r>
            <w:r>
              <w:rPr>
                <w:rFonts w:hint="eastAsia"/>
                <w:color w:val="auto"/>
              </w:rPr>
              <w:t>dB（A），而且不再随风速增大而增大。（摘自谷朝君，潘颖，卢力，李凌云.风力发电机组噪声污染规律探讨［J］全国声学设计与噪声振动控制工程暨配套装备学术会议，2010）。</w:t>
            </w:r>
          </w:p>
          <w:p w14:paraId="7CCE2A5C">
            <w:pPr>
              <w:keepNext w:val="0"/>
              <w:keepLines w:val="0"/>
              <w:pageBreakBefore w:val="0"/>
              <w:widowControl w:val="0"/>
              <w:wordWrap/>
              <w:bidi w:val="0"/>
              <w:adjustRightInd w:val="0"/>
              <w:snapToGrid w:val="0"/>
              <w:spacing w:line="360" w:lineRule="auto"/>
              <w:ind w:firstLine="482"/>
              <w:textAlignment w:val="auto"/>
              <w:rPr>
                <w:rFonts w:hint="eastAsia"/>
                <w:color w:val="auto"/>
              </w:rPr>
            </w:pPr>
            <w:r>
              <w:rPr>
                <w:rFonts w:hint="eastAsia"/>
                <w:color w:val="auto"/>
                <w:lang w:val="en-US" w:eastAsia="zh-CN"/>
              </w:rPr>
              <w:t>根据噪声研究报告，风机</w:t>
            </w:r>
            <w:r>
              <w:rPr>
                <w:rFonts w:hint="eastAsia"/>
                <w:color w:val="auto"/>
              </w:rPr>
              <w:t>机组的实际噪声水平与</w:t>
            </w:r>
            <w:r>
              <w:rPr>
                <w:rFonts w:hint="eastAsia"/>
                <w:color w:val="auto"/>
                <w:lang w:eastAsia="zh-CN"/>
              </w:rPr>
              <w:t>机型容量、</w:t>
            </w:r>
            <w:r>
              <w:rPr>
                <w:rFonts w:hint="eastAsia"/>
                <w:color w:val="auto"/>
              </w:rPr>
              <w:t>项目的环境条件、风况以及机组的自身情况等多种因素有关，</w:t>
            </w:r>
            <w:r>
              <w:rPr>
                <w:rFonts w:hint="eastAsia"/>
                <w:color w:val="auto"/>
                <w:lang w:eastAsia="zh-CN"/>
              </w:rPr>
              <w:t>主要</w:t>
            </w:r>
            <w:r>
              <w:rPr>
                <w:rFonts w:hint="eastAsia"/>
                <w:color w:val="auto"/>
              </w:rPr>
              <w:t>由轮毂高度风速区间的中心值决定，</w:t>
            </w:r>
            <w:r>
              <w:rPr>
                <w:rFonts w:hint="eastAsia"/>
                <w:color w:val="auto"/>
                <w:lang w:val="en-US" w:eastAsia="zh-CN"/>
              </w:rPr>
              <w:t>类比相关风机噪声测试数据，</w:t>
            </w:r>
            <w:r>
              <w:rPr>
                <w:color w:val="auto"/>
              </w:rPr>
              <w:t>风力发电机组</w:t>
            </w:r>
            <w:r>
              <w:rPr>
                <w:rFonts w:hint="eastAsia"/>
                <w:color w:val="auto"/>
                <w:lang w:eastAsia="zh-CN"/>
              </w:rPr>
              <w:t>在未采取降噪措施的情况下</w:t>
            </w:r>
            <w:r>
              <w:rPr>
                <w:color w:val="auto"/>
              </w:rPr>
              <w:t>噪声功率级多在</w:t>
            </w:r>
            <w:r>
              <w:rPr>
                <w:rFonts w:hint="eastAsia"/>
                <w:color w:val="auto"/>
                <w:lang w:val="en-US" w:eastAsia="zh-CN"/>
              </w:rPr>
              <w:t>98.4</w:t>
            </w:r>
            <w:r>
              <w:rPr>
                <w:color w:val="auto"/>
              </w:rPr>
              <w:t>～</w:t>
            </w:r>
            <w:r>
              <w:rPr>
                <w:rFonts w:hint="eastAsia"/>
                <w:color w:val="auto"/>
                <w:lang w:val="en-US" w:eastAsia="zh-CN"/>
              </w:rPr>
              <w:t>110</w:t>
            </w:r>
            <w:r>
              <w:rPr>
                <w:color w:val="auto"/>
              </w:rPr>
              <w:t>dB（A）</w:t>
            </w:r>
            <w:r>
              <w:rPr>
                <w:rFonts w:hint="eastAsia"/>
                <w:color w:val="auto"/>
              </w:rPr>
              <w:t>之间，总体上风机噪声与风速成正比，当风速达到</w:t>
            </w:r>
            <w:r>
              <w:rPr>
                <w:rFonts w:hint="eastAsia"/>
                <w:color w:val="auto"/>
                <w:lang w:val="en-US" w:eastAsia="zh-CN"/>
              </w:rPr>
              <w:t>13m/s的时候</w:t>
            </w:r>
            <w:r>
              <w:rPr>
                <w:rFonts w:hint="eastAsia"/>
                <w:color w:val="auto"/>
              </w:rPr>
              <w:t>趋于稳定。</w:t>
            </w:r>
          </w:p>
          <w:p w14:paraId="174F546F">
            <w:pPr>
              <w:pStyle w:val="55"/>
              <w:keepNext w:val="0"/>
              <w:keepLines w:val="0"/>
              <w:pageBreakBefore w:val="0"/>
              <w:widowControl w:val="0"/>
              <w:tabs>
                <w:tab w:val="left" w:pos="1606"/>
                <w:tab w:val="left" w:pos="1680"/>
                <w:tab w:val="left" w:pos="1980"/>
                <w:tab w:val="left" w:pos="2100"/>
                <w:tab w:val="left" w:pos="2520"/>
              </w:tabs>
              <w:wordWrap/>
              <w:bidi w:val="0"/>
              <w:adjustRightInd w:val="0"/>
              <w:snapToGrid w:val="0"/>
              <w:textAlignment w:val="auto"/>
              <w:rPr>
                <w:rFonts w:hint="eastAsia" w:eastAsia="宋体"/>
                <w:color w:val="auto"/>
                <w:lang w:eastAsia="zh-CN"/>
              </w:rPr>
            </w:pPr>
            <w:r>
              <w:rPr>
                <w:rFonts w:hint="eastAsia"/>
                <w:color w:val="auto"/>
                <w:lang w:eastAsia="zh-CN"/>
              </w:rPr>
              <w:t>由于建设单位尚未确定风机采购厂家，暂无法提供《风力发电机组噪声分析报告》</w:t>
            </w:r>
            <w:r>
              <w:rPr>
                <w:rFonts w:hint="eastAsia" w:eastAsia="宋体"/>
                <w:color w:val="auto"/>
                <w:lang w:eastAsia="zh-CN"/>
              </w:rPr>
              <w:t>。综合相关机型比选结果及</w:t>
            </w:r>
            <w:r>
              <w:rPr>
                <w:rFonts w:hint="eastAsia" w:ascii="Times New Roman" w:hAnsi="Times New Roman" w:eastAsia="宋体" w:cs="Times New Roman"/>
                <w:bCs/>
                <w:color w:val="auto"/>
                <w:lang w:eastAsia="zh-CN" w:bidi="ar"/>
              </w:rPr>
              <w:t>建设单位提供的</w:t>
            </w:r>
            <w:r>
              <w:rPr>
                <w:rFonts w:hint="eastAsia" w:eastAsia="宋体" w:cs="Times New Roman"/>
                <w:bCs/>
                <w:color w:val="auto"/>
                <w:lang w:eastAsia="zh-CN" w:bidi="ar"/>
              </w:rPr>
              <w:t>可行性研究报告</w:t>
            </w:r>
            <w:r>
              <w:rPr>
                <w:rFonts w:hint="eastAsia" w:ascii="Times New Roman" w:hAnsi="Times New Roman" w:eastAsia="宋体" w:cs="Times New Roman"/>
                <w:bCs/>
                <w:color w:val="auto"/>
                <w:lang w:eastAsia="zh-CN" w:bidi="ar"/>
              </w:rPr>
              <w:t>，</w:t>
            </w:r>
            <w:r>
              <w:rPr>
                <w:rFonts w:hint="eastAsia" w:eastAsia="宋体" w:cs="Times New Roman"/>
                <w:bCs/>
                <w:color w:val="auto"/>
                <w:lang w:eastAsia="zh-CN" w:bidi="ar"/>
              </w:rPr>
              <w:t>海德村</w:t>
            </w:r>
            <w:r>
              <w:rPr>
                <w:rFonts w:hint="eastAsia" w:ascii="Times New Roman" w:hAnsi="Times New Roman" w:eastAsia="宋体" w:cs="Times New Roman"/>
                <w:bCs/>
                <w:color w:val="auto"/>
                <w:lang w:val="en-US" w:eastAsia="zh-CN" w:bidi="ar"/>
              </w:rPr>
              <w:t>项目</w:t>
            </w:r>
            <w:r>
              <w:rPr>
                <w:rFonts w:hint="eastAsia" w:eastAsia="宋体" w:cs="Times New Roman"/>
                <w:bCs/>
                <w:color w:val="auto"/>
                <w:lang w:val="en-US" w:eastAsia="zh-CN" w:bidi="ar"/>
              </w:rPr>
              <w:t>1#风机东南侧约300</w:t>
            </w:r>
            <w:r>
              <w:rPr>
                <w:rFonts w:hint="eastAsia" w:ascii="Times New Roman" w:hAnsi="Times New Roman" w:eastAsia="宋体" w:cs="Times New Roman"/>
                <w:bCs/>
                <w:color w:val="auto"/>
                <w:lang w:val="en-US" w:eastAsia="zh-CN" w:bidi="ar"/>
              </w:rPr>
              <w:t>m处设有一座编号为</w:t>
            </w:r>
            <w:r>
              <w:rPr>
                <w:rFonts w:hint="eastAsia" w:eastAsia="宋体" w:cs="Times New Roman"/>
                <w:bCs/>
                <w:color w:val="auto"/>
                <w:lang w:val="en-US" w:eastAsia="zh-CN" w:bidi="ar"/>
              </w:rPr>
              <w:t>715</w:t>
            </w:r>
            <w:r>
              <w:rPr>
                <w:rFonts w:hint="eastAsia" w:ascii="Times New Roman" w:hAnsi="Times New Roman" w:eastAsia="宋体" w:cs="Times New Roman"/>
                <w:bCs/>
                <w:color w:val="auto"/>
                <w:lang w:val="en-US" w:eastAsia="zh-CN" w:bidi="ar"/>
              </w:rPr>
              <w:t>0#的测风塔，塔高</w:t>
            </w:r>
            <w:r>
              <w:rPr>
                <w:rFonts w:hint="eastAsia" w:eastAsia="宋体" w:cs="Times New Roman"/>
                <w:bCs/>
                <w:color w:val="auto"/>
                <w:lang w:val="en-US" w:eastAsia="zh-CN" w:bidi="ar"/>
              </w:rPr>
              <w:t>7</w:t>
            </w:r>
            <w:r>
              <w:rPr>
                <w:rFonts w:hint="eastAsia" w:ascii="Times New Roman" w:hAnsi="Times New Roman" w:eastAsia="宋体" w:cs="Times New Roman"/>
                <w:bCs/>
                <w:color w:val="auto"/>
                <w:lang w:val="en-US" w:eastAsia="zh-CN" w:bidi="ar"/>
              </w:rPr>
              <w:t>0m。该测风塔年均风速为5.</w:t>
            </w:r>
            <w:r>
              <w:rPr>
                <w:rFonts w:hint="eastAsia" w:eastAsia="宋体" w:cs="Times New Roman"/>
                <w:bCs/>
                <w:color w:val="auto"/>
                <w:lang w:val="en-US" w:eastAsia="zh-CN" w:bidi="ar"/>
              </w:rPr>
              <w:t>52</w:t>
            </w:r>
            <w:r>
              <w:rPr>
                <w:rFonts w:hint="eastAsia" w:ascii="Times New Roman" w:hAnsi="Times New Roman" w:eastAsia="宋体" w:cs="Times New Roman"/>
                <w:bCs/>
                <w:color w:val="auto"/>
                <w:lang w:val="en-US" w:eastAsia="zh-CN" w:bidi="ar"/>
              </w:rPr>
              <w:t>m/s，轮毂高度（</w:t>
            </w:r>
            <w:r>
              <w:rPr>
                <w:rFonts w:hint="eastAsia" w:eastAsia="宋体" w:cs="Times New Roman"/>
                <w:bCs/>
                <w:color w:val="auto"/>
                <w:lang w:val="en-US" w:eastAsia="zh-CN" w:bidi="ar"/>
              </w:rPr>
              <w:t>70</w:t>
            </w:r>
            <w:r>
              <w:rPr>
                <w:rFonts w:hint="eastAsia" w:ascii="Times New Roman" w:hAnsi="Times New Roman" w:eastAsia="宋体" w:cs="Times New Roman"/>
                <w:bCs/>
                <w:color w:val="auto"/>
                <w:lang w:val="en-US" w:eastAsia="zh-CN" w:bidi="ar"/>
              </w:rPr>
              <w:t>m）处年均风速为</w:t>
            </w:r>
            <w:r>
              <w:rPr>
                <w:rFonts w:hint="eastAsia" w:eastAsia="宋体" w:cs="Times New Roman"/>
                <w:bCs/>
                <w:color w:val="auto"/>
                <w:lang w:val="en-US" w:eastAsia="zh-CN" w:bidi="ar"/>
              </w:rPr>
              <w:t>7.75</w:t>
            </w:r>
            <w:r>
              <w:rPr>
                <w:rFonts w:hint="eastAsia" w:ascii="Times New Roman" w:hAnsi="Times New Roman" w:eastAsia="宋体" w:cs="Times New Roman"/>
                <w:bCs/>
                <w:color w:val="auto"/>
                <w:lang w:val="en-US" w:eastAsia="zh-CN" w:bidi="ar"/>
              </w:rPr>
              <w:t>m/s。在有效风速段内，</w:t>
            </w:r>
            <w:r>
              <w:rPr>
                <w:rFonts w:hint="eastAsia" w:eastAsia="宋体" w:cs="Times New Roman"/>
                <w:bCs/>
                <w:color w:val="auto"/>
                <w:lang w:val="en-US" w:eastAsia="zh-CN" w:bidi="ar"/>
              </w:rPr>
              <w:t>30</w:t>
            </w:r>
            <w:r>
              <w:rPr>
                <w:rFonts w:hint="eastAsia" w:ascii="Times New Roman" w:hAnsi="Times New Roman" w:eastAsia="宋体" w:cs="Times New Roman"/>
                <w:bCs/>
                <w:color w:val="auto"/>
                <w:lang w:val="en-US" w:eastAsia="zh-CN" w:bidi="ar"/>
              </w:rPr>
              <w:t>m高度处风速基本集中在</w:t>
            </w:r>
            <w:r>
              <w:rPr>
                <w:rFonts w:hint="eastAsia" w:eastAsia="宋体" w:cs="Times New Roman"/>
                <w:bCs/>
                <w:color w:val="auto"/>
                <w:lang w:val="en-US" w:eastAsia="zh-CN" w:bidi="ar"/>
              </w:rPr>
              <w:t>6.90</w:t>
            </w:r>
            <w:r>
              <w:rPr>
                <w:rFonts w:hint="eastAsia" w:ascii="Times New Roman" w:hAnsi="Times New Roman" w:eastAsia="宋体" w:cs="Times New Roman"/>
                <w:bCs/>
                <w:color w:val="auto"/>
                <w:lang w:val="en-US" w:eastAsia="zh-CN" w:bidi="ar"/>
              </w:rPr>
              <w:t>m/s～</w:t>
            </w:r>
            <w:r>
              <w:rPr>
                <w:rFonts w:hint="eastAsia" w:eastAsia="宋体" w:cs="Times New Roman"/>
                <w:bCs/>
                <w:color w:val="auto"/>
                <w:lang w:val="en-US" w:eastAsia="zh-CN" w:bidi="ar"/>
              </w:rPr>
              <w:t>7.56</w:t>
            </w:r>
            <w:r>
              <w:rPr>
                <w:rFonts w:hint="eastAsia" w:ascii="Times New Roman" w:hAnsi="Times New Roman" w:eastAsia="宋体" w:cs="Times New Roman"/>
                <w:bCs/>
                <w:color w:val="auto"/>
                <w:lang w:val="en-US" w:eastAsia="zh-CN" w:bidi="ar"/>
              </w:rPr>
              <w:t>m/s之间，风能主要集中在</w:t>
            </w:r>
            <w:r>
              <w:rPr>
                <w:rFonts w:hint="eastAsia" w:eastAsia="宋体" w:cs="Times New Roman"/>
                <w:bCs/>
                <w:color w:val="auto"/>
                <w:lang w:val="en-US" w:eastAsia="zh-CN" w:bidi="ar"/>
              </w:rPr>
              <w:t>4.6</w:t>
            </w:r>
            <w:r>
              <w:rPr>
                <w:rFonts w:hint="eastAsia" w:ascii="Times New Roman" w:hAnsi="Times New Roman" w:eastAsia="宋体" w:cs="Times New Roman"/>
                <w:bCs/>
                <w:color w:val="auto"/>
                <w:lang w:val="en-US" w:eastAsia="zh-CN" w:bidi="ar"/>
              </w:rPr>
              <w:t>m/s～1</w:t>
            </w:r>
            <w:r>
              <w:rPr>
                <w:rFonts w:hint="eastAsia" w:eastAsia="宋体" w:cs="Times New Roman"/>
                <w:bCs/>
                <w:color w:val="auto"/>
                <w:lang w:val="en-US" w:eastAsia="zh-CN" w:bidi="ar"/>
              </w:rPr>
              <w:t>0.1</w:t>
            </w:r>
            <w:r>
              <w:rPr>
                <w:rFonts w:hint="eastAsia" w:ascii="Times New Roman" w:hAnsi="Times New Roman" w:eastAsia="宋体" w:cs="Times New Roman"/>
                <w:bCs/>
                <w:color w:val="auto"/>
                <w:lang w:val="en-US" w:eastAsia="zh-CN" w:bidi="ar"/>
              </w:rPr>
              <w:t>m/s风速段内。</w:t>
            </w:r>
            <w:r>
              <w:rPr>
                <w:rFonts w:hint="eastAsia"/>
                <w:color w:val="auto"/>
                <w:lang w:val="en-US" w:eastAsia="zh-CN"/>
              </w:rPr>
              <w:t>根据测风观测数据，最大风速对应的噪声源强值约为</w:t>
            </w:r>
            <w:r>
              <w:rPr>
                <w:rFonts w:hint="eastAsia" w:eastAsia="宋体"/>
                <w:color w:val="auto"/>
                <w:lang w:val="en-US" w:eastAsia="zh-CN"/>
              </w:rPr>
              <w:t>104.2</w:t>
            </w:r>
            <w:r>
              <w:rPr>
                <w:rFonts w:hint="eastAsia"/>
                <w:color w:val="auto"/>
                <w:lang w:val="en-US" w:eastAsia="zh-CN"/>
              </w:rPr>
              <w:t>dB（A）。</w:t>
            </w:r>
          </w:p>
          <w:p w14:paraId="5965D8D3">
            <w:pPr>
              <w:keepNext w:val="0"/>
              <w:keepLines w:val="0"/>
              <w:pageBreakBefore w:val="0"/>
              <w:widowControl w:val="0"/>
              <w:wordWrap/>
              <w:bidi w:val="0"/>
              <w:adjustRightInd w:val="0"/>
              <w:snapToGrid w:val="0"/>
              <w:spacing w:line="360" w:lineRule="auto"/>
              <w:ind w:firstLine="482"/>
              <w:textAlignment w:val="auto"/>
              <w:rPr>
                <w:rFonts w:hint="eastAsia" w:eastAsia="宋体"/>
                <w:color w:val="auto"/>
                <w:lang w:eastAsia="zh-CN"/>
              </w:rPr>
            </w:pPr>
            <w:r>
              <w:rPr>
                <w:rFonts w:hint="eastAsia"/>
                <w:color w:val="auto"/>
                <w:lang w:eastAsia="zh-CN"/>
              </w:rPr>
              <w:t>综合风机噪声研究资料，本次评价按最不利情况考虑，风机噪声源强取</w:t>
            </w:r>
            <w:r>
              <w:rPr>
                <w:rFonts w:hint="eastAsia"/>
                <w:color w:val="auto"/>
                <w:lang w:val="en-US" w:eastAsia="zh-CN"/>
              </w:rPr>
              <w:t>110dB（A）进行预测。</w:t>
            </w:r>
          </w:p>
          <w:p w14:paraId="2E6CFB80">
            <w:pPr>
              <w:keepNext w:val="0"/>
              <w:keepLines w:val="0"/>
              <w:pageBreakBefore w:val="0"/>
              <w:widowControl w:val="0"/>
              <w:wordWrap/>
              <w:bidi w:val="0"/>
              <w:adjustRightInd w:val="0"/>
              <w:snapToGrid w:val="0"/>
              <w:spacing w:line="360" w:lineRule="auto"/>
              <w:ind w:firstLine="482" w:firstLineChars="200"/>
              <w:textAlignment w:val="auto"/>
              <w:rPr>
                <w:rFonts w:ascii="Times New Roman" w:hAnsi="Times New Roman" w:cs="Times New Roman"/>
                <w:color w:val="auto"/>
                <w:highlight w:val="none"/>
              </w:rPr>
            </w:pPr>
            <w:r>
              <w:rPr>
                <w:b/>
                <w:bCs/>
                <w:color w:val="auto"/>
                <w:szCs w:val="32"/>
              </w:rPr>
              <w:t>（2）风机机组噪声预测</w:t>
            </w:r>
          </w:p>
          <w:p w14:paraId="49386667">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根据《环境影响评价技术导则声环境》（HJ2.4-2021）的规定“在声环境影响评价中，声源中心到预测点之间的距离超过声源最大几何尺寸2倍时，可将该声源近似为点声源”。根据项目可行性研究报告本次规划拟采用的</w:t>
            </w:r>
            <w:r>
              <w:rPr>
                <w:rFonts w:hint="default" w:ascii="Times New Roman" w:hAnsi="Times New Roman" w:cs="Times New Roman"/>
                <w:color w:val="auto"/>
                <w:sz w:val="24"/>
                <w:szCs w:val="24"/>
                <w:highlight w:val="none"/>
              </w:rPr>
              <w:t>拟安装2台单机容量为7.5</w:t>
            </w:r>
            <w:r>
              <w:rPr>
                <w:rFonts w:ascii="Times New Roman" w:hAnsi="Times New Roman" w:cs="Times New Roman"/>
                <w:color w:val="auto"/>
                <w:sz w:val="24"/>
                <w:szCs w:val="24"/>
                <w:highlight w:val="none"/>
              </w:rPr>
              <w:t>MW</w:t>
            </w:r>
            <w:r>
              <w:rPr>
                <w:rFonts w:hint="default" w:ascii="Times New Roman" w:hAnsi="Times New Roman" w:cs="Times New Roman"/>
                <w:color w:val="auto"/>
                <w:sz w:val="24"/>
                <w:szCs w:val="24"/>
                <w:highlight w:val="none"/>
              </w:rPr>
              <w:t>风电机组、</w:t>
            </w:r>
            <w:r>
              <w:rPr>
                <w:rFonts w:ascii="Times New Roman" w:hAnsi="Times New Roman" w:cs="Times New Roman"/>
                <w:color w:val="auto"/>
                <w:sz w:val="24"/>
                <w:szCs w:val="24"/>
                <w:highlight w:val="none"/>
              </w:rPr>
              <w:t>1</w:t>
            </w:r>
            <w:r>
              <w:rPr>
                <w:rFonts w:hint="default" w:ascii="Times New Roman" w:hAnsi="Times New Roman" w:cs="Times New Roman"/>
                <w:color w:val="auto"/>
                <w:sz w:val="24"/>
                <w:szCs w:val="24"/>
                <w:highlight w:val="none"/>
              </w:rPr>
              <w:t>台单机容量为5</w:t>
            </w:r>
            <w:r>
              <w:rPr>
                <w:rFonts w:ascii="Times New Roman" w:hAnsi="Times New Roman" w:cs="Times New Roman"/>
                <w:color w:val="auto"/>
                <w:sz w:val="24"/>
                <w:szCs w:val="24"/>
                <w:highlight w:val="none"/>
              </w:rPr>
              <w:t>MW</w:t>
            </w:r>
            <w:r>
              <w:rPr>
                <w:rFonts w:hint="default" w:ascii="Times New Roman" w:hAnsi="Times New Roman" w:cs="Times New Roman"/>
                <w:color w:val="auto"/>
                <w:sz w:val="24"/>
                <w:szCs w:val="24"/>
                <w:highlight w:val="none"/>
              </w:rPr>
              <w:t>风电机组，总装机容量20</w:t>
            </w:r>
            <w:r>
              <w:rPr>
                <w:rFonts w:ascii="Times New Roman" w:hAnsi="Times New Roman" w:cs="Times New Roman"/>
                <w:color w:val="auto"/>
                <w:sz w:val="24"/>
                <w:szCs w:val="24"/>
                <w:highlight w:val="none"/>
              </w:rPr>
              <w:t>MW</w:t>
            </w:r>
            <w:r>
              <w:rPr>
                <w:rFonts w:hint="default" w:ascii="Times New Roman" w:hAnsi="Times New Roman" w:cs="Times New Roman"/>
                <w:color w:val="auto"/>
                <w:sz w:val="24"/>
                <w:szCs w:val="24"/>
                <w:highlight w:val="none"/>
              </w:rPr>
              <w:t>。</w:t>
            </w:r>
            <w:r>
              <w:rPr>
                <w:rFonts w:ascii="Times New Roman" w:hAnsi="Times New Roman" w:cs="Times New Roman"/>
                <w:color w:val="auto"/>
                <w:highlight w:val="none"/>
              </w:rPr>
              <w:t>将风机声源点近似为点声源。</w:t>
            </w:r>
          </w:p>
          <w:p w14:paraId="3FF2A457">
            <w:pPr>
              <w:keepNext w:val="0"/>
              <w:keepLines w:val="0"/>
              <w:pageBreakBefore w:val="0"/>
              <w:widowControl w:val="0"/>
              <w:wordWrap/>
              <w:bidi w:val="0"/>
              <w:adjustRightInd w:val="0"/>
              <w:snapToGrid w:val="0"/>
              <w:textAlignment w:val="auto"/>
              <w:rPr>
                <w:rFonts w:hint="eastAsia" w:cs="Times New Roman"/>
                <w:color w:val="auto"/>
                <w:highlight w:val="none"/>
                <w:lang w:eastAsia="zh-CN"/>
              </w:rPr>
            </w:pPr>
            <w:r>
              <w:rPr>
                <w:rFonts w:ascii="Times New Roman" w:hAnsi="Times New Roman" w:cs="Times New Roman"/>
                <w:color w:val="auto"/>
                <w:highlight w:val="none"/>
              </w:rPr>
              <w:t>由于本项目相邻两台风机的距离较大，噪声叠加作用较小，因此风机噪声影响使用噪声衰减模式进行单点预测，项目风机布置主要布置于山脊，且风机轮毂高度在115m。由于风力发电机组噪声源位于空中，噪声反射和障碍物均可以忽略，且噪声传播没有特定方向。因此，风力发电机组噪声源传播的空间视为</w:t>
            </w:r>
            <w:r>
              <w:rPr>
                <w:rFonts w:hint="eastAsia" w:cs="Times New Roman"/>
                <w:color w:val="auto"/>
                <w:highlight w:val="none"/>
                <w:lang w:eastAsia="zh-CN"/>
              </w:rPr>
              <w:t>半</w:t>
            </w:r>
            <w:r>
              <w:rPr>
                <w:rFonts w:ascii="Times New Roman" w:hAnsi="Times New Roman" w:cs="Times New Roman"/>
                <w:color w:val="auto"/>
                <w:highlight w:val="none"/>
              </w:rPr>
              <w:t>自由声场，根据《环境影响评价技术导则声环境》（HJ2.4-2021）进行噪声预测计算</w:t>
            </w:r>
            <w:r>
              <w:rPr>
                <w:rFonts w:hint="eastAsia" w:cs="Times New Roman"/>
                <w:color w:val="auto"/>
                <w:highlight w:val="none"/>
                <w:lang w:eastAsia="zh-CN"/>
              </w:rPr>
              <w:t>。</w:t>
            </w:r>
          </w:p>
          <w:p w14:paraId="7C6E973D">
            <w:pPr>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color w:val="auto"/>
              </w:rPr>
              <w:drawing>
                <wp:inline distT="0" distB="0" distL="114300" distR="114300">
                  <wp:extent cx="2867025" cy="428625"/>
                  <wp:effectExtent l="0" t="0" r="9525" b="9525"/>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30"/>
                          <a:stretch>
                            <a:fillRect/>
                          </a:stretch>
                        </pic:blipFill>
                        <pic:spPr>
                          <a:xfrm>
                            <a:off x="0" y="0"/>
                            <a:ext cx="2867025" cy="428625"/>
                          </a:xfrm>
                          <a:prstGeom prst="rect">
                            <a:avLst/>
                          </a:prstGeom>
                          <a:noFill/>
                          <a:ln>
                            <a:noFill/>
                          </a:ln>
                        </pic:spPr>
                      </pic:pic>
                    </a:graphicData>
                  </a:graphic>
                </wp:inline>
              </w:drawing>
            </w:r>
          </w:p>
          <w:p w14:paraId="589AF5B5">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shd w:val="clear"/>
              </w:rPr>
              <w:t>式中</w:t>
            </w:r>
            <w:r>
              <w:rPr>
                <w:rFonts w:ascii="Times New Roman" w:hAnsi="Times New Roman" w:cs="Times New Roman"/>
                <w:color w:val="auto"/>
                <w:highlight w:val="none"/>
              </w:rPr>
              <w:t>：L</w:t>
            </w:r>
            <w:r>
              <w:rPr>
                <w:rFonts w:ascii="Times New Roman" w:hAnsi="Times New Roman" w:cs="Times New Roman"/>
                <w:color w:val="auto"/>
                <w:highlight w:val="none"/>
                <w:vertAlign w:val="subscript"/>
              </w:rPr>
              <w:t>A</w:t>
            </w:r>
            <w:r>
              <w:rPr>
                <w:rFonts w:ascii="Times New Roman" w:hAnsi="Times New Roman" w:cs="Times New Roman"/>
                <w:color w:val="auto"/>
                <w:highlight w:val="none"/>
              </w:rPr>
              <w:t>（r）—预测点的A声级，dB（A）</w:t>
            </w:r>
          </w:p>
          <w:p w14:paraId="76C055D3">
            <w:pPr>
              <w:keepNext w:val="0"/>
              <w:keepLines w:val="0"/>
              <w:pageBreakBefore w:val="0"/>
              <w:widowControl w:val="0"/>
              <w:wordWrap/>
              <w:bidi w:val="0"/>
              <w:adjustRightInd w:val="0"/>
              <w:snapToGrid w:val="0"/>
              <w:textAlignment w:val="auto"/>
              <w:rPr>
                <w:rFonts w:hint="default" w:ascii="Times New Roman" w:hAnsi="Times New Roman" w:eastAsia="宋体" w:cs="Times New Roman"/>
                <w:color w:val="auto"/>
                <w:highlight w:val="none"/>
                <w:lang w:val="en-US" w:eastAsia="zh-CN"/>
              </w:rPr>
            </w:pPr>
            <w:r>
              <w:rPr>
                <w:rFonts w:ascii="Times New Roman" w:hAnsi="Times New Roman" w:cs="Times New Roman"/>
                <w:color w:val="auto"/>
                <w:highlight w:val="none"/>
              </w:rPr>
              <w:t>L</w:t>
            </w:r>
            <w:r>
              <w:rPr>
                <w:rFonts w:ascii="Times New Roman" w:hAnsi="Times New Roman" w:cs="Times New Roman"/>
                <w:color w:val="auto"/>
                <w:highlight w:val="none"/>
                <w:vertAlign w:val="subscript"/>
              </w:rPr>
              <w:t>A</w:t>
            </w:r>
            <w:r>
              <w:rPr>
                <w:rFonts w:ascii="Times New Roman" w:hAnsi="Times New Roman" w:cs="Times New Roman"/>
                <w:color w:val="auto"/>
                <w:highlight w:val="none"/>
              </w:rPr>
              <w:t>w—声源的A声功率级，dB（</w:t>
            </w:r>
            <w:r>
              <w:rPr>
                <w:rFonts w:hint="eastAsia" w:cs="Times New Roman"/>
                <w:color w:val="auto"/>
                <w:highlight w:val="none"/>
                <w:lang w:val="en-US" w:eastAsia="zh-CN"/>
              </w:rPr>
              <w:t>A)</w:t>
            </w:r>
          </w:p>
          <w:p w14:paraId="1CE7903D">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r—预测点距离声源的距离，m</w:t>
            </w:r>
          </w:p>
          <w:p w14:paraId="37BFAEA1">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单台风机运行噪声水平方向上的噪声预测结果如下表。</w:t>
            </w:r>
          </w:p>
          <w:p w14:paraId="6978FF30">
            <w:pPr>
              <w:pStyle w:val="49"/>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表4-</w:t>
            </w:r>
            <w:r>
              <w:rPr>
                <w:rFonts w:hint="eastAsia" w:ascii="Times New Roman" w:hAnsi="Times New Roman" w:cs="Times New Roman"/>
                <w:color w:val="auto"/>
                <w:highlight w:val="none"/>
                <w:lang w:val="en-US" w:eastAsia="zh-CN"/>
              </w:rPr>
              <w:t>6</w:t>
            </w:r>
            <w:r>
              <w:rPr>
                <w:rFonts w:ascii="Times New Roman" w:hAnsi="Times New Roman" w:cs="Times New Roman"/>
                <w:color w:val="auto"/>
                <w:highlight w:val="none"/>
              </w:rPr>
              <w:t>单台风机噪声贡献值情况一览表</w:t>
            </w:r>
          </w:p>
          <w:tbl>
            <w:tblPr>
              <w:tblStyle w:val="21"/>
              <w:tblW w:w="7655" w:type="dxa"/>
              <w:tblInd w:w="5"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120"/>
              <w:gridCol w:w="1830"/>
              <w:gridCol w:w="3705"/>
            </w:tblGrid>
            <w:tr w14:paraId="104D97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2120" w:type="dxa"/>
                  <w:tcBorders>
                    <w:tl2br w:val="nil"/>
                    <w:tr2bl w:val="nil"/>
                  </w:tcBorders>
                  <w:noWrap w:val="0"/>
                  <w:vAlign w:val="top"/>
                </w:tcPr>
                <w:p w14:paraId="59D441F8">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噪声源强</w:t>
                  </w:r>
                </w:p>
              </w:tc>
              <w:tc>
                <w:tcPr>
                  <w:tcW w:w="1830" w:type="dxa"/>
                  <w:tcBorders>
                    <w:tl2br w:val="nil"/>
                    <w:tr2bl w:val="nil"/>
                  </w:tcBorders>
                  <w:noWrap w:val="0"/>
                  <w:vAlign w:val="top"/>
                </w:tcPr>
                <w:p w14:paraId="2C6A7E64">
                  <w:pPr>
                    <w:keepNext w:val="0"/>
                    <w:keepLines w:val="0"/>
                    <w:pageBreakBefore w:val="0"/>
                    <w:widowControl w:val="0"/>
                    <w:wordWrap/>
                    <w:bidi w:val="0"/>
                    <w:adjustRightInd w:val="0"/>
                    <w:snapToGrid w:val="0"/>
                    <w:spacing w:line="360" w:lineRule="auto"/>
                    <w:jc w:val="center"/>
                    <w:textAlignment w:val="auto"/>
                    <w:rPr>
                      <w:rFonts w:hint="eastAsia" w:eastAsia="宋体" w:cs="Times New Roman"/>
                      <w:b w:val="0"/>
                      <w:bCs/>
                      <w:color w:val="auto"/>
                      <w:sz w:val="21"/>
                      <w:szCs w:val="21"/>
                      <w:highlight w:val="none"/>
                      <w:vertAlign w:val="baseline"/>
                      <w:lang w:val="en-US" w:eastAsia="zh-CN"/>
                    </w:rPr>
                  </w:pPr>
                  <w:r>
                    <w:rPr>
                      <w:rFonts w:hint="eastAsia"/>
                      <w:color w:val="auto"/>
                      <w:kern w:val="0"/>
                      <w:sz w:val="21"/>
                      <w:szCs w:val="21"/>
                      <w:lang w:eastAsia="zh-CN"/>
                    </w:rPr>
                    <w:t>衰减距离</w:t>
                  </w:r>
                </w:p>
              </w:tc>
              <w:tc>
                <w:tcPr>
                  <w:tcW w:w="3705" w:type="dxa"/>
                  <w:tcBorders>
                    <w:tl2br w:val="nil"/>
                    <w:tr2bl w:val="nil"/>
                  </w:tcBorders>
                  <w:noWrap w:val="0"/>
                  <w:vAlign w:val="top"/>
                </w:tcPr>
                <w:p w14:paraId="2CA58F79">
                  <w:pPr>
                    <w:keepNext w:val="0"/>
                    <w:keepLines w:val="0"/>
                    <w:pageBreakBefore w:val="0"/>
                    <w:widowControl w:val="0"/>
                    <w:wordWrap/>
                    <w:bidi w:val="0"/>
                    <w:adjustRightInd w:val="0"/>
                    <w:snapToGrid w:val="0"/>
                    <w:spacing w:line="360" w:lineRule="auto"/>
                    <w:jc w:val="center"/>
                    <w:textAlignment w:val="auto"/>
                    <w:rPr>
                      <w:rFonts w:hint="eastAsia" w:eastAsia="宋体" w:cs="Times New Roman"/>
                      <w:b w:val="0"/>
                      <w:bCs/>
                      <w:color w:val="auto"/>
                      <w:sz w:val="21"/>
                      <w:szCs w:val="21"/>
                      <w:highlight w:val="none"/>
                      <w:vertAlign w:val="baseline"/>
                      <w:lang w:val="en-US" w:eastAsia="zh-CN"/>
                    </w:rPr>
                  </w:pPr>
                  <w:r>
                    <w:rPr>
                      <w:color w:val="auto"/>
                      <w:kern w:val="0"/>
                      <w:sz w:val="21"/>
                      <w:szCs w:val="21"/>
                    </w:rPr>
                    <w:t>距声源不同距离处的噪声</w:t>
                  </w:r>
                  <w:r>
                    <w:rPr>
                      <w:rFonts w:hint="eastAsia"/>
                      <w:color w:val="auto"/>
                      <w:kern w:val="0"/>
                      <w:sz w:val="21"/>
                      <w:szCs w:val="21"/>
                      <w:lang w:eastAsia="zh-CN"/>
                    </w:rPr>
                    <w:t>贡献值</w:t>
                  </w:r>
                </w:p>
              </w:tc>
            </w:tr>
            <w:tr w14:paraId="6EDD77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7F8F8067">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39876581">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50m</w:t>
                  </w:r>
                </w:p>
              </w:tc>
              <w:tc>
                <w:tcPr>
                  <w:tcW w:w="3705" w:type="dxa"/>
                  <w:tcBorders>
                    <w:tl2br w:val="nil"/>
                    <w:tr2bl w:val="nil"/>
                  </w:tcBorders>
                  <w:noWrap w:val="0"/>
                  <w:vAlign w:val="center"/>
                </w:tcPr>
                <w:p w14:paraId="24C6982C">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68.02dB（A）</w:t>
                  </w:r>
                </w:p>
              </w:tc>
            </w:tr>
            <w:tr w14:paraId="2241BE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2FAB5A9C">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6E23852F">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100m</w:t>
                  </w:r>
                </w:p>
              </w:tc>
              <w:tc>
                <w:tcPr>
                  <w:tcW w:w="3705" w:type="dxa"/>
                  <w:tcBorders>
                    <w:tl2br w:val="nil"/>
                    <w:tr2bl w:val="nil"/>
                  </w:tcBorders>
                  <w:noWrap w:val="0"/>
                  <w:vAlign w:val="center"/>
                </w:tcPr>
                <w:p w14:paraId="7D29F082">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62.00dB（A）</w:t>
                  </w:r>
                </w:p>
              </w:tc>
            </w:tr>
            <w:tr w14:paraId="09D315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466A6B4A">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73A081AF">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200m</w:t>
                  </w:r>
                </w:p>
              </w:tc>
              <w:tc>
                <w:tcPr>
                  <w:tcW w:w="3705" w:type="dxa"/>
                  <w:tcBorders>
                    <w:tl2br w:val="nil"/>
                    <w:tr2bl w:val="nil"/>
                  </w:tcBorders>
                  <w:noWrap w:val="0"/>
                  <w:vAlign w:val="center"/>
                </w:tcPr>
                <w:p w14:paraId="509D558E">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55.98dB（A）</w:t>
                  </w:r>
                </w:p>
              </w:tc>
            </w:tr>
            <w:tr w14:paraId="6547DFF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20" w:type="dxa"/>
                  <w:tcBorders>
                    <w:tl2br w:val="nil"/>
                    <w:tr2bl w:val="nil"/>
                  </w:tcBorders>
                  <w:noWrap w:val="0"/>
                  <w:vAlign w:val="top"/>
                </w:tcPr>
                <w:p w14:paraId="1A29E53D">
                  <w:pPr>
                    <w:keepNext w:val="0"/>
                    <w:keepLines w:val="0"/>
                    <w:pageBreakBefore w:val="0"/>
                    <w:widowControl w:val="0"/>
                    <w:wordWrap/>
                    <w:bidi w:val="0"/>
                    <w:adjustRightInd w:val="0"/>
                    <w:snapToGrid w:val="0"/>
                    <w:spacing w:line="360" w:lineRule="auto"/>
                    <w:ind w:firstLine="422" w:firstLineChars="200"/>
                    <w:jc w:val="center"/>
                    <w:textAlignment w:val="auto"/>
                    <w:rPr>
                      <w:rFonts w:hint="default"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110dB（A）</w:t>
                  </w:r>
                </w:p>
              </w:tc>
              <w:tc>
                <w:tcPr>
                  <w:tcW w:w="1830" w:type="dxa"/>
                  <w:tcBorders>
                    <w:tl2br w:val="nil"/>
                    <w:tr2bl w:val="nil"/>
                  </w:tcBorders>
                  <w:noWrap w:val="0"/>
                  <w:vAlign w:val="top"/>
                </w:tcPr>
                <w:p w14:paraId="0B66F33F">
                  <w:pPr>
                    <w:keepNext w:val="0"/>
                    <w:keepLines w:val="0"/>
                    <w:pageBreakBefore w:val="0"/>
                    <w:widowControl w:val="0"/>
                    <w:wordWrap/>
                    <w:bidi w:val="0"/>
                    <w:adjustRightInd w:val="0"/>
                    <w:snapToGrid w:val="0"/>
                    <w:spacing w:line="360" w:lineRule="auto"/>
                    <w:jc w:val="center"/>
                    <w:textAlignment w:val="auto"/>
                    <w:rPr>
                      <w:rFonts w:hint="default"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224m</w:t>
                  </w:r>
                </w:p>
              </w:tc>
              <w:tc>
                <w:tcPr>
                  <w:tcW w:w="3705" w:type="dxa"/>
                  <w:tcBorders>
                    <w:tl2br w:val="nil"/>
                    <w:tr2bl w:val="nil"/>
                  </w:tcBorders>
                  <w:noWrap w:val="0"/>
                  <w:vAlign w:val="center"/>
                </w:tcPr>
                <w:p w14:paraId="42D932F2">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55.00dB（A）</w:t>
                  </w:r>
                </w:p>
              </w:tc>
            </w:tr>
            <w:tr w14:paraId="6BC913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20" w:type="dxa"/>
                  <w:tcBorders>
                    <w:tl2br w:val="nil"/>
                    <w:tr2bl w:val="nil"/>
                  </w:tcBorders>
                  <w:noWrap w:val="0"/>
                  <w:vAlign w:val="top"/>
                </w:tcPr>
                <w:p w14:paraId="48A3502F">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03292137">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300m</w:t>
                  </w:r>
                </w:p>
              </w:tc>
              <w:tc>
                <w:tcPr>
                  <w:tcW w:w="3705" w:type="dxa"/>
                  <w:tcBorders>
                    <w:tl2br w:val="nil"/>
                    <w:tr2bl w:val="nil"/>
                  </w:tcBorders>
                  <w:noWrap w:val="0"/>
                  <w:vAlign w:val="center"/>
                </w:tcPr>
                <w:p w14:paraId="2C792679">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52.46dB（A）</w:t>
                  </w:r>
                </w:p>
              </w:tc>
            </w:tr>
            <w:tr w14:paraId="1C6BA1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20" w:type="dxa"/>
                  <w:tcBorders>
                    <w:tl2br w:val="nil"/>
                    <w:tr2bl w:val="nil"/>
                  </w:tcBorders>
                  <w:noWrap w:val="0"/>
                  <w:vAlign w:val="top"/>
                </w:tcPr>
                <w:p w14:paraId="65BE4357">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22494EB0">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400m</w:t>
                  </w:r>
                </w:p>
              </w:tc>
              <w:tc>
                <w:tcPr>
                  <w:tcW w:w="3705" w:type="dxa"/>
                  <w:tcBorders>
                    <w:tl2br w:val="nil"/>
                    <w:tr2bl w:val="nil"/>
                  </w:tcBorders>
                  <w:noWrap w:val="0"/>
                  <w:vAlign w:val="center"/>
                </w:tcPr>
                <w:p w14:paraId="54E2AF12">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49.96dB（A）</w:t>
                  </w:r>
                </w:p>
              </w:tc>
            </w:tr>
            <w:tr w14:paraId="4D1E14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14A83DB1">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657B6FF8">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500m</w:t>
                  </w:r>
                </w:p>
              </w:tc>
              <w:tc>
                <w:tcPr>
                  <w:tcW w:w="3705" w:type="dxa"/>
                  <w:tcBorders>
                    <w:tl2br w:val="nil"/>
                    <w:tr2bl w:val="nil"/>
                  </w:tcBorders>
                  <w:noWrap w:val="0"/>
                  <w:vAlign w:val="center"/>
                </w:tcPr>
                <w:p w14:paraId="2D7B4E3A">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48.02dB（A）</w:t>
                  </w:r>
                </w:p>
              </w:tc>
            </w:tr>
            <w:tr w14:paraId="7E1640A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37C0C073">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39F7C8BE">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600m</w:t>
                  </w:r>
                </w:p>
              </w:tc>
              <w:tc>
                <w:tcPr>
                  <w:tcW w:w="3705" w:type="dxa"/>
                  <w:tcBorders>
                    <w:tl2br w:val="nil"/>
                    <w:tr2bl w:val="nil"/>
                  </w:tcBorders>
                  <w:noWrap w:val="0"/>
                  <w:vAlign w:val="center"/>
                </w:tcPr>
                <w:p w14:paraId="30CE4BCF">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46.40dB（A）</w:t>
                  </w:r>
                </w:p>
              </w:tc>
            </w:tr>
            <w:tr w14:paraId="002650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04C1B36F">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30A6C7F4">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650m</w:t>
                  </w:r>
                </w:p>
              </w:tc>
              <w:tc>
                <w:tcPr>
                  <w:tcW w:w="3705" w:type="dxa"/>
                  <w:tcBorders>
                    <w:tl2br w:val="nil"/>
                    <w:tr2bl w:val="nil"/>
                  </w:tcBorders>
                  <w:noWrap w:val="0"/>
                  <w:vAlign w:val="center"/>
                </w:tcPr>
                <w:p w14:paraId="271249D9">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45.65dB（A）</w:t>
                  </w:r>
                </w:p>
              </w:tc>
            </w:tr>
            <w:tr w14:paraId="30A2A5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5FD07430">
                  <w:pPr>
                    <w:keepNext w:val="0"/>
                    <w:keepLines w:val="0"/>
                    <w:pageBreakBefore w:val="0"/>
                    <w:widowControl w:val="0"/>
                    <w:wordWrap/>
                    <w:bidi w:val="0"/>
                    <w:adjustRightInd w:val="0"/>
                    <w:snapToGrid w:val="0"/>
                    <w:spacing w:line="360" w:lineRule="auto"/>
                    <w:ind w:firstLine="420" w:firstLineChars="200"/>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110dB（A）</w:t>
                  </w:r>
                </w:p>
              </w:tc>
              <w:tc>
                <w:tcPr>
                  <w:tcW w:w="1830" w:type="dxa"/>
                  <w:tcBorders>
                    <w:tl2br w:val="nil"/>
                    <w:tr2bl w:val="nil"/>
                  </w:tcBorders>
                  <w:noWrap w:val="0"/>
                  <w:vAlign w:val="top"/>
                </w:tcPr>
                <w:p w14:paraId="37B71B43">
                  <w:pPr>
                    <w:keepNext w:val="0"/>
                    <w:keepLines w:val="0"/>
                    <w:pageBreakBefore w:val="0"/>
                    <w:widowControl w:val="0"/>
                    <w:wordWrap/>
                    <w:bidi w:val="0"/>
                    <w:adjustRightInd w:val="0"/>
                    <w:snapToGrid w:val="0"/>
                    <w:spacing w:line="360" w:lineRule="auto"/>
                    <w:jc w:val="center"/>
                    <w:textAlignment w:val="auto"/>
                    <w:rPr>
                      <w:rFonts w:hint="default"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700m</w:t>
                  </w:r>
                </w:p>
              </w:tc>
              <w:tc>
                <w:tcPr>
                  <w:tcW w:w="3705" w:type="dxa"/>
                  <w:tcBorders>
                    <w:tl2br w:val="nil"/>
                    <w:tr2bl w:val="nil"/>
                  </w:tcBorders>
                  <w:noWrap w:val="0"/>
                  <w:vAlign w:val="center"/>
                </w:tcPr>
                <w:p w14:paraId="21F556C1">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val="0"/>
                      <w:bCs/>
                      <w:color w:val="auto"/>
                      <w:sz w:val="21"/>
                      <w:szCs w:val="21"/>
                      <w:highlight w:val="none"/>
                      <w:vertAlign w:val="baseline"/>
                      <w:lang w:val="en-US" w:eastAsia="zh-CN"/>
                    </w:rPr>
                  </w:pPr>
                  <w:r>
                    <w:rPr>
                      <w:rFonts w:hint="eastAsia" w:cs="Times New Roman"/>
                      <w:b w:val="0"/>
                      <w:bCs/>
                      <w:color w:val="auto"/>
                      <w:sz w:val="21"/>
                      <w:szCs w:val="21"/>
                      <w:highlight w:val="none"/>
                      <w:vertAlign w:val="baseline"/>
                      <w:lang w:val="en-US" w:eastAsia="zh-CN"/>
                    </w:rPr>
                    <w:t>45.02dB（A）</w:t>
                  </w:r>
                </w:p>
              </w:tc>
            </w:tr>
            <w:tr w14:paraId="76190B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2120" w:type="dxa"/>
                  <w:tcBorders>
                    <w:tl2br w:val="nil"/>
                    <w:tr2bl w:val="nil"/>
                  </w:tcBorders>
                  <w:noWrap w:val="0"/>
                  <w:vAlign w:val="top"/>
                </w:tcPr>
                <w:p w14:paraId="6F2D1457">
                  <w:pPr>
                    <w:keepNext w:val="0"/>
                    <w:keepLines w:val="0"/>
                    <w:pageBreakBefore w:val="0"/>
                    <w:widowControl w:val="0"/>
                    <w:wordWrap/>
                    <w:bidi w:val="0"/>
                    <w:adjustRightInd w:val="0"/>
                    <w:snapToGrid w:val="0"/>
                    <w:spacing w:line="360" w:lineRule="auto"/>
                    <w:ind w:firstLine="422" w:firstLineChars="200"/>
                    <w:jc w:val="center"/>
                    <w:textAlignment w:val="auto"/>
                    <w:rPr>
                      <w:rFonts w:hint="default"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110dB（A）</w:t>
                  </w:r>
                </w:p>
              </w:tc>
              <w:tc>
                <w:tcPr>
                  <w:tcW w:w="1830" w:type="dxa"/>
                  <w:tcBorders>
                    <w:tl2br w:val="nil"/>
                    <w:tr2bl w:val="nil"/>
                  </w:tcBorders>
                  <w:noWrap w:val="0"/>
                  <w:vAlign w:val="top"/>
                </w:tcPr>
                <w:p w14:paraId="239B6CA2">
                  <w:pPr>
                    <w:keepNext w:val="0"/>
                    <w:keepLines w:val="0"/>
                    <w:pageBreakBefore w:val="0"/>
                    <w:widowControl w:val="0"/>
                    <w:wordWrap/>
                    <w:bidi w:val="0"/>
                    <w:adjustRightInd w:val="0"/>
                    <w:snapToGrid w:val="0"/>
                    <w:spacing w:line="360" w:lineRule="auto"/>
                    <w:jc w:val="center"/>
                    <w:textAlignment w:val="auto"/>
                    <w:rPr>
                      <w:rFonts w:hint="default" w:cs="Times New Roman"/>
                      <w:b/>
                      <w:bCs w:val="0"/>
                      <w:color w:val="auto"/>
                      <w:sz w:val="21"/>
                      <w:szCs w:val="21"/>
                      <w:highlight w:val="none"/>
                      <w:vertAlign w:val="baseline"/>
                      <w:lang w:val="en-US" w:eastAsia="zh-CN" w:bidi="ar-SA"/>
                    </w:rPr>
                  </w:pPr>
                  <w:r>
                    <w:rPr>
                      <w:rFonts w:hint="eastAsia" w:cs="Times New Roman"/>
                      <w:b/>
                      <w:bCs w:val="0"/>
                      <w:color w:val="auto"/>
                      <w:sz w:val="21"/>
                      <w:szCs w:val="21"/>
                      <w:highlight w:val="none"/>
                      <w:vertAlign w:val="baseline"/>
                      <w:lang w:val="en-US" w:eastAsia="zh-CN"/>
                    </w:rPr>
                    <w:t>707.95m</w:t>
                  </w:r>
                </w:p>
              </w:tc>
              <w:tc>
                <w:tcPr>
                  <w:tcW w:w="3705" w:type="dxa"/>
                  <w:tcBorders>
                    <w:tl2br w:val="nil"/>
                    <w:tr2bl w:val="nil"/>
                  </w:tcBorders>
                  <w:noWrap w:val="0"/>
                  <w:vAlign w:val="center"/>
                </w:tcPr>
                <w:p w14:paraId="1D99FC55">
                  <w:pPr>
                    <w:keepNext w:val="0"/>
                    <w:keepLines w:val="0"/>
                    <w:pageBreakBefore w:val="0"/>
                    <w:widowControl w:val="0"/>
                    <w:wordWrap/>
                    <w:bidi w:val="0"/>
                    <w:adjustRightInd w:val="0"/>
                    <w:snapToGrid w:val="0"/>
                    <w:spacing w:line="360" w:lineRule="auto"/>
                    <w:jc w:val="center"/>
                    <w:textAlignment w:val="auto"/>
                    <w:rPr>
                      <w:rFonts w:hint="default" w:ascii="Times New Roman" w:hAnsi="Times New Roman" w:eastAsia="宋体" w:cs="Times New Roman"/>
                      <w:b/>
                      <w:bCs w:val="0"/>
                      <w:color w:val="auto"/>
                      <w:sz w:val="21"/>
                      <w:szCs w:val="21"/>
                      <w:highlight w:val="none"/>
                      <w:vertAlign w:val="baseline"/>
                      <w:lang w:val="en-US" w:eastAsia="zh-CN"/>
                    </w:rPr>
                  </w:pPr>
                  <w:r>
                    <w:rPr>
                      <w:rFonts w:hint="eastAsia" w:cs="Times New Roman"/>
                      <w:b/>
                      <w:bCs w:val="0"/>
                      <w:color w:val="auto"/>
                      <w:sz w:val="21"/>
                      <w:szCs w:val="21"/>
                      <w:highlight w:val="none"/>
                      <w:vertAlign w:val="baseline"/>
                      <w:lang w:val="en-US" w:eastAsia="zh-CN"/>
                    </w:rPr>
                    <w:t>45.00dB（A）</w:t>
                  </w:r>
                </w:p>
              </w:tc>
            </w:tr>
          </w:tbl>
          <w:p w14:paraId="49F9C055">
            <w:pPr>
              <w:keepNext w:val="0"/>
              <w:keepLines w:val="0"/>
              <w:pageBreakBefore w:val="0"/>
              <w:widowControl w:val="0"/>
              <w:wordWrap/>
              <w:bidi w:val="0"/>
              <w:adjustRightInd w:val="0"/>
              <w:snapToGrid w:val="0"/>
              <w:spacing w:line="360" w:lineRule="auto"/>
              <w:ind w:firstLine="480" w:firstLineChars="200"/>
              <w:textAlignment w:val="auto"/>
              <w:rPr>
                <w:rFonts w:hint="eastAsia" w:cs="Times New Roman"/>
                <w:color w:val="auto"/>
                <w:highlight w:val="none"/>
                <w:lang w:eastAsia="zh-CN"/>
              </w:rPr>
            </w:pPr>
            <w:r>
              <w:rPr>
                <w:rFonts w:ascii="Times New Roman" w:hAnsi="Times New Roman" w:cs="Times New Roman"/>
                <w:color w:val="auto"/>
                <w:highlight w:val="none"/>
              </w:rPr>
              <w:t>由预测结果可知，风机周围噪声随风机距离的增加而减小，风机噪声分别在距离风机水平距离</w:t>
            </w:r>
            <w:r>
              <w:rPr>
                <w:rFonts w:hint="eastAsia" w:cs="Times New Roman"/>
                <w:color w:val="auto"/>
                <w:highlight w:val="none"/>
                <w:lang w:val="en-US" w:eastAsia="zh-CN"/>
              </w:rPr>
              <w:t>224</w:t>
            </w:r>
            <w:r>
              <w:rPr>
                <w:rFonts w:ascii="Times New Roman" w:hAnsi="Times New Roman" w:cs="Times New Roman"/>
                <w:color w:val="auto"/>
                <w:highlight w:val="none"/>
              </w:rPr>
              <w:t>m、</w:t>
            </w:r>
            <w:r>
              <w:rPr>
                <w:rFonts w:hint="eastAsia" w:cs="Times New Roman"/>
                <w:color w:val="auto"/>
                <w:highlight w:val="none"/>
                <w:lang w:val="en-US" w:eastAsia="zh-CN"/>
              </w:rPr>
              <w:t>707.95</w:t>
            </w:r>
            <w:r>
              <w:rPr>
                <w:rFonts w:ascii="Times New Roman" w:hAnsi="Times New Roman" w:cs="Times New Roman"/>
                <w:color w:val="auto"/>
                <w:highlight w:val="none"/>
              </w:rPr>
              <w:t>m处可满足《声环境质量标准》（GB309</w:t>
            </w:r>
            <w:r>
              <w:rPr>
                <w:rFonts w:hint="eastAsia" w:cs="Times New Roman"/>
                <w:color w:val="auto"/>
                <w:highlight w:val="none"/>
                <w:lang w:val="en-US" w:eastAsia="zh-CN"/>
              </w:rPr>
              <w:t>6</w:t>
            </w:r>
            <w:r>
              <w:rPr>
                <w:rFonts w:ascii="Times New Roman" w:hAnsi="Times New Roman" w:cs="Times New Roman"/>
                <w:color w:val="auto"/>
                <w:highlight w:val="none"/>
              </w:rPr>
              <w:t>-2008）1类区昼间及夜间标准限值</w:t>
            </w:r>
            <w:r>
              <w:rPr>
                <w:rFonts w:hint="eastAsia" w:cs="Times New Roman"/>
                <w:color w:val="auto"/>
                <w:highlight w:val="none"/>
                <w:lang w:eastAsia="zh-CN"/>
              </w:rPr>
              <w:t>。</w:t>
            </w:r>
          </w:p>
          <w:p w14:paraId="09715921">
            <w:pPr>
              <w:keepNext w:val="0"/>
              <w:keepLines w:val="0"/>
              <w:pageBreakBefore w:val="0"/>
              <w:widowControl w:val="0"/>
              <w:wordWrap/>
              <w:bidi w:val="0"/>
              <w:adjustRightInd w:val="0"/>
              <w:snapToGrid w:val="0"/>
              <w:spacing w:line="360" w:lineRule="auto"/>
              <w:ind w:firstLine="480" w:firstLineChars="200"/>
              <w:textAlignment w:val="auto"/>
              <w:rPr>
                <w:bCs/>
                <w:color w:val="auto"/>
              </w:rPr>
            </w:pPr>
            <w:r>
              <w:rPr>
                <w:rFonts w:hint="eastAsia"/>
                <w:bCs/>
                <w:color w:val="auto"/>
              </w:rPr>
              <w:t>参考由云南省生态环境工程评估中心、中国电建集</w:t>
            </w:r>
            <w:r>
              <w:rPr>
                <w:bCs/>
                <w:color w:val="auto"/>
              </w:rPr>
              <w:t>团昆明勘测设计研究院有限公司编制的《云南省在适宜地区适度开发利用新能源规划环境影响篇章》：</w:t>
            </w:r>
            <w:r>
              <w:rPr>
                <w:rFonts w:hint="eastAsia"/>
                <w:bCs/>
                <w:color w:val="auto"/>
              </w:rPr>
              <w:t>“</w:t>
            </w:r>
            <w:r>
              <w:rPr>
                <w:bCs/>
                <w:color w:val="auto"/>
              </w:rPr>
              <w:t>在风速大和发电效率高的情况下，在距离风机500m以外，噪声声压级可降至45dB以下，满足《声环境质量标准》（GB3096-2008）1 类区标准昼间≤55dB，夜间≤45dB 的要求</w:t>
            </w:r>
            <w:r>
              <w:rPr>
                <w:rFonts w:hint="eastAsia"/>
                <w:bCs/>
                <w:color w:val="auto"/>
              </w:rPr>
              <w:t>”。</w:t>
            </w:r>
          </w:p>
          <w:p w14:paraId="35EEAD35">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项目风机周边700m范围内无敏感目标分布，项目风机对敏感点环境影响较小</w:t>
            </w:r>
            <w:r>
              <w:rPr>
                <w:rFonts w:hint="eastAsia" w:cs="Times New Roman"/>
                <w:color w:val="auto"/>
                <w:highlight w:val="none"/>
                <w:lang w:eastAsia="zh-CN"/>
              </w:rPr>
              <w:t>。</w:t>
            </w:r>
          </w:p>
          <w:p w14:paraId="1551D3A2">
            <w:pPr>
              <w:keepNext w:val="0"/>
              <w:keepLines w:val="0"/>
              <w:pageBreakBefore w:val="0"/>
              <w:widowControl w:val="0"/>
              <w:wordWrap/>
              <w:bidi w:val="0"/>
              <w:adjustRightInd w:val="0"/>
              <w:snapToGrid w:val="0"/>
              <w:spacing w:line="360" w:lineRule="auto"/>
              <w:ind w:firstLine="482" w:firstLineChars="200"/>
              <w:textAlignment w:val="auto"/>
              <w:rPr>
                <w:rFonts w:ascii="Times New Roman" w:hAnsi="Times New Roman" w:cs="Times New Roman"/>
                <w:color w:val="auto"/>
                <w:highlight w:val="none"/>
              </w:rPr>
            </w:pPr>
            <w:r>
              <w:rPr>
                <w:b/>
                <w:bCs/>
                <w:color w:val="auto"/>
                <w:szCs w:val="32"/>
              </w:rPr>
              <w:t>（</w:t>
            </w:r>
            <w:r>
              <w:rPr>
                <w:rFonts w:hint="eastAsia"/>
                <w:b/>
                <w:bCs/>
                <w:color w:val="auto"/>
                <w:szCs w:val="32"/>
                <w:lang w:val="en-US" w:eastAsia="zh-CN"/>
              </w:rPr>
              <w:t>3</w:t>
            </w:r>
            <w:r>
              <w:rPr>
                <w:b/>
                <w:bCs/>
                <w:color w:val="auto"/>
                <w:szCs w:val="32"/>
              </w:rPr>
              <w:t>）</w:t>
            </w:r>
            <w:r>
              <w:rPr>
                <w:rFonts w:hint="eastAsia"/>
                <w:b/>
                <w:bCs/>
                <w:color w:val="auto"/>
                <w:szCs w:val="32"/>
                <w:lang w:eastAsia="zh-CN"/>
              </w:rPr>
              <w:t>噪声污染降噪措施</w:t>
            </w:r>
          </w:p>
          <w:p w14:paraId="00B65C64">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为进一步减少风机噪声对周边环境噪声的影响，建设单位还应做到：</w:t>
            </w:r>
          </w:p>
          <w:p w14:paraId="4B6C659E">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①</w:t>
            </w:r>
            <w:r>
              <w:rPr>
                <w:rFonts w:ascii="Times New Roman" w:hAnsi="Times New Roman" w:eastAsia="宋体" w:cs="Times New Roman"/>
                <w:color w:val="auto"/>
                <w:highlight w:val="none"/>
              </w:rPr>
              <w:t>加装锯齿尾缘</w:t>
            </w:r>
          </w:p>
          <w:p w14:paraId="751D6EE6">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在风力发电机的叶片尾缘加装锯齿尾缘，尾缘锯齿会使流动在尾缘处形成一列反向旋转的涡对，改变了尾涡结构，减弱了下游尾迹区的展向相关性，减小了噪声的远场辐射。</w:t>
            </w:r>
          </w:p>
          <w:p w14:paraId="2BA51C7E">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②</w:t>
            </w:r>
            <w:r>
              <w:rPr>
                <w:rFonts w:ascii="Times New Roman" w:hAnsi="Times New Roman" w:eastAsia="宋体" w:cs="Times New Roman"/>
                <w:color w:val="auto"/>
                <w:highlight w:val="none"/>
              </w:rPr>
              <w:t>降噪运行模式</w:t>
            </w:r>
          </w:p>
          <w:p w14:paraId="58FF8EE0">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对机位在</w:t>
            </w:r>
            <w:r>
              <w:rPr>
                <w:rFonts w:hint="eastAsia" w:ascii="Times New Roman" w:hAnsi="Times New Roman" w:eastAsia="宋体" w:cs="Times New Roman"/>
                <w:color w:val="auto"/>
                <w:highlight w:val="none"/>
              </w:rPr>
              <w:t>某个</w:t>
            </w:r>
            <w:r>
              <w:rPr>
                <w:rFonts w:ascii="Times New Roman" w:hAnsi="Times New Roman" w:eastAsia="宋体" w:cs="Times New Roman"/>
                <w:color w:val="auto"/>
                <w:highlight w:val="none"/>
              </w:rPr>
              <w:t>时间段（尤其夜间）、风向段、风速段实施停机或减速或偏航（减小切入角）操作，减速某个风向上特殊风况对风机的影响，降低风机的载荷，以降低发电量为代价，确保气动噪声的降低。</w:t>
            </w:r>
          </w:p>
          <w:p w14:paraId="223D95C0">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③</w:t>
            </w:r>
            <w:r>
              <w:rPr>
                <w:rFonts w:ascii="Times New Roman" w:hAnsi="Times New Roman" w:eastAsia="宋体" w:cs="Times New Roman"/>
                <w:color w:val="auto"/>
                <w:highlight w:val="none"/>
              </w:rPr>
              <w:t>从</w:t>
            </w:r>
            <w:r>
              <w:rPr>
                <w:rFonts w:hint="eastAsia" w:ascii="Times New Roman" w:hAnsi="Times New Roman" w:eastAsia="宋体" w:cs="Times New Roman"/>
                <w:color w:val="auto"/>
                <w:highlight w:val="none"/>
              </w:rPr>
              <w:t>噪声</w:t>
            </w:r>
            <w:r>
              <w:rPr>
                <w:rFonts w:ascii="Times New Roman" w:hAnsi="Times New Roman" w:eastAsia="宋体" w:cs="Times New Roman"/>
                <w:color w:val="auto"/>
                <w:highlight w:val="none"/>
              </w:rPr>
              <w:t>的声源处进行降噪</w:t>
            </w:r>
          </w:p>
          <w:p w14:paraId="6B0FF728">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●加工工艺和运营维护的精益管理</w:t>
            </w:r>
          </w:p>
          <w:p w14:paraId="1AC0DF71">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提高加工工艺和安装精度，同时做好运营维护管理，使齿轮和轴承保持良好的润滑。在风力发电机安装和运行过程中，由于安装精度或者运营维护的欠缺，齿轮和轴承的摩擦会产生铁屑增加摩擦系数，进而提高噪音分贝。</w:t>
            </w:r>
          </w:p>
          <w:p w14:paraId="0F23BBA3">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●采用弹性连接</w:t>
            </w:r>
          </w:p>
          <w:p w14:paraId="3F24F8FF">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为减小机械部件的振动，可在接近力源的地方切断振动传递的途径，如用弹性连接替代刚性连接。</w:t>
            </w:r>
          </w:p>
          <w:p w14:paraId="0FE90BCC">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●采用高阻尼材料或增加</w:t>
            </w:r>
            <w:r>
              <w:rPr>
                <w:rFonts w:hint="eastAsia" w:ascii="Times New Roman" w:hAnsi="Times New Roman" w:eastAsia="宋体" w:cs="Times New Roman"/>
                <w:color w:val="auto"/>
                <w:highlight w:val="none"/>
              </w:rPr>
              <w:t>消声</w:t>
            </w:r>
            <w:r>
              <w:rPr>
                <w:rFonts w:ascii="Times New Roman" w:hAnsi="Times New Roman" w:eastAsia="宋体" w:cs="Times New Roman"/>
                <w:color w:val="auto"/>
                <w:highlight w:val="none"/>
              </w:rPr>
              <w:t>装置</w:t>
            </w:r>
          </w:p>
          <w:p w14:paraId="360DBE6A">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采用高阻尼材料吸收机械部位的振动能，以降低振动</w:t>
            </w:r>
            <w:r>
              <w:rPr>
                <w:rFonts w:hint="eastAsia" w:ascii="Times New Roman" w:hAnsi="Times New Roman" w:eastAsia="宋体" w:cs="Times New Roman"/>
                <w:color w:val="auto"/>
                <w:highlight w:val="none"/>
              </w:rPr>
              <w:t>噪声</w:t>
            </w:r>
            <w:r>
              <w:rPr>
                <w:rFonts w:ascii="Times New Roman" w:hAnsi="Times New Roman" w:eastAsia="宋体" w:cs="Times New Roman"/>
                <w:color w:val="auto"/>
                <w:highlight w:val="none"/>
              </w:rPr>
              <w:t>，如：机舱外壳采用高阻尼和更加吸音的材料；在发电机散热风扇及变流器散热器等辅助设备处安装</w:t>
            </w:r>
            <w:r>
              <w:rPr>
                <w:rFonts w:hint="eastAsia" w:ascii="Times New Roman" w:hAnsi="Times New Roman" w:eastAsia="宋体" w:cs="Times New Roman"/>
                <w:color w:val="auto"/>
                <w:highlight w:val="none"/>
              </w:rPr>
              <w:t>消声</w:t>
            </w:r>
            <w:r>
              <w:rPr>
                <w:rFonts w:ascii="Times New Roman" w:hAnsi="Times New Roman" w:eastAsia="宋体" w:cs="Times New Roman"/>
                <w:color w:val="auto"/>
                <w:highlight w:val="none"/>
              </w:rPr>
              <w:t>装置；</w:t>
            </w:r>
          </w:p>
          <w:p w14:paraId="0A15D362">
            <w:pPr>
              <w:keepNext w:val="0"/>
              <w:keepLines w:val="0"/>
              <w:pageBreakBefore w:val="0"/>
              <w:widowControl w:val="0"/>
              <w:wordWrap/>
              <w:bidi w:val="0"/>
              <w:adjustRightInd w:val="0"/>
              <w:snapToGrid w:val="0"/>
              <w:textAlignment w:val="auto"/>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④</w:t>
            </w:r>
            <w:r>
              <w:rPr>
                <w:rFonts w:ascii="Times New Roman" w:hAnsi="Times New Roman" w:eastAsia="宋体" w:cs="Times New Roman"/>
                <w:color w:val="auto"/>
                <w:highlight w:val="none"/>
              </w:rPr>
              <w:t>从</w:t>
            </w:r>
            <w:r>
              <w:rPr>
                <w:rFonts w:hint="eastAsia" w:ascii="Times New Roman" w:hAnsi="Times New Roman" w:eastAsia="宋体" w:cs="Times New Roman"/>
                <w:color w:val="auto"/>
                <w:highlight w:val="none"/>
              </w:rPr>
              <w:t>噪声</w:t>
            </w:r>
            <w:r>
              <w:rPr>
                <w:rFonts w:ascii="Times New Roman" w:hAnsi="Times New Roman" w:eastAsia="宋体" w:cs="Times New Roman"/>
                <w:color w:val="auto"/>
                <w:highlight w:val="none"/>
              </w:rPr>
              <w:t>的接收处进行降噪</w:t>
            </w:r>
          </w:p>
          <w:p w14:paraId="4ABCB208">
            <w:pPr>
              <w:keepNext w:val="0"/>
              <w:keepLines w:val="0"/>
              <w:pageBreakBefore w:val="0"/>
              <w:widowControl w:val="0"/>
              <w:wordWrap/>
              <w:bidi w:val="0"/>
              <w:adjustRightInd w:val="0"/>
              <w:snapToGrid w:val="0"/>
              <w:textAlignment w:val="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应上报当地政府，明确项目风机机位700m范围内不宜规划噪声敏感建筑。</w:t>
            </w:r>
          </w:p>
          <w:p w14:paraId="4FC1FE23">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eastAsia" w:cs="Times New Roman"/>
                <w:b/>
                <w:bCs/>
                <w:color w:val="auto"/>
                <w:highlight w:val="none"/>
                <w:lang w:eastAsia="zh-CN"/>
              </w:rPr>
              <w:t>4.</w:t>
            </w:r>
            <w:r>
              <w:rPr>
                <w:rFonts w:ascii="Times New Roman" w:hAnsi="Times New Roman" w:cs="Times New Roman"/>
                <w:b/>
                <w:bCs/>
                <w:color w:val="auto"/>
                <w:highlight w:val="none"/>
              </w:rPr>
              <w:t>固体废物影响分析</w:t>
            </w:r>
          </w:p>
          <w:p w14:paraId="568895AF">
            <w:pPr>
              <w:keepNext w:val="0"/>
              <w:keepLines w:val="0"/>
              <w:pageBreakBefore w:val="0"/>
              <w:widowControl w:val="0"/>
              <w:wordWrap/>
              <w:bidi w:val="0"/>
              <w:adjustRightInd w:val="0"/>
              <w:snapToGrid w:val="0"/>
              <w:textAlignment w:val="auto"/>
              <w:rPr>
                <w:rFonts w:hint="eastAsia" w:cs="Times New Roman"/>
                <w:color w:val="auto"/>
                <w:highlight w:val="none"/>
                <w:lang w:eastAsia="zh-CN"/>
              </w:rPr>
            </w:pPr>
            <w:r>
              <w:rPr>
                <w:rFonts w:ascii="Times New Roman" w:hAnsi="Times New Roman" w:cs="Times New Roman"/>
                <w:color w:val="auto"/>
                <w:highlight w:val="none"/>
              </w:rPr>
              <w:t>本项目固体废物主要为</w:t>
            </w:r>
            <w:r>
              <w:rPr>
                <w:rFonts w:hint="eastAsia" w:cs="Times New Roman"/>
                <w:color w:val="auto"/>
                <w:highlight w:val="none"/>
                <w:lang w:eastAsia="zh-CN"/>
              </w:rPr>
              <w:t>一般固体废弃物和危险废物。</w:t>
            </w:r>
          </w:p>
          <w:p w14:paraId="2C516893">
            <w:pPr>
              <w:keepNext w:val="0"/>
              <w:keepLines w:val="0"/>
              <w:pageBreakBefore w:val="0"/>
              <w:widowControl w:val="0"/>
              <w:numPr>
                <w:ilvl w:val="0"/>
                <w:numId w:val="10"/>
              </w:numPr>
              <w:wordWrap/>
              <w:bidi w:val="0"/>
              <w:adjustRightInd w:val="0"/>
              <w:snapToGrid w:val="0"/>
              <w:textAlignment w:val="auto"/>
              <w:rPr>
                <w:rFonts w:hint="eastAsia" w:cs="Times New Roman"/>
                <w:color w:val="auto"/>
                <w:highlight w:val="none"/>
                <w:lang w:eastAsia="zh-CN"/>
              </w:rPr>
            </w:pPr>
            <w:r>
              <w:rPr>
                <w:rFonts w:hint="eastAsia" w:cs="Times New Roman"/>
                <w:color w:val="auto"/>
                <w:highlight w:val="none"/>
                <w:lang w:eastAsia="zh-CN"/>
              </w:rPr>
              <w:t>一般固废</w:t>
            </w:r>
          </w:p>
          <w:p w14:paraId="144F77D8">
            <w:pPr>
              <w:keepNext w:val="0"/>
              <w:keepLines w:val="0"/>
              <w:pageBreakBefore w:val="0"/>
              <w:widowControl w:val="0"/>
              <w:numPr>
                <w:ilvl w:val="0"/>
                <w:numId w:val="0"/>
              </w:numPr>
              <w:wordWrap/>
              <w:bidi w:val="0"/>
              <w:adjustRightInd w:val="0"/>
              <w:snapToGrid w:val="0"/>
              <w:ind w:firstLine="480" w:firstLineChars="200"/>
              <w:textAlignment w:val="auto"/>
              <w:rPr>
                <w:rFonts w:hint="default" w:cs="Times New Roman"/>
                <w:color w:val="auto"/>
                <w:highlight w:val="none"/>
                <w:lang w:val="en-US" w:eastAsia="zh-CN"/>
              </w:rPr>
            </w:pPr>
            <w:r>
              <w:rPr>
                <w:rFonts w:hint="eastAsia" w:ascii="宋体" w:hAnsi="宋体" w:cs="宋体"/>
                <w:color w:val="auto"/>
              </w:rPr>
              <w:t>①</w:t>
            </w:r>
            <w:r>
              <w:rPr>
                <w:rFonts w:hint="eastAsia"/>
                <w:color w:val="auto"/>
                <w:highlight w:val="none"/>
                <w:lang w:eastAsia="zh-CN"/>
              </w:rPr>
              <w:t>开关站产生的固废</w:t>
            </w:r>
          </w:p>
          <w:p w14:paraId="2EE3F43D">
            <w:pPr>
              <w:keepNext w:val="0"/>
              <w:keepLines w:val="0"/>
              <w:pageBreakBefore w:val="0"/>
              <w:widowControl w:val="0"/>
              <w:numPr>
                <w:ilvl w:val="-1"/>
                <w:numId w:val="0"/>
              </w:numPr>
              <w:wordWrap/>
              <w:bidi w:val="0"/>
              <w:adjustRightInd w:val="0"/>
              <w:snapToGrid w:val="0"/>
              <w:ind w:firstLine="480" w:firstLineChars="200"/>
              <w:textAlignment w:val="auto"/>
              <w:rPr>
                <w:color w:val="auto"/>
                <w:highlight w:val="none"/>
              </w:rPr>
            </w:pPr>
            <w:r>
              <w:rPr>
                <w:rFonts w:hint="eastAsia"/>
                <w:color w:val="auto"/>
                <w:highlight w:val="none"/>
                <w:lang w:eastAsia="zh-CN"/>
              </w:rPr>
              <w:t>主要为开关站</w:t>
            </w:r>
            <w:r>
              <w:rPr>
                <w:color w:val="auto"/>
                <w:highlight w:val="none"/>
              </w:rPr>
              <w:t>产生的</w:t>
            </w:r>
            <w:r>
              <w:rPr>
                <w:rFonts w:hint="eastAsia"/>
                <w:color w:val="auto"/>
                <w:highlight w:val="none"/>
                <w:lang w:val="en-US" w:eastAsia="zh-CN"/>
              </w:rPr>
              <w:t>废旧零部件、</w:t>
            </w:r>
            <w:r>
              <w:rPr>
                <w:color w:val="auto"/>
                <w:highlight w:val="none"/>
              </w:rPr>
              <w:t>报废的设备和配件等检修废物，约0</w:t>
            </w:r>
            <w:r>
              <w:rPr>
                <w:rFonts w:hint="eastAsia"/>
                <w:color w:val="auto"/>
                <w:highlight w:val="none"/>
                <w:lang w:val="en-US" w:eastAsia="zh-CN"/>
              </w:rPr>
              <w:t>.1</w:t>
            </w:r>
            <w:r>
              <w:rPr>
                <w:color w:val="auto"/>
                <w:highlight w:val="none"/>
              </w:rPr>
              <w:t>t/a。检修废物收集后临时贮存在</w:t>
            </w:r>
            <w:r>
              <w:rPr>
                <w:rFonts w:hint="eastAsia"/>
                <w:color w:val="auto"/>
                <w:highlight w:val="none"/>
                <w:lang w:eastAsia="zh-CN"/>
              </w:rPr>
              <w:t>开关站</w:t>
            </w:r>
            <w:r>
              <w:rPr>
                <w:color w:val="auto"/>
                <w:highlight w:val="none"/>
              </w:rPr>
              <w:t>内</w:t>
            </w:r>
            <w:r>
              <w:rPr>
                <w:rFonts w:hint="eastAsia"/>
                <w:color w:val="auto"/>
                <w:highlight w:val="none"/>
                <w:lang w:eastAsia="zh-CN"/>
              </w:rPr>
              <w:t>的固废舱</w:t>
            </w:r>
            <w:r>
              <w:rPr>
                <w:color w:val="auto"/>
                <w:highlight w:val="none"/>
              </w:rPr>
              <w:t>，废旧玻璃钢材料和包装物外卖给废品收购公司综合利用，废轴承由厂家回收处置。</w:t>
            </w:r>
          </w:p>
          <w:p w14:paraId="795DD581">
            <w:pPr>
              <w:keepNext w:val="0"/>
              <w:keepLines w:val="0"/>
              <w:pageBreakBefore w:val="0"/>
              <w:widowControl w:val="0"/>
              <w:wordWrap/>
              <w:bidi w:val="0"/>
              <w:adjustRightInd w:val="0"/>
              <w:snapToGrid w:val="0"/>
              <w:spacing w:line="360" w:lineRule="auto"/>
              <w:ind w:firstLine="482"/>
              <w:textAlignment w:val="auto"/>
              <w:rPr>
                <w:rFonts w:hint="eastAsia"/>
                <w:bCs/>
                <w:color w:val="auto"/>
              </w:rPr>
            </w:pPr>
            <w:r>
              <w:rPr>
                <w:rFonts w:hint="eastAsia" w:ascii="宋体" w:hAnsi="宋体" w:cs="宋体"/>
                <w:color w:val="auto"/>
              </w:rPr>
              <w:t>②</w:t>
            </w:r>
            <w:r>
              <w:rPr>
                <w:rFonts w:hint="eastAsia"/>
                <w:bCs/>
                <w:color w:val="auto"/>
              </w:rPr>
              <w:t>退役后的风机叶片</w:t>
            </w:r>
          </w:p>
          <w:p w14:paraId="1717330E">
            <w:pPr>
              <w:keepNext w:val="0"/>
              <w:keepLines w:val="0"/>
              <w:pageBreakBefore w:val="0"/>
              <w:widowControl w:val="0"/>
              <w:wordWrap/>
              <w:bidi w:val="0"/>
              <w:adjustRightInd w:val="0"/>
              <w:snapToGrid w:val="0"/>
              <w:spacing w:line="360" w:lineRule="auto"/>
              <w:ind w:firstLine="482"/>
              <w:textAlignment w:val="auto"/>
              <w:rPr>
                <w:rFonts w:hint="eastAsia"/>
                <w:color w:val="auto"/>
                <w:highlight w:val="none"/>
                <w:lang w:eastAsia="zh-CN"/>
              </w:rPr>
            </w:pPr>
            <w:r>
              <w:rPr>
                <w:rFonts w:hint="eastAsia"/>
                <w:bCs/>
                <w:color w:val="auto"/>
              </w:rPr>
              <w:t>玻璃纤维增强聚酯树脂和玻璃纤维增强环氧树脂是制造风机叶片的主要材料，为热固性复合材料，不易降解。风力发电机组在恶劣的环境中长期不停运转，不仅要承受强大的风载荷，还要经受气体冲刷、砂石粒子冲击，以及强烈的紫外线照射等外界侵蚀。其使用寿命一般20~30年，风机退役后如果得不到妥善处理，将对环境产生一定的不利影响。每个风机叶片重约</w:t>
            </w:r>
            <w:r>
              <w:rPr>
                <w:bCs/>
                <w:color w:val="auto"/>
              </w:rPr>
              <w:t>25</w:t>
            </w:r>
            <w:r>
              <w:rPr>
                <w:rFonts w:hint="eastAsia"/>
                <w:bCs/>
                <w:color w:val="auto"/>
              </w:rPr>
              <w:t>t，退役后的风机叶片交由厂家回收，不得弃置，经济性良好。</w:t>
            </w:r>
          </w:p>
          <w:p w14:paraId="2C34B910">
            <w:pPr>
              <w:keepNext w:val="0"/>
              <w:keepLines w:val="0"/>
              <w:pageBreakBefore w:val="0"/>
              <w:widowControl w:val="0"/>
              <w:wordWrap/>
              <w:bidi w:val="0"/>
              <w:adjustRightInd w:val="0"/>
              <w:snapToGrid w:val="0"/>
              <w:textAlignment w:val="auto"/>
              <w:rPr>
                <w:rFonts w:hint="eastAsia" w:ascii="Times New Roman" w:hAnsi="Times New Roman" w:eastAsia="宋体" w:cs="Times New Roman"/>
                <w:b w:val="0"/>
                <w:bCs w:val="0"/>
                <w:color w:val="auto"/>
                <w:highlight w:val="none"/>
                <w:lang w:eastAsia="zh-CN"/>
              </w:rPr>
            </w:pPr>
            <w:r>
              <w:rPr>
                <w:rFonts w:ascii="Times New Roman" w:hAnsi="Times New Roman" w:cs="Times New Roman"/>
                <w:b w:val="0"/>
                <w:bCs w:val="0"/>
                <w:color w:val="auto"/>
                <w:highlight w:val="none"/>
              </w:rPr>
              <w:t>（</w:t>
            </w:r>
            <w:r>
              <w:rPr>
                <w:rFonts w:hint="eastAsia" w:cs="Times New Roman"/>
                <w:b w:val="0"/>
                <w:bCs w:val="0"/>
                <w:color w:val="auto"/>
                <w:highlight w:val="none"/>
                <w:lang w:val="en-US" w:eastAsia="zh-CN"/>
              </w:rPr>
              <w:t>2</w:t>
            </w:r>
            <w:r>
              <w:rPr>
                <w:rFonts w:ascii="Times New Roman" w:hAnsi="Times New Roman" w:cs="Times New Roman"/>
                <w:b w:val="0"/>
                <w:bCs w:val="0"/>
                <w:color w:val="auto"/>
                <w:highlight w:val="none"/>
              </w:rPr>
              <w:t>）</w:t>
            </w:r>
            <w:r>
              <w:rPr>
                <w:rFonts w:hint="eastAsia" w:cs="Times New Roman"/>
                <w:b w:val="0"/>
                <w:bCs w:val="0"/>
                <w:color w:val="auto"/>
                <w:highlight w:val="none"/>
                <w:lang w:eastAsia="zh-CN"/>
              </w:rPr>
              <w:t>危险废物</w:t>
            </w:r>
          </w:p>
          <w:p w14:paraId="4E4546B3">
            <w:pPr>
              <w:keepNext w:val="0"/>
              <w:keepLines w:val="0"/>
              <w:pageBreakBefore w:val="0"/>
              <w:widowControl w:val="0"/>
              <w:wordWrap/>
              <w:bidi w:val="0"/>
              <w:adjustRightInd w:val="0"/>
              <w:snapToGrid w:val="0"/>
              <w:textAlignment w:val="auto"/>
              <w:rPr>
                <w:rFonts w:ascii="Times New Roman" w:hAnsi="Times New Roman" w:cs="Times New Roman"/>
                <w:b w:val="0"/>
                <w:bCs w:val="0"/>
                <w:color w:val="auto"/>
                <w:highlight w:val="none"/>
              </w:rPr>
            </w:pPr>
            <w:r>
              <w:rPr>
                <w:rFonts w:hint="default" w:ascii="Times New Roman" w:hAnsi="Times New Roman" w:cs="Times New Roman"/>
                <w:b w:val="0"/>
                <w:bCs w:val="0"/>
                <w:color w:val="auto"/>
                <w:highlight w:val="none"/>
              </w:rPr>
              <w:t>①</w:t>
            </w:r>
            <w:r>
              <w:rPr>
                <w:rFonts w:ascii="Times New Roman" w:hAnsi="Times New Roman" w:cs="Times New Roman"/>
                <w:b w:val="0"/>
                <w:bCs w:val="0"/>
                <w:color w:val="auto"/>
                <w:highlight w:val="none"/>
              </w:rPr>
              <w:t>废检修油</w:t>
            </w:r>
          </w:p>
          <w:p w14:paraId="3F9C7CBB">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项目检修的废油，包括发电机前、后轴承润滑油脂、变桨减速器润滑油、偏航轴承、齿面、变桨轴承润滑油、箱变液压油和主变液压油（主要成分矿物油和锂皂基、锂-钙复合基为主的危险废弃物），根据《国家危险废物名录》2025版，废物类别为HW08-900-249-08（其他生产、销售、使用过程中产生的废矿物油及含矿物油废物），检修产生的废油量约0.</w:t>
            </w:r>
            <w:r>
              <w:rPr>
                <w:rFonts w:hint="default" w:ascii="Times New Roman" w:hAnsi="Times New Roman" w:cs="Times New Roman"/>
                <w:color w:val="auto"/>
                <w:highlight w:val="none"/>
                <w:lang w:val="en-US" w:eastAsia="zh-CN"/>
              </w:rPr>
              <w:t>06</w:t>
            </w:r>
            <w:r>
              <w:rPr>
                <w:rFonts w:ascii="Times New Roman" w:hAnsi="Times New Roman" w:cs="Times New Roman"/>
                <w:color w:val="auto"/>
                <w:highlight w:val="none"/>
              </w:rPr>
              <w:t>t/a。本项目产生的检修废油经收集后，运输至</w:t>
            </w:r>
            <w:r>
              <w:rPr>
                <w:rFonts w:hint="default" w:ascii="Times New Roman" w:hAnsi="Times New Roman" w:cs="Times New Roman"/>
                <w:color w:val="auto"/>
                <w:highlight w:val="none"/>
                <w:lang w:eastAsia="zh-CN"/>
              </w:rPr>
              <w:t>开关站</w:t>
            </w:r>
            <w:r>
              <w:rPr>
                <w:rFonts w:ascii="Times New Roman" w:hAnsi="Times New Roman" w:cs="Times New Roman"/>
                <w:color w:val="auto"/>
                <w:highlight w:val="none"/>
              </w:rPr>
              <w:t>危废暂存设施暂存后，委托有危废处置资质的单位定期清运妥善处置。油桶和暂存间须设置明显标志，暂存间地面应进行防渗处理。经采取上述措施后，废机油可做到合理处置，对周围环境影响较小。</w:t>
            </w:r>
          </w:p>
          <w:p w14:paraId="691A44A3">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4.3.3</w:t>
            </w:r>
            <w:r>
              <w:rPr>
                <w:rFonts w:ascii="Times New Roman" w:hAnsi="Times New Roman" w:cs="Times New Roman"/>
                <w:b/>
                <w:bCs/>
                <w:color w:val="auto"/>
                <w:highlight w:val="none"/>
              </w:rPr>
              <w:t>环境管理要求</w:t>
            </w:r>
          </w:p>
          <w:p w14:paraId="42D09C58">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（1）一般固废环境管理要求</w:t>
            </w:r>
          </w:p>
          <w:p w14:paraId="6CB17DB8">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按照《一般工业固体废物贮存和填埋污染控制标准》（GB18599-2020）要求进行设计、施工，做到防渗漏、防雨淋、防散失处理，避免对环境造成二次污染。</w:t>
            </w:r>
          </w:p>
          <w:p w14:paraId="0C8AA443">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（2）危险废物环境管理要求</w:t>
            </w:r>
          </w:p>
          <w:p w14:paraId="035E1DA5">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危险废物定期委托有资质的单位进行处理，本项目应设置危险废物</w:t>
            </w:r>
            <w:r>
              <w:rPr>
                <w:rFonts w:hint="eastAsia" w:cs="Times New Roman"/>
                <w:color w:val="auto"/>
                <w:highlight w:val="none"/>
                <w:lang w:eastAsia="zh-CN"/>
              </w:rPr>
              <w:t>贮</w:t>
            </w:r>
            <w:r>
              <w:rPr>
                <w:rFonts w:ascii="Times New Roman" w:hAnsi="Times New Roman" w:cs="Times New Roman"/>
                <w:color w:val="auto"/>
                <w:highlight w:val="none"/>
              </w:rPr>
              <w:t>存间，面积约为1</w:t>
            </w:r>
            <w:r>
              <w:rPr>
                <w:rFonts w:hint="eastAsia" w:cs="Times New Roman"/>
                <w:color w:val="auto"/>
                <w:highlight w:val="none"/>
                <w:lang w:val="en-US" w:eastAsia="zh-CN"/>
              </w:rPr>
              <w:t>5.3</w:t>
            </w:r>
            <w:r>
              <w:rPr>
                <w:rFonts w:ascii="Times New Roman" w:hAnsi="Times New Roman" w:cs="Times New Roman"/>
                <w:color w:val="auto"/>
                <w:highlight w:val="none"/>
              </w:rPr>
              <w:t>m</w:t>
            </w:r>
            <w:r>
              <w:rPr>
                <w:rFonts w:ascii="Times New Roman" w:hAnsi="Times New Roman" w:cs="Times New Roman"/>
                <w:color w:val="auto"/>
                <w:highlight w:val="none"/>
                <w:vertAlign w:val="superscript"/>
              </w:rPr>
              <w:t>2</w:t>
            </w:r>
            <w:r>
              <w:rPr>
                <w:rFonts w:ascii="Times New Roman" w:hAnsi="Times New Roman" w:cs="Times New Roman"/>
                <w:color w:val="auto"/>
                <w:highlight w:val="none"/>
              </w:rPr>
              <w:t>，并对废矿物油和废铅蓄电池分区、分类存储。危废</w:t>
            </w:r>
            <w:r>
              <w:rPr>
                <w:rFonts w:hint="eastAsia" w:cs="Times New Roman"/>
                <w:color w:val="auto"/>
                <w:highlight w:val="none"/>
                <w:lang w:eastAsia="zh-CN"/>
              </w:rPr>
              <w:t>贮</w:t>
            </w:r>
            <w:r>
              <w:rPr>
                <w:rFonts w:ascii="Times New Roman" w:hAnsi="Times New Roman" w:cs="Times New Roman"/>
                <w:color w:val="auto"/>
                <w:highlight w:val="none"/>
              </w:rPr>
              <w:t>存间应按照《危险废物贮存污染控制标准》（GB18597-2023）的要求进行设计、施工和建设，建立危险废物</w:t>
            </w:r>
            <w:r>
              <w:rPr>
                <w:rFonts w:hint="eastAsia" w:cs="Times New Roman"/>
                <w:color w:val="auto"/>
                <w:highlight w:val="none"/>
                <w:lang w:eastAsia="zh-CN"/>
              </w:rPr>
              <w:t>管理台账</w:t>
            </w:r>
            <w:r>
              <w:rPr>
                <w:rFonts w:ascii="Times New Roman" w:hAnsi="Times New Roman" w:cs="Times New Roman"/>
                <w:color w:val="auto"/>
                <w:highlight w:val="none"/>
              </w:rPr>
              <w:t>及危险废物出入库</w:t>
            </w:r>
            <w:r>
              <w:rPr>
                <w:rFonts w:hint="eastAsia" w:cs="Times New Roman"/>
                <w:color w:val="auto"/>
                <w:highlight w:val="none"/>
                <w:lang w:eastAsia="zh-CN"/>
              </w:rPr>
              <w:t>登记台账</w:t>
            </w:r>
            <w:r>
              <w:rPr>
                <w:rFonts w:ascii="Times New Roman" w:hAnsi="Times New Roman" w:cs="Times New Roman"/>
                <w:color w:val="auto"/>
                <w:highlight w:val="none"/>
              </w:rPr>
              <w:t>。并做好以下工作：</w:t>
            </w:r>
          </w:p>
          <w:p w14:paraId="672D3DC0">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①危险废物贮存间的设计原则</w:t>
            </w:r>
          </w:p>
          <w:p w14:paraId="47044044">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a危险废物贮存间应采取“四防”（防风、防雨、防晒、防渗漏）措施。</w:t>
            </w:r>
          </w:p>
          <w:p w14:paraId="5C2A73F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b基础必须防渗，防渗层为至少1m厚粘土层（渗透系数≤10</w:t>
            </w:r>
            <w:r>
              <w:rPr>
                <w:rFonts w:hint="eastAsia" w:cs="Times New Roman"/>
                <w:color w:val="auto"/>
                <w:highlight w:val="none"/>
                <w:lang w:eastAsia="zh-CN"/>
              </w:rPr>
              <w:t>—</w:t>
            </w:r>
            <w:r>
              <w:rPr>
                <w:rFonts w:ascii="Times New Roman" w:hAnsi="Times New Roman" w:cs="Times New Roman"/>
                <w:color w:val="auto"/>
                <w:highlight w:val="none"/>
                <w:vertAlign w:val="superscript"/>
              </w:rPr>
              <w:t>7</w:t>
            </w:r>
            <w:r>
              <w:rPr>
                <w:rFonts w:ascii="Times New Roman" w:hAnsi="Times New Roman" w:cs="Times New Roman"/>
                <w:color w:val="auto"/>
                <w:highlight w:val="none"/>
              </w:rPr>
              <w:t>cm/s），或2mm厚高密度聚乙烯，或至少2mm厚的</w:t>
            </w:r>
            <w:r>
              <w:rPr>
                <w:rFonts w:hint="eastAsia" w:cs="Times New Roman"/>
                <w:color w:val="auto"/>
                <w:highlight w:val="none"/>
                <w:lang w:eastAsia="zh-CN"/>
              </w:rPr>
              <w:t>其他人工</w:t>
            </w:r>
            <w:r>
              <w:rPr>
                <w:rFonts w:ascii="Times New Roman" w:hAnsi="Times New Roman" w:cs="Times New Roman"/>
                <w:color w:val="auto"/>
                <w:highlight w:val="none"/>
              </w:rPr>
              <w:t>材料，渗透系数≤10</w:t>
            </w:r>
            <w:r>
              <w:rPr>
                <w:rFonts w:hint="eastAsia" w:cs="Times New Roman"/>
                <w:color w:val="auto"/>
                <w:highlight w:val="none"/>
                <w:lang w:eastAsia="zh-CN"/>
              </w:rPr>
              <w:t>—</w:t>
            </w:r>
            <w:r>
              <w:rPr>
                <w:rFonts w:ascii="Times New Roman" w:hAnsi="Times New Roman" w:cs="Times New Roman"/>
                <w:color w:val="auto"/>
                <w:highlight w:val="none"/>
                <w:vertAlign w:val="superscript"/>
              </w:rPr>
              <w:t>10</w:t>
            </w:r>
            <w:r>
              <w:rPr>
                <w:rFonts w:ascii="Times New Roman" w:hAnsi="Times New Roman" w:cs="Times New Roman"/>
                <w:color w:val="auto"/>
                <w:highlight w:val="none"/>
              </w:rPr>
              <w:t>cm/s。</w:t>
            </w:r>
          </w:p>
          <w:p w14:paraId="5FA6C214">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c地面与裙脚要用坚固、防渗的材料建造，建筑材料必须与危险废物相容。</w:t>
            </w:r>
          </w:p>
          <w:p w14:paraId="2E87313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d危废</w:t>
            </w:r>
            <w:r>
              <w:rPr>
                <w:rFonts w:hint="eastAsia" w:cs="Times New Roman"/>
                <w:color w:val="auto"/>
                <w:highlight w:val="none"/>
                <w:lang w:eastAsia="zh-CN"/>
              </w:rPr>
              <w:t>贮存</w:t>
            </w:r>
            <w:r>
              <w:rPr>
                <w:rFonts w:ascii="Times New Roman" w:hAnsi="Times New Roman" w:cs="Times New Roman"/>
                <w:color w:val="auto"/>
                <w:highlight w:val="none"/>
              </w:rPr>
              <w:t>间配备通讯设备、照明设施和消防设施。</w:t>
            </w:r>
          </w:p>
          <w:p w14:paraId="0199F6E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e设耐腐蚀的硬化地面，且表面无裂隙。</w:t>
            </w:r>
          </w:p>
          <w:p w14:paraId="45D76DD6">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f应设计堵截泄漏的裙脚，地面与裙脚所围建的容积不低于堵截最大容器的最大储量或总储量的五分之一。</w:t>
            </w:r>
          </w:p>
          <w:p w14:paraId="40B5108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②项目产生的危险废物应分类收集并分类、分区域存放于危险废物暂存间内，并配套安装对应的告示牌。</w:t>
            </w:r>
          </w:p>
          <w:p w14:paraId="4859E456">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③危险废物采用专用收集桶盛装，应当使用符合标准的容器盛装危险废物。</w:t>
            </w:r>
          </w:p>
          <w:p w14:paraId="3696D5E6">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建设方必须将其产生的危险废物交给持有该种危险废物的《危险废物经营许可证》的单位进行运输、利用、处理，严禁擅自倾倒、排放或交未经认证的取得经营资格的单位进行处理、处置，并加强对危险废物的管理，做好危废出、入库登记。在日常管理中，应设置专人加强对危废暂存区的管理，出现问题及时解决，避免形成二次污染，对工作人员应进行专业培训，熟知各项固废知识。</w:t>
            </w:r>
          </w:p>
          <w:p w14:paraId="2190C349">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4.3.4</w:t>
            </w:r>
            <w:r>
              <w:rPr>
                <w:rFonts w:ascii="Times New Roman" w:hAnsi="Times New Roman" w:cs="Times New Roman"/>
                <w:b/>
                <w:bCs/>
                <w:color w:val="auto"/>
                <w:highlight w:val="none"/>
              </w:rPr>
              <w:t>生态影响分析</w:t>
            </w:r>
          </w:p>
          <w:p w14:paraId="7E5B00B4">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4.3.4.1</w:t>
            </w:r>
            <w:r>
              <w:rPr>
                <w:rFonts w:ascii="Times New Roman" w:hAnsi="Times New Roman" w:cs="Times New Roman"/>
                <w:b/>
                <w:bCs/>
                <w:color w:val="auto"/>
                <w:highlight w:val="none"/>
              </w:rPr>
              <w:t>对植被、植物资源的影响</w:t>
            </w:r>
          </w:p>
          <w:p w14:paraId="35B98437">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在工程运营期，临时占地的自然环境植被和植物资源会得到一定程度的恢复，工程对当地自然环境的负面影响也将会明显减少。但是，由于场内道路的修建及风机塔的定期维护，林区的人员流动会有所增加，这可能会对当地的森林植被、植物资源和植物区系结构带来一定的负面影响，但影响程度很小。</w:t>
            </w:r>
          </w:p>
          <w:p w14:paraId="31A99A97">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4.3.4.2</w:t>
            </w:r>
            <w:r>
              <w:rPr>
                <w:rFonts w:ascii="Times New Roman" w:hAnsi="Times New Roman" w:cs="Times New Roman"/>
                <w:b/>
                <w:bCs/>
                <w:color w:val="auto"/>
                <w:highlight w:val="none"/>
              </w:rPr>
              <w:t>对陆生动物的影响</w:t>
            </w:r>
          </w:p>
          <w:p w14:paraId="6F94D2A1">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对哺乳类、爬行类和两栖类来说，风机产生的噪声会在短时间内影响其活动和交流，野生动物分布的种类和数量将会减少。但周围附近适宜生境较多，上述不良影响对于陆生动物在长期来看会造成种群数量的下降，但是其影响的性质并不严重，不会造成动物种类的灭绝，也不会使动物在这一区域绝迹。</w:t>
            </w:r>
          </w:p>
          <w:p w14:paraId="6BC34B73">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4.3.4.3</w:t>
            </w:r>
            <w:r>
              <w:rPr>
                <w:rFonts w:ascii="Times New Roman" w:hAnsi="Times New Roman" w:cs="Times New Roman"/>
                <w:b/>
                <w:bCs/>
                <w:color w:val="auto"/>
                <w:highlight w:val="none"/>
              </w:rPr>
              <w:t>对鸟类的影响</w:t>
            </w:r>
          </w:p>
          <w:p w14:paraId="0CFAD612">
            <w:pPr>
              <w:keepNext w:val="0"/>
              <w:keepLines w:val="0"/>
              <w:pageBreakBefore w:val="0"/>
              <w:widowControl w:val="0"/>
              <w:wordWrap/>
              <w:bidi w:val="0"/>
              <w:adjustRightInd w:val="0"/>
              <w:snapToGrid w:val="0"/>
              <w:textAlignment w:val="auto"/>
              <w:rPr>
                <w:rFonts w:hint="default" w:ascii="Times New Roman" w:hAnsi="Times New Roman" w:eastAsia="宋体" w:cs="Times New Roman"/>
                <w:color w:val="auto"/>
                <w:sz w:val="24"/>
                <w:szCs w:val="24"/>
                <w:highlight w:val="none"/>
                <w:lang w:val="en-US" w:eastAsia="zh-CN"/>
              </w:rPr>
            </w:pPr>
            <w:r>
              <w:rPr>
                <w:rFonts w:ascii="Times New Roman" w:hAnsi="Times New Roman" w:cs="Times New Roman"/>
                <w:color w:val="auto"/>
                <w:highlight w:val="none"/>
              </w:rPr>
              <w:t>（1）鸟撞影响</w:t>
            </w:r>
          </w:p>
          <w:p w14:paraId="78800F0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eastAsia="宋体" w:cs="Times New Roman"/>
                <w:color w:val="auto"/>
                <w:sz w:val="24"/>
                <w:szCs w:val="24"/>
                <w:highlight w:val="none"/>
                <w:u w:val="none"/>
                <w:lang w:val="en-US" w:eastAsia="zh-CN"/>
              </w:rPr>
            </w:pPr>
            <w:r>
              <w:rPr>
                <w:rFonts w:hint="eastAsia" w:cs="Times New Roman"/>
                <w:color w:val="auto"/>
                <w:sz w:val="24"/>
                <w:szCs w:val="24"/>
                <w:highlight w:val="none"/>
                <w:u w:val="none"/>
                <w:lang w:val="en-US" w:eastAsia="zh-CN"/>
              </w:rPr>
              <w:t>本项目开展了3次现场调查，</w:t>
            </w:r>
            <w:r>
              <w:rPr>
                <w:rFonts w:hint="default" w:ascii="Times New Roman" w:hAnsi="Times New Roman" w:eastAsia="宋体" w:cs="Times New Roman"/>
                <w:color w:val="auto"/>
                <w:sz w:val="24"/>
                <w:szCs w:val="24"/>
                <w:highlight w:val="none"/>
                <w:u w:val="none"/>
                <w:lang w:val="en-US" w:eastAsia="zh-CN"/>
              </w:rPr>
              <w:t>在调查过程中，对项目区进行耕作的村民进行了访问，问，访问结果均为周边没有“打雀山”或“打雀点”，</w:t>
            </w:r>
            <w:r>
              <w:rPr>
                <w:rFonts w:hint="eastAsia" w:cs="Times New Roman"/>
                <w:color w:val="auto"/>
                <w:sz w:val="24"/>
                <w:szCs w:val="24"/>
                <w:highlight w:val="none"/>
                <w:u w:val="none"/>
                <w:lang w:val="en-US" w:eastAsia="zh-CN"/>
              </w:rPr>
              <w:t>没有</w:t>
            </w:r>
            <w:r>
              <w:rPr>
                <w:rFonts w:hint="default" w:ascii="Times New Roman" w:hAnsi="Times New Roman" w:eastAsia="宋体" w:cs="Times New Roman"/>
                <w:color w:val="auto"/>
                <w:sz w:val="24"/>
                <w:szCs w:val="24"/>
                <w:highlight w:val="none"/>
                <w:u w:val="none"/>
                <w:lang w:val="en-US" w:eastAsia="zh-CN"/>
              </w:rPr>
              <w:t>听说过有夜间打鸟的现象，也没有发现当地秋季夜间有鸟类迷失方向、扑火的现象。</w:t>
            </w:r>
          </w:p>
          <w:p w14:paraId="33A862C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eastAsia="宋体"/>
                <w:color w:val="auto"/>
                <w:u w:val="none"/>
                <w:lang w:eastAsia="zh-CN"/>
              </w:rPr>
            </w:pPr>
            <w:r>
              <w:rPr>
                <w:rFonts w:hint="eastAsia" w:cs="Times New Roman"/>
                <w:color w:val="auto"/>
                <w:sz w:val="24"/>
                <w:szCs w:val="24"/>
                <w:highlight w:val="none"/>
                <w:u w:val="none"/>
                <w:lang w:val="en-US" w:eastAsia="zh-CN"/>
              </w:rPr>
              <w:t>同时调查了项目区旁边850m处的西泽风电场</w:t>
            </w:r>
            <w:r>
              <w:rPr>
                <w:rFonts w:hint="eastAsia" w:ascii="Times New Roman" w:hAnsi="Times New Roman" w:cs="Times New Roman"/>
                <w:color w:val="auto"/>
                <w:sz w:val="24"/>
                <w:szCs w:val="24"/>
                <w:u w:val="none"/>
                <w:lang w:val="en-US" w:eastAsia="zh-CN"/>
              </w:rPr>
              <w:t>，其环境影响报告及批复中关于运营期鸟类观测或记录的相关要求如下：开展鸟类监测。项目运营期应开展鸟类监测，一旦发现撞击风机伤亡事件频发（超过3次/年），应进一步深化观测，根据观测结果重新评估项目建设对迁徙类候鸟的影响程度，并采取相应措施，如分时停机或分季节停机，必要时拆机。同时，应当报告有关部门，并组织有关部门及行业专家进一步研究鸟类保护措施。通过项目运营期间对鸟类撞击事件的</w:t>
            </w:r>
            <w:r>
              <w:rPr>
                <w:rFonts w:hint="eastAsia" w:cs="Times New Roman"/>
                <w:color w:val="auto"/>
                <w:sz w:val="24"/>
                <w:szCs w:val="24"/>
                <w:u w:val="none"/>
                <w:lang w:val="en-US" w:eastAsia="zh-CN"/>
              </w:rPr>
              <w:t>询问调查</w:t>
            </w:r>
            <w:r>
              <w:rPr>
                <w:rFonts w:hint="eastAsia" w:ascii="Times New Roman" w:hAnsi="Times New Roman" w:cs="Times New Roman"/>
                <w:color w:val="auto"/>
                <w:sz w:val="24"/>
                <w:szCs w:val="24"/>
                <w:u w:val="none"/>
                <w:lang w:val="en-US" w:eastAsia="zh-CN"/>
              </w:rPr>
              <w:t>，未发生撞鸟事件。</w:t>
            </w:r>
          </w:p>
          <w:p w14:paraId="2B2996E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Times New Roman" w:hAnsi="Times New Roman" w:cs="Times New Roman"/>
                <w:color w:val="auto"/>
                <w:sz w:val="24"/>
                <w:szCs w:val="24"/>
                <w:u w:val="none"/>
                <w:lang w:val="en-US" w:eastAsia="zh-CN"/>
              </w:rPr>
            </w:pPr>
            <w:r>
              <w:rPr>
                <w:rFonts w:hint="eastAsia" w:ascii="Times New Roman" w:hAnsi="Times New Roman" w:cs="Times New Roman"/>
                <w:color w:val="auto"/>
                <w:sz w:val="24"/>
                <w:szCs w:val="24"/>
                <w:u w:val="none"/>
                <w:lang w:val="en-US" w:eastAsia="zh-CN"/>
              </w:rPr>
              <w:t>结合上述调查与现有运营监测结果，本项目风电机组选址已避开区域内鸟类集中活动的重要路径，项目运营期发生大规模鸟撞事件的概率较低，对区域鸟类种群存续不会造成显著不良影响。</w:t>
            </w:r>
          </w:p>
          <w:p w14:paraId="336D05EF">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w:t>
            </w:r>
            <w:r>
              <w:rPr>
                <w:rFonts w:hint="eastAsia" w:cs="Times New Roman"/>
                <w:color w:val="auto"/>
                <w:highlight w:val="none"/>
                <w:lang w:eastAsia="zh-CN"/>
              </w:rPr>
              <w:t>栖息地减少</w:t>
            </w:r>
            <w:r>
              <w:rPr>
                <w:rFonts w:ascii="Times New Roman" w:hAnsi="Times New Roman" w:cs="Times New Roman"/>
                <w:color w:val="auto"/>
                <w:highlight w:val="none"/>
              </w:rPr>
              <w:t>影响</w:t>
            </w:r>
          </w:p>
          <w:p w14:paraId="6EEB477D">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工程占地占用一定面积的植被，运行初期鸟类将对整个风力发电场区都有明显的避让行为。运行一段时间后，鸟类能够对运行的风电机发生习惯化，又会重新进入风电场区周边活动，同时，项目区周边仍有广泛适宜的生境和栖息地，因此，风电场不会对鸟类栖息地产生明显的不利影响。</w:t>
            </w:r>
          </w:p>
          <w:p w14:paraId="543EF8FA">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（3）噪声影响</w:t>
            </w:r>
          </w:p>
          <w:p w14:paraId="2F08D91B">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风电机组内部及其运转过程中会因叶片旋转产生噪声。在风电场运行初期，这些噪声对鸟类的影响比较明显，周边的鸟类会因噪声影响而远离风机；运行一段时间后，鸟类会对这种有规律的声音逐渐适应，噪声对其活动的影响将日益减少。</w:t>
            </w:r>
          </w:p>
          <w:p w14:paraId="2DCE35D3">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（4）人为干扰影响分析</w:t>
            </w:r>
          </w:p>
          <w:p w14:paraId="5A748E6D">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风电场内工作人员的日常巡护和一些不当的行为（如捕鸟、捡卵等）可能会对当地的鸟类产生一定的干扰，应加强环保教育和管控。</w:t>
            </w:r>
          </w:p>
          <w:p w14:paraId="76B33C15">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4.3.5</w:t>
            </w:r>
            <w:r>
              <w:rPr>
                <w:rFonts w:ascii="Times New Roman" w:hAnsi="Times New Roman" w:cs="Times New Roman"/>
                <w:b/>
                <w:bCs/>
                <w:color w:val="auto"/>
                <w:highlight w:val="none"/>
              </w:rPr>
              <w:t>对重点保护动物的影响</w:t>
            </w:r>
          </w:p>
          <w:p w14:paraId="01277D3B">
            <w:pPr>
              <w:pStyle w:val="19"/>
              <w:keepNext w:val="0"/>
              <w:keepLines w:val="0"/>
              <w:pageBreakBefore w:val="0"/>
              <w:widowControl w:val="0"/>
              <w:numPr>
                <w:ilvl w:val="0"/>
                <w:numId w:val="0"/>
              </w:numPr>
              <w:kinsoku/>
              <w:wordWrap/>
              <w:overflowPunct/>
              <w:topLinePunct w:val="0"/>
              <w:autoSpaceDE/>
              <w:autoSpaceDN/>
              <w:bidi w:val="0"/>
              <w:adjustRightInd w:val="0"/>
              <w:snapToGrid w:val="0"/>
              <w:spacing w:after="0"/>
              <w:ind w:firstLine="480" w:firstLineChars="200"/>
              <w:jc w:val="both"/>
              <w:textAlignment w:val="auto"/>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根据查阅相关文献资料，评价区内分布的</w:t>
            </w:r>
            <w:r>
              <w:rPr>
                <w:rFonts w:hint="default" w:ascii="Times New Roman" w:hAnsi="Times New Roman" w:cs="Times New Roman"/>
                <w:color w:val="auto"/>
              </w:rPr>
              <w:t>陆生脊椎动物有16目3</w:t>
            </w:r>
            <w:r>
              <w:rPr>
                <w:rFonts w:hint="eastAsia" w:cs="Times New Roman"/>
                <w:color w:val="auto"/>
                <w:lang w:val="en-US" w:eastAsia="zh-CN"/>
              </w:rPr>
              <w:t>0</w:t>
            </w:r>
            <w:r>
              <w:rPr>
                <w:rFonts w:hint="default" w:ascii="Times New Roman" w:hAnsi="Times New Roman" w:cs="Times New Roman"/>
                <w:color w:val="auto"/>
              </w:rPr>
              <w:t>科4</w:t>
            </w:r>
            <w:r>
              <w:rPr>
                <w:rFonts w:hint="eastAsia" w:cs="Times New Roman"/>
                <w:color w:val="auto"/>
                <w:lang w:val="en-US" w:eastAsia="zh-CN"/>
              </w:rPr>
              <w:t>6</w:t>
            </w:r>
            <w:r>
              <w:rPr>
                <w:rFonts w:hint="default" w:ascii="Times New Roman" w:hAnsi="Times New Roman" w:cs="Times New Roman"/>
                <w:color w:val="auto"/>
              </w:rPr>
              <w:t>种。其中哺乳动物6目10科13种，鸟类有8目</w:t>
            </w:r>
            <w:r>
              <w:rPr>
                <w:rFonts w:hint="eastAsia" w:cs="Times New Roman"/>
                <w:color w:val="auto"/>
                <w:lang w:val="en-US" w:eastAsia="zh-CN"/>
              </w:rPr>
              <w:t>14</w:t>
            </w:r>
            <w:r>
              <w:rPr>
                <w:rFonts w:hint="default" w:ascii="Times New Roman" w:hAnsi="Times New Roman" w:cs="Times New Roman"/>
                <w:color w:val="auto"/>
              </w:rPr>
              <w:t>科</w:t>
            </w:r>
            <w:r>
              <w:rPr>
                <w:rFonts w:hint="eastAsia" w:cs="Times New Roman"/>
                <w:color w:val="auto"/>
                <w:lang w:val="en-US" w:eastAsia="zh-CN"/>
              </w:rPr>
              <w:t>21</w:t>
            </w:r>
            <w:r>
              <w:rPr>
                <w:rFonts w:hint="default" w:ascii="Times New Roman" w:hAnsi="Times New Roman" w:cs="Times New Roman"/>
                <w:color w:val="auto"/>
              </w:rPr>
              <w:t>种，两栖类1目3科5种，爬行类1目3科7种</w:t>
            </w:r>
            <w:r>
              <w:rPr>
                <w:rFonts w:hint="default" w:ascii="Times New Roman" w:hAnsi="Times New Roman" w:eastAsia="宋体" w:cs="Times New Roman"/>
                <w:color w:val="auto"/>
                <w:kern w:val="2"/>
                <w:sz w:val="24"/>
                <w:szCs w:val="24"/>
                <w:highlight w:val="none"/>
                <w:lang w:val="en-US" w:eastAsia="zh-CN" w:bidi="ar-SA"/>
              </w:rPr>
              <w:t>。</w:t>
            </w:r>
          </w:p>
          <w:p w14:paraId="0201A922">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hint="eastAsia" w:cs="Times New Roman"/>
                <w:color w:val="auto"/>
                <w:kern w:val="2"/>
                <w:sz w:val="24"/>
                <w:szCs w:val="24"/>
                <w:highlight w:val="none"/>
                <w:lang w:val="en-US" w:eastAsia="zh-CN" w:bidi="ar-SA"/>
              </w:rPr>
              <w:t>项目不涉及一级保护动物，项目</w:t>
            </w:r>
            <w:r>
              <w:rPr>
                <w:rFonts w:ascii="Times New Roman" w:hAnsi="Times New Roman" w:eastAsia="宋体" w:cs="Times New Roman"/>
                <w:color w:val="auto"/>
                <w:kern w:val="2"/>
                <w:sz w:val="24"/>
                <w:szCs w:val="24"/>
                <w:highlight w:val="none"/>
                <w:lang w:val="en-US" w:eastAsia="zh-CN" w:bidi="ar-SA"/>
              </w:rPr>
              <w:t>所列8种国家Ⅱ级保护鸟类（如黑鸢、松雀鹰等）均具备较强的飞行能力与生境适应性。其中猛禽类（如红隼、普通鵟）依赖开阔空域捕食，对风机运行噪声敏感度较低；白腹锦鸡等地面活动物种则通过迁移行为规避干扰，实际栖息地丧失范围可控。</w:t>
            </w:r>
            <w:r>
              <w:rPr>
                <w:rFonts w:ascii="Times New Roman" w:hAnsi="Times New Roman" w:cs="Times New Roman"/>
                <w:color w:val="auto"/>
                <w:highlight w:val="none"/>
              </w:rPr>
              <w:t>鸟类而言，都有较强的迁移能力，它们在工程建设的过程中，会主动迁移</w:t>
            </w:r>
            <w:r>
              <w:rPr>
                <w:rFonts w:hint="eastAsia" w:cs="Times New Roman"/>
                <w:color w:val="auto"/>
                <w:highlight w:val="none"/>
                <w:lang w:eastAsia="zh-CN"/>
              </w:rPr>
              <w:t>到邻近的</w:t>
            </w:r>
            <w:r>
              <w:rPr>
                <w:rFonts w:ascii="Times New Roman" w:hAnsi="Times New Roman" w:cs="Times New Roman"/>
                <w:color w:val="auto"/>
                <w:highlight w:val="none"/>
              </w:rPr>
              <w:t>相似生境中，达到避害的目的。</w:t>
            </w:r>
            <w:r>
              <w:rPr>
                <w:rFonts w:ascii="Times New Roman" w:hAnsi="Times New Roman" w:eastAsia="宋体" w:cs="Times New Roman"/>
                <w:color w:val="auto"/>
                <w:kern w:val="2"/>
                <w:sz w:val="24"/>
                <w:szCs w:val="24"/>
                <w:highlight w:val="none"/>
                <w:lang w:val="en-US" w:eastAsia="zh-CN" w:bidi="ar-SA"/>
              </w:rPr>
              <w:t>建议通过植被恢复补偿（如保留灌丛带）降低局部生境碎片化影响。</w:t>
            </w:r>
            <w:r>
              <w:rPr>
                <w:rFonts w:ascii="Times New Roman" w:hAnsi="Times New Roman" w:cs="Times New Roman"/>
                <w:color w:val="auto"/>
                <w:highlight w:val="none"/>
              </w:rPr>
              <w:t>所以，工程建设对这些保护动物的影响有限。</w:t>
            </w:r>
          </w:p>
          <w:p w14:paraId="5EF21DC8">
            <w:pPr>
              <w:keepNext w:val="0"/>
              <w:keepLines w:val="0"/>
              <w:pageBreakBefore w:val="0"/>
              <w:widowControl w:val="0"/>
              <w:kinsoku/>
              <w:wordWrap/>
              <w:overflowPunct/>
              <w:topLinePunct w:val="0"/>
              <w:autoSpaceDE/>
              <w:autoSpaceDN/>
              <w:bidi w:val="0"/>
              <w:adjustRightInd w:val="0"/>
              <w:snapToGrid w:val="0"/>
              <w:ind w:left="0"/>
              <w:textAlignment w:val="auto"/>
              <w:rPr>
                <w:color w:val="auto"/>
              </w:rPr>
            </w:pPr>
            <w:r>
              <w:rPr>
                <w:color w:val="auto"/>
              </w:rPr>
              <w:t>本次影响分析严格围绕区域内重点鸟类的物种习性展开，同时结合周边已投运风电场的长期鸟类观测数据开展研判，核心分析结论如下：</w:t>
            </w:r>
          </w:p>
          <w:p w14:paraId="5C3C456A">
            <w:pPr>
              <w:keepNext w:val="0"/>
              <w:keepLines w:val="0"/>
              <w:pageBreakBefore w:val="0"/>
              <w:widowControl w:val="0"/>
              <w:numPr>
                <w:ilvl w:val="0"/>
                <w:numId w:val="11"/>
              </w:numPr>
              <w:kinsoku/>
              <w:wordWrap/>
              <w:overflowPunct/>
              <w:topLinePunct w:val="0"/>
              <w:autoSpaceDE/>
              <w:autoSpaceDN/>
              <w:bidi w:val="0"/>
              <w:adjustRightInd w:val="0"/>
              <w:snapToGrid w:val="0"/>
              <w:spacing w:before="0"/>
              <w:ind w:left="0"/>
              <w:textAlignment w:val="auto"/>
              <w:rPr>
                <w:color w:val="auto"/>
              </w:rPr>
            </w:pPr>
            <w:r>
              <w:rPr>
                <w:color w:val="auto"/>
              </w:rPr>
              <w:t>所列8种国家Ⅱ级保护鸟类（含黑鸢、松雀鹰、红隼、普通鵟、白腹锦鸡等）均具备较强的飞行能力与生境适应性，周边已运营风电场的多年鸟观追踪记录显示，上述物种均已在风电场运行区域建立稳定活动种群，未出现区域性种群数量大幅衰减的情况。</w:t>
            </w:r>
          </w:p>
          <w:p w14:paraId="33526262">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color w:val="auto"/>
              </w:rPr>
            </w:pPr>
            <w:r>
              <w:rPr>
                <w:color w:val="auto"/>
              </w:rPr>
              <w:t>其中猛禽类物种依赖开阔空域完成捕食行为，通过周边风电场</w:t>
            </w:r>
            <w:r>
              <w:rPr>
                <w:rFonts w:hint="eastAsia"/>
                <w:color w:val="auto"/>
                <w:lang w:eastAsia="zh-CN"/>
              </w:rPr>
              <w:t>调查</w:t>
            </w:r>
            <w:r>
              <w:rPr>
                <w:color w:val="auto"/>
              </w:rPr>
              <w:t>，该类群对风机运行产生的噪声敏感度较低，多数个体已形成绕飞避让风机的稳定活动路径，风机活动并未对其核心捕食行为产生明显阻断。</w:t>
            </w:r>
          </w:p>
          <w:p w14:paraId="63598CFB">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color w:val="auto"/>
              </w:rPr>
            </w:pPr>
            <w:r>
              <w:rPr>
                <w:color w:val="auto"/>
              </w:rPr>
              <w:t>以白腹锦鸡为代表的地面活动物种，可通过自主迁移行为主动避让工程施工与运行带来的干扰，周边风电场运营期的生境监测数据印证，该类物种的实际栖息地丧失范围始终维持在工程占地区域的极小范围内，可快速迁移至周边生境质量相近的邻接区域完成活动替代。</w:t>
            </w:r>
          </w:p>
          <w:p w14:paraId="00D91CC4">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color w:val="auto"/>
              </w:rPr>
            </w:pPr>
            <w:r>
              <w:rPr>
                <w:color w:val="auto"/>
              </w:rPr>
              <w:t>所有涉及的保护鸟类均具备较强的迁移避险能力，在工程建设全周期内，会主动向周边未受干扰的相似生境完成有序转移，无需额外人工干预即可实现避害自保。结合周边风电场已落地的生态补偿措施成效来看，通过保留灌丛带、开展分区植被恢复的方案，可进一步降低局部生境碎片化带来的次生影响，最终判定本项目建设与运营对上述保护鸟类的整体影响处于可控的有限范围之内。</w:t>
            </w:r>
          </w:p>
          <w:p w14:paraId="4E9C20C3">
            <w:pPr>
              <w:keepNext w:val="0"/>
              <w:keepLines w:val="0"/>
              <w:pageBreakBefore w:val="0"/>
              <w:widowControl w:val="0"/>
              <w:numPr>
                <w:ilvl w:val="0"/>
                <w:numId w:val="11"/>
              </w:numPr>
              <w:kinsoku/>
              <w:wordWrap/>
              <w:overflowPunct/>
              <w:topLinePunct w:val="0"/>
              <w:autoSpaceDE/>
              <w:autoSpaceDN/>
              <w:bidi w:val="0"/>
              <w:adjustRightInd w:val="0"/>
              <w:snapToGrid w:val="0"/>
              <w:ind w:left="0"/>
              <w:textAlignment w:val="auto"/>
              <w:rPr>
                <w:color w:val="auto"/>
              </w:rPr>
            </w:pPr>
            <w:r>
              <w:rPr>
                <w:rFonts w:hint="eastAsia"/>
                <w:color w:val="auto"/>
                <w:lang w:eastAsia="zh-CN"/>
              </w:rPr>
              <w:t>项目建设对哺乳类动物的影响</w:t>
            </w:r>
          </w:p>
          <w:p w14:paraId="4E4B06CB">
            <w:pPr>
              <w:keepNext w:val="0"/>
              <w:keepLines w:val="0"/>
              <w:pageBreakBefore w:val="0"/>
              <w:widowControl w:val="0"/>
              <w:wordWrap/>
              <w:bidi w:val="0"/>
              <w:adjustRightInd w:val="0"/>
              <w:snapToGrid w:val="0"/>
              <w:textAlignment w:val="auto"/>
              <w:rPr>
                <w:color w:val="auto"/>
              </w:rPr>
            </w:pPr>
            <w:r>
              <w:rPr>
                <w:color w:val="auto"/>
              </w:rPr>
              <w:t>对于活动范围较大的陆生保护哺乳动物，其对人工施工扰动的感知阈值极高，可在工程进场施工的初期，便通过自主迁移行为移动至项目周边未受干扰的原生林地、灌丛生境中，完全规避施工机械噪声、人类活动频繁介入带来的干扰，项目建设不会对其日常觅食、繁殖的核心活动区域造成侵占。针对部分局地小范围活动的保护哺乳动物，项目施工期划定的原生植被保留带可作为其天然的活动迁移廊道，有效规避生境碎片化带来的隔离影响，运营期风机设备运行产生的噪声传播范围有限，不会对数百米外的保护哺乳动物正常栖息活动形成持续性干扰。</w:t>
            </w:r>
          </w:p>
          <w:p w14:paraId="2BC1F4D9">
            <w:pPr>
              <w:keepNext w:val="0"/>
              <w:keepLines w:val="0"/>
              <w:pageBreakBefore w:val="0"/>
              <w:widowControl w:val="0"/>
              <w:wordWrap/>
              <w:bidi w:val="0"/>
              <w:adjustRightInd w:val="0"/>
              <w:snapToGrid w:val="0"/>
              <w:textAlignment w:val="auto"/>
              <w:rPr>
                <w:color w:val="auto"/>
              </w:rPr>
            </w:pPr>
            <w:r>
              <w:rPr>
                <w:color w:val="auto"/>
              </w:rPr>
              <w:t>结合周边已投运风电场的长期陆生生态监测数据来看，项目所在区域内的保护哺乳动物均未出现区域性种群数量大幅衰减的情况，在风电场运营区域周边仍维持稳定的活动种群，项目全周期建设运营对该类受保护哺乳动物的整体影响处于有限可控范围，配套的植被恢复、原生灌丛保留措施可进一步巩固生态缓冲效果，完全能够保障该类物种种群的长期稳定存续。</w:t>
            </w:r>
          </w:p>
          <w:p w14:paraId="403C24F3">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4.3.6</w:t>
            </w:r>
            <w:r>
              <w:rPr>
                <w:rFonts w:ascii="Times New Roman" w:hAnsi="Times New Roman" w:cs="Times New Roman"/>
                <w:b/>
                <w:bCs/>
                <w:color w:val="auto"/>
                <w:highlight w:val="none"/>
              </w:rPr>
              <w:t>土壤、地下水环境影响分析</w:t>
            </w:r>
          </w:p>
          <w:p w14:paraId="66AE60F3">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本项目运营过程中</w:t>
            </w:r>
            <w:r>
              <w:rPr>
                <w:rFonts w:hint="default" w:ascii="Times New Roman" w:hAnsi="Times New Roman" w:cs="Times New Roman"/>
                <w:color w:val="auto"/>
                <w:highlight w:val="none"/>
                <w:lang w:eastAsia="zh-CN"/>
              </w:rPr>
              <w:t>开关站</w:t>
            </w:r>
            <w:r>
              <w:rPr>
                <w:rFonts w:ascii="Times New Roman" w:hAnsi="Times New Roman" w:cs="Times New Roman"/>
                <w:color w:val="auto"/>
                <w:highlight w:val="none"/>
              </w:rPr>
              <w:t>设置有危险废物暂存间，油品存储过程中会通过垂直入渗进入地下污染地下水水质和土壤环境；因此，</w:t>
            </w:r>
            <w:r>
              <w:rPr>
                <w:rFonts w:hint="default" w:ascii="Times New Roman" w:hAnsi="Times New Roman" w:cs="Times New Roman"/>
                <w:color w:val="auto"/>
                <w:highlight w:val="none"/>
                <w:lang w:eastAsia="zh-CN"/>
              </w:rPr>
              <w:t>开关站</w:t>
            </w:r>
            <w:r>
              <w:rPr>
                <w:rFonts w:ascii="Times New Roman" w:hAnsi="Times New Roman" w:cs="Times New Roman"/>
                <w:color w:val="auto"/>
                <w:highlight w:val="none"/>
              </w:rPr>
              <w:t>中的危险废物暂存间应采取重点防渗。参照《环境影响评价技术导则地下水环境》（HJ610-2016）进行防渗，地面采取粘土铺地，再在上层铺设10</w:t>
            </w:r>
            <w:r>
              <w:rPr>
                <w:rFonts w:hint="eastAsia" w:cs="Times New Roman"/>
                <w:color w:val="auto"/>
                <w:highlight w:val="none"/>
                <w:vertAlign w:val="superscript"/>
                <w:lang w:val="en-US" w:eastAsia="zh-CN"/>
              </w:rPr>
              <w:t>-</w:t>
            </w:r>
            <w:r>
              <w:rPr>
                <w:rFonts w:ascii="Times New Roman" w:hAnsi="Times New Roman" w:cs="Times New Roman"/>
                <w:color w:val="auto"/>
                <w:highlight w:val="none"/>
                <w:vertAlign w:val="superscript"/>
              </w:rPr>
              <w:t>15</w:t>
            </w:r>
            <w:r>
              <w:rPr>
                <w:rFonts w:ascii="Times New Roman" w:hAnsi="Times New Roman" w:cs="Times New Roman"/>
                <w:color w:val="auto"/>
                <w:highlight w:val="none"/>
              </w:rPr>
              <w:t>cm的水泥进行硬化，并铺环氧树脂防渗，等效黏土防渗层Mb≥6.0m，渗透系数K≤1.0×10</w:t>
            </w:r>
            <w:r>
              <w:rPr>
                <w:rFonts w:ascii="Times New Roman" w:hAnsi="Times New Roman" w:cs="Times New Roman"/>
                <w:color w:val="auto"/>
                <w:highlight w:val="none"/>
                <w:vertAlign w:val="superscript"/>
              </w:rPr>
              <w:t>-7</w:t>
            </w:r>
            <w:r>
              <w:rPr>
                <w:rFonts w:ascii="Times New Roman" w:hAnsi="Times New Roman" w:cs="Times New Roman"/>
                <w:color w:val="auto"/>
                <w:highlight w:val="none"/>
              </w:rPr>
              <w:t>cm/s。通过采取上述措施后，项目运行过程中对地下水和土壤环境的影响不大。</w:t>
            </w:r>
          </w:p>
          <w:p w14:paraId="44B9CEF6">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4.3.7</w:t>
            </w:r>
            <w:r>
              <w:rPr>
                <w:rFonts w:ascii="Times New Roman" w:hAnsi="Times New Roman" w:cs="Times New Roman"/>
                <w:b/>
                <w:bCs/>
                <w:color w:val="auto"/>
                <w:highlight w:val="none"/>
              </w:rPr>
              <w:t>环境风险影响分析</w:t>
            </w:r>
          </w:p>
          <w:p w14:paraId="19467D7F">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（1）风险识别</w:t>
            </w:r>
          </w:p>
          <w:p w14:paraId="385C0E71">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结合拟建项目特点可知，拟建项目主要的环境风险主要为变压器油泄漏、危废</w:t>
            </w:r>
            <w:r>
              <w:rPr>
                <w:rFonts w:hint="eastAsia" w:cs="Times New Roman"/>
                <w:color w:val="auto"/>
                <w:highlight w:val="none"/>
                <w:lang w:eastAsia="zh-CN"/>
              </w:rPr>
              <w:t>贮存</w:t>
            </w:r>
            <w:r>
              <w:rPr>
                <w:rFonts w:ascii="Times New Roman" w:hAnsi="Times New Roman" w:cs="Times New Roman"/>
                <w:color w:val="auto"/>
                <w:highlight w:val="none"/>
              </w:rPr>
              <w:t>间检修废油泄漏、火灾风险。风险物质主要为变压器检修废油。</w:t>
            </w:r>
          </w:p>
          <w:p w14:paraId="2D63CF9E">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（2）环境风险潜势初判</w:t>
            </w:r>
          </w:p>
          <w:p w14:paraId="7C261630">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①Q值计算方法</w:t>
            </w:r>
          </w:p>
          <w:p w14:paraId="0A60537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计算所涉及的每种危险物质在项目区内的最大存在总量与其在《建设项目环境风险评价技术导则》（HJ169-2018）中附录B中对应的临界量的比值Q。</w:t>
            </w:r>
          </w:p>
          <w:p w14:paraId="06845FA2">
            <w:pPr>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Q=q1/Q1+q2/Q2+…+qn/Qn</w:t>
            </w:r>
          </w:p>
          <w:p w14:paraId="6675F131">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式中：q1，q2</w:t>
            </w:r>
            <w:r>
              <w:rPr>
                <w:rFonts w:hint="eastAsia" w:cs="Times New Roman"/>
                <w:color w:val="auto"/>
                <w:highlight w:val="none"/>
                <w:lang w:eastAsia="zh-CN"/>
              </w:rPr>
              <w:t>，</w:t>
            </w:r>
            <w:r>
              <w:rPr>
                <w:rFonts w:ascii="Times New Roman" w:hAnsi="Times New Roman" w:cs="Times New Roman"/>
                <w:color w:val="auto"/>
                <w:highlight w:val="none"/>
              </w:rPr>
              <w:t>qn——每种危险物质的最大存在总量，单位为吨（t）；</w:t>
            </w:r>
          </w:p>
          <w:p w14:paraId="163C9C43">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Q1，Q2</w:t>
            </w:r>
            <w:r>
              <w:rPr>
                <w:rFonts w:hint="eastAsia" w:cs="Times New Roman"/>
                <w:color w:val="auto"/>
                <w:highlight w:val="none"/>
                <w:lang w:eastAsia="zh-CN"/>
              </w:rPr>
              <w:t>，</w:t>
            </w:r>
            <w:r>
              <w:rPr>
                <w:rFonts w:ascii="Times New Roman" w:hAnsi="Times New Roman" w:cs="Times New Roman"/>
                <w:color w:val="auto"/>
                <w:highlight w:val="none"/>
              </w:rPr>
              <w:t>Qn——每种危险物质相对应的临界量，单位为吨（t）。</w:t>
            </w:r>
          </w:p>
          <w:p w14:paraId="4A2F6F54">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当Q＜1时，该项目风险潜势为Ⅰ。</w:t>
            </w:r>
          </w:p>
          <w:p w14:paraId="0A014B56">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当Q≥1时，将Q值划分为（1）1≤Q＜10；（2）10≤Q＜100；（3）Q≥100。</w:t>
            </w:r>
          </w:p>
          <w:p w14:paraId="0B23ACC8">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根据《建设项目环境风险评价技术导则》（HJ169-2018）相关规定以及附录B，项目涉及的风险物质临界量及其Q值计算结果见下表。</w:t>
            </w:r>
          </w:p>
          <w:p w14:paraId="4E198F1D">
            <w:pPr>
              <w:pStyle w:val="45"/>
              <w:keepNext w:val="0"/>
              <w:keepLines w:val="0"/>
              <w:pageBreakBefore w:val="0"/>
              <w:widowControl w:val="0"/>
              <w:wordWrap/>
              <w:bidi w:val="0"/>
              <w:adjustRightInd w:val="0"/>
              <w:snapToGrid w:val="0"/>
              <w:spacing w:before="1" w:line="210" w:lineRule="auto"/>
              <w:ind w:left="0" w:firstLine="0" w:firstLineChars="0"/>
              <w:jc w:val="center"/>
              <w:textAlignment w:val="auto"/>
              <w:rPr>
                <w:rFonts w:ascii="Times New Roman" w:hAnsi="Times New Roman" w:cs="Times New Roman"/>
                <w:color w:val="auto"/>
                <w:sz w:val="21"/>
                <w:szCs w:val="21"/>
                <w:highlight w:val="none"/>
              </w:rPr>
            </w:pPr>
            <w:r>
              <w:rPr>
                <w:rFonts w:ascii="Times New Roman" w:hAnsi="Times New Roman" w:cs="Times New Roman"/>
                <w:b/>
                <w:bCs/>
                <w:color w:val="auto"/>
                <w:spacing w:val="1"/>
                <w:sz w:val="21"/>
                <w:szCs w:val="21"/>
                <w:highlight w:val="none"/>
              </w:rPr>
              <w:t>表</w:t>
            </w:r>
            <w:r>
              <w:rPr>
                <w:rFonts w:ascii="Times New Roman" w:hAnsi="Times New Roman" w:eastAsia="Times New Roman" w:cs="Times New Roman"/>
                <w:b/>
                <w:bCs/>
                <w:color w:val="auto"/>
                <w:spacing w:val="1"/>
                <w:sz w:val="21"/>
                <w:szCs w:val="21"/>
                <w:highlight w:val="none"/>
              </w:rPr>
              <w:t>4-</w:t>
            </w:r>
            <w:r>
              <w:rPr>
                <w:rFonts w:hint="eastAsia" w:ascii="Times New Roman" w:hAnsi="Times New Roman" w:eastAsia="宋体" w:cs="Times New Roman"/>
                <w:b/>
                <w:bCs/>
                <w:color w:val="auto"/>
                <w:spacing w:val="1"/>
                <w:sz w:val="21"/>
                <w:szCs w:val="21"/>
                <w:highlight w:val="none"/>
                <w:lang w:val="en-US" w:eastAsia="zh-CN"/>
              </w:rPr>
              <w:t>8</w:t>
            </w:r>
            <w:r>
              <w:rPr>
                <w:rFonts w:ascii="Times New Roman" w:hAnsi="Times New Roman" w:cs="Times New Roman"/>
                <w:b/>
                <w:bCs/>
                <w:color w:val="auto"/>
                <w:spacing w:val="1"/>
                <w:sz w:val="21"/>
                <w:szCs w:val="21"/>
                <w:highlight w:val="none"/>
              </w:rPr>
              <w:t>建设项目</w:t>
            </w:r>
            <w:r>
              <w:rPr>
                <w:rFonts w:ascii="Times New Roman" w:hAnsi="Times New Roman" w:eastAsia="Times New Roman" w:cs="Times New Roman"/>
                <w:b/>
                <w:bCs/>
                <w:color w:val="auto"/>
                <w:spacing w:val="1"/>
                <w:sz w:val="21"/>
                <w:szCs w:val="21"/>
                <w:highlight w:val="none"/>
              </w:rPr>
              <w:t>Q</w:t>
            </w:r>
            <w:r>
              <w:rPr>
                <w:rFonts w:ascii="Times New Roman" w:hAnsi="Times New Roman" w:cs="Times New Roman"/>
                <w:b/>
                <w:bCs/>
                <w:color w:val="auto"/>
                <w:spacing w:val="1"/>
                <w:sz w:val="21"/>
                <w:szCs w:val="21"/>
                <w:highlight w:val="none"/>
              </w:rPr>
              <w:t>值确定表</w:t>
            </w:r>
          </w:p>
          <w:p w14:paraId="05D35F1E">
            <w:pPr>
              <w:keepNext w:val="0"/>
              <w:keepLines w:val="0"/>
              <w:pageBreakBefore w:val="0"/>
              <w:widowControl w:val="0"/>
              <w:wordWrap/>
              <w:bidi w:val="0"/>
              <w:adjustRightInd w:val="0"/>
              <w:snapToGrid w:val="0"/>
              <w:spacing w:line="36" w:lineRule="auto"/>
              <w:textAlignment w:val="auto"/>
              <w:rPr>
                <w:rFonts w:ascii="Times New Roman" w:hAnsi="Times New Roman" w:cs="Times New Roman"/>
                <w:color w:val="auto"/>
                <w:sz w:val="2"/>
                <w:highlight w:val="none"/>
              </w:rPr>
            </w:pPr>
          </w:p>
          <w:tbl>
            <w:tblPr>
              <w:tblStyle w:val="46"/>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19"/>
              <w:gridCol w:w="2123"/>
              <w:gridCol w:w="2119"/>
              <w:gridCol w:w="1690"/>
              <w:gridCol w:w="1670"/>
            </w:tblGrid>
            <w:tr w14:paraId="0FCEF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432" w:type="pct"/>
                  <w:tcBorders>
                    <w:left w:val="single" w:color="auto" w:sz="4" w:space="0"/>
                    <w:right w:val="single" w:color="auto" w:sz="4" w:space="0"/>
                  </w:tcBorders>
                  <w:vAlign w:val="center"/>
                </w:tcPr>
                <w:p w14:paraId="6A720BD5">
                  <w:pPr>
                    <w:pStyle w:val="28"/>
                    <w:keepNext w:val="0"/>
                    <w:keepLines w:val="0"/>
                    <w:pageBreakBefore w:val="0"/>
                    <w:widowControl w:val="0"/>
                    <w:wordWrap/>
                    <w:bidi w:val="0"/>
                    <w:adjustRightInd w:val="0"/>
                    <w:snapToGrid w:val="0"/>
                    <w:jc w:val="center"/>
                    <w:textAlignment w:val="auto"/>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序号</w:t>
                  </w:r>
                </w:p>
              </w:tc>
              <w:tc>
                <w:tcPr>
                  <w:tcW w:w="1275" w:type="pct"/>
                  <w:tcBorders>
                    <w:left w:val="single" w:color="auto" w:sz="4" w:space="0"/>
                  </w:tcBorders>
                  <w:vAlign w:val="center"/>
                </w:tcPr>
                <w:p w14:paraId="3A21B6DA">
                  <w:pPr>
                    <w:pStyle w:val="28"/>
                    <w:keepNext w:val="0"/>
                    <w:keepLines w:val="0"/>
                    <w:pageBreakBefore w:val="0"/>
                    <w:widowControl w:val="0"/>
                    <w:wordWrap/>
                    <w:bidi w:val="0"/>
                    <w:adjustRightInd w:val="0"/>
                    <w:snapToGrid w:val="0"/>
                    <w:ind w:firstLine="0" w:firstLineChars="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危险物质名称</w:t>
                  </w:r>
                </w:p>
              </w:tc>
              <w:tc>
                <w:tcPr>
                  <w:tcW w:w="1273" w:type="pct"/>
                  <w:vAlign w:val="center"/>
                </w:tcPr>
                <w:p w14:paraId="3065F6BD">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最大存在总量</w:t>
                  </w:r>
                </w:p>
                <w:p w14:paraId="1446B78D">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qn/t</w:t>
                  </w:r>
                </w:p>
              </w:tc>
              <w:tc>
                <w:tcPr>
                  <w:tcW w:w="1015" w:type="pct"/>
                  <w:tcBorders>
                    <w:bottom w:val="single" w:color="000000" w:sz="2" w:space="0"/>
                  </w:tcBorders>
                  <w:vAlign w:val="center"/>
                </w:tcPr>
                <w:p w14:paraId="7A000583">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临界量Qn/t</w:t>
                  </w:r>
                </w:p>
              </w:tc>
              <w:tc>
                <w:tcPr>
                  <w:tcW w:w="1003" w:type="pct"/>
                  <w:tcBorders>
                    <w:bottom w:val="single" w:color="000000" w:sz="2" w:space="0"/>
                  </w:tcBorders>
                  <w:vAlign w:val="center"/>
                </w:tcPr>
                <w:p w14:paraId="76AF5276">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危险物质Q</w:t>
                  </w:r>
                </w:p>
                <w:p w14:paraId="21682353">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值</w:t>
                  </w:r>
                </w:p>
              </w:tc>
            </w:tr>
            <w:tr w14:paraId="40284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432" w:type="pct"/>
                  <w:tcBorders>
                    <w:left w:val="single" w:color="auto" w:sz="4" w:space="0"/>
                    <w:right w:val="single" w:color="auto" w:sz="4" w:space="0"/>
                  </w:tcBorders>
                  <w:vAlign w:val="center"/>
                </w:tcPr>
                <w:p w14:paraId="6697E6CB">
                  <w:pPr>
                    <w:pStyle w:val="28"/>
                    <w:keepNext w:val="0"/>
                    <w:keepLines w:val="0"/>
                    <w:pageBreakBefore w:val="0"/>
                    <w:widowControl w:val="0"/>
                    <w:wordWrap/>
                    <w:bidi w:val="0"/>
                    <w:adjustRightInd w:val="0"/>
                    <w:snapToGrid w:val="0"/>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w:t>
                  </w:r>
                </w:p>
              </w:tc>
              <w:tc>
                <w:tcPr>
                  <w:tcW w:w="1275" w:type="pct"/>
                  <w:tcBorders>
                    <w:left w:val="single" w:color="auto" w:sz="4" w:space="0"/>
                  </w:tcBorders>
                  <w:vAlign w:val="center"/>
                </w:tcPr>
                <w:p w14:paraId="153655E1">
                  <w:pPr>
                    <w:pStyle w:val="28"/>
                    <w:keepNext w:val="0"/>
                    <w:keepLines w:val="0"/>
                    <w:pageBreakBefore w:val="0"/>
                    <w:widowControl w:val="0"/>
                    <w:wordWrap/>
                    <w:bidi w:val="0"/>
                    <w:adjustRightInd w:val="0"/>
                    <w:snapToGrid w:val="0"/>
                    <w:ind w:firstLine="0" w:firstLineChars="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废检修油</w:t>
                  </w:r>
                </w:p>
              </w:tc>
              <w:tc>
                <w:tcPr>
                  <w:tcW w:w="1273" w:type="pct"/>
                  <w:vAlign w:val="center"/>
                </w:tcPr>
                <w:p w14:paraId="1CB0FD92">
                  <w:pPr>
                    <w:pStyle w:val="28"/>
                    <w:keepNext w:val="0"/>
                    <w:keepLines w:val="0"/>
                    <w:pageBreakBefore w:val="0"/>
                    <w:widowControl w:val="0"/>
                    <w:wordWrap/>
                    <w:bidi w:val="0"/>
                    <w:adjustRightInd w:val="0"/>
                    <w:snapToGrid w:val="0"/>
                    <w:jc w:val="center"/>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2.5</w:t>
                  </w:r>
                  <w:r>
                    <w:rPr>
                      <w:rFonts w:hint="default" w:ascii="Times New Roman" w:hAnsi="Times New Roman" w:cs="Times New Roman"/>
                      <w:color w:val="auto"/>
                      <w:highlight w:val="none"/>
                      <w:lang w:val="en-US" w:eastAsia="zh-CN"/>
                    </w:rPr>
                    <w:t>6</w:t>
                  </w:r>
                </w:p>
              </w:tc>
              <w:tc>
                <w:tcPr>
                  <w:tcW w:w="1015" w:type="pct"/>
                  <w:tcBorders>
                    <w:top w:val="single" w:color="000000" w:sz="2" w:space="0"/>
                    <w:bottom w:val="single" w:color="000000" w:sz="2" w:space="0"/>
                  </w:tcBorders>
                  <w:vAlign w:val="center"/>
                </w:tcPr>
                <w:p w14:paraId="51BDCD9E">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2500</w:t>
                  </w:r>
                </w:p>
              </w:tc>
              <w:tc>
                <w:tcPr>
                  <w:tcW w:w="1003" w:type="pct"/>
                  <w:tcBorders>
                    <w:top w:val="single" w:color="000000" w:sz="2" w:space="0"/>
                    <w:bottom w:val="single" w:color="000000" w:sz="2" w:space="0"/>
                  </w:tcBorders>
                  <w:vAlign w:val="center"/>
                </w:tcPr>
                <w:p w14:paraId="0AC00ACE">
                  <w:pPr>
                    <w:pStyle w:val="28"/>
                    <w:keepNext w:val="0"/>
                    <w:keepLines w:val="0"/>
                    <w:pageBreakBefore w:val="0"/>
                    <w:widowControl w:val="0"/>
                    <w:wordWrap/>
                    <w:bidi w:val="0"/>
                    <w:adjustRightInd w:val="0"/>
                    <w:snapToGrid w:val="0"/>
                    <w:jc w:val="center"/>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0.001</w:t>
                  </w:r>
                </w:p>
              </w:tc>
            </w:tr>
          </w:tbl>
          <w:p w14:paraId="132AC9BD">
            <w:pPr>
              <w:pStyle w:val="45"/>
              <w:keepNext w:val="0"/>
              <w:keepLines w:val="0"/>
              <w:pageBreakBefore w:val="0"/>
              <w:widowControl w:val="0"/>
              <w:wordWrap/>
              <w:bidi w:val="0"/>
              <w:adjustRightInd w:val="0"/>
              <w:snapToGrid w:val="0"/>
              <w:spacing w:line="317" w:lineRule="exact"/>
              <w:ind w:left="589"/>
              <w:textAlignment w:val="auto"/>
              <w:rPr>
                <w:rFonts w:ascii="Times New Roman" w:hAnsi="Times New Roman" w:eastAsia="Times New Roman" w:cs="Times New Roman"/>
                <w:color w:val="auto"/>
                <w:highlight w:val="none"/>
              </w:rPr>
            </w:pPr>
            <w:r>
              <w:rPr>
                <w:rFonts w:ascii="Times New Roman" w:hAnsi="Times New Roman" w:cs="Times New Roman"/>
                <w:color w:val="auto"/>
                <w:spacing w:val="-2"/>
                <w:position w:val="2"/>
                <w:highlight w:val="none"/>
              </w:rPr>
              <w:t>经计算，拟建项目</w:t>
            </w:r>
            <w:r>
              <w:rPr>
                <w:rFonts w:ascii="Times New Roman" w:hAnsi="Times New Roman" w:eastAsia="Times New Roman" w:cs="Times New Roman"/>
                <w:color w:val="auto"/>
                <w:spacing w:val="-2"/>
                <w:position w:val="2"/>
                <w:highlight w:val="none"/>
              </w:rPr>
              <w:t>Q=0.0</w:t>
            </w:r>
            <w:r>
              <w:rPr>
                <w:rFonts w:hint="default" w:ascii="Times New Roman" w:hAnsi="Times New Roman" w:eastAsia="宋体" w:cs="Times New Roman"/>
                <w:color w:val="auto"/>
                <w:spacing w:val="-2"/>
                <w:position w:val="2"/>
                <w:highlight w:val="none"/>
                <w:lang w:val="en-US" w:eastAsia="zh-CN"/>
              </w:rPr>
              <w:t>01</w:t>
            </w:r>
            <w:r>
              <w:rPr>
                <w:rFonts w:ascii="Times New Roman" w:hAnsi="Times New Roman" w:cs="Times New Roman"/>
                <w:color w:val="auto"/>
                <w:spacing w:val="-2"/>
                <w:position w:val="2"/>
                <w:highlight w:val="none"/>
              </w:rPr>
              <w:t>，</w:t>
            </w:r>
            <w:r>
              <w:rPr>
                <w:rFonts w:ascii="Times New Roman" w:hAnsi="Times New Roman" w:eastAsia="Times New Roman" w:cs="Times New Roman"/>
                <w:color w:val="auto"/>
                <w:spacing w:val="-2"/>
                <w:position w:val="2"/>
                <w:highlight w:val="none"/>
              </w:rPr>
              <w:t>Q</w:t>
            </w:r>
            <w:r>
              <w:rPr>
                <w:rFonts w:ascii="Times New Roman" w:hAnsi="Times New Roman" w:cs="Times New Roman"/>
                <w:color w:val="auto"/>
                <w:spacing w:val="-2"/>
                <w:position w:val="2"/>
                <w:highlight w:val="none"/>
              </w:rPr>
              <w:t>＜</w:t>
            </w:r>
            <w:r>
              <w:rPr>
                <w:rFonts w:ascii="Times New Roman" w:hAnsi="Times New Roman" w:eastAsia="Times New Roman" w:cs="Times New Roman"/>
                <w:color w:val="auto"/>
                <w:spacing w:val="-2"/>
                <w:position w:val="2"/>
                <w:highlight w:val="none"/>
              </w:rPr>
              <w:t>1.</w:t>
            </w:r>
          </w:p>
          <w:p w14:paraId="2E03A145">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②风险等级判定</w:t>
            </w:r>
          </w:p>
          <w:p w14:paraId="51C734DF">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根据《建设项目环境风险评价技术导则》（HJ169-2018），当Q＜1时，该项目环境风险潜势划为Ⅰ</w:t>
            </w:r>
            <w:r>
              <w:rPr>
                <w:rFonts w:hint="eastAsia" w:cs="Times New Roman"/>
                <w:color w:val="auto"/>
                <w:highlight w:val="none"/>
                <w:lang w:eastAsia="zh-CN"/>
              </w:rPr>
              <w:t>，</w:t>
            </w:r>
            <w:r>
              <w:rPr>
                <w:rFonts w:ascii="Times New Roman" w:hAnsi="Times New Roman" w:cs="Times New Roman"/>
                <w:color w:val="auto"/>
                <w:highlight w:val="none"/>
              </w:rPr>
              <w:t>按评价工作等级划分要求，确定拟建项目环境风险评价等级为简单分析。</w:t>
            </w:r>
          </w:p>
          <w:p w14:paraId="79712BB6">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（3）环境风险分析结论</w:t>
            </w:r>
          </w:p>
          <w:p w14:paraId="4C48675E">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根据以上评价分析，通过采取以上各项风险防范措施及应急救援措施，可</w:t>
            </w:r>
            <w:r>
              <w:rPr>
                <w:rFonts w:hint="eastAsia" w:cs="Times New Roman"/>
                <w:color w:val="auto"/>
                <w:highlight w:val="none"/>
                <w:lang w:eastAsia="zh-CN"/>
              </w:rPr>
              <w:t>防止</w:t>
            </w:r>
            <w:r>
              <w:rPr>
                <w:rFonts w:ascii="Times New Roman" w:hAnsi="Times New Roman" w:cs="Times New Roman"/>
                <w:color w:val="auto"/>
                <w:highlight w:val="none"/>
              </w:rPr>
              <w:t>各种事故的发生，降低对周围环境的不利影响，环境风险在可防控范围内。</w:t>
            </w:r>
          </w:p>
          <w:p w14:paraId="63839F1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本项目环境风险简单分析内容见表4-</w:t>
            </w:r>
            <w:r>
              <w:rPr>
                <w:rFonts w:hint="eastAsia" w:cs="Times New Roman"/>
                <w:color w:val="auto"/>
                <w:highlight w:val="none"/>
                <w:lang w:val="en-US" w:eastAsia="zh-CN"/>
              </w:rPr>
              <w:t>9</w:t>
            </w:r>
            <w:r>
              <w:rPr>
                <w:rFonts w:ascii="Times New Roman" w:hAnsi="Times New Roman" w:cs="Times New Roman"/>
                <w:color w:val="auto"/>
                <w:highlight w:val="none"/>
              </w:rPr>
              <w:t>。</w:t>
            </w:r>
          </w:p>
          <w:p w14:paraId="32F170E3">
            <w:pPr>
              <w:pStyle w:val="45"/>
              <w:keepNext w:val="0"/>
              <w:keepLines w:val="0"/>
              <w:pageBreakBefore w:val="0"/>
              <w:widowControl w:val="0"/>
              <w:wordWrap/>
              <w:bidi w:val="0"/>
              <w:adjustRightInd w:val="0"/>
              <w:snapToGrid w:val="0"/>
              <w:spacing w:before="183" w:line="213" w:lineRule="auto"/>
              <w:ind w:left="0" w:firstLine="0" w:firstLineChars="0"/>
              <w:jc w:val="center"/>
              <w:textAlignment w:val="auto"/>
              <w:rPr>
                <w:rFonts w:ascii="Times New Roman" w:hAnsi="Times New Roman" w:cs="Times New Roman"/>
                <w:color w:val="auto"/>
                <w:sz w:val="21"/>
                <w:szCs w:val="21"/>
                <w:highlight w:val="none"/>
              </w:rPr>
            </w:pPr>
            <w:r>
              <w:rPr>
                <w:rFonts w:ascii="Times New Roman" w:hAnsi="Times New Roman" w:cs="Times New Roman"/>
                <w:b/>
                <w:bCs/>
                <w:color w:val="auto"/>
                <w:spacing w:val="-2"/>
                <w:sz w:val="21"/>
                <w:szCs w:val="21"/>
                <w:highlight w:val="none"/>
              </w:rPr>
              <w:t>表</w:t>
            </w:r>
            <w:r>
              <w:rPr>
                <w:rFonts w:ascii="Times New Roman" w:hAnsi="Times New Roman" w:eastAsia="Times New Roman" w:cs="Times New Roman"/>
                <w:b/>
                <w:bCs/>
                <w:color w:val="auto"/>
                <w:spacing w:val="-2"/>
                <w:sz w:val="21"/>
                <w:szCs w:val="21"/>
                <w:highlight w:val="none"/>
              </w:rPr>
              <w:t>4-</w:t>
            </w:r>
            <w:r>
              <w:rPr>
                <w:rFonts w:hint="eastAsia" w:ascii="Times New Roman" w:hAnsi="Times New Roman" w:eastAsia="宋体" w:cs="Times New Roman"/>
                <w:b/>
                <w:bCs/>
                <w:color w:val="auto"/>
                <w:spacing w:val="-2"/>
                <w:sz w:val="21"/>
                <w:szCs w:val="21"/>
                <w:highlight w:val="none"/>
                <w:lang w:val="en-US" w:eastAsia="zh-CN"/>
              </w:rPr>
              <w:t>9</w:t>
            </w:r>
            <w:r>
              <w:rPr>
                <w:rFonts w:ascii="Times New Roman" w:hAnsi="Times New Roman" w:cs="Times New Roman"/>
                <w:b/>
                <w:bCs/>
                <w:color w:val="auto"/>
                <w:spacing w:val="-2"/>
                <w:sz w:val="21"/>
                <w:szCs w:val="21"/>
                <w:highlight w:val="none"/>
              </w:rPr>
              <w:t>建设项目环境风险简单分析内容表</w:t>
            </w:r>
          </w:p>
          <w:tbl>
            <w:tblPr>
              <w:tblStyle w:val="46"/>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75"/>
              <w:gridCol w:w="6544"/>
            </w:tblGrid>
            <w:tr w14:paraId="74E39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67" w:type="pct"/>
                  <w:vAlign w:val="center"/>
                </w:tcPr>
                <w:p w14:paraId="5C1FBE43">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建设项目</w:t>
                  </w:r>
                </w:p>
                <w:p w14:paraId="385B0D64">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名称</w:t>
                  </w:r>
                </w:p>
              </w:tc>
              <w:tc>
                <w:tcPr>
                  <w:tcW w:w="3932" w:type="pct"/>
                  <w:vAlign w:val="center"/>
                </w:tcPr>
                <w:p w14:paraId="5326C931">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hint="default" w:ascii="Times New Roman" w:hAnsi="Times New Roman" w:cs="Times New Roman"/>
                      <w:color w:val="auto"/>
                      <w:highlight w:val="none"/>
                      <w:lang w:eastAsia="zh-CN"/>
                    </w:rPr>
                    <w:t>国电海德村</w:t>
                  </w:r>
                  <w:r>
                    <w:rPr>
                      <w:rFonts w:ascii="Times New Roman" w:hAnsi="Times New Roman" w:cs="Times New Roman"/>
                      <w:color w:val="auto"/>
                      <w:highlight w:val="none"/>
                    </w:rPr>
                    <w:t>项目</w:t>
                  </w:r>
                </w:p>
              </w:tc>
            </w:tr>
            <w:tr w14:paraId="6D531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067" w:type="pct"/>
                  <w:vAlign w:val="center"/>
                </w:tcPr>
                <w:p w14:paraId="4388C49A">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建设地点</w:t>
                  </w:r>
                </w:p>
              </w:tc>
              <w:tc>
                <w:tcPr>
                  <w:tcW w:w="3932" w:type="pct"/>
                  <w:vAlign w:val="center"/>
                </w:tcPr>
                <w:p w14:paraId="0F4C9B1D">
                  <w:pPr>
                    <w:pStyle w:val="28"/>
                    <w:keepNext w:val="0"/>
                    <w:keepLines w:val="0"/>
                    <w:pageBreakBefore w:val="0"/>
                    <w:widowControl w:val="0"/>
                    <w:wordWrap/>
                    <w:bidi w:val="0"/>
                    <w:adjustRightInd w:val="0"/>
                    <w:snapToGrid w:val="0"/>
                    <w:jc w:val="center"/>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海德村项目位于云南省曲靖市宣威市热水镇</w:t>
                  </w:r>
                </w:p>
              </w:tc>
            </w:tr>
            <w:tr w14:paraId="0BD19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067" w:type="pct"/>
                  <w:vAlign w:val="center"/>
                </w:tcPr>
                <w:p w14:paraId="594CE79B">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主要危险</w:t>
                  </w:r>
                </w:p>
                <w:p w14:paraId="7B669EC2">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物质分布</w:t>
                  </w:r>
                </w:p>
              </w:tc>
              <w:tc>
                <w:tcPr>
                  <w:tcW w:w="3932" w:type="pct"/>
                  <w:vAlign w:val="center"/>
                </w:tcPr>
                <w:p w14:paraId="2782BFB4">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废检修油、箱式变压器油；</w:t>
                  </w:r>
                </w:p>
              </w:tc>
            </w:tr>
            <w:tr w14:paraId="329D19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067" w:type="pct"/>
                  <w:vAlign w:val="center"/>
                </w:tcPr>
                <w:p w14:paraId="7B6928A8">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环境影响</w:t>
                  </w:r>
                </w:p>
                <w:p w14:paraId="63F84687">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途径及危害后果</w:t>
                  </w:r>
                </w:p>
              </w:tc>
              <w:tc>
                <w:tcPr>
                  <w:tcW w:w="3932" w:type="pct"/>
                  <w:vAlign w:val="center"/>
                </w:tcPr>
                <w:p w14:paraId="643C0F95">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环境影响途径：主要风险为变压器油泄漏和火灾爆炸及火灾爆炸引起的次生废气和事故废水。</w:t>
                  </w:r>
                </w:p>
                <w:p w14:paraId="525C4BC8">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危害后果：变压器油泄漏会对当地地下水、地表水及土壤造成一定程度的污染。</w:t>
                  </w:r>
                </w:p>
              </w:tc>
            </w:tr>
            <w:tr w14:paraId="7246AB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4" w:hRule="atLeast"/>
              </w:trPr>
              <w:tc>
                <w:tcPr>
                  <w:tcW w:w="1067" w:type="pct"/>
                  <w:vAlign w:val="center"/>
                </w:tcPr>
                <w:p w14:paraId="41ECD937">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风险防范</w:t>
                  </w:r>
                </w:p>
                <w:p w14:paraId="15D79343">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措施要求</w:t>
                  </w:r>
                </w:p>
              </w:tc>
              <w:tc>
                <w:tcPr>
                  <w:tcW w:w="3932" w:type="pct"/>
                  <w:vAlign w:val="center"/>
                </w:tcPr>
                <w:p w14:paraId="0DF08E2B">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1</w:t>
                  </w:r>
                  <w:r>
                    <w:rPr>
                      <w:rFonts w:ascii="Times New Roman" w:hAnsi="Times New Roman" w:cs="Times New Roman"/>
                      <w:color w:val="auto"/>
                      <w:highlight w:val="none"/>
                    </w:rPr>
                    <w:t>）危险废物采用专门容器分类收集于</w:t>
                  </w:r>
                  <w:r>
                    <w:rPr>
                      <w:rFonts w:hint="eastAsia" w:ascii="Times New Roman" w:hAnsi="Times New Roman" w:cs="Times New Roman"/>
                      <w:color w:val="auto"/>
                      <w:highlight w:val="none"/>
                      <w:lang w:eastAsia="zh-CN"/>
                    </w:rPr>
                    <w:t>开关</w:t>
                  </w:r>
                  <w:r>
                    <w:rPr>
                      <w:rFonts w:ascii="Times New Roman" w:hAnsi="Times New Roman" w:cs="Times New Roman"/>
                      <w:color w:val="auto"/>
                      <w:highlight w:val="none"/>
                    </w:rPr>
                    <w:t>站设置的危废</w:t>
                  </w:r>
                  <w:r>
                    <w:rPr>
                      <w:rFonts w:hint="eastAsia" w:ascii="Times New Roman" w:hAnsi="Times New Roman" w:cs="Times New Roman"/>
                      <w:color w:val="auto"/>
                      <w:highlight w:val="none"/>
                      <w:lang w:eastAsia="zh-CN"/>
                    </w:rPr>
                    <w:t>贮存</w:t>
                  </w:r>
                  <w:r>
                    <w:rPr>
                      <w:rFonts w:ascii="Times New Roman" w:hAnsi="Times New Roman" w:cs="Times New Roman"/>
                      <w:color w:val="auto"/>
                      <w:highlight w:val="none"/>
                    </w:rPr>
                    <w:t>间；避免与其他废旧物资混杂存放；</w:t>
                  </w:r>
                </w:p>
                <w:p w14:paraId="3BA3C601">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）配备应急处理设备和保障、物资；</w:t>
                  </w:r>
                </w:p>
                <w:p w14:paraId="54FA35F5">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3</w:t>
                  </w:r>
                  <w:r>
                    <w:rPr>
                      <w:rFonts w:ascii="Times New Roman" w:hAnsi="Times New Roman" w:cs="Times New Roman"/>
                      <w:color w:val="auto"/>
                      <w:highlight w:val="none"/>
                    </w:rPr>
                    <w:t>）项目场区设置“禁止烟火”的警示标志，制订各种禁止明火的规章制度，并严格执行；场区内设置火灾报警装置、各类监测器等，并对其进行定期检验，及时更新，防止失效；</w:t>
                  </w:r>
                </w:p>
                <w:p w14:paraId="4D380819">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）加强对操作人员的岗位培训，建立健全的环保管理机制和各项环保规章制度，落实岗位环保责任制，</w:t>
                  </w:r>
                  <w:r>
                    <w:rPr>
                      <w:rFonts w:hint="eastAsia" w:ascii="Times New Roman" w:hAnsi="Times New Roman" w:cs="Times New Roman"/>
                      <w:color w:val="auto"/>
                      <w:highlight w:val="none"/>
                      <w:lang w:eastAsia="zh-CN"/>
                    </w:rPr>
                    <w:t>加强环境风险防控</w:t>
                  </w:r>
                  <w:r>
                    <w:rPr>
                      <w:rFonts w:ascii="Times New Roman" w:hAnsi="Times New Roman" w:cs="Times New Roman"/>
                      <w:color w:val="auto"/>
                      <w:highlight w:val="none"/>
                    </w:rPr>
                    <w:t>工作，防止事故排放导致环境问题；</w:t>
                  </w:r>
                </w:p>
                <w:p w14:paraId="2634DEF6">
                  <w:pPr>
                    <w:pStyle w:val="28"/>
                    <w:keepNext w:val="0"/>
                    <w:keepLines w:val="0"/>
                    <w:pageBreakBefore w:val="0"/>
                    <w:widowControl w:val="0"/>
                    <w:wordWrap/>
                    <w:bidi w:val="0"/>
                    <w:adjustRightInd w:val="0"/>
                    <w:snapToGrid w:val="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w:t>
                  </w:r>
                  <w:r>
                    <w:rPr>
                      <w:rFonts w:hint="eastAsia" w:ascii="Times New Roman" w:hAnsi="Times New Roman" w:cs="Times New Roman"/>
                      <w:color w:val="auto"/>
                      <w:highlight w:val="none"/>
                      <w:lang w:val="en-US" w:eastAsia="zh-CN"/>
                    </w:rPr>
                    <w:t>5</w:t>
                  </w:r>
                  <w:r>
                    <w:rPr>
                      <w:rFonts w:ascii="Times New Roman" w:hAnsi="Times New Roman" w:cs="Times New Roman"/>
                      <w:color w:val="auto"/>
                      <w:highlight w:val="none"/>
                    </w:rPr>
                    <w:t>）完善公司应急预案的编制并报相关部门备案，准备完善的应急物资，定期组织公司相关人员开展应急演练。</w:t>
                  </w:r>
                </w:p>
              </w:tc>
            </w:tr>
            <w:tr w14:paraId="010ED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067" w:type="pct"/>
                  <w:vAlign w:val="center"/>
                </w:tcPr>
                <w:p w14:paraId="39E1A375">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填表说明</w:t>
                  </w:r>
                </w:p>
              </w:tc>
              <w:tc>
                <w:tcPr>
                  <w:tcW w:w="3932" w:type="pct"/>
                  <w:vAlign w:val="center"/>
                </w:tcPr>
                <w:p w14:paraId="7A740A79">
                  <w:pPr>
                    <w:pStyle w:val="28"/>
                    <w:keepNext w:val="0"/>
                    <w:keepLines w:val="0"/>
                    <w:pageBreakBefore w:val="0"/>
                    <w:widowControl w:val="0"/>
                    <w:wordWrap/>
                    <w:bidi w:val="0"/>
                    <w:adjustRightInd w:val="0"/>
                    <w:snapToGrid w:val="0"/>
                    <w:jc w:val="center"/>
                    <w:textAlignment w:val="auto"/>
                    <w:rPr>
                      <w:rFonts w:ascii="Times New Roman" w:hAnsi="Times New Roman" w:cs="Times New Roman"/>
                      <w:color w:val="auto"/>
                      <w:highlight w:val="none"/>
                    </w:rPr>
                  </w:pPr>
                  <w:r>
                    <w:rPr>
                      <w:rFonts w:ascii="Times New Roman" w:hAnsi="Times New Roman" w:cs="Times New Roman"/>
                      <w:color w:val="auto"/>
                      <w:highlight w:val="none"/>
                    </w:rPr>
                    <w:t>无</w:t>
                  </w:r>
                </w:p>
              </w:tc>
            </w:tr>
          </w:tbl>
          <w:p w14:paraId="3AA9087E">
            <w:pPr>
              <w:keepNext w:val="0"/>
              <w:keepLines w:val="0"/>
              <w:pageBreakBefore w:val="0"/>
              <w:widowControl w:val="0"/>
              <w:wordWrap/>
              <w:bidi w:val="0"/>
              <w:adjustRightInd w:val="0"/>
              <w:snapToGrid w:val="0"/>
              <w:textAlignment w:val="auto"/>
              <w:rPr>
                <w:rFonts w:ascii="Times New Roman" w:hAnsi="Times New Roman" w:cs="Times New Roman"/>
                <w:color w:val="auto"/>
                <w:position w:val="-8"/>
                <w:highlight w:val="none"/>
              </w:rPr>
            </w:pPr>
          </w:p>
        </w:tc>
      </w:tr>
      <w:tr w14:paraId="48EEA2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34308FF">
            <w:pPr>
              <w:pStyle w:val="16"/>
              <w:keepNext w:val="0"/>
              <w:keepLines w:val="0"/>
              <w:pageBreakBefore w:val="0"/>
              <w:widowControl w:val="0"/>
              <w:wordWrap/>
              <w:bidi w:val="0"/>
              <w:adjustRightInd w:val="0"/>
              <w:snapToGrid w:val="0"/>
              <w:spacing w:before="0" w:beforeAutospacing="0" w:after="0" w:afterAutospacing="0"/>
              <w:ind w:left="0" w:leftChars="0" w:firstLine="0" w:firstLineChars="0"/>
              <w:jc w:val="both"/>
              <w:textAlignment w:val="auto"/>
              <w:rPr>
                <w:rFonts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选址选线环境合理性分析</w:t>
            </w:r>
          </w:p>
        </w:tc>
        <w:tc>
          <w:tcPr>
            <w:tcW w:w="0" w:type="auto"/>
            <w:noWrap w:val="0"/>
            <w:vAlign w:val="top"/>
          </w:tcPr>
          <w:p w14:paraId="0E0B12B7">
            <w:pPr>
              <w:pStyle w:val="45"/>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sz w:val="24"/>
                <w:szCs w:val="24"/>
                <w:highlight w:val="none"/>
              </w:rPr>
            </w:pPr>
            <w:r>
              <w:rPr>
                <w:rFonts w:ascii="Times New Roman" w:hAnsi="Times New Roman" w:eastAsia="Times New Roman" w:cs="Times New Roman"/>
                <w:b/>
                <w:bCs/>
                <w:color w:val="auto"/>
                <w:spacing w:val="-2"/>
                <w:sz w:val="24"/>
                <w:szCs w:val="24"/>
                <w:highlight w:val="none"/>
              </w:rPr>
              <w:t>4.</w:t>
            </w:r>
            <w:r>
              <w:rPr>
                <w:rFonts w:hint="default" w:ascii="Times New Roman" w:hAnsi="Times New Roman" w:eastAsia="宋体" w:cs="Times New Roman"/>
                <w:b/>
                <w:bCs/>
                <w:color w:val="auto"/>
                <w:spacing w:val="-2"/>
                <w:sz w:val="24"/>
                <w:szCs w:val="24"/>
                <w:highlight w:val="none"/>
                <w:lang w:val="en-US" w:eastAsia="zh-CN"/>
              </w:rPr>
              <w:t>4</w:t>
            </w:r>
            <w:r>
              <w:rPr>
                <w:rFonts w:ascii="Times New Roman" w:hAnsi="Times New Roman" w:cs="Times New Roman"/>
                <w:b/>
                <w:bCs/>
                <w:color w:val="auto"/>
                <w:spacing w:val="-2"/>
                <w:sz w:val="24"/>
                <w:szCs w:val="24"/>
                <w:highlight w:val="none"/>
              </w:rPr>
              <w:t>政府主管部门意见</w:t>
            </w:r>
          </w:p>
          <w:p w14:paraId="29E97375">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本项目位于</w:t>
            </w:r>
            <w:r>
              <w:rPr>
                <w:rFonts w:hint="default" w:ascii="Times New Roman" w:hAnsi="Times New Roman" w:cs="Times New Roman"/>
                <w:color w:val="auto"/>
                <w:sz w:val="24"/>
                <w:szCs w:val="24"/>
                <w:highlight w:val="none"/>
              </w:rPr>
              <w:t>云南省宣威市西南部的热水镇海德村</w:t>
            </w:r>
            <w:r>
              <w:rPr>
                <w:rFonts w:ascii="Times New Roman" w:hAnsi="Times New Roman" w:cs="Times New Roman"/>
                <w:color w:val="auto"/>
                <w:highlight w:val="none"/>
              </w:rPr>
              <w:t>。项目已经取得</w:t>
            </w:r>
            <w:r>
              <w:rPr>
                <w:rFonts w:hint="default" w:ascii="Times New Roman" w:hAnsi="Times New Roman" w:cs="Times New Roman"/>
                <w:color w:val="auto"/>
                <w:highlight w:val="none"/>
                <w:lang w:eastAsia="zh-CN"/>
              </w:rPr>
              <w:t>宣威市</w:t>
            </w:r>
            <w:r>
              <w:rPr>
                <w:rFonts w:ascii="Times New Roman" w:hAnsi="Times New Roman" w:cs="Times New Roman"/>
                <w:color w:val="auto"/>
                <w:highlight w:val="none"/>
              </w:rPr>
              <w:t>自然资源局、林草局、生态环境分局、水务局等相关部门意见。</w:t>
            </w:r>
          </w:p>
          <w:p w14:paraId="3553C663">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根据</w:t>
            </w:r>
            <w:r>
              <w:rPr>
                <w:rFonts w:hint="default" w:ascii="Times New Roman" w:hAnsi="Times New Roman" w:cs="Times New Roman"/>
                <w:color w:val="auto"/>
                <w:highlight w:val="none"/>
                <w:lang w:eastAsia="zh-CN"/>
              </w:rPr>
              <w:t>宣威市</w:t>
            </w:r>
            <w:r>
              <w:rPr>
                <w:rFonts w:ascii="Times New Roman" w:hAnsi="Times New Roman" w:cs="Times New Roman"/>
                <w:color w:val="auto"/>
                <w:highlight w:val="none"/>
              </w:rPr>
              <w:t>水务局关于</w:t>
            </w:r>
            <w:r>
              <w:rPr>
                <w:rFonts w:hint="default" w:ascii="Times New Roman" w:hAnsi="Times New Roman" w:cs="Times New Roman"/>
                <w:color w:val="auto"/>
                <w:sz w:val="24"/>
                <w:szCs w:val="24"/>
                <w:highlight w:val="none"/>
              </w:rPr>
              <w:t>海德村</w:t>
            </w:r>
            <w:r>
              <w:rPr>
                <w:rFonts w:hint="default" w:ascii="Times New Roman" w:hAnsi="Times New Roman" w:cs="Times New Roman"/>
                <w:color w:val="auto"/>
                <w:highlight w:val="none"/>
                <w:lang w:eastAsia="zh-CN"/>
              </w:rPr>
              <w:t>项目</w:t>
            </w:r>
            <w:r>
              <w:rPr>
                <w:rFonts w:ascii="Times New Roman" w:hAnsi="Times New Roman" w:cs="Times New Roman"/>
                <w:color w:val="auto"/>
                <w:highlight w:val="none"/>
              </w:rPr>
              <w:t>用地选址的审查意见，同意项目选址，依法依规办理建设项目涉及水利手续，取得批复后方可建设</w:t>
            </w:r>
            <w:r>
              <w:rPr>
                <w:rFonts w:hint="eastAsia" w:cs="Times New Roman"/>
                <w:color w:val="auto"/>
                <w:highlight w:val="none"/>
                <w:lang w:eastAsia="zh-CN"/>
              </w:rPr>
              <w:t>（附件</w:t>
            </w:r>
            <w:r>
              <w:rPr>
                <w:rFonts w:hint="eastAsia" w:cs="Times New Roman"/>
                <w:color w:val="auto"/>
                <w:highlight w:val="none"/>
                <w:lang w:val="en-US" w:eastAsia="zh-CN"/>
              </w:rPr>
              <w:t>8</w:t>
            </w:r>
            <w:r>
              <w:rPr>
                <w:rFonts w:hint="eastAsia" w:cs="Times New Roman"/>
                <w:color w:val="auto"/>
                <w:highlight w:val="none"/>
                <w:lang w:eastAsia="zh-CN"/>
              </w:rPr>
              <w:t>）</w:t>
            </w:r>
            <w:r>
              <w:rPr>
                <w:rFonts w:ascii="Times New Roman" w:hAnsi="Times New Roman" w:cs="Times New Roman"/>
                <w:color w:val="auto"/>
                <w:highlight w:val="none"/>
              </w:rPr>
              <w:t>。</w:t>
            </w:r>
          </w:p>
          <w:p w14:paraId="573AFB6F">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根据曲靖市生态环境局</w:t>
            </w:r>
            <w:r>
              <w:rPr>
                <w:rFonts w:hint="default" w:ascii="Times New Roman" w:hAnsi="Times New Roman" w:cs="Times New Roman"/>
                <w:color w:val="auto"/>
                <w:highlight w:val="none"/>
                <w:lang w:eastAsia="zh-CN"/>
              </w:rPr>
              <w:t>宣威</w:t>
            </w:r>
            <w:r>
              <w:rPr>
                <w:rFonts w:ascii="Times New Roman" w:hAnsi="Times New Roman" w:cs="Times New Roman"/>
                <w:color w:val="auto"/>
                <w:highlight w:val="none"/>
              </w:rPr>
              <w:t>分局关于</w:t>
            </w:r>
            <w:r>
              <w:rPr>
                <w:rFonts w:hint="default" w:ascii="Times New Roman" w:hAnsi="Times New Roman" w:cs="Times New Roman"/>
                <w:color w:val="auto"/>
                <w:sz w:val="24"/>
                <w:szCs w:val="24"/>
                <w:highlight w:val="none"/>
              </w:rPr>
              <w:t>海德村</w:t>
            </w:r>
            <w:r>
              <w:rPr>
                <w:rFonts w:hint="default" w:ascii="Times New Roman" w:hAnsi="Times New Roman" w:cs="Times New Roman"/>
                <w:color w:val="auto"/>
                <w:highlight w:val="none"/>
                <w:lang w:eastAsia="zh-CN"/>
              </w:rPr>
              <w:t>项目</w:t>
            </w:r>
            <w:r>
              <w:rPr>
                <w:rFonts w:ascii="Times New Roman" w:hAnsi="Times New Roman" w:cs="Times New Roman"/>
                <w:color w:val="auto"/>
                <w:highlight w:val="none"/>
              </w:rPr>
              <w:t>的选址审查意见，本项目的选址未在饮用水源地保护区范围，在未取得批复前，项目不得开工建设</w:t>
            </w:r>
            <w:r>
              <w:rPr>
                <w:rFonts w:hint="eastAsia" w:cs="Times New Roman"/>
                <w:color w:val="auto"/>
                <w:highlight w:val="none"/>
                <w:lang w:eastAsia="zh-CN"/>
              </w:rPr>
              <w:t>（附件</w:t>
            </w:r>
            <w:r>
              <w:rPr>
                <w:rFonts w:hint="eastAsia" w:cs="Times New Roman"/>
                <w:color w:val="auto"/>
                <w:highlight w:val="none"/>
                <w:lang w:val="en-US" w:eastAsia="zh-CN"/>
              </w:rPr>
              <w:t>4</w:t>
            </w:r>
            <w:r>
              <w:rPr>
                <w:rFonts w:hint="eastAsia" w:cs="Times New Roman"/>
                <w:color w:val="auto"/>
                <w:highlight w:val="none"/>
                <w:lang w:eastAsia="zh-CN"/>
              </w:rPr>
              <w:t>）</w:t>
            </w:r>
            <w:r>
              <w:rPr>
                <w:rFonts w:ascii="Times New Roman" w:hAnsi="Times New Roman" w:cs="Times New Roman"/>
                <w:color w:val="auto"/>
                <w:highlight w:val="none"/>
              </w:rPr>
              <w:t>。</w:t>
            </w:r>
          </w:p>
          <w:p w14:paraId="111DEF52">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根据</w:t>
            </w:r>
            <w:r>
              <w:rPr>
                <w:rFonts w:hint="default" w:ascii="Times New Roman" w:hAnsi="Times New Roman" w:cs="Times New Roman"/>
                <w:color w:val="auto"/>
                <w:highlight w:val="none"/>
                <w:lang w:eastAsia="zh-CN"/>
              </w:rPr>
              <w:t>宣威市</w:t>
            </w:r>
            <w:r>
              <w:rPr>
                <w:rFonts w:ascii="Times New Roman" w:hAnsi="Times New Roman" w:cs="Times New Roman"/>
                <w:color w:val="auto"/>
                <w:highlight w:val="none"/>
              </w:rPr>
              <w:t>自然资源局关于</w:t>
            </w:r>
            <w:r>
              <w:rPr>
                <w:rFonts w:hint="default" w:ascii="Times New Roman" w:hAnsi="Times New Roman" w:cs="Times New Roman"/>
                <w:color w:val="auto"/>
                <w:sz w:val="24"/>
                <w:szCs w:val="24"/>
                <w:highlight w:val="none"/>
              </w:rPr>
              <w:t>海德村</w:t>
            </w:r>
            <w:r>
              <w:rPr>
                <w:rFonts w:hint="default" w:ascii="Times New Roman" w:hAnsi="Times New Roman" w:cs="Times New Roman"/>
                <w:color w:val="auto"/>
                <w:highlight w:val="none"/>
                <w:lang w:eastAsia="zh-CN"/>
              </w:rPr>
              <w:t>项目</w:t>
            </w:r>
            <w:r>
              <w:rPr>
                <w:rFonts w:ascii="Times New Roman" w:hAnsi="Times New Roman" w:cs="Times New Roman"/>
                <w:color w:val="auto"/>
                <w:highlight w:val="none"/>
              </w:rPr>
              <w:t>用地“三区三线”审查意见，项目用地范围内不涉及占用永久基本农田、生态保护红线，不在城镇开发边界内</w:t>
            </w:r>
            <w:r>
              <w:rPr>
                <w:rFonts w:hint="eastAsia" w:cs="Times New Roman"/>
                <w:color w:val="auto"/>
                <w:highlight w:val="none"/>
                <w:lang w:eastAsia="zh-CN"/>
              </w:rPr>
              <w:t>（附件</w:t>
            </w:r>
            <w:r>
              <w:rPr>
                <w:rFonts w:hint="eastAsia" w:cs="Times New Roman"/>
                <w:color w:val="auto"/>
                <w:highlight w:val="none"/>
                <w:lang w:val="en-US" w:eastAsia="zh-CN"/>
              </w:rPr>
              <w:t>13</w:t>
            </w:r>
            <w:r>
              <w:rPr>
                <w:rFonts w:hint="eastAsia" w:cs="Times New Roman"/>
                <w:color w:val="auto"/>
                <w:highlight w:val="none"/>
                <w:lang w:eastAsia="zh-CN"/>
              </w:rPr>
              <w:t>）</w:t>
            </w:r>
            <w:r>
              <w:rPr>
                <w:rFonts w:ascii="Times New Roman" w:hAnsi="Times New Roman" w:cs="Times New Roman"/>
                <w:color w:val="auto"/>
                <w:highlight w:val="none"/>
              </w:rPr>
              <w:t>。</w:t>
            </w:r>
          </w:p>
          <w:p w14:paraId="2F67C6B0">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根据</w:t>
            </w:r>
            <w:r>
              <w:rPr>
                <w:rFonts w:hint="default" w:ascii="Times New Roman" w:hAnsi="Times New Roman" w:cs="Times New Roman"/>
                <w:color w:val="auto"/>
                <w:highlight w:val="none"/>
                <w:lang w:eastAsia="zh-CN"/>
              </w:rPr>
              <w:t>宣威市</w:t>
            </w:r>
            <w:r>
              <w:rPr>
                <w:rFonts w:ascii="Times New Roman" w:hAnsi="Times New Roman" w:cs="Times New Roman"/>
                <w:color w:val="auto"/>
                <w:highlight w:val="none"/>
              </w:rPr>
              <w:t>林业和草原局关于</w:t>
            </w:r>
            <w:r>
              <w:rPr>
                <w:rFonts w:hint="default" w:ascii="Times New Roman" w:hAnsi="Times New Roman" w:cs="Times New Roman"/>
                <w:color w:val="auto"/>
                <w:sz w:val="24"/>
                <w:szCs w:val="24"/>
                <w:highlight w:val="none"/>
              </w:rPr>
              <w:t>海德村</w:t>
            </w:r>
            <w:r>
              <w:rPr>
                <w:rFonts w:hint="default" w:ascii="Times New Roman" w:hAnsi="Times New Roman" w:cs="Times New Roman"/>
                <w:color w:val="auto"/>
                <w:highlight w:val="none"/>
                <w:lang w:eastAsia="zh-CN"/>
              </w:rPr>
              <w:t>项目</w:t>
            </w:r>
            <w:r>
              <w:rPr>
                <w:rFonts w:ascii="Times New Roman" w:hAnsi="Times New Roman" w:cs="Times New Roman"/>
                <w:color w:val="auto"/>
                <w:highlight w:val="none"/>
              </w:rPr>
              <w:t>涉及林地、草地的审查意见，项目拟用地范围内不涉及天然乔木林</w:t>
            </w:r>
            <w:r>
              <w:rPr>
                <w:rFonts w:hint="eastAsia" w:cs="Times New Roman"/>
                <w:color w:val="auto"/>
                <w:highlight w:val="none"/>
                <w:lang w:eastAsia="zh-CN"/>
              </w:rPr>
              <w:t>（</w:t>
            </w:r>
            <w:r>
              <w:rPr>
                <w:rFonts w:ascii="Times New Roman" w:hAnsi="Times New Roman" w:cs="Times New Roman"/>
                <w:color w:val="auto"/>
                <w:highlight w:val="none"/>
              </w:rPr>
              <w:t>竹林</w:t>
            </w:r>
            <w:r>
              <w:rPr>
                <w:rFonts w:hint="eastAsia" w:cs="Times New Roman"/>
                <w:color w:val="auto"/>
                <w:highlight w:val="none"/>
                <w:lang w:eastAsia="zh-CN"/>
              </w:rPr>
              <w:t>）</w:t>
            </w:r>
            <w:r>
              <w:rPr>
                <w:rFonts w:ascii="Times New Roman" w:hAnsi="Times New Roman" w:cs="Times New Roman"/>
                <w:color w:val="auto"/>
                <w:highlight w:val="none"/>
              </w:rPr>
              <w:t>地、国家级公益林有林地和基本草原，同意选址</w:t>
            </w:r>
            <w:r>
              <w:rPr>
                <w:rFonts w:hint="eastAsia" w:cs="Times New Roman"/>
                <w:color w:val="auto"/>
                <w:highlight w:val="none"/>
                <w:lang w:eastAsia="zh-CN"/>
              </w:rPr>
              <w:t>（附件</w:t>
            </w:r>
            <w:r>
              <w:rPr>
                <w:rFonts w:hint="eastAsia" w:cs="Times New Roman"/>
                <w:color w:val="auto"/>
                <w:highlight w:val="none"/>
                <w:lang w:val="en-US" w:eastAsia="zh-CN"/>
              </w:rPr>
              <w:t>14</w:t>
            </w:r>
            <w:r>
              <w:rPr>
                <w:rFonts w:hint="eastAsia" w:cs="Times New Roman"/>
                <w:color w:val="auto"/>
                <w:highlight w:val="none"/>
                <w:lang w:eastAsia="zh-CN"/>
              </w:rPr>
              <w:t>）</w:t>
            </w:r>
            <w:r>
              <w:rPr>
                <w:rFonts w:ascii="Times New Roman" w:hAnsi="Times New Roman" w:cs="Times New Roman"/>
                <w:color w:val="auto"/>
                <w:highlight w:val="none"/>
              </w:rPr>
              <w:t>。</w:t>
            </w:r>
          </w:p>
          <w:p w14:paraId="3AB26A13">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ascii="Times New Roman" w:hAnsi="Times New Roman" w:cs="Times New Roman"/>
                <w:color w:val="auto"/>
                <w:highlight w:val="none"/>
              </w:rPr>
            </w:pPr>
            <w:r>
              <w:rPr>
                <w:rFonts w:ascii="Times New Roman" w:hAnsi="Times New Roman" w:cs="Times New Roman"/>
                <w:color w:val="auto"/>
                <w:highlight w:val="none"/>
              </w:rPr>
              <w:t>项目不涉及各类生态环境敏感区，选址符合各相关部门要求。</w:t>
            </w:r>
          </w:p>
          <w:p w14:paraId="30C88DF1">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ascii="Times New Roman" w:hAnsi="Times New Roman" w:cs="Times New Roman"/>
                <w:b/>
                <w:bCs/>
                <w:color w:val="auto"/>
                <w:highlight w:val="none"/>
              </w:rPr>
              <w:t>4.6项目</w:t>
            </w:r>
            <w:r>
              <w:rPr>
                <w:rFonts w:hint="eastAsia" w:cs="Times New Roman"/>
                <w:b/>
                <w:bCs/>
                <w:color w:val="auto"/>
                <w:highlight w:val="none"/>
                <w:lang w:eastAsia="zh-CN"/>
              </w:rPr>
              <w:t>风机</w:t>
            </w:r>
            <w:r>
              <w:rPr>
                <w:rFonts w:ascii="Times New Roman" w:hAnsi="Times New Roman" w:cs="Times New Roman"/>
                <w:b/>
                <w:bCs/>
                <w:color w:val="auto"/>
                <w:highlight w:val="none"/>
              </w:rPr>
              <w:t>选址环境合理性分析</w:t>
            </w:r>
          </w:p>
          <w:p w14:paraId="6D367D04">
            <w:pPr>
              <w:keepNext w:val="0"/>
              <w:keepLines w:val="0"/>
              <w:pageBreakBefore w:val="0"/>
              <w:widowControl w:val="0"/>
              <w:wordWrap/>
              <w:bidi w:val="0"/>
              <w:adjustRightInd w:val="0"/>
              <w:snapToGrid w:val="0"/>
              <w:textAlignment w:val="auto"/>
              <w:rPr>
                <w:rFonts w:hint="eastAsia" w:ascii="宋体" w:hAnsi="宋体" w:eastAsia="宋体" w:cs="宋体"/>
                <w:color w:val="auto"/>
                <w:sz w:val="24"/>
                <w:szCs w:val="24"/>
                <w:lang w:eastAsia="zh-CN"/>
              </w:rPr>
            </w:pPr>
            <w:r>
              <w:rPr>
                <w:rFonts w:ascii="Times New Roman" w:hAnsi="Times New Roman" w:eastAsia="宋体" w:cs="Times New Roman"/>
                <w:color w:val="auto"/>
                <w:highlight w:val="none"/>
              </w:rPr>
              <w:t>本项目选址位于</w:t>
            </w:r>
            <w:r>
              <w:rPr>
                <w:rFonts w:hint="default" w:ascii="Times New Roman" w:hAnsi="Times New Roman" w:eastAsia="宋体" w:cs="Times New Roman"/>
                <w:color w:val="auto"/>
                <w:highlight w:val="none"/>
              </w:rPr>
              <w:t>云南省宣威市西南部的热水镇海德村</w:t>
            </w:r>
            <w:r>
              <w:rPr>
                <w:rFonts w:ascii="Times New Roman" w:hAnsi="Times New Roman" w:eastAsia="宋体" w:cs="Times New Roman"/>
                <w:color w:val="auto"/>
                <w:highlight w:val="none"/>
              </w:rPr>
              <w:t>。</w:t>
            </w:r>
            <w:r>
              <w:rPr>
                <w:rFonts w:hint="eastAsia" w:cs="Times New Roman"/>
                <w:color w:val="auto"/>
                <w:highlight w:val="none"/>
                <w:lang w:eastAsia="zh-CN"/>
              </w:rPr>
              <w:t>其中</w:t>
            </w:r>
            <w:r>
              <w:rPr>
                <w:rFonts w:hint="eastAsia"/>
                <w:color w:val="auto"/>
              </w:rPr>
              <w:t>①</w:t>
            </w:r>
            <w:r>
              <w:rPr>
                <w:rFonts w:ascii="宋体" w:hAnsi="宋体" w:eastAsia="宋体" w:cs="宋体"/>
                <w:color w:val="auto"/>
                <w:sz w:val="24"/>
                <w:szCs w:val="24"/>
              </w:rPr>
              <w:t>A1风机机位（云南松林区域）机位占地以云南松次生林地为主</w:t>
            </w:r>
            <w:r>
              <w:rPr>
                <w:rFonts w:hint="eastAsia" w:ascii="宋体" w:hAnsi="宋体" w:eastAsia="宋体" w:cs="宋体"/>
                <w:color w:val="auto"/>
                <w:sz w:val="24"/>
                <w:szCs w:val="24"/>
                <w:lang w:eastAsia="zh-CN"/>
              </w:rPr>
              <w:t>，</w:t>
            </w:r>
            <w:r>
              <w:rPr>
                <w:rFonts w:hint="eastAsia" w:ascii="Times New Roman" w:hAnsi="Times New Roman" w:eastAsia="宋体" w:cs="Times New Roman"/>
                <w:color w:val="auto"/>
                <w:kern w:val="2"/>
                <w:sz w:val="24"/>
                <w:szCs w:val="24"/>
                <w:lang w:val="en-US" w:eastAsia="zh-CN" w:bidi="ar-SA"/>
              </w:rPr>
              <w:t>②A</w:t>
            </w:r>
            <w:r>
              <w:rPr>
                <w:rFonts w:hint="eastAsia" w:ascii="宋体" w:hAnsi="宋体" w:eastAsia="宋体" w:cs="宋体"/>
                <w:color w:val="auto"/>
                <w:sz w:val="24"/>
                <w:szCs w:val="24"/>
                <w:lang w:val="en-US" w:eastAsia="zh-CN"/>
              </w:rPr>
              <w:t>2风机机位现状占地为农村生产生活道路施工开挖平整后的恢复区，周边为尼泊尔桤木，③A3风机机位以稀树草丛为主，</w:t>
            </w:r>
            <w:r>
              <w:rPr>
                <w:rFonts w:hint="eastAsia" w:ascii="宋体" w:hAnsi="宋体" w:eastAsia="宋体" w:cs="宋体"/>
                <w:color w:val="auto"/>
                <w:sz w:val="24"/>
                <w:szCs w:val="24"/>
              </w:rPr>
              <w:t>④</w:t>
            </w:r>
            <w:r>
              <w:rPr>
                <w:rFonts w:ascii="宋体" w:hAnsi="宋体" w:eastAsia="宋体" w:cs="宋体"/>
                <w:color w:val="auto"/>
                <w:sz w:val="24"/>
                <w:szCs w:val="24"/>
              </w:rPr>
              <w:t>35kV开关站（鼠曲草-西南蕨麻草丛区域）开关站占地为荒草地，</w:t>
            </w:r>
            <w:r>
              <w:rPr>
                <w:rFonts w:hint="eastAsia" w:ascii="宋体" w:hAnsi="宋体" w:eastAsia="宋体" w:cs="宋体"/>
                <w:color w:val="auto"/>
                <w:sz w:val="24"/>
                <w:szCs w:val="24"/>
                <w:lang w:eastAsia="zh-CN"/>
              </w:rPr>
              <w:t>均不涉及天然林和国家级公益林，未占用基本草原，也不涉及自然保护区、风景名胜区、饮用水源保护区等生态环境敏感区域，满足区域生态管控要求。从风机机位布设方案来看，工程施工阶段已针对不同立地类型采取了差异化的生态避让与保护措施：A1风机机位云南松林区域施工仅清理机位作业范围内植被，保留作业带外完整林分，严格控制施工扰动范围；A2风机机位依托既有道路作业，不额外新增施工占地，仅对临时扰动区域进行生态恢复；A3风机机位稀树草丛区域清表仅做基础局部剥离，坡面原生蕨草、滇榛灌丛最大限度留存；临时堆土全部集中于平台内侧，远离坡下成片灌丛，堆土四周设置土埂围挡，避免土方滑落掩埋下层植被。整体而言，各风机点位选址在满足工程建设需求的前提下，尽可能避让了生态价值较高的植被区域，施工期生态保护方案设计合理，对区域生态环境的影响可接受。</w:t>
            </w:r>
          </w:p>
          <w:p w14:paraId="24F6045E">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项目已经取得</w:t>
            </w:r>
            <w:r>
              <w:rPr>
                <w:rFonts w:hint="default" w:ascii="Times New Roman" w:hAnsi="Times New Roman" w:eastAsia="宋体" w:cs="Times New Roman"/>
                <w:color w:val="auto"/>
                <w:highlight w:val="none"/>
                <w:lang w:eastAsia="zh-CN"/>
              </w:rPr>
              <w:t>宣威市</w:t>
            </w:r>
            <w:r>
              <w:rPr>
                <w:rFonts w:ascii="Times New Roman" w:hAnsi="Times New Roman" w:eastAsia="宋体" w:cs="Times New Roman"/>
                <w:color w:val="auto"/>
                <w:highlight w:val="none"/>
              </w:rPr>
              <w:t>自然资源局、林草局、生态环境分局、水务局关于本项目的选址意见。各局意见详见附件。项目选址充分考虑了国家和云南省相关用地政策、规划、环保要求，项目选址避让了基本农田、乔木林地、有林地、疏林地、未成林造林地、采伐迹地、火烧迹地、覆盖度高于50%的灌木林地，避让了自然保护区、水源保护区、生态保护红线、风景名胜区等环境敏感区，使用的土地类型为灌木林地、交通运输用地等，拟建项目区多年平均降雨量1000</w:t>
            </w:r>
            <w:r>
              <w:rPr>
                <w:rFonts w:hint="eastAsia" w:ascii="Times New Roman" w:hAnsi="Times New Roman" w:eastAsia="宋体" w:cs="Times New Roman"/>
                <w:color w:val="auto"/>
                <w:highlight w:val="none"/>
                <w:lang w:eastAsia="zh-CN"/>
              </w:rPr>
              <w:t>～</w:t>
            </w:r>
            <w:r>
              <w:rPr>
                <w:rFonts w:ascii="Times New Roman" w:hAnsi="Times New Roman" w:eastAsia="宋体" w:cs="Times New Roman"/>
                <w:color w:val="auto"/>
                <w:highlight w:val="none"/>
              </w:rPr>
              <w:t>1100mm，覆盖度约35%的灌木林地，符合降雨量大于400mm，覆盖度低于50%的灌木林地的要求，为可供土地。项目占地区域无珍稀濒危动植物，用地区植被覆盖率较低，生态环境不敏感。</w:t>
            </w:r>
            <w:r>
              <w:rPr>
                <w:rFonts w:hint="eastAsia" w:ascii="Times New Roman" w:hAnsi="Times New Roman" w:eastAsia="宋体" w:cs="Times New Roman"/>
                <w:color w:val="auto"/>
                <w:highlight w:val="none"/>
                <w:lang w:val="en-US" w:eastAsia="zh-CN"/>
              </w:rPr>
              <w:t>风机布局结合地形地貌及风资源分布，避开生态脆弱区域和居民集中区，减少对周边环境的扰动；开关站选址靠近场区负荷中心，缩短输电距离，降低能源损耗，并远离村庄、学校等敏感点，有效控制电磁与噪声影响；集电线路路径优化后沿既有道路敷设，最大限度减少新开挖和植被破坏，避免穿越生态保护红线及水源涵养功能区，整体选址方案符合生态保护与工程实施的协调性要求。</w:t>
            </w:r>
          </w:p>
          <w:p w14:paraId="521FDF2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综上所述，本项目选址环境合理。</w:t>
            </w:r>
          </w:p>
          <w:p w14:paraId="32DDFE0F">
            <w:pPr>
              <w:keepNext w:val="0"/>
              <w:keepLines w:val="0"/>
              <w:pageBreakBefore w:val="0"/>
              <w:widowControl w:val="0"/>
              <w:wordWrap/>
              <w:bidi w:val="0"/>
              <w:adjustRightInd w:val="0"/>
              <w:snapToGrid w:val="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4.8“三场”布置的环境合理性分析</w:t>
            </w:r>
          </w:p>
          <w:p w14:paraId="5EDC7167">
            <w:pPr>
              <w:keepNext w:val="0"/>
              <w:keepLines w:val="0"/>
              <w:pageBreakBefore w:val="0"/>
              <w:widowControl w:val="0"/>
              <w:wordWrap/>
              <w:bidi w:val="0"/>
              <w:adjustRightInd w:val="0"/>
              <w:snapToGrid w:val="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4.8.1料场布置环境合理性分析</w:t>
            </w:r>
          </w:p>
          <w:p w14:paraId="4B4486C7">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本项目所需砂石料主要从场址区及周边合法砂石料场购买，场址附近的砂石料场有足够的成品料供应，项目基础浇筑采用商品</w:t>
            </w:r>
            <w:r>
              <w:rPr>
                <w:rFonts w:hint="eastAsia" w:cs="Times New Roman"/>
                <w:color w:val="auto"/>
                <w:highlight w:val="none"/>
                <w:lang w:eastAsia="zh-CN"/>
              </w:rPr>
              <w:t>混凝土</w:t>
            </w:r>
            <w:r>
              <w:rPr>
                <w:rFonts w:ascii="Times New Roman" w:hAnsi="Times New Roman" w:cs="Times New Roman"/>
                <w:color w:val="auto"/>
                <w:highlight w:val="none"/>
              </w:rPr>
              <w:t>，工程不设置砂石料堆场及加工系统。</w:t>
            </w:r>
          </w:p>
          <w:p w14:paraId="75FEC15D">
            <w:pPr>
              <w:keepNext w:val="0"/>
              <w:keepLines w:val="0"/>
              <w:pageBreakBefore w:val="0"/>
              <w:widowControl w:val="0"/>
              <w:wordWrap/>
              <w:bidi w:val="0"/>
              <w:adjustRightInd w:val="0"/>
              <w:snapToGrid w:val="0"/>
              <w:textAlignment w:val="auto"/>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因此，施工过程中不会因料场开采或加工活动对区域生态环境造成扰动，有效避免了水土流失、植被破坏及扬尘污染等潜在环境影响。同时，依托周边现有合法料源，减少了临时占地和运输距离，降低了施工期对沿线生态系统的干扰强度，符合绿色施工与生态保护的相关要求。</w:t>
            </w:r>
          </w:p>
          <w:p w14:paraId="65E922F1">
            <w:pPr>
              <w:keepNext w:val="0"/>
              <w:keepLines w:val="0"/>
              <w:pageBreakBefore w:val="0"/>
              <w:widowControl w:val="0"/>
              <w:wordWrap/>
              <w:bidi w:val="0"/>
              <w:adjustRightInd w:val="0"/>
              <w:snapToGrid w:val="0"/>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4.8.2</w:t>
            </w:r>
            <w:r>
              <w:rPr>
                <w:rFonts w:ascii="Times New Roman" w:hAnsi="Times New Roman" w:cs="Times New Roman"/>
                <w:b/>
                <w:bCs/>
                <w:color w:val="auto"/>
                <w:highlight w:val="none"/>
              </w:rPr>
              <w:t>施工场地选址的环境合理性分析</w:t>
            </w:r>
          </w:p>
          <w:p w14:paraId="51D4DF39">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施工生产、生活临时设施根据现场交通条件，考虑到生产及生活方便而设置。本项目工期较短，且周边沿线也有多个村庄分布，交通条件较好，为减少施工期环境影响，工程施工期不考虑在现场设业主营地、承包商营地、现场办公室等，初拟利用当地现有资源。施工人员多为当地村民，生活设施均依托沿线村民现有资源，施工管理人员及现场办公室主要租用附近办公用房。</w:t>
            </w:r>
          </w:p>
          <w:p w14:paraId="1208E64B">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主体工程考虑到运输和风机分布情况，配置材料堆放场，主要作为小型部件如钢材、板材及其他建筑材料的场地。项目利用风机平台作为材料设备临时堆放场地，不新增占地。</w:t>
            </w:r>
          </w:p>
          <w:p w14:paraId="570ECE95">
            <w:pPr>
              <w:keepNext w:val="0"/>
              <w:keepLines w:val="0"/>
              <w:pageBreakBefore w:val="0"/>
              <w:widowControl w:val="0"/>
              <w:wordWrap/>
              <w:bidi w:val="0"/>
              <w:adjustRightInd w:val="0"/>
              <w:snapToGrid w:val="0"/>
              <w:textAlignment w:val="auto"/>
              <w:rPr>
                <w:rFonts w:ascii="Times New Roman" w:hAnsi="Times New Roman" w:cs="Times New Roman"/>
                <w:color w:val="auto"/>
                <w:highlight w:val="none"/>
              </w:rPr>
            </w:pPr>
            <w:r>
              <w:rPr>
                <w:rFonts w:ascii="Times New Roman" w:hAnsi="Times New Roman" w:cs="Times New Roman"/>
                <w:color w:val="auto"/>
                <w:highlight w:val="none"/>
              </w:rPr>
              <w:t>综上，从环境保护角度，项目不设置施工营地，施工生产区利用风机平台布置，不新增占地，不涉及环境敏感区选址合理。环评要求项目在施工过程中，应做好施工管理，严格控制施工生产区在风机平台的占地，禁止超范围占地，施工结束后及时进行植被恢复。</w:t>
            </w:r>
          </w:p>
          <w:p w14:paraId="5877471C">
            <w:pPr>
              <w:keepNext w:val="0"/>
              <w:keepLines w:val="0"/>
              <w:pageBreakBefore w:val="0"/>
              <w:widowControl w:val="0"/>
              <w:wordWrap/>
              <w:bidi w:val="0"/>
              <w:adjustRightInd w:val="0"/>
              <w:snapToGrid w:val="0"/>
              <w:textAlignment w:val="auto"/>
              <w:rPr>
                <w:rFonts w:ascii="Times New Roman" w:hAnsi="Times New Roman" w:cs="Times New Roman"/>
                <w:b/>
                <w:bCs/>
                <w:color w:val="auto"/>
              </w:rPr>
            </w:pPr>
            <w:r>
              <w:rPr>
                <w:rFonts w:hint="default" w:ascii="Times New Roman" w:hAnsi="Times New Roman" w:cs="Times New Roman"/>
                <w:b/>
                <w:bCs/>
                <w:color w:val="auto"/>
                <w:lang w:val="en-US" w:eastAsia="zh-CN"/>
              </w:rPr>
              <w:t>4.8.4</w:t>
            </w:r>
            <w:r>
              <w:rPr>
                <w:rFonts w:ascii="Times New Roman" w:hAnsi="Times New Roman" w:cs="Times New Roman"/>
                <w:b/>
                <w:bCs/>
                <w:color w:val="auto"/>
              </w:rPr>
              <w:t>表土堆场选址合理性分析</w:t>
            </w:r>
          </w:p>
          <w:p w14:paraId="7CE7A4AB">
            <w:pPr>
              <w:keepNext w:val="0"/>
              <w:keepLines w:val="0"/>
              <w:pageBreakBefore w:val="0"/>
              <w:widowControl w:val="0"/>
              <w:wordWrap/>
              <w:bidi w:val="0"/>
              <w:adjustRightInd w:val="0"/>
              <w:snapToGrid w:val="0"/>
              <w:textAlignment w:val="auto"/>
              <w:rPr>
                <w:rFonts w:hint="default" w:ascii="Times New Roman" w:hAnsi="Times New Roman" w:cs="Times New Roman"/>
                <w:color w:val="auto"/>
                <w:lang w:val="en-US" w:eastAsia="zh-CN"/>
              </w:rPr>
            </w:pPr>
            <w:r>
              <w:rPr>
                <w:rFonts w:ascii="Times New Roman" w:hAnsi="Times New Roman" w:cs="Times New Roman"/>
                <w:color w:val="auto"/>
              </w:rPr>
              <w:t>本项目共设置</w:t>
            </w:r>
            <w:r>
              <w:rPr>
                <w:rFonts w:hint="eastAsia" w:cs="Times New Roman"/>
                <w:color w:val="auto"/>
                <w:lang w:val="en-US" w:eastAsia="zh-CN"/>
              </w:rPr>
              <w:t>3</w:t>
            </w:r>
            <w:r>
              <w:rPr>
                <w:rFonts w:ascii="Times New Roman" w:hAnsi="Times New Roman" w:cs="Times New Roman"/>
                <w:color w:val="auto"/>
              </w:rPr>
              <w:t>个表土堆场，位于风机平台内，不涉及新增占地，均不占环境敏感区、基本农田、生态公益林、生态保护红线、饮用水源等情况，</w:t>
            </w:r>
            <w:r>
              <w:rPr>
                <w:rFonts w:hint="eastAsia" w:cs="Times New Roman"/>
                <w:color w:val="auto"/>
                <w:lang w:val="en-US" w:eastAsia="zh-CN"/>
              </w:rPr>
              <w:t>3</w:t>
            </w:r>
            <w:r>
              <w:rPr>
                <w:rFonts w:ascii="Times New Roman" w:hAnsi="Times New Roman" w:cs="Times New Roman"/>
                <w:color w:val="auto"/>
              </w:rPr>
              <w:t>个表土堆场附近均没有居民点，对环境影响较小。表土堆场选址合理。</w:t>
            </w:r>
          </w:p>
          <w:p w14:paraId="619AA9DB">
            <w:pPr>
              <w:keepNext w:val="0"/>
              <w:keepLines w:val="0"/>
              <w:pageBreakBefore w:val="0"/>
              <w:widowControl w:val="0"/>
              <w:wordWrap/>
              <w:bidi w:val="0"/>
              <w:adjustRightInd w:val="0"/>
              <w:snapToGrid w:val="0"/>
              <w:textAlignment w:val="auto"/>
              <w:rPr>
                <w:rFonts w:ascii="Times New Roman" w:hAnsi="Times New Roman" w:cs="Times New Roman"/>
                <w:bCs/>
                <w:color w:val="auto"/>
                <w:szCs w:val="21"/>
                <w:highlight w:val="none"/>
              </w:rPr>
            </w:pPr>
          </w:p>
        </w:tc>
      </w:tr>
    </w:tbl>
    <w:p w14:paraId="2DEA4BE4">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firstLine="0" w:firstLineChars="0"/>
        <w:jc w:val="both"/>
        <w:textAlignment w:val="auto"/>
        <w:outlineLvl w:val="9"/>
        <w:rPr>
          <w:rFonts w:hint="eastAsia" w:ascii="Times New Roman" w:hAnsi="Times New Roman" w:eastAsia="宋体" w:cs="Times New Roman"/>
          <w:b/>
          <w:bCs/>
          <w:snapToGrid w:val="0"/>
          <w:color w:val="auto"/>
          <w:sz w:val="24"/>
          <w:szCs w:val="24"/>
          <w:highlight w:val="none"/>
        </w:rPr>
      </w:pPr>
    </w:p>
    <w:p w14:paraId="0EA604B0">
      <w:pPr>
        <w:pStyle w:val="16"/>
        <w:keepNext/>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0" w:leftChars="0" w:firstLine="0" w:firstLineChars="0"/>
        <w:jc w:val="center"/>
        <w:textAlignment w:val="auto"/>
        <w:rPr>
          <w:rFonts w:hint="default" w:ascii="Times New Roman" w:hAnsi="Times New Roman" w:cs="Times New Roman"/>
          <w:bCs/>
          <w:color w:val="auto"/>
          <w:spacing w:val="10"/>
          <w:kern w:val="2"/>
          <w:sz w:val="21"/>
          <w:szCs w:val="21"/>
          <w:highlight w:val="none"/>
        </w:rPr>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pPr>
      <w:bookmarkStart w:id="24" w:name="_Hlk49796138"/>
    </w:p>
    <w:bookmarkEnd w:id="24"/>
    <w:p w14:paraId="3108829F">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eastAsia" w:ascii="Times New Roman" w:hAnsi="Times New Roman" w:eastAsia="宋体" w:cs="Times New Roman"/>
          <w:b/>
          <w:bCs/>
          <w:snapToGrid w:val="0"/>
          <w:color w:val="auto"/>
          <w:sz w:val="30"/>
          <w:szCs w:val="30"/>
          <w:highlight w:val="none"/>
          <w:lang w:eastAsia="zh-CN"/>
        </w:rPr>
      </w:pPr>
      <w:bookmarkStart w:id="25" w:name="_Toc20047"/>
      <w:r>
        <w:rPr>
          <w:rFonts w:hint="eastAsia" w:ascii="Times New Roman" w:hAnsi="Times New Roman" w:eastAsia="宋体" w:cs="Times New Roman"/>
          <w:b/>
          <w:bCs/>
          <w:snapToGrid w:val="0"/>
          <w:color w:val="auto"/>
          <w:sz w:val="30"/>
          <w:szCs w:val="30"/>
          <w:highlight w:val="none"/>
          <w:lang w:eastAsia="zh-CN"/>
        </w:rPr>
        <w:t>五、主要生态环境保护措施</w:t>
      </w:r>
      <w:bookmarkEnd w:id="25"/>
    </w:p>
    <w:tbl>
      <w:tblPr>
        <w:tblStyle w:val="20"/>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8480"/>
      </w:tblGrid>
      <w:tr w14:paraId="4AA211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730" w:type="dxa"/>
            <w:noWrap w:val="0"/>
            <w:tcMar>
              <w:left w:w="28" w:type="dxa"/>
              <w:right w:w="28" w:type="dxa"/>
            </w:tcMar>
            <w:vAlign w:val="center"/>
          </w:tcPr>
          <w:p w14:paraId="31C20ECD">
            <w:pPr>
              <w:adjustRightInd w:val="0"/>
              <w:snapToGrid w:val="0"/>
              <w:ind w:left="0" w:leftChars="0" w:firstLine="0" w:firstLineChars="0"/>
              <w:jc w:val="both"/>
              <w:rPr>
                <w:rFonts w:ascii="宋体" w:hAnsi="宋体"/>
                <w:bCs/>
                <w:color w:val="auto"/>
                <w:sz w:val="24"/>
                <w:szCs w:val="24"/>
                <w:highlight w:val="none"/>
              </w:rPr>
            </w:pPr>
            <w:r>
              <w:rPr>
                <w:rFonts w:hint="eastAsia" w:ascii="宋体" w:hAnsi="宋体" w:cs="宋体"/>
                <w:bCs/>
                <w:color w:val="auto"/>
                <w:spacing w:val="10"/>
                <w:sz w:val="24"/>
                <w:szCs w:val="24"/>
                <w:highlight w:val="none"/>
              </w:rPr>
              <w:t>施工期生态环境保护措施</w:t>
            </w:r>
          </w:p>
        </w:tc>
        <w:tc>
          <w:tcPr>
            <w:tcW w:w="8480" w:type="dxa"/>
            <w:noWrap w:val="0"/>
            <w:vAlign w:val="top"/>
          </w:tcPr>
          <w:p w14:paraId="6E7A063B">
            <w:pPr>
              <w:bidi w:val="0"/>
              <w:rPr>
                <w:b/>
                <w:bCs/>
                <w:color w:val="auto"/>
                <w:highlight w:val="none"/>
              </w:rPr>
            </w:pPr>
            <w:r>
              <w:rPr>
                <w:rFonts w:hint="eastAsia"/>
                <w:b/>
                <w:bCs/>
                <w:color w:val="auto"/>
                <w:highlight w:val="none"/>
                <w:lang w:val="en-US" w:eastAsia="zh-CN"/>
              </w:rPr>
              <w:t>5.1</w:t>
            </w:r>
            <w:r>
              <w:rPr>
                <w:b/>
                <w:bCs/>
                <w:color w:val="auto"/>
                <w:highlight w:val="none"/>
              </w:rPr>
              <w:t>生态保护措施</w:t>
            </w:r>
          </w:p>
          <w:p w14:paraId="4FACC83C">
            <w:pPr>
              <w:bidi w:val="0"/>
              <w:rPr>
                <w:b/>
                <w:bCs/>
                <w:color w:val="auto"/>
                <w:highlight w:val="none"/>
              </w:rPr>
            </w:pPr>
            <w:r>
              <w:rPr>
                <w:rFonts w:hint="eastAsia"/>
                <w:b/>
                <w:bCs/>
                <w:color w:val="auto"/>
                <w:highlight w:val="none"/>
                <w:lang w:val="en-US" w:eastAsia="zh-CN"/>
              </w:rPr>
              <w:t>5.1.1</w:t>
            </w:r>
            <w:r>
              <w:rPr>
                <w:b/>
                <w:bCs/>
                <w:color w:val="auto"/>
                <w:highlight w:val="none"/>
              </w:rPr>
              <w:t>设计阶段环境保护措施</w:t>
            </w:r>
          </w:p>
          <w:p w14:paraId="3742E551">
            <w:pPr>
              <w:bidi w:val="0"/>
              <w:rPr>
                <w:color w:val="auto"/>
                <w:highlight w:val="none"/>
              </w:rPr>
            </w:pPr>
            <w:r>
              <w:rPr>
                <w:color w:val="auto"/>
                <w:highlight w:val="none"/>
              </w:rPr>
              <w:t>①遵循“生态优先，风机尽量集中连片布置，不得占用天然乔木林、国家公益林中的有林地和基本草原，表土堆场等临时生产生活设施不占用生态质量高的植被，在减少生态破坏前提下，充分利用风能资源”等原则。</w:t>
            </w:r>
          </w:p>
          <w:p w14:paraId="38F9F08F">
            <w:pPr>
              <w:bidi w:val="0"/>
              <w:rPr>
                <w:color w:val="auto"/>
                <w:highlight w:val="none"/>
              </w:rPr>
            </w:pPr>
            <w:r>
              <w:rPr>
                <w:color w:val="auto"/>
                <w:highlight w:val="none"/>
              </w:rPr>
              <w:t>②下一阶段设计中尽量保留区内自然植被，尤其是生长较好的天然植被，应尽量收缩场内施工道路边坡，优化线形，尽可能地少占用林地，降低对自然植被的破坏。</w:t>
            </w:r>
          </w:p>
          <w:p w14:paraId="15FD734F">
            <w:pPr>
              <w:bidi w:val="0"/>
              <w:rPr>
                <w:color w:val="auto"/>
                <w:highlight w:val="none"/>
              </w:rPr>
            </w:pPr>
            <w:r>
              <w:rPr>
                <w:color w:val="auto"/>
                <w:highlight w:val="none"/>
              </w:rPr>
              <w:t>③绿化与植被恢复工程应与主体工程同时设计。绿化树种应注意选择符合区域景观的乡土树种，禁止引入外来物种（可向有关专家和当地林业部门咨询）；植被恢复需选择适生、易成活、生长快的树、草种进行植被恢复。</w:t>
            </w:r>
          </w:p>
          <w:p w14:paraId="4B169B8A">
            <w:pPr>
              <w:bidi w:val="0"/>
              <w:rPr>
                <w:b/>
                <w:bCs/>
                <w:color w:val="auto"/>
                <w:highlight w:val="none"/>
              </w:rPr>
            </w:pPr>
            <w:r>
              <w:rPr>
                <w:rFonts w:hint="eastAsia"/>
                <w:b/>
                <w:bCs/>
                <w:color w:val="auto"/>
                <w:highlight w:val="none"/>
                <w:lang w:val="en-US" w:eastAsia="zh-CN"/>
              </w:rPr>
              <w:t>5.2</w:t>
            </w:r>
            <w:r>
              <w:rPr>
                <w:b/>
                <w:bCs/>
                <w:color w:val="auto"/>
                <w:highlight w:val="none"/>
              </w:rPr>
              <w:t>施工期生态环境保护措施</w:t>
            </w:r>
          </w:p>
          <w:p w14:paraId="24BAC24E">
            <w:pPr>
              <w:bidi w:val="0"/>
              <w:rPr>
                <w:b/>
                <w:bCs/>
                <w:color w:val="auto"/>
                <w:highlight w:val="none"/>
              </w:rPr>
            </w:pPr>
            <w:r>
              <w:rPr>
                <w:rFonts w:hint="eastAsia"/>
                <w:b/>
                <w:bCs/>
                <w:color w:val="auto"/>
                <w:highlight w:val="none"/>
                <w:lang w:val="en-US" w:eastAsia="zh-CN"/>
              </w:rPr>
              <w:t>5.2.1</w:t>
            </w:r>
            <w:r>
              <w:rPr>
                <w:b/>
                <w:bCs/>
                <w:color w:val="auto"/>
                <w:highlight w:val="none"/>
              </w:rPr>
              <w:t>植被保护和恢复措施</w:t>
            </w:r>
          </w:p>
          <w:p w14:paraId="4A8F9DEB">
            <w:pPr>
              <w:bidi w:val="0"/>
              <w:rPr>
                <w:b/>
                <w:bCs/>
                <w:color w:val="auto"/>
                <w:highlight w:val="none"/>
              </w:rPr>
            </w:pPr>
            <w:r>
              <w:rPr>
                <w:rFonts w:hint="eastAsia"/>
                <w:b/>
                <w:bCs/>
                <w:color w:val="auto"/>
                <w:highlight w:val="none"/>
                <w:lang w:val="en-US" w:eastAsia="zh-CN"/>
              </w:rPr>
              <w:t>5.2.1.1</w:t>
            </w:r>
            <w:r>
              <w:rPr>
                <w:b/>
                <w:bCs/>
                <w:color w:val="auto"/>
                <w:highlight w:val="none"/>
              </w:rPr>
              <w:t>避让措施</w:t>
            </w:r>
          </w:p>
          <w:p w14:paraId="025BE373">
            <w:pPr>
              <w:bidi w:val="0"/>
              <w:rPr>
                <w:rFonts w:ascii="宋体" w:hAnsi="宋体" w:eastAsia="宋体" w:cs="宋体"/>
                <w:color w:val="auto"/>
                <w:sz w:val="24"/>
                <w:szCs w:val="24"/>
              </w:rPr>
            </w:pPr>
            <w:r>
              <w:rPr>
                <w:rFonts w:hint="eastAsia"/>
                <w:color w:val="auto"/>
              </w:rPr>
              <w:t>①</w:t>
            </w:r>
            <w:r>
              <w:rPr>
                <w:rFonts w:ascii="宋体" w:hAnsi="宋体" w:eastAsia="宋体" w:cs="宋体"/>
                <w:color w:val="auto"/>
                <w:sz w:val="24"/>
                <w:szCs w:val="24"/>
              </w:rPr>
              <w:t>A1风机机位（云南松林区域）机位占地以云南松次生林地为主，施工前仅剥离吊装平台、基础必需区域植被；平台四周搭设1.2m高彩钢围挡，划定20m缓冲保护带，缓冲带内原生云南松全部原地保留，禁止砍伐、堆料；表土单独分区堆存，全覆盖土工布，施工结束全部回覆平台坡面恢复松林植被。场内依托乡村道路运输，不拓宽道路，车辆仅沿现有路面通行，不得碾压路侧松林灌草。</w:t>
            </w:r>
          </w:p>
          <w:p w14:paraId="05E71FF1">
            <w:pPr>
              <w:pStyle w:val="7"/>
              <w:rPr>
                <w:rFonts w:hint="eastAsia" w:eastAsia="宋体"/>
                <w:color w:val="auto"/>
                <w:lang w:eastAsia="zh-CN"/>
              </w:rPr>
            </w:pPr>
            <w:r>
              <w:rPr>
                <w:rFonts w:hint="eastAsia" w:ascii="Times New Roman" w:hAnsi="Times New Roman" w:eastAsia="宋体" w:cs="Times New Roman"/>
                <w:color w:val="auto"/>
                <w:kern w:val="2"/>
                <w:sz w:val="24"/>
                <w:szCs w:val="24"/>
                <w:lang w:val="en-US" w:eastAsia="zh-CN" w:bidi="ar-SA"/>
              </w:rPr>
              <w:t>②A</w:t>
            </w:r>
            <w:r>
              <w:rPr>
                <w:rFonts w:hint="eastAsia" w:ascii="宋体" w:hAnsi="宋体" w:eastAsia="宋体" w:cs="宋体"/>
                <w:color w:val="auto"/>
                <w:sz w:val="24"/>
                <w:szCs w:val="24"/>
                <w:lang w:val="en-US" w:eastAsia="zh-CN"/>
              </w:rPr>
              <w:t>2风机机位现状占地为农村生产生活道路施工开挖平整后的恢复区，周边为尼泊尔桤木。开挖作业带宽度严格控制在基础及箱变轮廓范围内，尽量保留坡脚成片桤木；吊装平台缩小占地尺寸，以减少林地占用；施工材料全部堆放在硬化平台内，避免占用周边桤木林地；雨季前提前开挖平台周边简易截水沟，防止雨水冲刷林下土壤造成植被根系损毁。</w:t>
            </w:r>
          </w:p>
          <w:p w14:paraId="7E027821">
            <w:pPr>
              <w:pStyle w:val="7"/>
              <w:ind w:left="0" w:leftChars="0" w:firstLine="240" w:firstLineChars="1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③A3风机机位以稀树草丛为主，植被覆盖度高，清表仅对基础区域进行局部剥离，坡面原生蕨草和滇榛灌丛尽量保留；临时堆土全部集中于平台内侧，远离坡下成片灌丛，堆土四周设置土埂围挡，防止土方滑落掩埋下层植被。</w:t>
            </w:r>
          </w:p>
          <w:p w14:paraId="4065B282">
            <w:pPr>
              <w:bidi w:val="0"/>
              <w:rPr>
                <w:rFonts w:ascii="宋体" w:hAnsi="宋体" w:eastAsia="宋体" w:cs="宋体"/>
                <w:color w:val="auto"/>
                <w:sz w:val="24"/>
                <w:szCs w:val="24"/>
              </w:rPr>
            </w:pPr>
            <w:r>
              <w:rPr>
                <w:rFonts w:hint="eastAsia" w:ascii="宋体" w:hAnsi="宋体" w:eastAsia="宋体" w:cs="宋体"/>
                <w:color w:val="auto"/>
                <w:sz w:val="24"/>
                <w:szCs w:val="24"/>
              </w:rPr>
              <w:t>④</w:t>
            </w:r>
            <w:r>
              <w:rPr>
                <w:rFonts w:ascii="宋体" w:hAnsi="宋体" w:eastAsia="宋体" w:cs="宋体"/>
                <w:color w:val="auto"/>
                <w:sz w:val="24"/>
                <w:szCs w:val="24"/>
              </w:rPr>
              <w:t>35kV开关站（鼠曲草-西南蕨麻草丛区域）开关站占地为荒草地，征地边界设置连续围挡，站外周边灌丛、草本全部保留；站区施工分区分片开挖，表土单独存放，后期用于站内绿化及站外围坡植被恢复；不向外扩展施工场地，不在站外林地堆放建材、弃土。</w:t>
            </w:r>
          </w:p>
          <w:p w14:paraId="36D48384">
            <w:pPr>
              <w:bidi w:val="0"/>
              <w:rPr>
                <w:b/>
                <w:bCs/>
                <w:color w:val="auto"/>
                <w:highlight w:val="none"/>
              </w:rPr>
            </w:pPr>
            <w:r>
              <w:rPr>
                <w:rFonts w:hint="eastAsia"/>
                <w:b/>
                <w:bCs/>
                <w:color w:val="auto"/>
                <w:highlight w:val="none"/>
                <w:lang w:val="en-US" w:eastAsia="zh-CN"/>
              </w:rPr>
              <w:t>5.2.1.2</w:t>
            </w:r>
            <w:r>
              <w:rPr>
                <w:b/>
                <w:bCs/>
                <w:color w:val="auto"/>
                <w:highlight w:val="none"/>
              </w:rPr>
              <w:t>减缓措施</w:t>
            </w:r>
          </w:p>
          <w:p w14:paraId="784D78CD">
            <w:pPr>
              <w:bidi w:val="0"/>
              <w:rPr>
                <w:rFonts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ascii="宋体" w:hAnsi="宋体" w:eastAsia="宋体" w:cs="宋体"/>
                <w:color w:val="auto"/>
                <w:sz w:val="24"/>
                <w:szCs w:val="24"/>
              </w:rPr>
              <w:t>时序管控减缓：全场施工避开3—6月植物萌发生长期，各风机分片错峰开挖，完成一处基础、平台开挖后立即布设临时防护，缩短裸土裸露时长，降低植被损毁范围。</w:t>
            </w:r>
          </w:p>
          <w:p w14:paraId="24BFBE68">
            <w:pPr>
              <w:bidi w:val="0"/>
              <w:jc w:val="both"/>
              <w:rPr>
                <w:rFonts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ascii="宋体" w:hAnsi="宋体" w:eastAsia="宋体" w:cs="宋体"/>
                <w:color w:val="auto"/>
                <w:sz w:val="24"/>
                <w:szCs w:val="24"/>
              </w:rPr>
              <w:t>表土分层剥离减缓：A1、A2、A3风机、开关</w:t>
            </w:r>
            <w:r>
              <w:rPr>
                <w:rFonts w:hint="eastAsia" w:ascii="宋体" w:hAnsi="宋体" w:eastAsia="宋体" w:cs="宋体"/>
                <w:color w:val="auto"/>
                <w:sz w:val="24"/>
                <w:szCs w:val="24"/>
                <w:lang w:eastAsia="zh-CN"/>
              </w:rPr>
              <w:t>站，</w:t>
            </w:r>
            <w:r>
              <w:rPr>
                <w:rFonts w:ascii="宋体" w:hAnsi="宋体" w:eastAsia="宋体" w:cs="宋体"/>
                <w:color w:val="auto"/>
                <w:sz w:val="24"/>
                <w:szCs w:val="24"/>
              </w:rPr>
              <w:t>施工前人工分层剥离20</w:t>
            </w:r>
            <w:r>
              <w:rPr>
                <w:rFonts w:hint="default" w:ascii="Times New Roman" w:hAnsi="Times New Roman" w:eastAsia="宋体" w:cs="Times New Roman"/>
                <w:color w:val="auto"/>
                <w:sz w:val="24"/>
                <w:szCs w:val="24"/>
                <w:vertAlign w:val="baseline"/>
                <w:lang w:val="en-US" w:eastAsia="zh-CN"/>
              </w:rPr>
              <w:t>~</w:t>
            </w:r>
            <w:r>
              <w:rPr>
                <w:rFonts w:ascii="宋体" w:hAnsi="宋体" w:eastAsia="宋体" w:cs="宋体"/>
                <w:color w:val="auto"/>
                <w:sz w:val="24"/>
                <w:szCs w:val="24"/>
              </w:rPr>
              <w:t>30cm厚腐殖表土，分区集中堆存，堆体四周搭设土埂围挡，顶面全覆盖土工布防雨冲刷，避免表层营养土流失，降低后期植被恢复难度。</w:t>
            </w:r>
          </w:p>
          <w:p w14:paraId="67B30E8E">
            <w:pPr>
              <w:bidi w:val="0"/>
              <w:rPr>
                <w:rFonts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ascii="宋体" w:hAnsi="宋体" w:eastAsia="宋体" w:cs="宋体"/>
                <w:color w:val="auto"/>
                <w:sz w:val="24"/>
                <w:szCs w:val="24"/>
              </w:rPr>
              <w:t>边坡植被固土减缓：各风机开挖边坡同步实施防护，坡度＞25°坡面铺设土工格栅、布设植生袋，原地留存低矮灌草固坡，减少坡面冲刷造成次生植被损毁。</w:t>
            </w:r>
          </w:p>
          <w:p w14:paraId="3B2E8856">
            <w:pPr>
              <w:bidi w:val="0"/>
              <w:rPr>
                <w:rFonts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ascii="宋体" w:hAnsi="宋体" w:eastAsia="宋体" w:cs="宋体"/>
                <w:color w:val="auto"/>
                <w:sz w:val="24"/>
                <w:szCs w:val="24"/>
              </w:rPr>
              <w:t>施工管控减缓：各机位设立专职生态管理员，每日巡查，严禁施工人员、机械超红线碾压、砍伐植被；建材、土石方全部堆放在平台硬化区域，不占用周边林地、灌丛。</w:t>
            </w:r>
          </w:p>
          <w:p w14:paraId="389465AD">
            <w:pPr>
              <w:bidi w:val="0"/>
              <w:rPr>
                <w:b/>
                <w:bCs/>
                <w:color w:val="auto"/>
                <w:highlight w:val="none"/>
              </w:rPr>
            </w:pPr>
            <w:r>
              <w:rPr>
                <w:rFonts w:hint="eastAsia"/>
                <w:b/>
                <w:bCs/>
                <w:color w:val="auto"/>
                <w:highlight w:val="none"/>
                <w:lang w:val="en-US" w:eastAsia="zh-CN"/>
              </w:rPr>
              <w:t>5.2.1.3</w:t>
            </w:r>
            <w:r>
              <w:rPr>
                <w:b/>
                <w:bCs/>
                <w:color w:val="auto"/>
                <w:highlight w:val="none"/>
              </w:rPr>
              <w:t>恢复与补偿措施</w:t>
            </w:r>
          </w:p>
          <w:p w14:paraId="3318FB05">
            <w:pPr>
              <w:bidi w:val="0"/>
              <w:rPr>
                <w:color w:val="auto"/>
                <w:highlight w:val="none"/>
              </w:rPr>
            </w:pPr>
            <w:r>
              <w:rPr>
                <w:color w:val="auto"/>
                <w:highlight w:val="none"/>
              </w:rPr>
              <w:t>（1）草皮剥离、养护和回铺措施</w:t>
            </w:r>
          </w:p>
          <w:p w14:paraId="58788173">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A1风机：平台荒草、林下草皮人工切块剥离，背风平整处分区养护，密目网遮盖保湿，施工结束后优先回铺平台裸地，草皮间隙填充本地腐殖土，压实促生根。</w:t>
            </w:r>
          </w:p>
          <w:p w14:paraId="5739606E">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A2风机：沟谷周边草皮单独假植养护，平台、箱变区完工后回铺坡面，搭配桤木幼苗同步栽植。</w:t>
            </w:r>
          </w:p>
          <w:p w14:paraId="5CFBDABA">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A3风机：坡面蕨类下草皮重点留存，施工完成回铺边坡，减少坡面水土流失。</w:t>
            </w:r>
          </w:p>
          <w:p w14:paraId="0174E3FD">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开关站：站内表土草皮集中养护，站区硬化空地拆除后全面回铺。</w:t>
            </w:r>
          </w:p>
          <w:p w14:paraId="57FA0AEA">
            <w:pPr>
              <w:bidi w:val="0"/>
              <w:rPr>
                <w:color w:val="auto"/>
                <w:highlight w:val="none"/>
              </w:rPr>
            </w:pPr>
            <w:r>
              <w:rPr>
                <w:color w:val="auto"/>
                <w:highlight w:val="none"/>
              </w:rPr>
              <w:t>（2）表土保存及原生植被保护利用措施</w:t>
            </w:r>
          </w:p>
          <w:p w14:paraId="6A25F58D">
            <w:pPr>
              <w:bidi w:val="0"/>
              <w:rPr>
                <w:rFonts w:ascii="宋体" w:hAnsi="宋体" w:eastAsia="宋体" w:cs="宋体"/>
                <w:color w:val="auto"/>
                <w:sz w:val="24"/>
                <w:szCs w:val="24"/>
              </w:rPr>
            </w:pPr>
            <w:r>
              <w:rPr>
                <w:rFonts w:ascii="宋体" w:hAnsi="宋体" w:eastAsia="宋体" w:cs="宋体"/>
                <w:color w:val="auto"/>
                <w:sz w:val="24"/>
                <w:szCs w:val="24"/>
              </w:rPr>
              <w:t>各机位征地内需移栽的云南松、尼泊尔桤木幼树统一修枝，集中运至表土堆场临时假植养护，施工植被恢复阶段直接定植，就地利用乡土苗木，减少外购外来种苗。</w:t>
            </w:r>
          </w:p>
          <w:p w14:paraId="4C80D75A">
            <w:pPr>
              <w:bidi w:val="0"/>
              <w:rPr>
                <w:color w:val="auto"/>
                <w:highlight w:val="none"/>
              </w:rPr>
            </w:pPr>
            <w:r>
              <w:rPr>
                <w:color w:val="auto"/>
                <w:highlight w:val="none"/>
              </w:rPr>
              <w:t>（3）林地补偿措施</w:t>
            </w:r>
          </w:p>
          <w:p w14:paraId="7F860656">
            <w:pPr>
              <w:bidi w:val="0"/>
              <w:rPr>
                <w:color w:val="auto"/>
                <w:highlight w:val="none"/>
              </w:rPr>
            </w:pPr>
            <w:r>
              <w:rPr>
                <w:color w:val="auto"/>
                <w:highlight w:val="none"/>
              </w:rPr>
              <w:t>建设单位依法办理林地征用手续，缴纳相应的林地征用补偿费。对被工程占用的林地，建议林业部门根据当地林业发展规划，在本行政区域内进行造林补偿，保证现有林地面积不减少。</w:t>
            </w:r>
          </w:p>
          <w:p w14:paraId="42E28907">
            <w:pPr>
              <w:bidi w:val="0"/>
              <w:rPr>
                <w:color w:val="auto"/>
                <w:highlight w:val="none"/>
              </w:rPr>
            </w:pPr>
            <w:r>
              <w:rPr>
                <w:color w:val="auto"/>
                <w:highlight w:val="none"/>
              </w:rPr>
              <w:t>（4）植被恢复措施</w:t>
            </w:r>
          </w:p>
          <w:p w14:paraId="0D03348D">
            <w:pPr>
              <w:bidi w:val="0"/>
              <w:rPr>
                <w:color w:val="auto"/>
                <w:highlight w:val="none"/>
              </w:rPr>
            </w:pPr>
            <w:r>
              <w:rPr>
                <w:color w:val="auto"/>
                <w:highlight w:val="none"/>
              </w:rPr>
              <w:t>在施工结束后开展施工场地植被恢复专项工程建设。植被恢复应以恢复至施工前原貌为远期目标，采用项目区内</w:t>
            </w:r>
            <w:r>
              <w:rPr>
                <w:rFonts w:hint="eastAsia"/>
                <w:color w:val="auto"/>
                <w:highlight w:val="none"/>
                <w:lang w:eastAsia="zh-CN"/>
              </w:rPr>
              <w:t>常见的</w:t>
            </w:r>
            <w:r>
              <w:rPr>
                <w:color w:val="auto"/>
                <w:highlight w:val="none"/>
              </w:rPr>
              <w:t>乔、灌、草物种，参照修复区域周边群落结构特征</w:t>
            </w:r>
            <w:r>
              <w:rPr>
                <w:rFonts w:hint="eastAsia"/>
                <w:color w:val="auto"/>
                <w:highlight w:val="none"/>
                <w:lang w:eastAsia="zh-CN"/>
              </w:rPr>
              <w:t>开展</w:t>
            </w:r>
            <w:r>
              <w:rPr>
                <w:color w:val="auto"/>
                <w:highlight w:val="none"/>
              </w:rPr>
              <w:t>植被群落重建。植被恢复时，选择本地适生的树、草种，</w:t>
            </w:r>
            <w:r>
              <w:rPr>
                <w:rFonts w:hint="eastAsia"/>
                <w:color w:val="auto"/>
                <w:highlight w:val="none"/>
                <w:lang w:eastAsia="zh-CN"/>
              </w:rPr>
              <w:t>注重</w:t>
            </w:r>
            <w:r>
              <w:rPr>
                <w:color w:val="auto"/>
                <w:highlight w:val="none"/>
              </w:rPr>
              <w:t>“乔、灌、草”结合，根据工程特点，各施工场地的主要恢复补偿措施如下：</w:t>
            </w:r>
          </w:p>
          <w:p w14:paraId="59B020DD">
            <w:pPr>
              <w:bidi w:val="0"/>
              <w:rPr>
                <w:rFonts w:hint="eastAsia" w:eastAsia="宋体"/>
                <w:color w:val="auto"/>
                <w:highlight w:val="none"/>
                <w:lang w:eastAsia="zh-CN"/>
              </w:rPr>
            </w:pPr>
            <w:r>
              <w:rPr>
                <w:rFonts w:hint="eastAsia"/>
                <w:color w:val="auto"/>
                <w:highlight w:val="none"/>
                <w:lang w:eastAsia="zh-CN"/>
              </w:rPr>
              <w:t>①风电机组区：施工结束后及时清理恢复施工迹地、平整场地，原占地为草地的风机平台结合场地原土地利用情况撒播草籽绿化或回铺草皮；其他区域的平台采用栽植灌木结合撒播灌草的方式恢复植被，平台边坡采用灌草模式恢复植被，灌木可选用小叶栒子，草种可选用黑麦草、狗牙根等；</w:t>
            </w:r>
          </w:p>
          <w:p w14:paraId="64429096">
            <w:pPr>
              <w:bidi w:val="0"/>
              <w:rPr>
                <w:color w:val="auto"/>
                <w:highlight w:val="none"/>
              </w:rPr>
            </w:pPr>
            <w:r>
              <w:rPr>
                <w:color w:val="auto"/>
                <w:highlight w:val="none"/>
              </w:rPr>
              <w:t>②集电线路：集电线路分段施工，及时回填、平整，恢复施工迹地，结合原土地利用情况恢复植被，以撒播草籽为主，草籽可选用黑麦草、狗牙根等。</w:t>
            </w:r>
          </w:p>
          <w:p w14:paraId="004D75C0">
            <w:pPr>
              <w:bidi w:val="0"/>
              <w:rPr>
                <w:rFonts w:hint="eastAsia"/>
                <w:color w:val="auto"/>
                <w:highlight w:val="none"/>
                <w:lang w:eastAsia="zh-CN"/>
              </w:rPr>
            </w:pPr>
            <w:r>
              <w:rPr>
                <w:color w:val="auto"/>
                <w:highlight w:val="none"/>
              </w:rPr>
              <w:t>③</w:t>
            </w:r>
            <w:r>
              <w:rPr>
                <w:rFonts w:hint="eastAsia"/>
                <w:color w:val="auto"/>
                <w:highlight w:val="none"/>
                <w:lang w:eastAsia="zh-CN"/>
              </w:rPr>
              <w:t>三场临时占地：施工结束后，应立即拆除临时设施，清除建筑垃圾，对表层压实土壤进行疏松处理，并根据原土地利用类型实施植被恢复。原为草地的区域以撒播本地草种为主，原为林地或灌丛的区域则补植相应乔灌木种，确保植被覆盖度和群落结构逐步恢复至施工前水平。恢复过程中应加强后期管护，包括灌溉、补播补植及病虫害防治，保障植被成活率与生态功能重建效果。</w:t>
            </w:r>
          </w:p>
          <w:p w14:paraId="19776F01">
            <w:pPr>
              <w:bidi w:val="0"/>
              <w:rPr>
                <w:b/>
                <w:bCs/>
                <w:color w:val="auto"/>
                <w:highlight w:val="none"/>
              </w:rPr>
            </w:pPr>
            <w:r>
              <w:rPr>
                <w:rFonts w:hint="eastAsia"/>
                <w:b/>
                <w:bCs/>
                <w:color w:val="auto"/>
                <w:highlight w:val="none"/>
                <w:lang w:val="en-US" w:eastAsia="zh-CN"/>
              </w:rPr>
              <w:t>5.2.1.4</w:t>
            </w:r>
            <w:r>
              <w:rPr>
                <w:b/>
                <w:bCs/>
                <w:color w:val="auto"/>
                <w:highlight w:val="none"/>
              </w:rPr>
              <w:t>管理措施</w:t>
            </w:r>
          </w:p>
          <w:p w14:paraId="72BE6938">
            <w:pPr>
              <w:bidi w:val="0"/>
              <w:rPr>
                <w:color w:val="auto"/>
                <w:highlight w:val="none"/>
              </w:rPr>
            </w:pPr>
            <w:r>
              <w:rPr>
                <w:color w:val="auto"/>
                <w:highlight w:val="none"/>
              </w:rPr>
              <w:t>（1）建设单位和施工单位应及时上报工程施工方案和环境保护实施方案，严格按照施工方案进行施工。禁止超计划占用土地和破坏植被，严禁沿道路及风机机位两侧山坡倾倒。</w:t>
            </w:r>
          </w:p>
          <w:p w14:paraId="2418FFCA">
            <w:pPr>
              <w:bidi w:val="0"/>
              <w:rPr>
                <w:color w:val="auto"/>
                <w:highlight w:val="none"/>
              </w:rPr>
            </w:pPr>
            <w:r>
              <w:rPr>
                <w:color w:val="auto"/>
                <w:highlight w:val="none"/>
              </w:rPr>
              <w:t>（2）采取有效措施预防森林火灾，在工程建设期，更应加强防护。在施工区、材料堆场等竖立防火警示牌，严格控制用火；设立专人进行专项检查和监督，并配置一定的灭火装置备用，以预防和杜绝森林火灾发生。</w:t>
            </w:r>
          </w:p>
          <w:p w14:paraId="169330AE">
            <w:pPr>
              <w:bidi w:val="0"/>
              <w:rPr>
                <w:color w:val="auto"/>
                <w:highlight w:val="none"/>
              </w:rPr>
            </w:pPr>
            <w:r>
              <w:rPr>
                <w:color w:val="auto"/>
                <w:highlight w:val="none"/>
              </w:rPr>
              <w:t>（3）对于涉及生态保护红线及饮用水源准保护区的施工区域，需现场布设红线，并做好宣传工作，禁止施工人员及机械越过红线施工，禁止施工人员进入保护区，监理人员做好现场监理。</w:t>
            </w:r>
          </w:p>
          <w:p w14:paraId="4CB23D67">
            <w:pPr>
              <w:bidi w:val="0"/>
              <w:rPr>
                <w:b/>
                <w:bCs/>
                <w:color w:val="auto"/>
                <w:highlight w:val="none"/>
              </w:rPr>
            </w:pPr>
            <w:r>
              <w:rPr>
                <w:rFonts w:hint="eastAsia"/>
                <w:b/>
                <w:bCs/>
                <w:color w:val="auto"/>
                <w:highlight w:val="none"/>
                <w:lang w:val="en-US" w:eastAsia="zh-CN"/>
              </w:rPr>
              <w:t>5.2.2</w:t>
            </w:r>
            <w:r>
              <w:rPr>
                <w:b/>
                <w:bCs/>
                <w:color w:val="auto"/>
                <w:highlight w:val="none"/>
              </w:rPr>
              <w:t>陆生动物保护措施</w:t>
            </w:r>
          </w:p>
          <w:p w14:paraId="365AD47B">
            <w:pPr>
              <w:bidi w:val="0"/>
              <w:rPr>
                <w:color w:val="auto"/>
                <w:highlight w:val="none"/>
              </w:rPr>
            </w:pPr>
            <w:r>
              <w:rPr>
                <w:color w:val="auto"/>
                <w:highlight w:val="none"/>
              </w:rPr>
              <w:t>（1）避让措施</w:t>
            </w:r>
          </w:p>
          <w:p w14:paraId="703466D8">
            <w:pPr>
              <w:bidi w:val="0"/>
              <w:rPr>
                <w:color w:val="auto"/>
                <w:highlight w:val="none"/>
              </w:rPr>
            </w:pPr>
            <w:r>
              <w:rPr>
                <w:color w:val="auto"/>
                <w:highlight w:val="none"/>
              </w:rPr>
              <w:t>1）施工活动尽可能避让茂密的林木或灌木区域。</w:t>
            </w:r>
          </w:p>
          <w:p w14:paraId="6A2D92A3">
            <w:pPr>
              <w:bidi w:val="0"/>
              <w:rPr>
                <w:color w:val="auto"/>
                <w:highlight w:val="none"/>
              </w:rPr>
            </w:pPr>
            <w:r>
              <w:rPr>
                <w:color w:val="auto"/>
                <w:highlight w:val="none"/>
              </w:rPr>
              <w:t>2）施工活动避让冲沟、洼地等两栖动物的栖息地。</w:t>
            </w:r>
          </w:p>
          <w:p w14:paraId="14ED189B">
            <w:pPr>
              <w:bidi w:val="0"/>
              <w:rPr>
                <w:color w:val="auto"/>
                <w:highlight w:val="none"/>
              </w:rPr>
            </w:pPr>
            <w:r>
              <w:rPr>
                <w:color w:val="auto"/>
                <w:highlight w:val="none"/>
              </w:rPr>
              <w:t>（2）减缓措施</w:t>
            </w:r>
          </w:p>
          <w:p w14:paraId="05EBABBF">
            <w:pPr>
              <w:bidi w:val="0"/>
              <w:rPr>
                <w:color w:val="auto"/>
                <w:highlight w:val="none"/>
              </w:rPr>
            </w:pPr>
            <w:r>
              <w:rPr>
                <w:color w:val="auto"/>
                <w:highlight w:val="none"/>
              </w:rPr>
              <w:t>1）施工期进行生态观测和监理，重点进行迁徙鸟类及其通道的调查，及时优化调整施工时间、措施，采取相应的保护措施。</w:t>
            </w:r>
          </w:p>
          <w:p w14:paraId="5491652B">
            <w:pPr>
              <w:bidi w:val="0"/>
              <w:rPr>
                <w:color w:val="auto"/>
                <w:highlight w:val="none"/>
              </w:rPr>
            </w:pPr>
            <w:r>
              <w:rPr>
                <w:color w:val="auto"/>
                <w:highlight w:val="none"/>
              </w:rPr>
              <w:t>2）通过宣传教育，</w:t>
            </w:r>
            <w:r>
              <w:rPr>
                <w:rFonts w:hint="eastAsia"/>
                <w:color w:val="auto"/>
                <w:highlight w:val="none"/>
                <w:lang w:eastAsia="zh-CN"/>
              </w:rPr>
              <w:t>增强</w:t>
            </w:r>
            <w:r>
              <w:rPr>
                <w:color w:val="auto"/>
                <w:highlight w:val="none"/>
              </w:rPr>
              <w:t>施工人员的保护意识，禁止施工人员捕食、贩卖野生动物和破坏野生动物生境的行为。</w:t>
            </w:r>
          </w:p>
          <w:p w14:paraId="610F27D8">
            <w:pPr>
              <w:bidi w:val="0"/>
              <w:rPr>
                <w:color w:val="auto"/>
                <w:highlight w:val="none"/>
              </w:rPr>
            </w:pPr>
            <w:r>
              <w:rPr>
                <w:color w:val="auto"/>
                <w:highlight w:val="none"/>
              </w:rPr>
              <w:t>3）尽量避免在鸟类繁殖期（春末夏初）吊装平台开挖等可能破坏鸟巢及鸟卵的施工作业；控制爆破等产生较大噪声的施工，减轻施工噪声对鸟类繁殖的干扰；进入场区的车辆应减速慢行，遇到野生动物横穿道路，应减速或停驶。</w:t>
            </w:r>
          </w:p>
          <w:p w14:paraId="0B4A2317">
            <w:pPr>
              <w:bidi w:val="0"/>
              <w:rPr>
                <w:color w:val="auto"/>
                <w:highlight w:val="none"/>
              </w:rPr>
            </w:pPr>
            <w:r>
              <w:rPr>
                <w:color w:val="auto"/>
                <w:highlight w:val="none"/>
              </w:rPr>
              <w:t>4）进入场区的车辆应慢速行驶，在遇到白腹锦鸡等雉类横穿公路时应减速或停驶，避免车辆行驶</w:t>
            </w:r>
            <w:r>
              <w:rPr>
                <w:rFonts w:hint="eastAsia"/>
                <w:color w:val="auto"/>
                <w:highlight w:val="none"/>
                <w:lang w:eastAsia="zh-CN"/>
              </w:rPr>
              <w:t>造成</w:t>
            </w:r>
            <w:r>
              <w:rPr>
                <w:color w:val="auto"/>
                <w:highlight w:val="none"/>
              </w:rPr>
              <w:t>鸟类伤亡；禁止施工人员、电场管理人员捕食、贩卖鸟类、拾取鸟卵、破坏鸟巢等行为。</w:t>
            </w:r>
          </w:p>
          <w:p w14:paraId="5DDF6FBE">
            <w:pPr>
              <w:bidi w:val="0"/>
              <w:rPr>
                <w:color w:val="auto"/>
                <w:highlight w:val="none"/>
              </w:rPr>
            </w:pPr>
            <w:r>
              <w:rPr>
                <w:color w:val="auto"/>
                <w:highlight w:val="none"/>
              </w:rPr>
              <w:t>（3）补偿和恢复措施</w:t>
            </w:r>
          </w:p>
          <w:p w14:paraId="733D121C">
            <w:pPr>
              <w:bidi w:val="0"/>
              <w:rPr>
                <w:color w:val="auto"/>
                <w:highlight w:val="none"/>
              </w:rPr>
            </w:pPr>
            <w:r>
              <w:rPr>
                <w:color w:val="auto"/>
                <w:highlight w:val="none"/>
              </w:rPr>
              <w:t>工程完工后尽快做好生态环境的恢复工作，以减少生境破坏对动物的不利影响。每个风机塔施工完成后，对其临时占地合理绿化，尽快恢复动物生境。</w:t>
            </w:r>
          </w:p>
          <w:p w14:paraId="578B51F7">
            <w:pPr>
              <w:bidi w:val="0"/>
              <w:rPr>
                <w:color w:val="auto"/>
                <w:highlight w:val="none"/>
              </w:rPr>
            </w:pPr>
            <w:r>
              <w:rPr>
                <w:color w:val="auto"/>
                <w:highlight w:val="none"/>
              </w:rPr>
              <w:t>（4）管理措施</w:t>
            </w:r>
          </w:p>
          <w:p w14:paraId="3D2CFB69">
            <w:pPr>
              <w:bidi w:val="0"/>
              <w:rPr>
                <w:color w:val="auto"/>
                <w:highlight w:val="none"/>
              </w:rPr>
            </w:pPr>
            <w:r>
              <w:rPr>
                <w:color w:val="auto"/>
                <w:highlight w:val="none"/>
              </w:rPr>
              <w:t>1）开展施工环境观测，主要是对工程施工、材料运输</w:t>
            </w:r>
            <w:r>
              <w:rPr>
                <w:rFonts w:hint="eastAsia"/>
                <w:color w:val="auto"/>
                <w:highlight w:val="none"/>
                <w:lang w:eastAsia="zh-CN"/>
              </w:rPr>
              <w:t>等</w:t>
            </w:r>
            <w:r>
              <w:rPr>
                <w:color w:val="auto"/>
                <w:highlight w:val="none"/>
              </w:rPr>
              <w:t>鸟类栖息生境、鸟类数量等进行监控，若发现异常，立即与管理部门联系，分析原因，采取暂停施工等措施。尽量避免夜间施工，尤其在鸟类迁飞的季节。</w:t>
            </w:r>
          </w:p>
          <w:p w14:paraId="7E0A88E5">
            <w:pPr>
              <w:bidi w:val="0"/>
              <w:rPr>
                <w:color w:val="auto"/>
                <w:highlight w:val="none"/>
              </w:rPr>
            </w:pPr>
            <w:r>
              <w:rPr>
                <w:color w:val="auto"/>
                <w:highlight w:val="none"/>
              </w:rPr>
              <w:t>2）加强对施工人员进行野生动植物资源和</w:t>
            </w:r>
            <w:r>
              <w:rPr>
                <w:rFonts w:hint="eastAsia"/>
                <w:color w:val="auto"/>
                <w:highlight w:val="none"/>
                <w:lang w:eastAsia="zh-CN"/>
              </w:rPr>
              <w:t>生态环境</w:t>
            </w:r>
            <w:r>
              <w:rPr>
                <w:color w:val="auto"/>
                <w:highlight w:val="none"/>
              </w:rPr>
              <w:t>保护意识的宣传教育，以便提高施工人员在施工过程中生态环境保护意识；制定相关规则，遵守林区管理规定，避免施工人员和运行维护人员伤害野生动物。严禁施工人员捕猎野生动物。</w:t>
            </w:r>
          </w:p>
          <w:p w14:paraId="51438A09">
            <w:pPr>
              <w:bidi w:val="0"/>
              <w:rPr>
                <w:color w:val="auto"/>
                <w:highlight w:val="none"/>
              </w:rPr>
            </w:pPr>
            <w:r>
              <w:rPr>
                <w:color w:val="auto"/>
                <w:highlight w:val="none"/>
              </w:rPr>
              <w:t>3）</w:t>
            </w:r>
            <w:r>
              <w:rPr>
                <w:rFonts w:hint="eastAsia"/>
                <w:color w:val="auto"/>
                <w:highlight w:val="none"/>
                <w:lang w:eastAsia="zh-CN"/>
              </w:rPr>
              <w:t>竖立宣传牌</w:t>
            </w:r>
            <w:r>
              <w:rPr>
                <w:color w:val="auto"/>
                <w:highlight w:val="none"/>
              </w:rPr>
              <w:t>、警示牌，明令禁止施工人员和外来人员捕猎野生动物。</w:t>
            </w:r>
          </w:p>
          <w:p w14:paraId="46C72B8B">
            <w:pPr>
              <w:bidi w:val="0"/>
              <w:rPr>
                <w:color w:val="auto"/>
                <w:highlight w:val="none"/>
              </w:rPr>
            </w:pPr>
            <w:r>
              <w:rPr>
                <w:color w:val="auto"/>
                <w:highlight w:val="none"/>
              </w:rPr>
              <w:t>4）对于施工过程中发现的兽类幼仔、鸟卵（蛋）或幼鸟，交给当地林业部门的专业人员处理，不得擅自处理。</w:t>
            </w:r>
          </w:p>
          <w:p w14:paraId="317256C3">
            <w:pPr>
              <w:bidi w:val="0"/>
              <w:rPr>
                <w:color w:val="auto"/>
                <w:highlight w:val="none"/>
              </w:rPr>
            </w:pPr>
            <w:r>
              <w:rPr>
                <w:color w:val="auto"/>
                <w:highlight w:val="none"/>
              </w:rPr>
              <w:t>5）对工人进行保护鸟类的教育，禁止捕捉鸟类，发现异常鸟撞事件后要及时报告给管理部门。</w:t>
            </w:r>
          </w:p>
          <w:p w14:paraId="3F3946D3">
            <w:pPr>
              <w:bidi w:val="0"/>
              <w:rPr>
                <w:b/>
                <w:bCs/>
                <w:color w:val="auto"/>
                <w:highlight w:val="none"/>
              </w:rPr>
            </w:pPr>
            <w:r>
              <w:rPr>
                <w:rFonts w:hint="eastAsia"/>
                <w:b/>
                <w:bCs/>
                <w:color w:val="auto"/>
                <w:highlight w:val="none"/>
                <w:lang w:val="en-US" w:eastAsia="zh-CN"/>
              </w:rPr>
              <w:t>5.2.3</w:t>
            </w:r>
            <w:r>
              <w:rPr>
                <w:b/>
                <w:bCs/>
                <w:color w:val="auto"/>
                <w:highlight w:val="none"/>
              </w:rPr>
              <w:t>水土流失防治措施</w:t>
            </w:r>
          </w:p>
          <w:p w14:paraId="48BF9936">
            <w:pPr>
              <w:bidi w:val="0"/>
              <w:rPr>
                <w:color w:val="auto"/>
                <w:highlight w:val="none"/>
              </w:rPr>
            </w:pPr>
            <w:r>
              <w:rPr>
                <w:color w:val="auto"/>
                <w:highlight w:val="none"/>
              </w:rPr>
              <w:t>（1）加强施工管理，认真搞好施工组织设计，科学规划施工场地，合理安排施工进度，将施工措施计划做深做细，尽量减少临时工程占地，缩短临时占地使用时间，及时恢复土地原有功能。</w:t>
            </w:r>
          </w:p>
          <w:p w14:paraId="5C0EBB74">
            <w:pPr>
              <w:bidi w:val="0"/>
              <w:rPr>
                <w:color w:val="auto"/>
                <w:highlight w:val="none"/>
              </w:rPr>
            </w:pPr>
            <w:r>
              <w:rPr>
                <w:color w:val="auto"/>
                <w:highlight w:val="none"/>
              </w:rPr>
              <w:t>（2）尽可能地缩短疏松地面、坡面的裸露时间，合理安排施工时间，尽量避开大风和雨天施工。</w:t>
            </w:r>
          </w:p>
          <w:p w14:paraId="6D6BCC5A">
            <w:pPr>
              <w:bidi w:val="0"/>
              <w:rPr>
                <w:color w:val="auto"/>
                <w:highlight w:val="none"/>
              </w:rPr>
            </w:pPr>
            <w:r>
              <w:rPr>
                <w:color w:val="auto"/>
                <w:highlight w:val="none"/>
              </w:rPr>
              <w:t>（3）在雨季到来之前，应备齐土体临时防护用的物料，随时采取临时防护措施，以减少土壤的流失。</w:t>
            </w:r>
          </w:p>
          <w:p w14:paraId="4818B5D0">
            <w:pPr>
              <w:bidi w:val="0"/>
              <w:rPr>
                <w:color w:val="auto"/>
                <w:highlight w:val="none"/>
              </w:rPr>
            </w:pPr>
            <w:r>
              <w:rPr>
                <w:color w:val="auto"/>
                <w:highlight w:val="none"/>
              </w:rPr>
              <w:t>（4）施工机械和施工人员要按照施工总体平面布置图进行作业，不得乱占土地，施工机械、土石及其它建筑材料不得乱停乱放，防止破坏植被，加剧水土流失。</w:t>
            </w:r>
          </w:p>
          <w:p w14:paraId="6A4AF37A">
            <w:pPr>
              <w:bidi w:val="0"/>
              <w:rPr>
                <w:color w:val="auto"/>
                <w:highlight w:val="none"/>
              </w:rPr>
            </w:pPr>
            <w:r>
              <w:rPr>
                <w:color w:val="auto"/>
                <w:highlight w:val="none"/>
              </w:rPr>
              <w:t>（5）施工</w:t>
            </w:r>
            <w:r>
              <w:rPr>
                <w:rFonts w:hint="eastAsia"/>
                <w:color w:val="auto"/>
                <w:highlight w:val="none"/>
                <w:lang w:eastAsia="zh-CN"/>
              </w:rPr>
              <w:t>期间</w:t>
            </w:r>
            <w:r>
              <w:rPr>
                <w:color w:val="auto"/>
                <w:highlight w:val="none"/>
              </w:rPr>
              <w:t>应限制施工区域，限制</w:t>
            </w:r>
            <w:r>
              <w:rPr>
                <w:rFonts w:hint="eastAsia"/>
                <w:color w:val="auto"/>
                <w:highlight w:val="none"/>
                <w:lang w:eastAsia="zh-CN"/>
              </w:rPr>
              <w:t>人员</w:t>
            </w:r>
            <w:r>
              <w:rPr>
                <w:color w:val="auto"/>
                <w:highlight w:val="none"/>
              </w:rPr>
              <w:t>的活动范围，所有车辆按选定的道路走“一”字型作业法，走同一车辙，避免加开新路，尽可能减少对地表的破坏。</w:t>
            </w:r>
          </w:p>
          <w:p w14:paraId="4849683B">
            <w:pPr>
              <w:bidi w:val="0"/>
              <w:rPr>
                <w:color w:val="auto"/>
                <w:highlight w:val="none"/>
              </w:rPr>
            </w:pPr>
            <w:r>
              <w:rPr>
                <w:color w:val="auto"/>
                <w:highlight w:val="none"/>
              </w:rPr>
              <w:t>（6）施工期间要求尽量做到挖填同步，确需临时堆置的场地四周采取土袋防护以及苫盖措施，并对施工区扰动地表采取碾压、洒水等临时防护措施。施工结束后，及时对场地进行平整和恢复植被。</w:t>
            </w:r>
          </w:p>
          <w:p w14:paraId="5A960845">
            <w:pPr>
              <w:bidi w:val="0"/>
              <w:rPr>
                <w:color w:val="auto"/>
                <w:highlight w:val="none"/>
              </w:rPr>
            </w:pPr>
            <w:r>
              <w:rPr>
                <w:color w:val="auto"/>
                <w:highlight w:val="none"/>
              </w:rPr>
              <w:t>具体水土保持防治措施详见水土保持报告。</w:t>
            </w:r>
          </w:p>
          <w:p w14:paraId="00817B46">
            <w:pPr>
              <w:bidi w:val="0"/>
              <w:rPr>
                <w:b/>
                <w:bCs/>
                <w:color w:val="auto"/>
                <w:highlight w:val="none"/>
              </w:rPr>
            </w:pPr>
            <w:r>
              <w:rPr>
                <w:rFonts w:hint="eastAsia"/>
                <w:b/>
                <w:bCs/>
                <w:color w:val="auto"/>
                <w:highlight w:val="none"/>
                <w:lang w:val="en-US" w:eastAsia="zh-CN"/>
              </w:rPr>
              <w:t>5.2.4</w:t>
            </w:r>
            <w:r>
              <w:rPr>
                <w:b/>
                <w:bCs/>
                <w:color w:val="auto"/>
                <w:highlight w:val="none"/>
              </w:rPr>
              <w:t>环境管理措施</w:t>
            </w:r>
          </w:p>
          <w:p w14:paraId="2FDE60F1">
            <w:pPr>
              <w:bidi w:val="0"/>
              <w:rPr>
                <w:color w:val="auto"/>
                <w:highlight w:val="none"/>
              </w:rPr>
            </w:pPr>
            <w:r>
              <w:rPr>
                <w:color w:val="auto"/>
                <w:highlight w:val="none"/>
              </w:rPr>
              <w:t>（1）施工前期招投标</w:t>
            </w:r>
          </w:p>
          <w:p w14:paraId="5DBC7BB3">
            <w:pPr>
              <w:bidi w:val="0"/>
              <w:rPr>
                <w:color w:val="auto"/>
                <w:highlight w:val="none"/>
              </w:rPr>
            </w:pPr>
            <w:r>
              <w:rPr>
                <w:color w:val="auto"/>
                <w:highlight w:val="none"/>
              </w:rPr>
              <w:t>建设单位对工程施工实行招投标。在招标文件的编制过程中，应将各项环保要求与措施编入相应的条款中；承包商投标文件中应包含环保工程（含环保措施）的落实及实施计划；在评标过程中应注意对投标文件的环保部分进行评估讨论，对中标方的不足之处提出完善要求。</w:t>
            </w:r>
          </w:p>
          <w:p w14:paraId="6C86B5FD">
            <w:pPr>
              <w:bidi w:val="0"/>
              <w:rPr>
                <w:color w:val="auto"/>
                <w:highlight w:val="none"/>
              </w:rPr>
            </w:pPr>
            <w:r>
              <w:rPr>
                <w:color w:val="auto"/>
                <w:highlight w:val="none"/>
              </w:rPr>
              <w:t>（2）实施施工期环境监理</w:t>
            </w:r>
          </w:p>
          <w:p w14:paraId="54583D4B">
            <w:pPr>
              <w:bidi w:val="0"/>
              <w:rPr>
                <w:color w:val="auto"/>
                <w:highlight w:val="none"/>
              </w:rPr>
            </w:pPr>
            <w:r>
              <w:rPr>
                <w:color w:val="auto"/>
                <w:highlight w:val="none"/>
              </w:rPr>
              <w:t>按照环境监理技术指南相关要求，委托第三方进行环境监理工作，配备专职（或兼职）的现场环境监理人员，以便及时发现施工中可能出现的各类生态破坏和环境污染问题。主要是：施工开始前，认真检查施工计划中是否</w:t>
            </w:r>
            <w:r>
              <w:rPr>
                <w:rFonts w:hint="eastAsia"/>
                <w:color w:val="auto"/>
                <w:highlight w:val="none"/>
                <w:lang w:eastAsia="zh-CN"/>
              </w:rPr>
              <w:t>包含</w:t>
            </w:r>
            <w:r>
              <w:rPr>
                <w:color w:val="auto"/>
                <w:highlight w:val="none"/>
              </w:rPr>
              <w:t>环境保护措施；根据施工日程安排，定期检查监督施工过程“三废”排放是否符合环保要求；检查监督施工过程的生态环境保护措施；检查监督施工营地等</w:t>
            </w:r>
            <w:r>
              <w:rPr>
                <w:rFonts w:hint="eastAsia"/>
                <w:color w:val="auto"/>
                <w:highlight w:val="none"/>
                <w:lang w:eastAsia="zh-CN"/>
              </w:rPr>
              <w:t>其他</w:t>
            </w:r>
            <w:r>
              <w:rPr>
                <w:color w:val="auto"/>
                <w:highlight w:val="none"/>
              </w:rPr>
              <w:t>环境保护措施和计划的实施。</w:t>
            </w:r>
          </w:p>
          <w:p w14:paraId="5025D3CF">
            <w:pPr>
              <w:bidi w:val="0"/>
              <w:rPr>
                <w:rFonts w:hint="eastAsia" w:eastAsia="宋体"/>
                <w:b/>
                <w:bCs/>
                <w:color w:val="auto"/>
                <w:highlight w:val="none"/>
                <w:lang w:val="en-US" w:eastAsia="zh-CN"/>
              </w:rPr>
            </w:pPr>
            <w:r>
              <w:rPr>
                <w:rFonts w:hint="eastAsia" w:eastAsia="宋体"/>
                <w:b/>
                <w:bCs/>
                <w:color w:val="auto"/>
                <w:highlight w:val="none"/>
                <w:lang w:val="en-US" w:eastAsia="zh-CN"/>
              </w:rPr>
              <w:t>5.2.5永久基本农田保护措施</w:t>
            </w:r>
          </w:p>
          <w:p w14:paraId="7547375E">
            <w:pPr>
              <w:bidi w:val="0"/>
              <w:rPr>
                <w:rFonts w:eastAsia="宋体"/>
                <w:color w:val="auto"/>
                <w:highlight w:val="none"/>
              </w:rPr>
            </w:pPr>
            <w:r>
              <w:rPr>
                <w:rFonts w:hint="eastAsia" w:eastAsia="宋体"/>
                <w:color w:val="auto"/>
                <w:highlight w:val="none"/>
                <w:lang w:eastAsia="zh-CN"/>
              </w:rPr>
              <w:t>（</w:t>
            </w:r>
            <w:r>
              <w:rPr>
                <w:rFonts w:hint="eastAsia" w:eastAsia="宋体"/>
                <w:color w:val="auto"/>
                <w:highlight w:val="none"/>
                <w:lang w:val="en-US" w:eastAsia="zh-CN"/>
              </w:rPr>
              <w:t>1</w:t>
            </w:r>
            <w:r>
              <w:rPr>
                <w:rFonts w:hint="eastAsia" w:eastAsia="宋体"/>
                <w:color w:val="auto"/>
                <w:highlight w:val="none"/>
                <w:lang w:eastAsia="zh-CN"/>
              </w:rPr>
              <w:t>）</w:t>
            </w:r>
            <w:r>
              <w:rPr>
                <w:rFonts w:eastAsia="宋体"/>
                <w:color w:val="auto"/>
                <w:highlight w:val="none"/>
              </w:rPr>
              <w:t>精准划定施工作业边界</w:t>
            </w:r>
            <w:r>
              <w:rPr>
                <w:rFonts w:hint="eastAsia" w:eastAsia="宋体"/>
                <w:color w:val="auto"/>
                <w:highlight w:val="none"/>
                <w:lang w:eastAsia="zh-CN"/>
              </w:rPr>
              <w:t>：</w:t>
            </w:r>
            <w:r>
              <w:rPr>
                <w:rFonts w:eastAsia="宋体"/>
                <w:color w:val="auto"/>
                <w:highlight w:val="none"/>
              </w:rPr>
              <w:t>针对A1机位南侧紧邻永久基本农田的集电线路填埋作业区域，提前通过现场放线设置硬质隔离围挡，严格限定临时作业面范围，严禁超范围占用农田区域，全程保障永久基本农田的数量不减少、用途不改变，从源头上规避施工活动对农田耕作层土壤的扰动。</w:t>
            </w:r>
          </w:p>
          <w:p w14:paraId="565FE6FE">
            <w:pPr>
              <w:bidi w:val="0"/>
              <w:rPr>
                <w:rFonts w:eastAsia="宋体"/>
                <w:color w:val="auto"/>
                <w:highlight w:val="none"/>
              </w:rPr>
            </w:pPr>
            <w:r>
              <w:rPr>
                <w:rFonts w:hint="eastAsia" w:eastAsia="宋体"/>
                <w:color w:val="auto"/>
                <w:highlight w:val="none"/>
                <w:lang w:eastAsia="zh-CN"/>
              </w:rPr>
              <w:t>（</w:t>
            </w:r>
            <w:r>
              <w:rPr>
                <w:rFonts w:hint="eastAsia" w:eastAsia="宋体"/>
                <w:color w:val="auto"/>
                <w:highlight w:val="none"/>
                <w:lang w:val="en-US" w:eastAsia="zh-CN"/>
              </w:rPr>
              <w:t>2</w:t>
            </w:r>
            <w:r>
              <w:rPr>
                <w:rFonts w:hint="eastAsia" w:eastAsia="宋体"/>
                <w:color w:val="auto"/>
                <w:highlight w:val="none"/>
                <w:lang w:eastAsia="zh-CN"/>
              </w:rPr>
              <w:t>）</w:t>
            </w:r>
            <w:r>
              <w:rPr>
                <w:rFonts w:eastAsia="宋体"/>
                <w:color w:val="auto"/>
                <w:highlight w:val="none"/>
              </w:rPr>
              <w:t>耕作层专项保护与恢复措施</w:t>
            </w:r>
            <w:r>
              <w:rPr>
                <w:rFonts w:hint="eastAsia" w:eastAsia="宋体"/>
                <w:color w:val="auto"/>
                <w:highlight w:val="none"/>
                <w:lang w:eastAsia="zh-CN"/>
              </w:rPr>
              <w:t>：</w:t>
            </w:r>
            <w:r>
              <w:rPr>
                <w:rFonts w:eastAsia="宋体"/>
                <w:color w:val="auto"/>
                <w:highlight w:val="none"/>
              </w:rPr>
              <w:t>地下集电线路填埋作业前，对作业涉及的临时占地表层耕作土壤进行单独剥离、集中堆存，并在堆土区域采用防雨苫布覆盖防护；施工填埋作业完成后第一时间开展土地平整作业，将预先剥离的耕作层土壤全部回铺复原，快速恢复原有土地利用条件，确保永久基本农田的农业生产功能不受任何影响。</w:t>
            </w:r>
          </w:p>
          <w:p w14:paraId="79C7B990">
            <w:pPr>
              <w:bidi w:val="0"/>
              <w:rPr>
                <w:b/>
                <w:bCs/>
                <w:color w:val="auto"/>
                <w:highlight w:val="none"/>
              </w:rPr>
            </w:pPr>
            <w:r>
              <w:rPr>
                <w:rFonts w:hint="eastAsia"/>
                <w:b/>
                <w:bCs/>
                <w:color w:val="auto"/>
                <w:highlight w:val="none"/>
                <w:lang w:val="en-US" w:eastAsia="zh-CN"/>
              </w:rPr>
              <w:t>5.3</w:t>
            </w:r>
            <w:r>
              <w:rPr>
                <w:b/>
                <w:bCs/>
                <w:color w:val="auto"/>
                <w:highlight w:val="none"/>
              </w:rPr>
              <w:t>大气环境保护措施</w:t>
            </w:r>
          </w:p>
          <w:p w14:paraId="2E8126F8">
            <w:pPr>
              <w:bidi w:val="0"/>
              <w:rPr>
                <w:color w:val="auto"/>
                <w:highlight w:val="none"/>
              </w:rPr>
            </w:pPr>
            <w:r>
              <w:rPr>
                <w:color w:val="auto"/>
                <w:highlight w:val="none"/>
              </w:rPr>
              <w:t>（1）施工期间应根据具体情况适时对施工现场和道路进行洒水（降雨日除外），春季干旱多风日可适当增加洒水次数。</w:t>
            </w:r>
          </w:p>
          <w:p w14:paraId="7BD0620F">
            <w:pPr>
              <w:bidi w:val="0"/>
              <w:rPr>
                <w:color w:val="auto"/>
                <w:highlight w:val="none"/>
              </w:rPr>
            </w:pPr>
            <w:r>
              <w:rPr>
                <w:color w:val="auto"/>
                <w:highlight w:val="none"/>
              </w:rPr>
              <w:t>（2）尽量不在大风天施工作业，尤其是引起地面扰动的作业。</w:t>
            </w:r>
          </w:p>
          <w:p w14:paraId="2BEC4F28">
            <w:pPr>
              <w:bidi w:val="0"/>
              <w:rPr>
                <w:color w:val="auto"/>
                <w:highlight w:val="none"/>
              </w:rPr>
            </w:pPr>
            <w:r>
              <w:rPr>
                <w:color w:val="auto"/>
                <w:highlight w:val="none"/>
              </w:rPr>
              <w:t>（3）限制运输车辆的行驶速度，场地内的行车速度不得超过15km/h。</w:t>
            </w:r>
          </w:p>
          <w:p w14:paraId="1397DC12">
            <w:pPr>
              <w:bidi w:val="0"/>
              <w:rPr>
                <w:color w:val="auto"/>
                <w:highlight w:val="none"/>
              </w:rPr>
            </w:pPr>
            <w:r>
              <w:rPr>
                <w:color w:val="auto"/>
                <w:highlight w:val="none"/>
              </w:rPr>
              <w:t>（4）对风机基座开挖的土方回填后，弃方应及时运走或进行遮盖，减少土方裸露面积和时间，减少风蚀强度。</w:t>
            </w:r>
          </w:p>
          <w:p w14:paraId="40DB0579">
            <w:pPr>
              <w:bidi w:val="0"/>
              <w:rPr>
                <w:color w:val="auto"/>
                <w:highlight w:val="none"/>
              </w:rPr>
            </w:pPr>
            <w:r>
              <w:rPr>
                <w:color w:val="auto"/>
                <w:highlight w:val="none"/>
              </w:rPr>
              <w:t>（5）对临时堆土点的土方和弃渣应尽快回填利用或运至指定地点堆放，暂时采用编织袋进行临时挡护，顶面用土工布进行覆盖；在春节干旱多风日应临时对临时堆土场洒水，减少粉尘产生。</w:t>
            </w:r>
          </w:p>
          <w:p w14:paraId="19CA8459">
            <w:pPr>
              <w:bidi w:val="0"/>
              <w:rPr>
                <w:color w:val="auto"/>
                <w:highlight w:val="none"/>
              </w:rPr>
            </w:pPr>
            <w:r>
              <w:rPr>
                <w:color w:val="auto"/>
                <w:highlight w:val="none"/>
              </w:rPr>
              <w:t>（</w:t>
            </w:r>
            <w:r>
              <w:rPr>
                <w:rFonts w:hint="eastAsia"/>
                <w:color w:val="auto"/>
                <w:highlight w:val="none"/>
                <w:lang w:val="en-US" w:eastAsia="zh-CN"/>
              </w:rPr>
              <w:t>6</w:t>
            </w:r>
            <w:r>
              <w:rPr>
                <w:color w:val="auto"/>
                <w:highlight w:val="none"/>
              </w:rPr>
              <w:t>）施工材料如水泥等粉状物料将采用罐车进行运输，砂石料运输车辆一般都加盖篷布，以减少建筑材料的撒落和飞灰。</w:t>
            </w:r>
          </w:p>
          <w:p w14:paraId="79D029C0">
            <w:pPr>
              <w:bidi w:val="0"/>
              <w:rPr>
                <w:color w:val="auto"/>
                <w:highlight w:val="none"/>
              </w:rPr>
            </w:pPr>
            <w:r>
              <w:rPr>
                <w:color w:val="auto"/>
                <w:highlight w:val="none"/>
              </w:rPr>
              <w:t>（</w:t>
            </w:r>
            <w:r>
              <w:rPr>
                <w:rFonts w:hint="eastAsia"/>
                <w:color w:val="auto"/>
                <w:highlight w:val="none"/>
                <w:lang w:val="en-US" w:eastAsia="zh-CN"/>
              </w:rPr>
              <w:t>7</w:t>
            </w:r>
            <w:r>
              <w:rPr>
                <w:color w:val="auto"/>
                <w:highlight w:val="none"/>
              </w:rPr>
              <w:t>）加强对机械、车辆的维修保养，禁止施工机械超负荷工作，同时使用先进设备和优质燃料油。</w:t>
            </w:r>
          </w:p>
          <w:p w14:paraId="50786FA8">
            <w:pPr>
              <w:bidi w:val="0"/>
              <w:rPr>
                <w:color w:val="auto"/>
                <w:highlight w:val="none"/>
              </w:rPr>
            </w:pPr>
            <w:r>
              <w:rPr>
                <w:color w:val="auto"/>
                <w:highlight w:val="none"/>
              </w:rPr>
              <w:t>（</w:t>
            </w:r>
            <w:r>
              <w:rPr>
                <w:rFonts w:hint="eastAsia"/>
                <w:color w:val="auto"/>
                <w:highlight w:val="none"/>
                <w:lang w:val="en-US" w:eastAsia="zh-CN"/>
              </w:rPr>
              <w:t>8</w:t>
            </w:r>
            <w:r>
              <w:rPr>
                <w:color w:val="auto"/>
                <w:highlight w:val="none"/>
              </w:rPr>
              <w:t>）加强对施工人员的环保教育，</w:t>
            </w:r>
            <w:r>
              <w:rPr>
                <w:rFonts w:hint="eastAsia"/>
                <w:color w:val="auto"/>
                <w:highlight w:val="none"/>
                <w:lang w:eastAsia="zh-CN"/>
              </w:rPr>
              <w:t>增强</w:t>
            </w:r>
            <w:r>
              <w:rPr>
                <w:color w:val="auto"/>
                <w:highlight w:val="none"/>
              </w:rPr>
              <w:t>全体施工人员的环保意识。</w:t>
            </w:r>
          </w:p>
          <w:p w14:paraId="254D1F96">
            <w:pPr>
              <w:bidi w:val="0"/>
              <w:rPr>
                <w:color w:val="auto"/>
                <w:highlight w:val="none"/>
              </w:rPr>
            </w:pPr>
            <w:r>
              <w:rPr>
                <w:color w:val="auto"/>
                <w:highlight w:val="none"/>
              </w:rPr>
              <w:t>（</w:t>
            </w:r>
            <w:r>
              <w:rPr>
                <w:rFonts w:hint="eastAsia"/>
                <w:color w:val="auto"/>
                <w:highlight w:val="none"/>
                <w:lang w:val="en-US" w:eastAsia="zh-CN"/>
              </w:rPr>
              <w:t>9</w:t>
            </w:r>
            <w:r>
              <w:rPr>
                <w:color w:val="auto"/>
                <w:highlight w:val="none"/>
              </w:rPr>
              <w:t>）施工材料应尽量较少露天堆放，堆放在封闭的库房内，确需临时堆放的应采用土工布进行遮盖，对</w:t>
            </w:r>
            <w:r>
              <w:rPr>
                <w:rFonts w:hint="eastAsia"/>
                <w:color w:val="auto"/>
                <w:highlight w:val="none"/>
                <w:lang w:eastAsia="zh-CN"/>
              </w:rPr>
              <w:t>施工</w:t>
            </w:r>
            <w:r>
              <w:rPr>
                <w:color w:val="auto"/>
                <w:highlight w:val="none"/>
              </w:rPr>
              <w:t>场地定期洒水降尘。</w:t>
            </w:r>
          </w:p>
          <w:p w14:paraId="1751FCFE">
            <w:pPr>
              <w:bidi w:val="0"/>
              <w:rPr>
                <w:color w:val="auto"/>
                <w:highlight w:val="none"/>
              </w:rPr>
            </w:pPr>
            <w:r>
              <w:rPr>
                <w:color w:val="auto"/>
                <w:highlight w:val="none"/>
              </w:rPr>
              <w:t>（1</w:t>
            </w:r>
            <w:r>
              <w:rPr>
                <w:rFonts w:hint="eastAsia"/>
                <w:color w:val="auto"/>
                <w:highlight w:val="none"/>
                <w:lang w:val="en-US" w:eastAsia="zh-CN"/>
              </w:rPr>
              <w:t>0</w:t>
            </w:r>
            <w:r>
              <w:rPr>
                <w:color w:val="auto"/>
                <w:highlight w:val="none"/>
              </w:rPr>
              <w:t>）在项目靠近村庄等敏感点附近地段施工时采取增加洒水次数等措施，以控制和减轻施工扬尘对该保护目标的影响。</w:t>
            </w:r>
          </w:p>
          <w:p w14:paraId="6197B5F0">
            <w:pPr>
              <w:bidi w:val="0"/>
              <w:rPr>
                <w:rFonts w:hint="eastAsia"/>
                <w:b/>
                <w:bCs/>
                <w:color w:val="auto"/>
                <w:highlight w:val="none"/>
                <w:lang w:val="en-US" w:eastAsia="zh-CN"/>
              </w:rPr>
            </w:pPr>
            <w:r>
              <w:rPr>
                <w:rFonts w:hint="eastAsia"/>
                <w:b/>
                <w:bCs/>
                <w:color w:val="auto"/>
                <w:highlight w:val="none"/>
                <w:lang w:val="en-US" w:eastAsia="zh-CN"/>
              </w:rPr>
              <w:t>5.4声环境保护措施</w:t>
            </w:r>
          </w:p>
          <w:p w14:paraId="69DD9592">
            <w:pPr>
              <w:bidi w:val="0"/>
              <w:rPr>
                <w:color w:val="auto"/>
                <w:highlight w:val="none"/>
              </w:rPr>
            </w:pPr>
            <w:r>
              <w:rPr>
                <w:color w:val="auto"/>
                <w:highlight w:val="none"/>
              </w:rPr>
              <w:t>（1）夜间禁止施工，并尽量采用低噪声机械设备，对超过国家标准的机械应禁止其入场施工，施工过程中还应经常对设备进行维修保养，避免由于设备性能变差而导致噪声增加，对产生震动的环节进行加固或改造，对振动较大的设备可使用减震机座；对于施工期间的材料运输、敲击、人的喊叫等施工声源，要求施工队通过文明施工、加强有效管理加以缓解。</w:t>
            </w:r>
          </w:p>
          <w:p w14:paraId="1A541951">
            <w:pPr>
              <w:bidi w:val="0"/>
              <w:rPr>
                <w:color w:val="auto"/>
                <w:highlight w:val="none"/>
              </w:rPr>
            </w:pPr>
            <w:r>
              <w:rPr>
                <w:color w:val="auto"/>
                <w:highlight w:val="none"/>
              </w:rPr>
              <w:t>（2）在利用现有道路运输施工物资时，应合理选择运输路线，禁止夜间运输。此外，在途经村庄时，应减速慢行。建设单位应对施工承包商的运输路线提出要求，要求承包商必须提供材料运输路线，并请环保监理或环保专业人员确认施工路线在减缓噪声影响方面的合理性。建设单位根据确定后的运输路线进行监督，并可联合地方环保部门</w:t>
            </w:r>
            <w:r>
              <w:rPr>
                <w:rFonts w:hint="eastAsia"/>
                <w:color w:val="auto"/>
                <w:highlight w:val="none"/>
                <w:lang w:eastAsia="zh-CN"/>
              </w:rPr>
              <w:t>加大</w:t>
            </w:r>
            <w:r>
              <w:rPr>
                <w:color w:val="auto"/>
                <w:highlight w:val="none"/>
              </w:rPr>
              <w:t>监督力度。</w:t>
            </w:r>
          </w:p>
          <w:p w14:paraId="30B45AD4">
            <w:pPr>
              <w:bidi w:val="0"/>
              <w:rPr>
                <w:color w:val="auto"/>
                <w:highlight w:val="none"/>
              </w:rPr>
            </w:pPr>
            <w:r>
              <w:rPr>
                <w:color w:val="auto"/>
                <w:highlight w:val="none"/>
              </w:rPr>
              <w:t>（3）夜间禁止施工，昼间施工时也要进行良好的施工管理和采取必要的降噪措施，控制同时作业的高噪声设备的数量，以符合</w:t>
            </w:r>
            <w:r>
              <w:rPr>
                <w:rFonts w:hint="eastAsia"/>
                <w:color w:val="auto"/>
                <w:highlight w:val="none"/>
                <w:lang w:eastAsia="zh-CN"/>
              </w:rPr>
              <w:t>《建筑施工噪声排放标准》（GB12523-2025）</w:t>
            </w:r>
            <w:r>
              <w:rPr>
                <w:color w:val="auto"/>
                <w:highlight w:val="none"/>
              </w:rPr>
              <w:t>相关标准。</w:t>
            </w:r>
          </w:p>
          <w:p w14:paraId="00D0D637">
            <w:pPr>
              <w:bidi w:val="0"/>
              <w:rPr>
                <w:color w:val="auto"/>
                <w:highlight w:val="none"/>
              </w:rPr>
            </w:pPr>
            <w:r>
              <w:rPr>
                <w:color w:val="auto"/>
                <w:highlight w:val="none"/>
              </w:rPr>
              <w:t>（4）合理布置施工平面和施工的顺序，充分利用地形对</w:t>
            </w:r>
            <w:r>
              <w:rPr>
                <w:rFonts w:hint="eastAsia"/>
                <w:color w:val="auto"/>
                <w:highlight w:val="none"/>
                <w:lang w:eastAsia="zh-CN"/>
              </w:rPr>
              <w:t>噪声</w:t>
            </w:r>
            <w:r>
              <w:rPr>
                <w:color w:val="auto"/>
                <w:highlight w:val="none"/>
              </w:rPr>
              <w:t>的阻隔作用，调整作业工时，减少噪声对周边环境敏感点的影响。</w:t>
            </w:r>
          </w:p>
          <w:p w14:paraId="7CEFFEAC">
            <w:pPr>
              <w:bidi w:val="0"/>
              <w:rPr>
                <w:b/>
                <w:bCs/>
                <w:color w:val="auto"/>
                <w:highlight w:val="none"/>
              </w:rPr>
            </w:pPr>
            <w:r>
              <w:rPr>
                <w:rFonts w:hint="eastAsia"/>
                <w:b/>
                <w:bCs/>
                <w:color w:val="auto"/>
                <w:highlight w:val="none"/>
                <w:lang w:val="en-US" w:eastAsia="zh-CN"/>
              </w:rPr>
              <w:t>5.5</w:t>
            </w:r>
            <w:r>
              <w:rPr>
                <w:b/>
                <w:bCs/>
                <w:color w:val="auto"/>
                <w:highlight w:val="none"/>
              </w:rPr>
              <w:t>水环境保护措施</w:t>
            </w:r>
          </w:p>
          <w:p w14:paraId="12A163F5">
            <w:pPr>
              <w:bidi w:val="0"/>
              <w:rPr>
                <w:color w:val="auto"/>
                <w:highlight w:val="none"/>
              </w:rPr>
            </w:pPr>
            <w:r>
              <w:rPr>
                <w:color w:val="auto"/>
                <w:highlight w:val="none"/>
              </w:rPr>
              <w:t>项目的修建，施工道路路基的填筑、各种筑路材料的运输等均会产生扬尘，这些尘埃可能会随风飘落到附近的水体中，对其水质产生一定程度的不利影响。通过设置篷布对施工材料及临时堆土场进行遮盖，堆场周边设置排水沟，排水沟下游设置</w:t>
            </w:r>
            <w:r>
              <w:rPr>
                <w:rFonts w:hint="eastAsia"/>
                <w:color w:val="auto"/>
                <w:highlight w:val="none"/>
                <w:lang w:eastAsia="zh-CN"/>
              </w:rPr>
              <w:t>沉沙池</w:t>
            </w:r>
            <w:r>
              <w:rPr>
                <w:color w:val="auto"/>
                <w:highlight w:val="none"/>
              </w:rPr>
              <w:t>，减少原辅料及水土流失。</w:t>
            </w:r>
          </w:p>
          <w:p w14:paraId="5346A432">
            <w:pPr>
              <w:bidi w:val="0"/>
              <w:rPr>
                <w:color w:val="auto"/>
                <w:highlight w:val="none"/>
              </w:rPr>
            </w:pPr>
            <w:r>
              <w:rPr>
                <w:color w:val="auto"/>
                <w:highlight w:val="none"/>
              </w:rPr>
              <w:t>项目施工期不设施工营地及施工场地，</w:t>
            </w:r>
            <w:r>
              <w:rPr>
                <w:rFonts w:hint="eastAsia"/>
                <w:color w:val="auto"/>
                <w:highlight w:val="none"/>
                <w:lang w:eastAsia="zh-CN"/>
              </w:rPr>
              <w:t>施工废水经临时沉砂池沉淀后回用于洒水降尘，不外排。</w:t>
            </w:r>
            <w:r>
              <w:rPr>
                <w:color w:val="auto"/>
                <w:highlight w:val="none"/>
              </w:rPr>
              <w:t>项目混凝土养护废水一般在喷洒后即被吸收和蒸发。不会对周边水体造成影响。</w:t>
            </w:r>
          </w:p>
          <w:p w14:paraId="6B47F1D3">
            <w:pPr>
              <w:bidi w:val="0"/>
              <w:rPr>
                <w:b/>
                <w:bCs/>
                <w:color w:val="auto"/>
                <w:highlight w:val="none"/>
              </w:rPr>
            </w:pPr>
            <w:r>
              <w:rPr>
                <w:b/>
                <w:bCs/>
                <w:color w:val="auto"/>
                <w:highlight w:val="none"/>
              </w:rPr>
              <w:t>5.</w:t>
            </w:r>
            <w:r>
              <w:rPr>
                <w:rFonts w:hint="eastAsia"/>
                <w:b/>
                <w:bCs/>
                <w:color w:val="auto"/>
                <w:highlight w:val="none"/>
                <w:lang w:val="en-US" w:eastAsia="zh-CN"/>
              </w:rPr>
              <w:t>6</w:t>
            </w:r>
            <w:r>
              <w:rPr>
                <w:b/>
                <w:bCs/>
                <w:color w:val="auto"/>
                <w:highlight w:val="none"/>
              </w:rPr>
              <w:t>固体废弃物处置措施</w:t>
            </w:r>
          </w:p>
          <w:p w14:paraId="09E0E367">
            <w:pPr>
              <w:bidi w:val="0"/>
              <w:rPr>
                <w:color w:val="auto"/>
                <w:highlight w:val="none"/>
              </w:rPr>
            </w:pPr>
            <w:r>
              <w:rPr>
                <w:color w:val="auto"/>
                <w:highlight w:val="none"/>
              </w:rPr>
              <w:t>（1）施工弃渣处理要求</w:t>
            </w:r>
          </w:p>
          <w:p w14:paraId="20A0725E">
            <w:pPr>
              <w:bidi w:val="0"/>
              <w:rPr>
                <w:color w:val="auto"/>
                <w:highlight w:val="none"/>
              </w:rPr>
            </w:pPr>
            <w:r>
              <w:rPr>
                <w:color w:val="auto"/>
                <w:highlight w:val="none"/>
              </w:rPr>
              <w:t>应进一步优化弃渣方案，避免占用有林地，加强后续水保设计，报经相关部门批准后实施。出渣</w:t>
            </w:r>
            <w:r>
              <w:rPr>
                <w:rFonts w:hint="eastAsia"/>
                <w:color w:val="auto"/>
                <w:highlight w:val="none"/>
                <w:lang w:eastAsia="zh-CN"/>
              </w:rPr>
              <w:t>必须严格按照</w:t>
            </w:r>
            <w:r>
              <w:rPr>
                <w:color w:val="auto"/>
                <w:highlight w:val="none"/>
              </w:rPr>
              <w:t>主体工程施工图设计指定的表土堆场集中堆放，不得随意倾倒。</w:t>
            </w:r>
          </w:p>
          <w:p w14:paraId="652D0AD5">
            <w:pPr>
              <w:bidi w:val="0"/>
              <w:rPr>
                <w:color w:val="auto"/>
                <w:highlight w:val="none"/>
              </w:rPr>
            </w:pPr>
            <w:r>
              <w:rPr>
                <w:color w:val="auto"/>
                <w:highlight w:val="none"/>
              </w:rPr>
              <w:t>（2）生活垃圾处理要求</w:t>
            </w:r>
          </w:p>
          <w:p w14:paraId="22C0DFDE">
            <w:pPr>
              <w:bidi w:val="0"/>
              <w:rPr>
                <w:color w:val="auto"/>
                <w:spacing w:val="-2"/>
                <w:highlight w:val="none"/>
              </w:rPr>
            </w:pPr>
            <w:r>
              <w:rPr>
                <w:color w:val="auto"/>
                <w:highlight w:val="none"/>
              </w:rPr>
              <w:t>施工期生活垃圾，建议在各施工场地设置垃圾收集桶，联系当地环卫部门定期清运。</w:t>
            </w:r>
          </w:p>
        </w:tc>
      </w:tr>
      <w:tr w14:paraId="554BF4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730" w:type="dxa"/>
            <w:noWrap w:val="0"/>
            <w:tcMar>
              <w:left w:w="28" w:type="dxa"/>
              <w:right w:w="28" w:type="dxa"/>
            </w:tcMar>
            <w:vAlign w:val="center"/>
          </w:tcPr>
          <w:p w14:paraId="3CFEFED3">
            <w:pPr>
              <w:adjustRightInd w:val="0"/>
              <w:snapToGrid w:val="0"/>
              <w:ind w:left="0" w:leftChars="0" w:firstLine="0" w:firstLineChars="0"/>
              <w:jc w:val="both"/>
              <w:rPr>
                <w:rFonts w:ascii="宋体" w:hAnsi="宋体" w:cs="宋体"/>
                <w:bCs/>
                <w:color w:val="auto"/>
                <w:spacing w:val="10"/>
                <w:sz w:val="24"/>
                <w:szCs w:val="24"/>
                <w:highlight w:val="none"/>
              </w:rPr>
            </w:pPr>
            <w:r>
              <w:rPr>
                <w:rFonts w:hint="eastAsia" w:ascii="宋体" w:hAnsi="宋体" w:cs="宋体"/>
                <w:bCs/>
                <w:color w:val="auto"/>
                <w:spacing w:val="10"/>
                <w:sz w:val="24"/>
                <w:szCs w:val="24"/>
                <w:highlight w:val="none"/>
              </w:rPr>
              <w:t>运营期生态环境保护措施</w:t>
            </w:r>
          </w:p>
        </w:tc>
        <w:tc>
          <w:tcPr>
            <w:tcW w:w="8480" w:type="dxa"/>
            <w:noWrap w:val="0"/>
            <w:vAlign w:val="top"/>
          </w:tcPr>
          <w:p w14:paraId="44379AA4">
            <w:pPr>
              <w:bidi w:val="0"/>
              <w:rPr>
                <w:b/>
                <w:bCs/>
                <w:color w:val="auto"/>
                <w:highlight w:val="none"/>
              </w:rPr>
            </w:pPr>
            <w:r>
              <w:rPr>
                <w:b/>
                <w:bCs/>
                <w:color w:val="auto"/>
                <w:highlight w:val="none"/>
              </w:rPr>
              <w:t>5.</w:t>
            </w:r>
            <w:r>
              <w:rPr>
                <w:rFonts w:hint="eastAsia"/>
                <w:b/>
                <w:bCs/>
                <w:color w:val="auto"/>
                <w:highlight w:val="none"/>
                <w:lang w:val="en-US" w:eastAsia="zh-CN"/>
              </w:rPr>
              <w:t>7</w:t>
            </w:r>
            <w:r>
              <w:rPr>
                <w:b/>
                <w:bCs/>
                <w:color w:val="auto"/>
                <w:highlight w:val="none"/>
              </w:rPr>
              <w:t>运营期生态环境保护措施</w:t>
            </w:r>
          </w:p>
          <w:p w14:paraId="4B4A99E2">
            <w:pPr>
              <w:bidi w:val="0"/>
              <w:rPr>
                <w:b/>
                <w:bCs/>
                <w:color w:val="auto"/>
                <w:highlight w:val="none"/>
              </w:rPr>
            </w:pPr>
            <w:r>
              <w:rPr>
                <w:b/>
                <w:bCs/>
                <w:color w:val="auto"/>
                <w:highlight w:val="none"/>
              </w:rPr>
              <w:t>5.</w:t>
            </w:r>
            <w:r>
              <w:rPr>
                <w:rFonts w:hint="eastAsia"/>
                <w:b/>
                <w:bCs/>
                <w:color w:val="auto"/>
                <w:highlight w:val="none"/>
                <w:lang w:val="en-US" w:eastAsia="zh-CN"/>
              </w:rPr>
              <w:t>7</w:t>
            </w:r>
            <w:r>
              <w:rPr>
                <w:b/>
                <w:bCs/>
                <w:color w:val="auto"/>
                <w:highlight w:val="none"/>
              </w:rPr>
              <w:t>.1植物保护措施</w:t>
            </w:r>
          </w:p>
          <w:p w14:paraId="67AEC1E6">
            <w:pPr>
              <w:bidi w:val="0"/>
              <w:rPr>
                <w:color w:val="auto"/>
                <w:highlight w:val="none"/>
              </w:rPr>
            </w:pPr>
            <w:r>
              <w:rPr>
                <w:color w:val="auto"/>
                <w:highlight w:val="none"/>
              </w:rPr>
              <w:t>本工程的建设会造成该地区生物量一定程度的减少，因此工程建设及运行期要采取一定的生态保护措施，工程施工结束后，应及时对施工便道、施工场地等临时占地植被恢复。枢纽区植被恢复除考虑路基防护、水土保持外，还应适当考虑景观及环保作用，使水保、绿化、美化、环保有机结合为一体。对占用林地及灌草地的植被恢复。在“适地适树、适地适草”的原则下，树种、草种应以选择当地优良的乡土树种草种为主，保证绿化栽植的成活率。把剥离的表层熟土回填至周围的植被恢复区内，用作施工区植被恢复。</w:t>
            </w:r>
          </w:p>
          <w:p w14:paraId="05AFCB75">
            <w:pPr>
              <w:bidi w:val="0"/>
              <w:rPr>
                <w:color w:val="auto"/>
                <w:highlight w:val="none"/>
              </w:rPr>
            </w:pPr>
            <w:r>
              <w:rPr>
                <w:color w:val="auto"/>
                <w:highlight w:val="none"/>
              </w:rPr>
              <w:t>在植被恢复期，树种、草种的选择应以当地优良的乡土树种草种为主，并通过建立外来物种环境影响评价制度和加强外来物种引进的监管工作等来防止外来物种的入侵，保护本地物种。在植被恢复时注意的技术要点：①选择适宜的林草种；②根据岩土组成，正确划分坡地类型，根据具体类型采取相应的植被恢复措施：植被恢复应针对不同岩土组成生境的水分条件，主要依靠优势生活型植物种类，进行乔灌草不同生活型植物类型的合理配置，建立起植被与生境水分条件的群落生态关系，方能达到成功的目的，如在侵蚀冲沟两侧等坡度较大的坡地，土壤极干旱，基本无法进行人工植被恢复，应进行</w:t>
            </w:r>
            <w:r>
              <w:rPr>
                <w:rFonts w:hint="eastAsia"/>
                <w:color w:val="auto"/>
                <w:highlight w:val="none"/>
                <w:lang w:eastAsia="zh-CN"/>
              </w:rPr>
              <w:t>封闭</w:t>
            </w:r>
            <w:r>
              <w:rPr>
                <w:color w:val="auto"/>
                <w:highlight w:val="none"/>
              </w:rPr>
              <w:t>管理，使植被自然恢复。近地面小气候条件恶劣，对幼树生长极端不利，种植后成活率低，成活后保存率低，制约着人工植被恢复的进程，所以选择覆盖性能强的速生草本植物，迅速覆盖地表，发展多层次多种结构的人工混交植被类型尤为重要。混交模式必须遵循：混交类型以灌草为主，在砾石层坡地及其它</w:t>
            </w:r>
            <w:r>
              <w:rPr>
                <w:rFonts w:hint="eastAsia"/>
                <w:color w:val="auto"/>
                <w:highlight w:val="none"/>
                <w:lang w:eastAsia="zh-CN"/>
              </w:rPr>
              <w:t>水分</w:t>
            </w:r>
            <w:r>
              <w:rPr>
                <w:color w:val="auto"/>
                <w:highlight w:val="none"/>
              </w:rPr>
              <w:t>条件较好的地段，可建立乔灌草人工混交植被，但必须控制乔木的比例；进行多林草种的搭配，建立稳定的多样性人工植被，多林草搭配应注意豆科和非豆科、阴性和阳性植物的搭配，混交方式以行间混交为主。</w:t>
            </w:r>
          </w:p>
          <w:p w14:paraId="18E4F99C">
            <w:pPr>
              <w:bidi w:val="0"/>
              <w:rPr>
                <w:color w:val="auto"/>
                <w:highlight w:val="none"/>
              </w:rPr>
            </w:pPr>
            <w:r>
              <w:rPr>
                <w:color w:val="auto"/>
                <w:highlight w:val="none"/>
              </w:rPr>
              <w:t>风电机组和箱变区</w:t>
            </w:r>
            <w:r>
              <w:rPr>
                <w:rFonts w:hint="eastAsia"/>
                <w:color w:val="auto"/>
                <w:highlight w:val="none"/>
                <w:lang w:val="en-US" w:eastAsia="zh-CN"/>
              </w:rPr>
              <w:t>设计</w:t>
            </w:r>
            <w:r>
              <w:rPr>
                <w:color w:val="auto"/>
                <w:highlight w:val="none"/>
              </w:rPr>
              <w:t>考虑</w:t>
            </w:r>
            <w:r>
              <w:rPr>
                <w:rFonts w:hint="eastAsia"/>
                <w:color w:val="auto"/>
                <w:highlight w:val="none"/>
                <w:lang w:val="en-US" w:eastAsia="zh-CN"/>
              </w:rPr>
              <w:t>在</w:t>
            </w:r>
            <w:r>
              <w:rPr>
                <w:color w:val="auto"/>
                <w:highlight w:val="none"/>
              </w:rPr>
              <w:t>施工前对风机基坑及箱变开挖占地进行表土剥离，表土堆放实施临时编织袋拦挡措施，编织袋装土直接利用堆放的表土或需要回填的临时堆土，使用完时将编织袋清理干净，表土堆放期间的临时防尘网覆盖措施，待施工结束后用于本区临时占地进行植被恢复。施工结束后，对风机及箱变永久占地范围内未被硬化区域及临时吊装场地采取灌草结合的方式予以植被恢复。</w:t>
            </w:r>
          </w:p>
          <w:p w14:paraId="31CD7AEF">
            <w:pPr>
              <w:bidi w:val="0"/>
              <w:rPr>
                <w:b/>
                <w:bCs/>
                <w:color w:val="auto"/>
                <w:highlight w:val="none"/>
              </w:rPr>
            </w:pPr>
            <w:r>
              <w:rPr>
                <w:b/>
                <w:bCs/>
                <w:color w:val="auto"/>
                <w:highlight w:val="none"/>
              </w:rPr>
              <w:t>5.</w:t>
            </w:r>
            <w:r>
              <w:rPr>
                <w:rFonts w:hint="eastAsia"/>
                <w:b/>
                <w:bCs/>
                <w:color w:val="auto"/>
                <w:highlight w:val="none"/>
                <w:lang w:val="en-US" w:eastAsia="zh-CN"/>
              </w:rPr>
              <w:t>7</w:t>
            </w:r>
            <w:r>
              <w:rPr>
                <w:b/>
                <w:bCs/>
                <w:color w:val="auto"/>
                <w:highlight w:val="none"/>
              </w:rPr>
              <w:t>.2动物保护措施</w:t>
            </w:r>
          </w:p>
          <w:p w14:paraId="7D8F4328">
            <w:pPr>
              <w:bidi w:val="0"/>
              <w:rPr>
                <w:color w:val="auto"/>
                <w:highlight w:val="none"/>
              </w:rPr>
            </w:pPr>
            <w:r>
              <w:rPr>
                <w:color w:val="auto"/>
                <w:highlight w:val="none"/>
              </w:rPr>
              <w:t>（1）加强对场区的管理，在场区和主要路口设置警示牌，禁止无关人员在场区范围内进行捕鸟、破坏鸟类生境等活动。</w:t>
            </w:r>
          </w:p>
          <w:p w14:paraId="695E1609">
            <w:pPr>
              <w:bidi w:val="0"/>
              <w:rPr>
                <w:color w:val="auto"/>
                <w:highlight w:val="none"/>
              </w:rPr>
            </w:pPr>
            <w:r>
              <w:rPr>
                <w:color w:val="auto"/>
                <w:highlight w:val="none"/>
              </w:rPr>
              <w:t>（2）风电场建成后，应加强场区巡视，密切关注风电场内的鸟类死亡情况，一旦发现异常，应及时</w:t>
            </w:r>
            <w:r>
              <w:rPr>
                <w:rFonts w:hint="eastAsia"/>
                <w:color w:val="auto"/>
                <w:highlight w:val="none"/>
                <w:lang w:eastAsia="zh-CN"/>
              </w:rPr>
              <w:t>拍照、记录、上报</w:t>
            </w:r>
            <w:r>
              <w:rPr>
                <w:color w:val="auto"/>
                <w:highlight w:val="none"/>
              </w:rPr>
              <w:t>，采取措施来解决问题；同时在必要时对受伤鸟类实施救护。</w:t>
            </w:r>
          </w:p>
          <w:p w14:paraId="22B23B05">
            <w:pPr>
              <w:bidi w:val="0"/>
              <w:rPr>
                <w:color w:val="auto"/>
                <w:highlight w:val="none"/>
              </w:rPr>
            </w:pPr>
            <w:r>
              <w:rPr>
                <w:color w:val="auto"/>
                <w:highlight w:val="none"/>
              </w:rPr>
              <w:t>（3）在风机叶片上绘制驱鸟图案，减少鸟类撞击叶片事故概率。</w:t>
            </w:r>
          </w:p>
          <w:p w14:paraId="40CBB691">
            <w:pPr>
              <w:bidi w:val="0"/>
              <w:rPr>
                <w:color w:val="auto"/>
                <w:highlight w:val="none"/>
              </w:rPr>
            </w:pPr>
            <w:r>
              <w:rPr>
                <w:color w:val="auto"/>
                <w:highlight w:val="none"/>
              </w:rPr>
              <w:t>（4）加强鸟类的保护管理，加强对电场工作人员和当地居民的爱鸟护鸟教育宣传工作，避免人为伤害或干扰鸟类的事件发生。</w:t>
            </w:r>
          </w:p>
          <w:p w14:paraId="141D85F1">
            <w:pPr>
              <w:bidi w:val="0"/>
              <w:rPr>
                <w:color w:val="auto"/>
                <w:highlight w:val="none"/>
              </w:rPr>
            </w:pPr>
            <w:r>
              <w:rPr>
                <w:color w:val="auto"/>
                <w:highlight w:val="none"/>
              </w:rPr>
              <w:t>（5）风电场场区内应密闭保存工人食物以避免吸引啮齿目动物的到来，从而不人为增加猛禽在区域出现的频率。</w:t>
            </w:r>
          </w:p>
          <w:p w14:paraId="719E149E">
            <w:pPr>
              <w:rPr>
                <w:color w:val="auto"/>
              </w:rPr>
            </w:pPr>
            <w:r>
              <w:rPr>
                <w:color w:val="auto"/>
              </w:rPr>
              <w:t>（5）风电场场区内应密闭保存工人食物，避免吸引啮齿目动物进入场区，不人为增加猛禽在该区域的活动频率；在场区及周边布设兽类监测红外相机，实时掌握兽类活动范围与种群动态，针对重点保护兽类划定核心避让区，施工与运营阶段禁止进入该区域作业；优化风电机组的选址布设，避开兽类的繁殖栖息地与迁徙廊道，如需穿越兽类活动频繁区域，可配套建设兽类下穿通道并配套植被恢复，保障兽类的活动与基因交流不受阻断；定期对员工开展兽类保护培训，严禁员工私自投喂、猎捕场区兽类，若发现受伤困兽第一时间联系当地林业保护部门处置。</w:t>
            </w:r>
          </w:p>
          <w:p w14:paraId="1BBD945B">
            <w:pPr>
              <w:bidi w:val="0"/>
              <w:rPr>
                <w:color w:val="auto"/>
                <w:highlight w:val="none"/>
              </w:rPr>
            </w:pPr>
          </w:p>
          <w:p w14:paraId="3B35EDCD">
            <w:pPr>
              <w:bidi w:val="0"/>
              <w:rPr>
                <w:b/>
                <w:bCs/>
                <w:color w:val="auto"/>
                <w:highlight w:val="none"/>
              </w:rPr>
            </w:pPr>
            <w:r>
              <w:rPr>
                <w:b/>
                <w:bCs/>
                <w:color w:val="auto"/>
                <w:highlight w:val="none"/>
              </w:rPr>
              <w:t>5.</w:t>
            </w:r>
            <w:r>
              <w:rPr>
                <w:rFonts w:hint="eastAsia"/>
                <w:b/>
                <w:bCs/>
                <w:color w:val="auto"/>
                <w:highlight w:val="none"/>
                <w:lang w:val="en-US" w:eastAsia="zh-CN"/>
              </w:rPr>
              <w:t>7</w:t>
            </w:r>
            <w:r>
              <w:rPr>
                <w:b/>
                <w:bCs/>
                <w:color w:val="auto"/>
                <w:highlight w:val="none"/>
              </w:rPr>
              <w:t>.3噪声防治措施</w:t>
            </w:r>
          </w:p>
          <w:p w14:paraId="4631FB2E">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为进一步减少风机噪声对周边环境噪声的影响，建设单位还应做到：</w:t>
            </w:r>
          </w:p>
          <w:p w14:paraId="7A8CFC75">
            <w:pPr>
              <w:bidi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①</w:t>
            </w:r>
            <w:r>
              <w:rPr>
                <w:rFonts w:ascii="Times New Roman" w:hAnsi="Times New Roman" w:eastAsia="宋体" w:cs="Times New Roman"/>
                <w:color w:val="auto"/>
                <w:highlight w:val="none"/>
              </w:rPr>
              <w:t>加装锯齿尾缘</w:t>
            </w:r>
          </w:p>
          <w:p w14:paraId="10872F25">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在风力发电机的叶片尾缘加装锯齿尾缘，尾缘锯齿会使流动在尾缘处形成一列反向旋转的涡对，改变了尾涡结构，减弱了下游尾迹区的展向相关性，减小了噪声的远场辐射。</w:t>
            </w:r>
          </w:p>
          <w:p w14:paraId="0F8CA37F">
            <w:pPr>
              <w:bidi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②</w:t>
            </w:r>
            <w:r>
              <w:rPr>
                <w:rFonts w:ascii="Times New Roman" w:hAnsi="Times New Roman" w:eastAsia="宋体" w:cs="Times New Roman"/>
                <w:color w:val="auto"/>
                <w:highlight w:val="none"/>
              </w:rPr>
              <w:t>降噪运行模式</w:t>
            </w:r>
          </w:p>
          <w:p w14:paraId="632432B0">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对机位在</w:t>
            </w:r>
            <w:r>
              <w:rPr>
                <w:rFonts w:hint="eastAsia" w:ascii="Times New Roman" w:hAnsi="Times New Roman" w:eastAsia="宋体" w:cs="Times New Roman"/>
                <w:color w:val="auto"/>
                <w:highlight w:val="none"/>
              </w:rPr>
              <w:t>某个</w:t>
            </w:r>
            <w:r>
              <w:rPr>
                <w:rFonts w:ascii="Times New Roman" w:hAnsi="Times New Roman" w:eastAsia="宋体" w:cs="Times New Roman"/>
                <w:color w:val="auto"/>
                <w:highlight w:val="none"/>
              </w:rPr>
              <w:t>时间段（尤其夜间）、风向段、风速段实施停机或减速或偏航（减小切入角）操作，减速某个风向上特殊风况对风机的影响，降低风机的载荷，以降低发电量为代价，确保气动噪声的降低。</w:t>
            </w:r>
          </w:p>
          <w:p w14:paraId="33BC2A8E">
            <w:pPr>
              <w:bidi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③</w:t>
            </w:r>
            <w:r>
              <w:rPr>
                <w:rFonts w:ascii="Times New Roman" w:hAnsi="Times New Roman" w:eastAsia="宋体" w:cs="Times New Roman"/>
                <w:color w:val="auto"/>
                <w:highlight w:val="none"/>
              </w:rPr>
              <w:t>从</w:t>
            </w:r>
            <w:r>
              <w:rPr>
                <w:rFonts w:hint="eastAsia" w:ascii="Times New Roman" w:hAnsi="Times New Roman" w:eastAsia="宋体" w:cs="Times New Roman"/>
                <w:color w:val="auto"/>
                <w:highlight w:val="none"/>
              </w:rPr>
              <w:t>噪声</w:t>
            </w:r>
            <w:r>
              <w:rPr>
                <w:rFonts w:ascii="Times New Roman" w:hAnsi="Times New Roman" w:eastAsia="宋体" w:cs="Times New Roman"/>
                <w:color w:val="auto"/>
                <w:highlight w:val="none"/>
              </w:rPr>
              <w:t>的声源处进行降噪</w:t>
            </w:r>
          </w:p>
          <w:p w14:paraId="59D53EC8">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●加工工艺和运营维护的精益管理</w:t>
            </w:r>
          </w:p>
          <w:p w14:paraId="160127D5">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提高加工工艺和安装精度，同时做好运营维护管理，使齿轮和轴承保持良好的润滑。在风力发电机安装和运行过程中，由于安装精度或者运营维护的欠缺，齿轮和轴承的摩擦会产生铁屑增加摩擦系数，进而提高噪音分贝。</w:t>
            </w:r>
          </w:p>
          <w:p w14:paraId="52491C49">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●采用弹性连接</w:t>
            </w:r>
          </w:p>
          <w:p w14:paraId="6B13A3C1">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为减小机械部件的振动，可在接近力源的地方切断振动传递的途径，如用弹性连接替代刚性连接。</w:t>
            </w:r>
          </w:p>
          <w:p w14:paraId="2BCA01D5">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●采用高阻尼材料或增加</w:t>
            </w:r>
            <w:r>
              <w:rPr>
                <w:rFonts w:hint="eastAsia" w:ascii="Times New Roman" w:hAnsi="Times New Roman" w:eastAsia="宋体" w:cs="Times New Roman"/>
                <w:color w:val="auto"/>
                <w:highlight w:val="none"/>
              </w:rPr>
              <w:t>消声</w:t>
            </w:r>
            <w:r>
              <w:rPr>
                <w:rFonts w:ascii="Times New Roman" w:hAnsi="Times New Roman" w:eastAsia="宋体" w:cs="Times New Roman"/>
                <w:color w:val="auto"/>
                <w:highlight w:val="none"/>
              </w:rPr>
              <w:t>装置</w:t>
            </w:r>
          </w:p>
          <w:p w14:paraId="55C1F087">
            <w:pPr>
              <w:bidi w:val="0"/>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采用高阻尼材料吸收机械部位的振动能，以降低振动</w:t>
            </w:r>
            <w:r>
              <w:rPr>
                <w:rFonts w:hint="eastAsia" w:ascii="Times New Roman" w:hAnsi="Times New Roman" w:eastAsia="宋体" w:cs="Times New Roman"/>
                <w:color w:val="auto"/>
                <w:highlight w:val="none"/>
              </w:rPr>
              <w:t>噪声</w:t>
            </w:r>
            <w:r>
              <w:rPr>
                <w:rFonts w:ascii="Times New Roman" w:hAnsi="Times New Roman" w:eastAsia="宋体" w:cs="Times New Roman"/>
                <w:color w:val="auto"/>
                <w:highlight w:val="none"/>
              </w:rPr>
              <w:t>，如：机舱外壳采用高阻尼和更加吸音的材料；在发电机散热风扇及变流器散热器等辅助设备处安装</w:t>
            </w:r>
            <w:r>
              <w:rPr>
                <w:rFonts w:hint="eastAsia" w:ascii="Times New Roman" w:hAnsi="Times New Roman" w:eastAsia="宋体" w:cs="Times New Roman"/>
                <w:color w:val="auto"/>
                <w:highlight w:val="none"/>
              </w:rPr>
              <w:t>消声</w:t>
            </w:r>
            <w:r>
              <w:rPr>
                <w:rFonts w:ascii="Times New Roman" w:hAnsi="Times New Roman" w:eastAsia="宋体" w:cs="Times New Roman"/>
                <w:color w:val="auto"/>
                <w:highlight w:val="none"/>
              </w:rPr>
              <w:t>装置；</w:t>
            </w:r>
          </w:p>
          <w:p w14:paraId="32198074">
            <w:pPr>
              <w:bidi w:val="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④</w:t>
            </w:r>
            <w:r>
              <w:rPr>
                <w:rFonts w:ascii="Times New Roman" w:hAnsi="Times New Roman" w:eastAsia="宋体" w:cs="Times New Roman"/>
                <w:color w:val="auto"/>
                <w:highlight w:val="none"/>
              </w:rPr>
              <w:t>从</w:t>
            </w:r>
            <w:r>
              <w:rPr>
                <w:rFonts w:hint="eastAsia" w:ascii="Times New Roman" w:hAnsi="Times New Roman" w:eastAsia="宋体" w:cs="Times New Roman"/>
                <w:color w:val="auto"/>
                <w:highlight w:val="none"/>
              </w:rPr>
              <w:t>噪声</w:t>
            </w:r>
            <w:r>
              <w:rPr>
                <w:rFonts w:ascii="Times New Roman" w:hAnsi="Times New Roman" w:eastAsia="宋体" w:cs="Times New Roman"/>
                <w:color w:val="auto"/>
                <w:highlight w:val="none"/>
              </w:rPr>
              <w:t>的接收处进行降噪</w:t>
            </w:r>
          </w:p>
          <w:p w14:paraId="76CED8C1">
            <w:pPr>
              <w:bidi w:val="0"/>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应上报当地政府，明确项目风机机位700m范围内不宜规划噪声敏感建筑。</w:t>
            </w:r>
          </w:p>
          <w:p w14:paraId="363B3ABA">
            <w:pPr>
              <w:bidi w:val="0"/>
              <w:rPr>
                <w:b/>
                <w:bCs/>
                <w:color w:val="auto"/>
                <w:highlight w:val="none"/>
              </w:rPr>
            </w:pPr>
            <w:r>
              <w:rPr>
                <w:b/>
                <w:bCs/>
                <w:color w:val="auto"/>
                <w:highlight w:val="none"/>
              </w:rPr>
              <w:t>5.</w:t>
            </w:r>
            <w:r>
              <w:rPr>
                <w:rFonts w:hint="eastAsia"/>
                <w:b/>
                <w:bCs/>
                <w:color w:val="auto"/>
                <w:highlight w:val="none"/>
                <w:lang w:val="en-US" w:eastAsia="zh-CN"/>
              </w:rPr>
              <w:t>7</w:t>
            </w:r>
            <w:r>
              <w:rPr>
                <w:b/>
                <w:bCs/>
                <w:color w:val="auto"/>
                <w:highlight w:val="none"/>
              </w:rPr>
              <w:t>.4大气防治措施</w:t>
            </w:r>
          </w:p>
          <w:p w14:paraId="4FAC0897">
            <w:pPr>
              <w:rPr>
                <w:rFonts w:hint="eastAsia" w:eastAsia="宋体"/>
                <w:color w:val="auto"/>
                <w:lang w:eastAsia="zh-CN"/>
              </w:rPr>
            </w:pPr>
            <w:r>
              <w:rPr>
                <w:rFonts w:hint="eastAsia"/>
                <w:color w:val="auto"/>
                <w:highlight w:val="none"/>
                <w:lang w:eastAsia="zh-CN"/>
              </w:rPr>
              <w:t>运营期应加强管理，确保风机设备正常运行，减少因设备故障导致的异常排放。风力发电场运营过程中无废气产生，不设置食堂，</w:t>
            </w:r>
            <w:r>
              <w:rPr>
                <w:rFonts w:hint="eastAsia" w:cs="Times New Roman"/>
                <w:color w:val="auto"/>
                <w:highlight w:val="none"/>
                <w:lang w:eastAsia="zh-CN"/>
              </w:rPr>
              <w:t>依托</w:t>
            </w:r>
            <w:r>
              <w:rPr>
                <w:rFonts w:hint="default" w:ascii="Times New Roman" w:hAnsi="Times New Roman" w:cs="Times New Roman"/>
                <w:color w:val="auto"/>
                <w:highlight w:val="none"/>
                <w:lang w:eastAsia="zh-CN"/>
              </w:rPr>
              <w:t>热水光伏电站管理人员</w:t>
            </w:r>
            <w:r>
              <w:rPr>
                <w:rFonts w:hint="eastAsia"/>
                <w:color w:val="auto"/>
                <w:highlight w:val="none"/>
                <w:lang w:eastAsia="zh-CN"/>
              </w:rPr>
              <w:t>，因此无废气影响。</w:t>
            </w:r>
          </w:p>
          <w:p w14:paraId="67D796B7">
            <w:pPr>
              <w:bidi w:val="0"/>
              <w:rPr>
                <w:b/>
                <w:bCs/>
                <w:color w:val="auto"/>
                <w:highlight w:val="none"/>
              </w:rPr>
            </w:pPr>
            <w:r>
              <w:rPr>
                <w:b/>
                <w:bCs/>
                <w:color w:val="auto"/>
                <w:highlight w:val="none"/>
              </w:rPr>
              <w:t>5.</w:t>
            </w:r>
            <w:r>
              <w:rPr>
                <w:rFonts w:hint="eastAsia"/>
                <w:b/>
                <w:bCs/>
                <w:color w:val="auto"/>
                <w:highlight w:val="none"/>
                <w:lang w:val="en-US" w:eastAsia="zh-CN"/>
              </w:rPr>
              <w:t>7</w:t>
            </w:r>
            <w:r>
              <w:rPr>
                <w:b/>
                <w:bCs/>
                <w:color w:val="auto"/>
                <w:highlight w:val="none"/>
              </w:rPr>
              <w:t>.</w:t>
            </w:r>
            <w:r>
              <w:rPr>
                <w:rFonts w:hint="eastAsia"/>
                <w:b/>
                <w:bCs/>
                <w:color w:val="auto"/>
                <w:highlight w:val="none"/>
                <w:lang w:val="en-US" w:eastAsia="zh-CN"/>
              </w:rPr>
              <w:t>5</w:t>
            </w:r>
            <w:r>
              <w:rPr>
                <w:b/>
                <w:bCs/>
                <w:color w:val="auto"/>
                <w:highlight w:val="none"/>
              </w:rPr>
              <w:t>固体废弃物处置措施</w:t>
            </w:r>
          </w:p>
          <w:p w14:paraId="635A8FD9">
            <w:pPr>
              <w:bidi w:val="0"/>
              <w:rPr>
                <w:color w:val="auto"/>
                <w:highlight w:val="none"/>
              </w:rPr>
            </w:pPr>
            <w:r>
              <w:rPr>
                <w:color w:val="auto"/>
                <w:highlight w:val="none"/>
              </w:rPr>
              <w:t>（1）</w:t>
            </w:r>
            <w:r>
              <w:rPr>
                <w:rFonts w:hint="eastAsia"/>
                <w:color w:val="auto"/>
                <w:highlight w:val="none"/>
                <w:lang w:eastAsia="zh-CN"/>
              </w:rPr>
              <w:t>一般固废</w:t>
            </w:r>
            <w:r>
              <w:rPr>
                <w:color w:val="auto"/>
                <w:highlight w:val="none"/>
              </w:rPr>
              <w:t>处理要求</w:t>
            </w:r>
          </w:p>
          <w:p w14:paraId="68E90CCA">
            <w:pPr>
              <w:numPr>
                <w:ilvl w:val="-1"/>
                <w:numId w:val="0"/>
              </w:numPr>
              <w:bidi w:val="0"/>
              <w:ind w:firstLine="480" w:firstLineChars="200"/>
              <w:rPr>
                <w:rFonts w:hint="eastAsia"/>
                <w:color w:val="auto"/>
                <w:highlight w:val="none"/>
                <w:lang w:eastAsia="zh-CN"/>
              </w:rPr>
            </w:pPr>
            <w:r>
              <w:rPr>
                <w:color w:val="auto"/>
                <w:highlight w:val="none"/>
              </w:rPr>
              <w:t>风电机组为密闭系统，正常运转时无固体废物产生。</w:t>
            </w:r>
            <w:r>
              <w:rPr>
                <w:rFonts w:hint="eastAsia"/>
                <w:color w:val="auto"/>
                <w:highlight w:val="none"/>
                <w:lang w:eastAsia="zh-CN"/>
              </w:rPr>
              <w:t>主要为开关站</w:t>
            </w:r>
            <w:r>
              <w:rPr>
                <w:color w:val="auto"/>
                <w:highlight w:val="none"/>
              </w:rPr>
              <w:t>产生的</w:t>
            </w:r>
            <w:r>
              <w:rPr>
                <w:rFonts w:hint="eastAsia"/>
                <w:color w:val="auto"/>
                <w:highlight w:val="none"/>
                <w:lang w:val="en-US" w:eastAsia="zh-CN"/>
              </w:rPr>
              <w:t>废旧零部件、</w:t>
            </w:r>
            <w:r>
              <w:rPr>
                <w:color w:val="auto"/>
                <w:highlight w:val="none"/>
              </w:rPr>
              <w:t>报废的设备和配件等检修废物，约0</w:t>
            </w:r>
            <w:r>
              <w:rPr>
                <w:rFonts w:hint="eastAsia"/>
                <w:color w:val="auto"/>
                <w:highlight w:val="none"/>
                <w:lang w:val="en-US" w:eastAsia="zh-CN"/>
              </w:rPr>
              <w:t>.1</w:t>
            </w:r>
            <w:r>
              <w:rPr>
                <w:color w:val="auto"/>
                <w:highlight w:val="none"/>
              </w:rPr>
              <w:t>t/a。检修废物收集后临时贮存在</w:t>
            </w:r>
            <w:r>
              <w:rPr>
                <w:rFonts w:hint="eastAsia"/>
                <w:color w:val="auto"/>
                <w:highlight w:val="none"/>
                <w:lang w:eastAsia="zh-CN"/>
              </w:rPr>
              <w:t>开关站</w:t>
            </w:r>
            <w:r>
              <w:rPr>
                <w:color w:val="auto"/>
                <w:highlight w:val="none"/>
              </w:rPr>
              <w:t>内</w:t>
            </w:r>
            <w:r>
              <w:rPr>
                <w:rFonts w:hint="eastAsia"/>
                <w:color w:val="auto"/>
                <w:highlight w:val="none"/>
                <w:lang w:eastAsia="zh-CN"/>
              </w:rPr>
              <w:t>的固废舱</w:t>
            </w:r>
            <w:r>
              <w:rPr>
                <w:color w:val="auto"/>
                <w:highlight w:val="none"/>
              </w:rPr>
              <w:t>，废旧玻璃钢材料和包装物外卖给废品收购公司综合利用，废轴承由厂家回收处置。</w:t>
            </w:r>
          </w:p>
          <w:p w14:paraId="5C6EE4CB">
            <w:pPr>
              <w:bidi w:val="0"/>
              <w:rPr>
                <w:color w:val="auto"/>
                <w:highlight w:val="none"/>
              </w:rPr>
            </w:pPr>
            <w:r>
              <w:rPr>
                <w:color w:val="auto"/>
                <w:highlight w:val="none"/>
              </w:rPr>
              <w:t>（2）危险废物处理要求</w:t>
            </w:r>
          </w:p>
          <w:p w14:paraId="0026B0A9">
            <w:pPr>
              <w:bidi w:val="0"/>
              <w:rPr>
                <w:color w:val="auto"/>
                <w:highlight w:val="none"/>
              </w:rPr>
            </w:pPr>
            <w:r>
              <w:rPr>
                <w:color w:val="auto"/>
                <w:highlight w:val="none"/>
              </w:rPr>
              <w:t>在</w:t>
            </w:r>
            <w:r>
              <w:rPr>
                <w:rFonts w:hint="eastAsia"/>
                <w:color w:val="auto"/>
                <w:highlight w:val="none"/>
                <w:lang w:eastAsia="zh-CN"/>
              </w:rPr>
              <w:t>开关站</w:t>
            </w:r>
            <w:r>
              <w:rPr>
                <w:color w:val="auto"/>
                <w:highlight w:val="none"/>
              </w:rPr>
              <w:t>内设置</w:t>
            </w:r>
            <w:r>
              <w:rPr>
                <w:rFonts w:hint="eastAsia"/>
                <w:color w:val="auto"/>
                <w:highlight w:val="none"/>
                <w:lang w:eastAsia="zh-CN"/>
              </w:rPr>
              <w:t>危废贮存</w:t>
            </w:r>
            <w:r>
              <w:rPr>
                <w:color w:val="auto"/>
                <w:highlight w:val="none"/>
              </w:rPr>
              <w:t>间，项目废机油、油桶等含油废物均属于危险废物，需</w:t>
            </w:r>
            <w:r>
              <w:rPr>
                <w:rFonts w:hint="eastAsia"/>
                <w:color w:val="auto"/>
                <w:highlight w:val="none"/>
                <w:lang w:eastAsia="zh-CN"/>
              </w:rPr>
              <w:t>统一</w:t>
            </w:r>
            <w:r>
              <w:rPr>
                <w:color w:val="auto"/>
                <w:highlight w:val="none"/>
              </w:rPr>
              <w:t>收储在</w:t>
            </w:r>
            <w:r>
              <w:rPr>
                <w:rFonts w:hint="eastAsia"/>
                <w:color w:val="auto"/>
                <w:highlight w:val="none"/>
                <w:lang w:eastAsia="zh-CN"/>
              </w:rPr>
              <w:t>危废贮存间</w:t>
            </w:r>
            <w:r>
              <w:rPr>
                <w:color w:val="auto"/>
                <w:highlight w:val="none"/>
              </w:rPr>
              <w:t>，定期由有资质的单位回收处理，</w:t>
            </w:r>
            <w:r>
              <w:rPr>
                <w:rFonts w:hint="eastAsia"/>
                <w:color w:val="auto"/>
                <w:highlight w:val="none"/>
                <w:lang w:eastAsia="zh-CN"/>
              </w:rPr>
              <w:t>危废贮存间</w:t>
            </w:r>
            <w:r>
              <w:rPr>
                <w:color w:val="auto"/>
                <w:highlight w:val="none"/>
              </w:rPr>
              <w:t>防渗措施应满足《危险废物贮存污染控制标准》相关要求。</w:t>
            </w:r>
          </w:p>
          <w:p w14:paraId="7B49DAD7">
            <w:pPr>
              <w:bidi w:val="0"/>
              <w:rPr>
                <w:color w:val="auto"/>
                <w:highlight w:val="none"/>
              </w:rPr>
            </w:pPr>
            <w:r>
              <w:rPr>
                <w:color w:val="auto"/>
                <w:highlight w:val="none"/>
              </w:rPr>
              <w:t>①危险废物贮存间的设计原则</w:t>
            </w:r>
          </w:p>
          <w:p w14:paraId="6957D130">
            <w:pPr>
              <w:bidi w:val="0"/>
              <w:rPr>
                <w:color w:val="auto"/>
                <w:highlight w:val="none"/>
              </w:rPr>
            </w:pPr>
            <w:r>
              <w:rPr>
                <w:color w:val="auto"/>
                <w:highlight w:val="none"/>
              </w:rPr>
              <w:t>a危险废物贮存间应采取“四防”（防风、防雨、防晒、防渗漏）措施。</w:t>
            </w:r>
          </w:p>
          <w:p w14:paraId="50C0CB6A">
            <w:pPr>
              <w:bidi w:val="0"/>
              <w:rPr>
                <w:color w:val="auto"/>
                <w:highlight w:val="none"/>
              </w:rPr>
            </w:pPr>
            <w:r>
              <w:rPr>
                <w:color w:val="auto"/>
                <w:highlight w:val="none"/>
              </w:rPr>
              <w:t>b基础必须防渗，防渗层为至少1m厚粘土层（渗透系数≤10</w:t>
            </w:r>
            <w:r>
              <w:rPr>
                <w:rFonts w:hint="eastAsia"/>
                <w:color w:val="auto"/>
                <w:highlight w:val="none"/>
                <w:vertAlign w:val="superscript"/>
                <w:lang w:val="en-US" w:eastAsia="zh-CN"/>
              </w:rPr>
              <w:t>-</w:t>
            </w:r>
            <w:r>
              <w:rPr>
                <w:color w:val="auto"/>
                <w:highlight w:val="none"/>
                <w:vertAlign w:val="superscript"/>
              </w:rPr>
              <w:t>7</w:t>
            </w:r>
            <w:r>
              <w:rPr>
                <w:color w:val="auto"/>
                <w:highlight w:val="none"/>
              </w:rPr>
              <w:t>cm/s），或2mm厚高密度聚乙烯，或至少2mm厚的</w:t>
            </w:r>
            <w:r>
              <w:rPr>
                <w:rFonts w:hint="eastAsia"/>
                <w:color w:val="auto"/>
                <w:highlight w:val="none"/>
                <w:lang w:eastAsia="zh-CN"/>
              </w:rPr>
              <w:t>其他人工</w:t>
            </w:r>
            <w:r>
              <w:rPr>
                <w:color w:val="auto"/>
                <w:highlight w:val="none"/>
              </w:rPr>
              <w:t>材料，渗透系数≤10</w:t>
            </w:r>
            <w:r>
              <w:rPr>
                <w:rFonts w:hint="eastAsia"/>
                <w:color w:val="auto"/>
                <w:highlight w:val="none"/>
                <w:vertAlign w:val="superscript"/>
                <w:lang w:val="en-US" w:eastAsia="zh-CN"/>
              </w:rPr>
              <w:t>-</w:t>
            </w:r>
            <w:r>
              <w:rPr>
                <w:color w:val="auto"/>
                <w:highlight w:val="none"/>
                <w:vertAlign w:val="superscript"/>
              </w:rPr>
              <w:t>10</w:t>
            </w:r>
            <w:r>
              <w:rPr>
                <w:color w:val="auto"/>
                <w:highlight w:val="none"/>
              </w:rPr>
              <w:t>cm/s。</w:t>
            </w:r>
          </w:p>
          <w:p w14:paraId="4E7071AA">
            <w:pPr>
              <w:bidi w:val="0"/>
              <w:rPr>
                <w:color w:val="auto"/>
                <w:highlight w:val="none"/>
              </w:rPr>
            </w:pPr>
            <w:r>
              <w:rPr>
                <w:color w:val="auto"/>
                <w:highlight w:val="none"/>
              </w:rPr>
              <w:t>c地面与裙脚要用坚固、防渗的材料建造，建筑材料必须与危险废物相容。</w:t>
            </w:r>
          </w:p>
          <w:p w14:paraId="37F3E1B7">
            <w:pPr>
              <w:bidi w:val="0"/>
              <w:rPr>
                <w:color w:val="auto"/>
                <w:highlight w:val="none"/>
              </w:rPr>
            </w:pPr>
            <w:r>
              <w:rPr>
                <w:color w:val="auto"/>
                <w:highlight w:val="none"/>
              </w:rPr>
              <w:t>d</w:t>
            </w:r>
            <w:r>
              <w:rPr>
                <w:rFonts w:hint="eastAsia"/>
                <w:color w:val="auto"/>
                <w:highlight w:val="none"/>
                <w:lang w:eastAsia="zh-CN"/>
              </w:rPr>
              <w:t>危废贮存间</w:t>
            </w:r>
            <w:r>
              <w:rPr>
                <w:color w:val="auto"/>
                <w:highlight w:val="none"/>
              </w:rPr>
              <w:t>配备通讯设备、照明设施和消防设施。</w:t>
            </w:r>
          </w:p>
          <w:p w14:paraId="49551A80">
            <w:pPr>
              <w:bidi w:val="0"/>
              <w:rPr>
                <w:color w:val="auto"/>
                <w:highlight w:val="none"/>
              </w:rPr>
            </w:pPr>
            <w:r>
              <w:rPr>
                <w:color w:val="auto"/>
                <w:highlight w:val="none"/>
              </w:rPr>
              <w:t>e设耐腐蚀的硬化地面，且表面无裂隙。</w:t>
            </w:r>
          </w:p>
          <w:p w14:paraId="4BFAC2B8">
            <w:pPr>
              <w:bidi w:val="0"/>
              <w:rPr>
                <w:color w:val="auto"/>
                <w:highlight w:val="none"/>
              </w:rPr>
            </w:pPr>
            <w:r>
              <w:rPr>
                <w:color w:val="auto"/>
                <w:highlight w:val="none"/>
              </w:rPr>
              <w:t>f应设计堵截泄漏的裙脚，地面与裙脚所围建的容积不低于堵截最大容器的最大储量或总储量的五分之一。</w:t>
            </w:r>
          </w:p>
          <w:p w14:paraId="04B6CAA9">
            <w:pPr>
              <w:bidi w:val="0"/>
              <w:rPr>
                <w:color w:val="auto"/>
                <w:highlight w:val="none"/>
              </w:rPr>
            </w:pPr>
            <w:r>
              <w:rPr>
                <w:color w:val="auto"/>
                <w:highlight w:val="none"/>
              </w:rPr>
              <w:t>②项目产生的危险废物应分类收集并分类、分区域存放于危险废物暂存间内，并配套安装对应的告示牌。</w:t>
            </w:r>
          </w:p>
          <w:p w14:paraId="018B089C">
            <w:pPr>
              <w:bidi w:val="0"/>
              <w:rPr>
                <w:color w:val="auto"/>
                <w:highlight w:val="none"/>
              </w:rPr>
            </w:pPr>
            <w:r>
              <w:rPr>
                <w:color w:val="auto"/>
                <w:highlight w:val="none"/>
              </w:rPr>
              <w:t>③危险废物采用专用收集桶盛装，应当使用符合标准的容器盛装危险废物。</w:t>
            </w:r>
          </w:p>
          <w:p w14:paraId="16C559E5">
            <w:pPr>
              <w:adjustRightInd w:val="0"/>
              <w:snapToGrid w:val="0"/>
              <w:ind w:firstLine="0" w:firstLineChars="0"/>
              <w:rPr>
                <w:b/>
                <w:bCs/>
                <w:color w:val="auto"/>
                <w:spacing w:val="9"/>
                <w:sz w:val="24"/>
                <w:szCs w:val="24"/>
                <w:highlight w:val="none"/>
              </w:rPr>
            </w:pPr>
            <w:r>
              <w:rPr>
                <w:color w:val="auto"/>
                <w:highlight w:val="none"/>
              </w:rPr>
              <w:t>建设方必须将其产生的危险废物交给持有该种危险废物的《危险废物经营许可证》的单位进行运输、利用、处理，严禁擅自倾倒、排放或交未经认证的取得经营资格的单位进行处理、处置，并加强对危险废物的管理，做好危废出、入库登记。在日常管理中，应设置专人加强对危废暂存区的管理，出现问题及时解决，避免形成二次污染，对工作人员应进行专业培训，熟知各项固废知识。</w:t>
            </w:r>
          </w:p>
        </w:tc>
      </w:tr>
      <w:tr w14:paraId="6EB969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730" w:type="dxa"/>
            <w:noWrap w:val="0"/>
            <w:vAlign w:val="center"/>
          </w:tcPr>
          <w:p w14:paraId="5A5E1545">
            <w:pPr>
              <w:adjustRightInd w:val="0"/>
              <w:snapToGrid w:val="0"/>
              <w:ind w:left="0" w:leftChars="0" w:firstLine="0" w:firstLineChars="0"/>
              <w:jc w:val="both"/>
              <w:rPr>
                <w:rFonts w:ascii="宋体" w:hAnsi="宋体" w:cs="宋体"/>
                <w:bCs/>
                <w:color w:val="auto"/>
                <w:spacing w:val="10"/>
                <w:sz w:val="24"/>
                <w:szCs w:val="24"/>
                <w:highlight w:val="none"/>
              </w:rPr>
            </w:pPr>
            <w:r>
              <w:rPr>
                <w:rFonts w:hint="eastAsia" w:ascii="宋体" w:hAnsi="宋体"/>
                <w:bCs/>
                <w:color w:val="auto"/>
                <w:sz w:val="24"/>
                <w:szCs w:val="24"/>
                <w:highlight w:val="none"/>
              </w:rPr>
              <w:t>其他</w:t>
            </w:r>
          </w:p>
        </w:tc>
        <w:tc>
          <w:tcPr>
            <w:tcW w:w="8480" w:type="dxa"/>
            <w:noWrap w:val="0"/>
            <w:vAlign w:val="top"/>
          </w:tcPr>
          <w:p w14:paraId="150AADD0">
            <w:pPr>
              <w:bidi w:val="0"/>
              <w:rPr>
                <w:b/>
                <w:bCs/>
                <w:color w:val="auto"/>
                <w:highlight w:val="none"/>
              </w:rPr>
            </w:pPr>
            <w:r>
              <w:rPr>
                <w:rFonts w:hint="eastAsia"/>
                <w:b/>
                <w:bCs/>
                <w:color w:val="auto"/>
                <w:highlight w:val="none"/>
                <w:lang w:val="en-US" w:eastAsia="zh-CN"/>
              </w:rPr>
              <w:t>5.8.1</w:t>
            </w:r>
            <w:r>
              <w:rPr>
                <w:b/>
                <w:bCs/>
                <w:color w:val="auto"/>
                <w:highlight w:val="none"/>
              </w:rPr>
              <w:t>环境效益</w:t>
            </w:r>
          </w:p>
          <w:p w14:paraId="262D5FB3">
            <w:pPr>
              <w:bidi w:val="0"/>
              <w:rPr>
                <w:color w:val="auto"/>
                <w:highlight w:val="none"/>
              </w:rPr>
            </w:pPr>
            <w:r>
              <w:rPr>
                <w:color w:val="auto"/>
                <w:highlight w:val="none"/>
              </w:rPr>
              <w:t>风电是一种清洁能源、无污染的可再生能源，开发利用风能资源是调整能源结构，实施能源可持续发展的有效途径。风力发电是一种不消耗矿物质能源、不污染环境、建设周期短、建设规模灵活、具有良好的社会效益和经济效益的新能源项目。风电除了可节约能源外，每年可减少多种有害气体的排放，同时能有效</w:t>
            </w:r>
            <w:r>
              <w:rPr>
                <w:rFonts w:hint="eastAsia"/>
                <w:color w:val="auto"/>
                <w:highlight w:val="none"/>
                <w:lang w:eastAsia="zh-CN"/>
              </w:rPr>
              <w:t>地</w:t>
            </w:r>
            <w:r>
              <w:rPr>
                <w:color w:val="auto"/>
                <w:highlight w:val="none"/>
              </w:rPr>
              <w:t>建设碳排放量。</w:t>
            </w:r>
          </w:p>
          <w:p w14:paraId="23404834">
            <w:pPr>
              <w:bidi w:val="0"/>
              <w:rPr>
                <w:b/>
                <w:bCs/>
                <w:color w:val="auto"/>
                <w:highlight w:val="none"/>
              </w:rPr>
            </w:pPr>
            <w:r>
              <w:rPr>
                <w:b/>
                <w:bCs/>
                <w:color w:val="auto"/>
                <w:highlight w:val="none"/>
              </w:rPr>
              <w:t>5.</w:t>
            </w:r>
            <w:r>
              <w:rPr>
                <w:rFonts w:hint="eastAsia"/>
                <w:b/>
                <w:bCs/>
                <w:color w:val="auto"/>
                <w:highlight w:val="none"/>
                <w:lang w:val="en-US" w:eastAsia="zh-CN"/>
              </w:rPr>
              <w:t>8</w:t>
            </w:r>
            <w:r>
              <w:rPr>
                <w:b/>
                <w:bCs/>
                <w:color w:val="auto"/>
                <w:highlight w:val="none"/>
              </w:rPr>
              <w:t>.</w:t>
            </w:r>
            <w:r>
              <w:rPr>
                <w:rFonts w:hint="eastAsia"/>
                <w:b/>
                <w:bCs/>
                <w:color w:val="auto"/>
                <w:highlight w:val="none"/>
                <w:lang w:val="en-US" w:eastAsia="zh-CN"/>
              </w:rPr>
              <w:t>2</w:t>
            </w:r>
            <w:r>
              <w:rPr>
                <w:b/>
                <w:bCs/>
                <w:color w:val="auto"/>
                <w:highlight w:val="none"/>
              </w:rPr>
              <w:t>环境管理计划</w:t>
            </w:r>
          </w:p>
          <w:p w14:paraId="7EA3671C">
            <w:pPr>
              <w:bidi w:val="0"/>
              <w:rPr>
                <w:color w:val="auto"/>
                <w:highlight w:val="none"/>
              </w:rPr>
            </w:pPr>
            <w:r>
              <w:rPr>
                <w:color w:val="auto"/>
                <w:highlight w:val="none"/>
              </w:rPr>
              <w:t>为使环保措施落实并正常发挥作用，公司应设立专门的环保机构，配</w:t>
            </w:r>
            <w:r>
              <w:rPr>
                <w:rFonts w:hint="eastAsia"/>
                <w:color w:val="auto"/>
                <w:highlight w:val="none"/>
                <w:lang w:eastAsia="zh-CN"/>
              </w:rPr>
              <w:t>备专</w:t>
            </w:r>
            <w:r>
              <w:rPr>
                <w:color w:val="auto"/>
                <w:highlight w:val="none"/>
              </w:rPr>
              <w:t>职人员并建立环保档案。认真贯彻执行国家有关环境保护方面的法规和标准，切实做到环保工程与主体工程同时设计，同时施工，同时投产。</w:t>
            </w:r>
          </w:p>
          <w:p w14:paraId="2E67BB5E">
            <w:pPr>
              <w:bidi w:val="0"/>
              <w:rPr>
                <w:b/>
                <w:bCs/>
                <w:color w:val="auto"/>
                <w:highlight w:val="none"/>
              </w:rPr>
            </w:pPr>
            <w:r>
              <w:rPr>
                <w:b/>
                <w:bCs/>
                <w:color w:val="auto"/>
                <w:highlight w:val="none"/>
              </w:rPr>
              <w:t>5.</w:t>
            </w:r>
            <w:r>
              <w:rPr>
                <w:rFonts w:hint="eastAsia"/>
                <w:b/>
                <w:bCs/>
                <w:color w:val="auto"/>
                <w:highlight w:val="none"/>
                <w:lang w:val="en-US" w:eastAsia="zh-CN"/>
              </w:rPr>
              <w:t>8</w:t>
            </w:r>
            <w:r>
              <w:rPr>
                <w:b/>
                <w:bCs/>
                <w:color w:val="auto"/>
                <w:highlight w:val="none"/>
              </w:rPr>
              <w:t>.</w:t>
            </w:r>
            <w:r>
              <w:rPr>
                <w:rFonts w:hint="eastAsia"/>
                <w:b/>
                <w:bCs/>
                <w:color w:val="auto"/>
                <w:highlight w:val="none"/>
                <w:lang w:val="en-US" w:eastAsia="zh-CN"/>
              </w:rPr>
              <w:t>3</w:t>
            </w:r>
            <w:r>
              <w:rPr>
                <w:b/>
                <w:bCs/>
                <w:color w:val="auto"/>
                <w:highlight w:val="none"/>
              </w:rPr>
              <w:t>施工期环境监理计划</w:t>
            </w:r>
          </w:p>
          <w:p w14:paraId="078A2F32">
            <w:pPr>
              <w:bidi w:val="0"/>
              <w:rPr>
                <w:color w:val="auto"/>
                <w:highlight w:val="none"/>
              </w:rPr>
            </w:pPr>
            <w:r>
              <w:rPr>
                <w:color w:val="auto"/>
                <w:highlight w:val="none"/>
              </w:rPr>
              <w:t>建设单位应选择具有相关资质的专业施工单位，施工单位应针对本项目的环境特点及周围保护目标的情况，制定相应的措施，确保施工作业对周围敏感目标的影响降至最低。</w:t>
            </w:r>
          </w:p>
          <w:p w14:paraId="3FEF3A5C">
            <w:pPr>
              <w:bidi w:val="0"/>
              <w:rPr>
                <w:color w:val="auto"/>
                <w:highlight w:val="none"/>
              </w:rPr>
            </w:pPr>
            <w:r>
              <w:rPr>
                <w:color w:val="auto"/>
                <w:highlight w:val="none"/>
              </w:rPr>
              <w:t>监理单位应将环保措施及施工合同中规定的各项环保措施作为监理工作的重要内容，对环保工程质量严格把关，在施工现场至少配备一名专职或兼职的环境监理人员，以便及时发现施工中可能出现的各类环境污染问题，并监督施工单位落实施工中应采取的各项环保措施，督促建设项目落实环保“三同时”。</w:t>
            </w:r>
          </w:p>
          <w:p w14:paraId="12644CA9">
            <w:pPr>
              <w:bidi w:val="0"/>
              <w:rPr>
                <w:color w:val="auto"/>
                <w:highlight w:val="none"/>
              </w:rPr>
            </w:pPr>
            <w:r>
              <w:rPr>
                <w:color w:val="auto"/>
                <w:highlight w:val="none"/>
              </w:rPr>
              <w:t>建设单位须加强施工期环境保护管理，不但对工程的施工质量、进度进行管理，同时还必须对施工的文明程度、施工期环境影响缓解措施的落实情况，</w:t>
            </w:r>
            <w:r>
              <w:rPr>
                <w:rFonts w:hint="eastAsia"/>
                <w:color w:val="auto"/>
                <w:highlight w:val="none"/>
              </w:rPr>
              <w:t>以及有关</w:t>
            </w:r>
            <w:bookmarkStart w:id="36" w:name="_GoBack"/>
            <w:bookmarkEnd w:id="36"/>
            <w:r>
              <w:rPr>
                <w:color w:val="auto"/>
                <w:highlight w:val="none"/>
              </w:rPr>
              <w:t>环境保护方面合同条款的执行情况进行检查。建设单位有责任落实环境影响缓解措施，减轻工程施工时可能造成的不利影响。</w:t>
            </w:r>
          </w:p>
          <w:p w14:paraId="3661B488">
            <w:pPr>
              <w:bidi w:val="0"/>
              <w:rPr>
                <w:color w:val="auto"/>
                <w:highlight w:val="none"/>
              </w:rPr>
            </w:pPr>
            <w:r>
              <w:rPr>
                <w:color w:val="auto"/>
                <w:highlight w:val="none"/>
              </w:rPr>
              <w:t>本项目施工期间需执行监督的环境影响环节措施包括：</w:t>
            </w:r>
          </w:p>
          <w:p w14:paraId="2B173450">
            <w:pPr>
              <w:bidi w:val="0"/>
              <w:rPr>
                <w:color w:val="auto"/>
                <w:highlight w:val="none"/>
              </w:rPr>
            </w:pPr>
            <w:r>
              <w:rPr>
                <w:color w:val="auto"/>
                <w:highlight w:val="none"/>
              </w:rPr>
              <w:t>①贯彻执行</w:t>
            </w:r>
            <w:r>
              <w:rPr>
                <w:rFonts w:hint="eastAsia"/>
                <w:color w:val="auto"/>
                <w:highlight w:val="none"/>
                <w:lang w:eastAsia="zh-CN"/>
              </w:rPr>
              <w:t>国家</w:t>
            </w:r>
            <w:r>
              <w:rPr>
                <w:color w:val="auto"/>
                <w:highlight w:val="none"/>
              </w:rPr>
              <w:t>各项环境保护方针、政策、法规和各项规章制度。</w:t>
            </w:r>
          </w:p>
          <w:p w14:paraId="35AA7B06">
            <w:pPr>
              <w:bidi w:val="0"/>
              <w:rPr>
                <w:color w:val="auto"/>
                <w:highlight w:val="none"/>
              </w:rPr>
            </w:pPr>
            <w:r>
              <w:rPr>
                <w:color w:val="auto"/>
                <w:highlight w:val="none"/>
              </w:rPr>
              <w:t>②定本项目施工</w:t>
            </w:r>
            <w:r>
              <w:rPr>
                <w:rFonts w:hint="eastAsia"/>
                <w:color w:val="auto"/>
                <w:highlight w:val="none"/>
                <w:lang w:eastAsia="zh-CN"/>
              </w:rPr>
              <w:t>期间</w:t>
            </w:r>
            <w:r>
              <w:rPr>
                <w:color w:val="auto"/>
                <w:highlight w:val="none"/>
              </w:rPr>
              <w:t>的环境保护计划，负责工程施工过程中各项环境保护措施实施的监督和日常管理。</w:t>
            </w:r>
          </w:p>
          <w:p w14:paraId="2B878AD4">
            <w:pPr>
              <w:bidi w:val="0"/>
              <w:rPr>
                <w:color w:val="auto"/>
                <w:highlight w:val="none"/>
              </w:rPr>
            </w:pPr>
            <w:r>
              <w:rPr>
                <w:color w:val="auto"/>
                <w:highlight w:val="none"/>
              </w:rPr>
              <w:t>③组织和开展对施工人员进行施工活动中应遵循的环保法规、知识的培训，提高全体员工文明施工的认识。</w:t>
            </w:r>
          </w:p>
          <w:p w14:paraId="55F54883">
            <w:pPr>
              <w:bidi w:val="0"/>
              <w:rPr>
                <w:color w:val="auto"/>
                <w:highlight w:val="none"/>
              </w:rPr>
            </w:pPr>
            <w:r>
              <w:rPr>
                <w:color w:val="auto"/>
                <w:highlight w:val="none"/>
              </w:rPr>
              <w:t>④负责日常施工活动中的环境监理工作，做好工程用地区域的环境特征调查。</w:t>
            </w:r>
          </w:p>
          <w:p w14:paraId="6E73D048">
            <w:pPr>
              <w:bidi w:val="0"/>
              <w:rPr>
                <w:color w:val="auto"/>
                <w:highlight w:val="none"/>
              </w:rPr>
            </w:pPr>
            <w:r>
              <w:rPr>
                <w:color w:val="auto"/>
                <w:highlight w:val="none"/>
              </w:rPr>
              <w:t>⑤在施工计划中应适当计划设备运输道路，以避免影响当地居民生活，施工中应考虑保护生态和避免水土流失，合理组织施工以减少占用临时施工用地。</w:t>
            </w:r>
          </w:p>
          <w:p w14:paraId="5E5BC217">
            <w:pPr>
              <w:bidi w:val="0"/>
              <w:rPr>
                <w:color w:val="auto"/>
                <w:highlight w:val="none"/>
              </w:rPr>
            </w:pPr>
            <w:r>
              <w:rPr>
                <w:color w:val="auto"/>
                <w:highlight w:val="none"/>
              </w:rPr>
              <w:t>⑥做好施工中各种环境问题的收集、记录、建档和处理工作。</w:t>
            </w:r>
          </w:p>
          <w:p w14:paraId="61AEEDC3">
            <w:pPr>
              <w:bidi w:val="0"/>
              <w:rPr>
                <w:color w:val="auto"/>
                <w:highlight w:val="none"/>
              </w:rPr>
            </w:pPr>
            <w:r>
              <w:rPr>
                <w:color w:val="auto"/>
                <w:highlight w:val="none"/>
              </w:rPr>
              <w:t>⑦监督施工单位，使施工工作完成后的耕地恢复和补偿，水保设施、环保设施等各项保护工程同时完成。</w:t>
            </w:r>
          </w:p>
          <w:p w14:paraId="183079C2">
            <w:pPr>
              <w:bidi w:val="0"/>
              <w:rPr>
                <w:b/>
                <w:bCs/>
                <w:color w:val="auto"/>
                <w:highlight w:val="none"/>
              </w:rPr>
            </w:pPr>
            <w:r>
              <w:rPr>
                <w:b/>
                <w:bCs/>
                <w:color w:val="auto"/>
                <w:highlight w:val="none"/>
              </w:rPr>
              <w:t>5.</w:t>
            </w:r>
            <w:r>
              <w:rPr>
                <w:rFonts w:hint="eastAsia"/>
                <w:b/>
                <w:bCs/>
                <w:color w:val="auto"/>
                <w:highlight w:val="none"/>
                <w:lang w:val="en-US" w:eastAsia="zh-CN"/>
              </w:rPr>
              <w:t>8</w:t>
            </w:r>
            <w:r>
              <w:rPr>
                <w:b/>
                <w:bCs/>
                <w:color w:val="auto"/>
                <w:highlight w:val="none"/>
              </w:rPr>
              <w:t>.</w:t>
            </w:r>
            <w:r>
              <w:rPr>
                <w:rFonts w:hint="eastAsia"/>
                <w:b/>
                <w:bCs/>
                <w:color w:val="auto"/>
                <w:highlight w:val="none"/>
                <w:lang w:val="en-US" w:eastAsia="zh-CN"/>
              </w:rPr>
              <w:t>4</w:t>
            </w:r>
            <w:r>
              <w:rPr>
                <w:b/>
                <w:bCs/>
                <w:color w:val="auto"/>
                <w:highlight w:val="none"/>
              </w:rPr>
              <w:t>环境监测计划</w:t>
            </w:r>
          </w:p>
          <w:p w14:paraId="0DA71E38">
            <w:pPr>
              <w:bidi w:val="0"/>
              <w:rPr>
                <w:color w:val="auto"/>
                <w:highlight w:val="none"/>
              </w:rPr>
            </w:pPr>
            <w:r>
              <w:rPr>
                <w:color w:val="auto"/>
                <w:highlight w:val="none"/>
              </w:rPr>
              <w:t>通过监测各种污染源和环境因素，应用监测得到的反馈信息，反映运行期实际产生的环境影响，及时发现问题，及时修正环境保护设计中措施的不足。</w:t>
            </w:r>
          </w:p>
          <w:p w14:paraId="00A86042">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 xml:space="preserve">1）施工期监测  </w:t>
            </w:r>
          </w:p>
          <w:p w14:paraId="719F74CD">
            <w:pPr>
              <w:rPr>
                <w:color w:val="auto"/>
              </w:rPr>
            </w:pPr>
            <w:r>
              <w:rPr>
                <w:color w:val="auto"/>
              </w:rPr>
              <w:t>项目周边700米范围内无居民区、学校、医院等声环境与大气环境敏感目标，也无国家级、地方级野生鸟类保护栖息地与迁徙通道，项目施工未对周边现有生态格局与环境质量产生明显不利影响。</w:t>
            </w:r>
            <w:r>
              <w:rPr>
                <w:rFonts w:hint="eastAsia"/>
                <w:color w:val="auto"/>
                <w:lang w:eastAsia="zh-CN"/>
              </w:rPr>
              <w:t>因此项目施工期内可不开展</w:t>
            </w:r>
            <w:r>
              <w:rPr>
                <w:rFonts w:hint="eastAsia" w:ascii="Times New Roman" w:hAnsi="Times New Roman" w:eastAsia="宋体" w:cs="Times New Roman"/>
                <w:color w:val="auto"/>
                <w:sz w:val="24"/>
                <w:highlight w:val="none"/>
                <w:lang w:val="en-US" w:eastAsia="zh-CN"/>
              </w:rPr>
              <w:t>声环境、大气环境</w:t>
            </w:r>
            <w:r>
              <w:rPr>
                <w:rFonts w:hint="eastAsia" w:cs="Times New Roman"/>
                <w:color w:val="auto"/>
                <w:sz w:val="24"/>
                <w:highlight w:val="none"/>
                <w:lang w:val="en-US" w:eastAsia="zh-CN"/>
              </w:rPr>
              <w:t>及鸟类</w:t>
            </w:r>
            <w:r>
              <w:rPr>
                <w:rFonts w:hint="eastAsia" w:ascii="Times New Roman" w:hAnsi="Times New Roman" w:eastAsia="宋体" w:cs="Times New Roman"/>
                <w:color w:val="auto"/>
                <w:sz w:val="24"/>
                <w:highlight w:val="none"/>
                <w:lang w:val="en-US" w:eastAsia="zh-CN"/>
              </w:rPr>
              <w:t>监测。</w:t>
            </w:r>
          </w:p>
          <w:p w14:paraId="416817E4">
            <w:pPr>
              <w:spacing w:line="360" w:lineRule="auto"/>
              <w:ind w:firstLine="480" w:firstLineChars="200"/>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项目运营期监测计划如下：</w:t>
            </w:r>
          </w:p>
          <w:p w14:paraId="303B09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表5-</w:t>
            </w:r>
            <w:r>
              <w:rPr>
                <w:rFonts w:hint="eastAsia" w:cs="Times New Roman"/>
                <w:b/>
                <w:bCs/>
                <w:color w:val="auto"/>
                <w:sz w:val="21"/>
                <w:szCs w:val="21"/>
                <w:highlight w:val="none"/>
                <w:lang w:val="en-US" w:eastAsia="zh-CN"/>
              </w:rPr>
              <w:t>1</w:t>
            </w:r>
            <w:r>
              <w:rPr>
                <w:rFonts w:hint="eastAsia" w:ascii="Times New Roman" w:hAnsi="Times New Roman" w:eastAsia="宋体" w:cs="Times New Roman"/>
                <w:b/>
                <w:bCs/>
                <w:color w:val="auto"/>
                <w:sz w:val="21"/>
                <w:szCs w:val="21"/>
                <w:highlight w:val="none"/>
                <w:lang w:val="en-US" w:eastAsia="zh-CN"/>
              </w:rPr>
              <w:t>项目</w:t>
            </w:r>
            <w:r>
              <w:rPr>
                <w:rFonts w:hint="eastAsia" w:cs="Times New Roman"/>
                <w:b/>
                <w:bCs/>
                <w:color w:val="auto"/>
                <w:sz w:val="21"/>
                <w:szCs w:val="21"/>
                <w:highlight w:val="none"/>
                <w:lang w:val="en-US" w:eastAsia="zh-CN"/>
              </w:rPr>
              <w:t>运营</w:t>
            </w:r>
            <w:r>
              <w:rPr>
                <w:rFonts w:hint="eastAsia" w:ascii="Times New Roman" w:hAnsi="Times New Roman" w:eastAsia="宋体" w:cs="Times New Roman"/>
                <w:b/>
                <w:bCs/>
                <w:color w:val="auto"/>
                <w:sz w:val="21"/>
                <w:szCs w:val="21"/>
                <w:highlight w:val="none"/>
                <w:lang w:val="en-US" w:eastAsia="zh-CN"/>
              </w:rPr>
              <w:t>期</w:t>
            </w:r>
            <w:r>
              <w:rPr>
                <w:rFonts w:hint="default" w:ascii="Times New Roman" w:hAnsi="Times New Roman" w:eastAsia="宋体" w:cs="Times New Roman"/>
                <w:b/>
                <w:bCs/>
                <w:color w:val="auto"/>
                <w:sz w:val="21"/>
                <w:szCs w:val="21"/>
                <w:highlight w:val="none"/>
              </w:rPr>
              <w:t>监测计划表</w:t>
            </w:r>
          </w:p>
          <w:tbl>
            <w:tblPr>
              <w:tblStyle w:val="20"/>
              <w:tblW w:w="498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745"/>
              <w:gridCol w:w="1022"/>
              <w:gridCol w:w="1762"/>
              <w:gridCol w:w="1749"/>
              <w:gridCol w:w="2333"/>
              <w:gridCol w:w="627"/>
            </w:tblGrid>
            <w:tr w14:paraId="1DDC53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97" w:hRule="atLeast"/>
                <w:jc w:val="center"/>
              </w:trPr>
              <w:tc>
                <w:tcPr>
                  <w:tcW w:w="452" w:type="pct"/>
                  <w:noWrap w:val="0"/>
                  <w:vAlign w:val="center"/>
                </w:tcPr>
                <w:p w14:paraId="77C99DC2">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时期</w:t>
                  </w:r>
                </w:p>
              </w:tc>
              <w:tc>
                <w:tcPr>
                  <w:tcW w:w="620" w:type="pct"/>
                  <w:noWrap w:val="0"/>
                  <w:vAlign w:val="center"/>
                </w:tcPr>
                <w:p w14:paraId="35788E47">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监测要素</w:t>
                  </w:r>
                </w:p>
              </w:tc>
              <w:tc>
                <w:tcPr>
                  <w:tcW w:w="1069" w:type="pct"/>
                  <w:noWrap w:val="0"/>
                  <w:vAlign w:val="center"/>
                </w:tcPr>
                <w:p w14:paraId="406B2FA7">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监测地点</w:t>
                  </w:r>
                </w:p>
              </w:tc>
              <w:tc>
                <w:tcPr>
                  <w:tcW w:w="1061" w:type="pct"/>
                  <w:noWrap w:val="0"/>
                  <w:vAlign w:val="center"/>
                </w:tcPr>
                <w:p w14:paraId="367BE248">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监测因子</w:t>
                  </w:r>
                </w:p>
              </w:tc>
              <w:tc>
                <w:tcPr>
                  <w:tcW w:w="1415" w:type="pct"/>
                  <w:noWrap w:val="0"/>
                  <w:vAlign w:val="center"/>
                </w:tcPr>
                <w:p w14:paraId="0DBA9AA2">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监测频率</w:t>
                  </w:r>
                </w:p>
              </w:tc>
              <w:tc>
                <w:tcPr>
                  <w:tcW w:w="380" w:type="pct"/>
                  <w:noWrap w:val="0"/>
                  <w:vAlign w:val="center"/>
                </w:tcPr>
                <w:p w14:paraId="6B9FD695">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监测方法</w:t>
                  </w:r>
                </w:p>
              </w:tc>
            </w:tr>
            <w:tr w14:paraId="744A74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452" w:type="pct"/>
                  <w:vMerge w:val="restart"/>
                  <w:tcBorders>
                    <w:top w:val="single" w:color="auto" w:sz="4" w:space="0"/>
                  </w:tcBorders>
                  <w:noWrap w:val="0"/>
                  <w:vAlign w:val="center"/>
                </w:tcPr>
                <w:p w14:paraId="10833E7C">
                  <w:pPr>
                    <w:pStyle w:val="28"/>
                    <w:bidi w:val="0"/>
                    <w:jc w:val="center"/>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运营</w:t>
                  </w:r>
                  <w:r>
                    <w:rPr>
                      <w:rFonts w:hint="default" w:ascii="Times New Roman" w:hAnsi="Times New Roman" w:cs="Times New Roman"/>
                      <w:color w:val="auto"/>
                      <w:highlight w:val="none"/>
                    </w:rPr>
                    <w:t>期</w:t>
                  </w:r>
                </w:p>
              </w:tc>
              <w:tc>
                <w:tcPr>
                  <w:tcW w:w="620" w:type="pct"/>
                  <w:tcBorders>
                    <w:top w:val="single" w:color="auto" w:sz="4" w:space="0"/>
                  </w:tcBorders>
                  <w:shd w:val="clear" w:color="auto" w:fill="auto"/>
                  <w:noWrap w:val="0"/>
                  <w:vAlign w:val="center"/>
                </w:tcPr>
                <w:p w14:paraId="3AF37C08">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rPr>
                    <w:t>生态植被</w:t>
                  </w:r>
                </w:p>
              </w:tc>
              <w:tc>
                <w:tcPr>
                  <w:tcW w:w="1069" w:type="pct"/>
                  <w:shd w:val="clear" w:color="auto" w:fill="auto"/>
                  <w:noWrap w:val="0"/>
                  <w:vAlign w:val="center"/>
                </w:tcPr>
                <w:p w14:paraId="78EAEF39">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rPr>
                    <w:t>施工占地区及扰动区</w:t>
                  </w:r>
                </w:p>
              </w:tc>
              <w:tc>
                <w:tcPr>
                  <w:tcW w:w="1061" w:type="pct"/>
                  <w:shd w:val="clear" w:color="auto" w:fill="auto"/>
                  <w:noWrap w:val="0"/>
                  <w:vAlign w:val="center"/>
                </w:tcPr>
                <w:p w14:paraId="2905C183">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rPr>
                    <w:t>采用现场调查法，调查工程区域植被恢复情况</w:t>
                  </w:r>
                </w:p>
              </w:tc>
              <w:tc>
                <w:tcPr>
                  <w:tcW w:w="1415" w:type="pct"/>
                  <w:tcBorders>
                    <w:top w:val="single" w:color="auto" w:sz="4" w:space="0"/>
                  </w:tcBorders>
                  <w:shd w:val="clear" w:color="auto" w:fill="auto"/>
                  <w:noWrap w:val="0"/>
                  <w:vAlign w:val="center"/>
                </w:tcPr>
                <w:p w14:paraId="44FD6BDF">
                  <w:pPr>
                    <w:pStyle w:val="28"/>
                    <w:bidi w:val="0"/>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验收时</w:t>
                  </w:r>
                  <w:r>
                    <w:rPr>
                      <w:rFonts w:hint="default" w:ascii="Times New Roman" w:hAnsi="Times New Roman" w:eastAsia="宋体" w:cs="Times New Roman"/>
                      <w:color w:val="auto"/>
                      <w:sz w:val="21"/>
                      <w:szCs w:val="21"/>
                      <w:highlight w:val="none"/>
                    </w:rPr>
                    <w:t>开展跟踪生态监测1次</w:t>
                  </w:r>
                </w:p>
              </w:tc>
              <w:tc>
                <w:tcPr>
                  <w:tcW w:w="380" w:type="pct"/>
                  <w:vMerge w:val="restart"/>
                  <w:tcBorders>
                    <w:top w:val="single" w:color="auto" w:sz="4" w:space="0"/>
                  </w:tcBorders>
                  <w:noWrap w:val="0"/>
                  <w:vAlign w:val="center"/>
                </w:tcPr>
                <w:p w14:paraId="6ADDE941">
                  <w:pPr>
                    <w:pStyle w:val="28"/>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按国家标准进行监测</w:t>
                  </w:r>
                </w:p>
              </w:tc>
            </w:tr>
            <w:tr w14:paraId="1EEB46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452" w:type="pct"/>
                  <w:vMerge w:val="continue"/>
                  <w:noWrap w:val="0"/>
                  <w:vAlign w:val="center"/>
                </w:tcPr>
                <w:p w14:paraId="1DFCDBDA">
                  <w:pPr>
                    <w:pStyle w:val="28"/>
                    <w:bidi w:val="0"/>
                    <w:jc w:val="center"/>
                    <w:rPr>
                      <w:rFonts w:hint="default" w:ascii="Times New Roman" w:hAnsi="Times New Roman" w:cs="Times New Roman"/>
                      <w:color w:val="auto"/>
                      <w:highlight w:val="none"/>
                      <w:lang w:eastAsia="zh-CN"/>
                    </w:rPr>
                  </w:pPr>
                </w:p>
              </w:tc>
              <w:tc>
                <w:tcPr>
                  <w:tcW w:w="620" w:type="pct"/>
                  <w:shd w:val="clear" w:color="auto" w:fill="auto"/>
                  <w:noWrap w:val="0"/>
                  <w:vAlign w:val="center"/>
                </w:tcPr>
                <w:p w14:paraId="0E70696E">
                  <w:pPr>
                    <w:bidi w:val="0"/>
                    <w:ind w:left="0" w:leftChars="0" w:firstLine="0" w:firstLineChars="0"/>
                    <w:jc w:val="center"/>
                    <w:rPr>
                      <w:rFonts w:hint="default" w:ascii="Times New Roman" w:hAnsi="Times New Roman" w:eastAsia="宋体" w:cs="Times New Roman"/>
                      <w:color w:val="auto"/>
                      <w:kern w:val="2"/>
                      <w:sz w:val="21"/>
                      <w:szCs w:val="21"/>
                      <w:lang w:val="en-US" w:eastAsia="zh-CN" w:bidi="ar-SA"/>
                    </w:rPr>
                  </w:pPr>
                  <w:r>
                    <w:rPr>
                      <w:color w:val="auto"/>
                      <w:sz w:val="21"/>
                      <w:szCs w:val="21"/>
                    </w:rPr>
                    <w:t>鸟类</w:t>
                  </w:r>
                </w:p>
              </w:tc>
              <w:tc>
                <w:tcPr>
                  <w:tcW w:w="1069" w:type="pct"/>
                  <w:shd w:val="clear" w:color="auto" w:fill="auto"/>
                  <w:noWrap w:val="0"/>
                  <w:vAlign w:val="center"/>
                </w:tcPr>
                <w:p w14:paraId="2A38FB30">
                  <w:pPr>
                    <w:pStyle w:val="28"/>
                    <w:bidi w:val="0"/>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风电场场址</w:t>
                  </w:r>
                </w:p>
              </w:tc>
              <w:tc>
                <w:tcPr>
                  <w:tcW w:w="1061" w:type="pct"/>
                  <w:shd w:val="clear" w:color="auto" w:fill="auto"/>
                  <w:noWrap w:val="0"/>
                  <w:vAlign w:val="center"/>
                </w:tcPr>
                <w:p w14:paraId="024A6461">
                  <w:pPr>
                    <w:pStyle w:val="28"/>
                    <w:bidi w:val="0"/>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eastAsia="zh-CN"/>
                    </w:rPr>
                    <w:t>鸟类撞击死亡率</w:t>
                  </w:r>
                </w:p>
              </w:tc>
              <w:tc>
                <w:tcPr>
                  <w:tcW w:w="1415" w:type="pct"/>
                  <w:shd w:val="clear" w:color="auto" w:fill="auto"/>
                  <w:noWrap w:val="0"/>
                  <w:vAlign w:val="center"/>
                </w:tcPr>
                <w:p w14:paraId="607B9FA5">
                  <w:pPr>
                    <w:pStyle w:val="28"/>
                    <w:bidi w:val="0"/>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竣工验收、日常维护开展记录</w:t>
                  </w:r>
                </w:p>
              </w:tc>
              <w:tc>
                <w:tcPr>
                  <w:tcW w:w="380" w:type="pct"/>
                  <w:vMerge w:val="continue"/>
                  <w:noWrap w:val="0"/>
                  <w:vAlign w:val="center"/>
                </w:tcPr>
                <w:p w14:paraId="4C134A16">
                  <w:pPr>
                    <w:pStyle w:val="28"/>
                    <w:bidi w:val="0"/>
                    <w:ind w:firstLine="0" w:firstLineChars="0"/>
                    <w:jc w:val="center"/>
                    <w:rPr>
                      <w:rFonts w:hint="default" w:ascii="Times New Roman" w:hAnsi="Times New Roman" w:eastAsia="宋体" w:cs="Times New Roman"/>
                      <w:color w:val="auto"/>
                      <w:sz w:val="21"/>
                      <w:szCs w:val="21"/>
                      <w:highlight w:val="none"/>
                      <w:lang w:eastAsia="zh-CN"/>
                    </w:rPr>
                  </w:pPr>
                </w:p>
              </w:tc>
            </w:tr>
            <w:tr w14:paraId="601759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452" w:type="pct"/>
                  <w:vMerge w:val="continue"/>
                  <w:noWrap w:val="0"/>
                  <w:vAlign w:val="center"/>
                </w:tcPr>
                <w:p w14:paraId="22B4F3A3">
                  <w:pPr>
                    <w:pStyle w:val="28"/>
                    <w:bidi w:val="0"/>
                    <w:jc w:val="center"/>
                    <w:rPr>
                      <w:rFonts w:hint="default" w:ascii="Times New Roman" w:hAnsi="Times New Roman" w:cs="Times New Roman"/>
                      <w:color w:val="auto"/>
                      <w:highlight w:val="none"/>
                      <w:lang w:eastAsia="zh-CN"/>
                    </w:rPr>
                  </w:pPr>
                </w:p>
              </w:tc>
              <w:tc>
                <w:tcPr>
                  <w:tcW w:w="620" w:type="pct"/>
                  <w:shd w:val="clear" w:color="auto" w:fill="auto"/>
                  <w:noWrap w:val="0"/>
                  <w:vAlign w:val="center"/>
                </w:tcPr>
                <w:p w14:paraId="67D56E5A">
                  <w:pPr>
                    <w:bidi w:val="0"/>
                    <w:ind w:left="0" w:leftChars="0" w:firstLine="0" w:firstLineChars="0"/>
                    <w:jc w:val="center"/>
                    <w:rPr>
                      <w:rFonts w:hint="eastAsia" w:eastAsia="宋体"/>
                      <w:color w:val="auto"/>
                      <w:sz w:val="21"/>
                      <w:szCs w:val="21"/>
                      <w:lang w:eastAsia="zh-CN"/>
                    </w:rPr>
                  </w:pPr>
                  <w:r>
                    <w:rPr>
                      <w:rFonts w:hint="eastAsia"/>
                      <w:color w:val="auto"/>
                      <w:sz w:val="21"/>
                      <w:szCs w:val="21"/>
                      <w:lang w:eastAsia="zh-CN"/>
                    </w:rPr>
                    <w:t>动物</w:t>
                  </w:r>
                </w:p>
              </w:tc>
              <w:tc>
                <w:tcPr>
                  <w:tcW w:w="1069" w:type="pct"/>
                  <w:shd w:val="clear" w:color="auto" w:fill="auto"/>
                  <w:noWrap w:val="0"/>
                  <w:vAlign w:val="center"/>
                </w:tcPr>
                <w:p w14:paraId="710AF564">
                  <w:pPr>
                    <w:pStyle w:val="28"/>
                    <w:bidi w:val="0"/>
                    <w:ind w:firstLine="0" w:firstLineChars="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风电场场址</w:t>
                  </w:r>
                </w:p>
              </w:tc>
              <w:tc>
                <w:tcPr>
                  <w:tcW w:w="1061" w:type="pct"/>
                  <w:shd w:val="clear" w:color="auto" w:fill="auto"/>
                  <w:noWrap w:val="0"/>
                  <w:vAlign w:val="center"/>
                </w:tcPr>
                <w:p w14:paraId="33E9C870">
                  <w:pPr>
                    <w:pStyle w:val="28"/>
                    <w:bidi w:val="0"/>
                    <w:ind w:firstLine="0" w:firstLineChars="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eastAsia="zh-CN"/>
                    </w:rPr>
                    <w:t>保护动物</w:t>
                  </w:r>
                </w:p>
              </w:tc>
              <w:tc>
                <w:tcPr>
                  <w:tcW w:w="1415" w:type="pct"/>
                  <w:shd w:val="clear" w:color="auto" w:fill="auto"/>
                  <w:noWrap w:val="0"/>
                  <w:vAlign w:val="center"/>
                </w:tcPr>
                <w:p w14:paraId="2BCC2452">
                  <w:pPr>
                    <w:pStyle w:val="28"/>
                    <w:bidi w:val="0"/>
                    <w:ind w:firstLine="0" w:firstLineChars="0"/>
                    <w:jc w:val="center"/>
                    <w:rPr>
                      <w:rFonts w:hint="eastAsia" w:ascii="Times New Roman" w:hAnsi="Times New Roman"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竣工验收、日常维护开展记录</w:t>
                  </w:r>
                </w:p>
              </w:tc>
              <w:tc>
                <w:tcPr>
                  <w:tcW w:w="380" w:type="pct"/>
                  <w:vMerge w:val="continue"/>
                  <w:noWrap w:val="0"/>
                  <w:vAlign w:val="center"/>
                </w:tcPr>
                <w:p w14:paraId="570FDC34">
                  <w:pPr>
                    <w:pStyle w:val="28"/>
                    <w:bidi w:val="0"/>
                    <w:ind w:firstLine="0" w:firstLineChars="0"/>
                    <w:jc w:val="center"/>
                    <w:rPr>
                      <w:rFonts w:hint="default" w:ascii="Times New Roman" w:hAnsi="Times New Roman" w:eastAsia="宋体" w:cs="Times New Roman"/>
                      <w:color w:val="auto"/>
                      <w:sz w:val="21"/>
                      <w:szCs w:val="21"/>
                      <w:highlight w:val="none"/>
                      <w:lang w:eastAsia="zh-CN"/>
                    </w:rPr>
                  </w:pPr>
                </w:p>
              </w:tc>
            </w:tr>
          </w:tbl>
          <w:p w14:paraId="2FB416F2">
            <w:pPr>
              <w:bidi w:val="0"/>
              <w:rPr>
                <w:rFonts w:hint="eastAsia" w:eastAsia="宋体"/>
                <w:color w:val="auto"/>
                <w:highlight w:val="none"/>
                <w:lang w:val="en-US" w:eastAsia="zh-CN"/>
              </w:rPr>
            </w:pPr>
          </w:p>
        </w:tc>
      </w:tr>
      <w:tr w14:paraId="216A7C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30" w:type="dxa"/>
            <w:noWrap w:val="0"/>
            <w:vAlign w:val="center"/>
          </w:tcPr>
          <w:p w14:paraId="033C77FA">
            <w:pPr>
              <w:adjustRightInd w:val="0"/>
              <w:snapToGrid w:val="0"/>
              <w:ind w:left="0" w:leftChars="0" w:firstLine="0" w:firstLineChars="0"/>
              <w:jc w:val="both"/>
              <w:rPr>
                <w:rFonts w:ascii="宋体" w:hAnsi="宋体" w:cs="宋体"/>
                <w:bCs/>
                <w:color w:val="auto"/>
                <w:spacing w:val="10"/>
                <w:sz w:val="24"/>
                <w:szCs w:val="24"/>
                <w:highlight w:val="none"/>
              </w:rPr>
            </w:pPr>
            <w:r>
              <w:rPr>
                <w:rFonts w:hint="eastAsia" w:ascii="宋体" w:hAnsi="宋体"/>
                <w:bCs/>
                <w:color w:val="auto"/>
                <w:sz w:val="24"/>
                <w:szCs w:val="24"/>
                <w:highlight w:val="none"/>
              </w:rPr>
              <w:t>环保投资</w:t>
            </w:r>
          </w:p>
        </w:tc>
        <w:tc>
          <w:tcPr>
            <w:tcW w:w="8480" w:type="dxa"/>
            <w:noWrap w:val="0"/>
            <w:vAlign w:val="top"/>
          </w:tcPr>
          <w:p w14:paraId="657C4D86">
            <w:pPr>
              <w:bidi w:val="0"/>
              <w:rPr>
                <w:color w:val="auto"/>
                <w:highlight w:val="none"/>
              </w:rPr>
            </w:pPr>
            <w:r>
              <w:rPr>
                <w:color w:val="auto"/>
                <w:highlight w:val="none"/>
              </w:rPr>
              <w:t>项目总投资</w:t>
            </w:r>
            <w:r>
              <w:rPr>
                <w:rFonts w:hint="eastAsia"/>
                <w:color w:val="auto"/>
                <w:kern w:val="0"/>
                <w:sz w:val="24"/>
                <w:highlight w:val="none"/>
                <w:lang w:val="en-US" w:eastAsia="zh-CN" w:bidi="ar"/>
              </w:rPr>
              <w:t>9574.20</w:t>
            </w:r>
            <w:r>
              <w:rPr>
                <w:color w:val="auto"/>
                <w:highlight w:val="none"/>
              </w:rPr>
              <w:t>万元，其中环境保护投资估算约为</w:t>
            </w:r>
            <w:r>
              <w:rPr>
                <w:rFonts w:hint="eastAsia"/>
                <w:color w:val="auto"/>
                <w:highlight w:val="none"/>
                <w:lang w:val="en-US" w:eastAsia="zh-CN"/>
              </w:rPr>
              <w:t>60</w:t>
            </w:r>
            <w:r>
              <w:rPr>
                <w:color w:val="auto"/>
                <w:highlight w:val="none"/>
              </w:rPr>
              <w:t>万元，占项目总投资的</w:t>
            </w:r>
            <w:r>
              <w:rPr>
                <w:rFonts w:hint="eastAsia"/>
                <w:color w:val="auto"/>
                <w:highlight w:val="none"/>
                <w:lang w:val="en-US" w:eastAsia="zh-CN"/>
              </w:rPr>
              <w:t>0.63</w:t>
            </w:r>
            <w:r>
              <w:rPr>
                <w:color w:val="auto"/>
                <w:highlight w:val="none"/>
              </w:rPr>
              <w:t>%。</w:t>
            </w:r>
          </w:p>
          <w:p w14:paraId="56BD16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表5-2环境保护投资概算表</w:t>
            </w:r>
          </w:p>
          <w:tbl>
            <w:tblPr>
              <w:tblStyle w:val="46"/>
              <w:tblW w:w="813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6"/>
              <w:gridCol w:w="1444"/>
              <w:gridCol w:w="3626"/>
              <w:gridCol w:w="1160"/>
              <w:gridCol w:w="1116"/>
            </w:tblGrid>
            <w:tr w14:paraId="7B30F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86" w:type="dxa"/>
                  <w:vAlign w:val="center"/>
                </w:tcPr>
                <w:p w14:paraId="088D7B95">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阶段</w:t>
                  </w:r>
                </w:p>
              </w:tc>
              <w:tc>
                <w:tcPr>
                  <w:tcW w:w="1444" w:type="dxa"/>
                  <w:vAlign w:val="center"/>
                </w:tcPr>
                <w:p w14:paraId="0E3D29AE">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项目</w:t>
                  </w:r>
                </w:p>
              </w:tc>
              <w:tc>
                <w:tcPr>
                  <w:tcW w:w="3626" w:type="dxa"/>
                  <w:vAlign w:val="center"/>
                </w:tcPr>
                <w:p w14:paraId="08CF6BAB">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措施</w:t>
                  </w:r>
                </w:p>
              </w:tc>
              <w:tc>
                <w:tcPr>
                  <w:tcW w:w="1160" w:type="dxa"/>
                  <w:vAlign w:val="center"/>
                </w:tcPr>
                <w:p w14:paraId="5193A2DA">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投资金额</w:t>
                  </w:r>
                </w:p>
                <w:p w14:paraId="675B973D">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（万元）</w:t>
                  </w:r>
                </w:p>
              </w:tc>
              <w:tc>
                <w:tcPr>
                  <w:tcW w:w="1116" w:type="dxa"/>
                  <w:vAlign w:val="center"/>
                </w:tcPr>
                <w:p w14:paraId="47A525C1">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备注</w:t>
                  </w:r>
                </w:p>
              </w:tc>
            </w:tr>
            <w:tr w14:paraId="7071E2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86" w:type="dxa"/>
                  <w:vMerge w:val="restart"/>
                  <w:vAlign w:val="center"/>
                </w:tcPr>
                <w:p w14:paraId="3B8FEC12">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施工期</w:t>
                  </w:r>
                </w:p>
              </w:tc>
              <w:tc>
                <w:tcPr>
                  <w:tcW w:w="1444" w:type="dxa"/>
                  <w:vAlign w:val="center"/>
                </w:tcPr>
                <w:p w14:paraId="0A501B53">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废气</w:t>
                  </w:r>
                </w:p>
              </w:tc>
              <w:tc>
                <w:tcPr>
                  <w:tcW w:w="3626" w:type="dxa"/>
                  <w:vAlign w:val="center"/>
                </w:tcPr>
                <w:p w14:paraId="104FDA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1"/>
                      <w:szCs w:val="21"/>
                      <w:highlight w:val="none"/>
                      <w:lang w:val="en-US" w:eastAsia="zh-CN" w:bidi="ar-SA"/>
                    </w:rPr>
                    <w:t>洒水降尘、防尘网、雾泡降尘措施、施工场地临时围挡</w:t>
                  </w:r>
                </w:p>
              </w:tc>
              <w:tc>
                <w:tcPr>
                  <w:tcW w:w="1160" w:type="dxa"/>
                  <w:vAlign w:val="center"/>
                </w:tcPr>
                <w:p w14:paraId="0062A150">
                  <w:pPr>
                    <w:pStyle w:val="28"/>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20</w:t>
                  </w:r>
                </w:p>
              </w:tc>
              <w:tc>
                <w:tcPr>
                  <w:tcW w:w="1116" w:type="dxa"/>
                  <w:vAlign w:val="center"/>
                </w:tcPr>
                <w:p w14:paraId="0E145256">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76D38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6" w:type="dxa"/>
                  <w:vMerge w:val="continue"/>
                  <w:vAlign w:val="center"/>
                </w:tcPr>
                <w:p w14:paraId="581AA39E">
                  <w:pPr>
                    <w:pStyle w:val="28"/>
                    <w:bidi w:val="0"/>
                    <w:jc w:val="center"/>
                    <w:rPr>
                      <w:rFonts w:hint="default" w:ascii="Times New Roman" w:hAnsi="Times New Roman" w:eastAsia="宋体" w:cs="Times New Roman"/>
                      <w:color w:val="auto"/>
                      <w:highlight w:val="none"/>
                    </w:rPr>
                  </w:pPr>
                </w:p>
              </w:tc>
              <w:tc>
                <w:tcPr>
                  <w:tcW w:w="1444" w:type="dxa"/>
                  <w:vMerge w:val="restart"/>
                  <w:vAlign w:val="center"/>
                </w:tcPr>
                <w:p w14:paraId="699663BE">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废水</w:t>
                  </w:r>
                </w:p>
              </w:tc>
              <w:tc>
                <w:tcPr>
                  <w:tcW w:w="3626" w:type="dxa"/>
                  <w:vAlign w:val="center"/>
                </w:tcPr>
                <w:p w14:paraId="426B31A7">
                  <w:pPr>
                    <w:pStyle w:val="28"/>
                    <w:bidi w:val="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施工蓄水池</w:t>
                  </w:r>
                </w:p>
              </w:tc>
              <w:tc>
                <w:tcPr>
                  <w:tcW w:w="1160" w:type="dxa"/>
                  <w:vAlign w:val="center"/>
                </w:tcPr>
                <w:p w14:paraId="52DD2540">
                  <w:pPr>
                    <w:pStyle w:val="28"/>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25</w:t>
                  </w:r>
                </w:p>
              </w:tc>
              <w:tc>
                <w:tcPr>
                  <w:tcW w:w="1116" w:type="dxa"/>
                  <w:vAlign w:val="center"/>
                </w:tcPr>
                <w:p w14:paraId="65A561DE">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28588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6" w:type="dxa"/>
                  <w:vMerge w:val="continue"/>
                  <w:vAlign w:val="center"/>
                </w:tcPr>
                <w:p w14:paraId="383C5E3C">
                  <w:pPr>
                    <w:pStyle w:val="28"/>
                    <w:bidi w:val="0"/>
                    <w:jc w:val="center"/>
                    <w:rPr>
                      <w:rFonts w:hint="default" w:ascii="Times New Roman" w:hAnsi="Times New Roman" w:eastAsia="宋体" w:cs="Times New Roman"/>
                      <w:color w:val="auto"/>
                      <w:highlight w:val="none"/>
                    </w:rPr>
                  </w:pPr>
                </w:p>
              </w:tc>
              <w:tc>
                <w:tcPr>
                  <w:tcW w:w="1444" w:type="dxa"/>
                  <w:vMerge w:val="continue"/>
                  <w:tcBorders>
                    <w:bottom w:val="single" w:color="auto" w:sz="4" w:space="0"/>
                  </w:tcBorders>
                  <w:vAlign w:val="center"/>
                </w:tcPr>
                <w:p w14:paraId="635F310E">
                  <w:pPr>
                    <w:pStyle w:val="28"/>
                    <w:bidi w:val="0"/>
                    <w:jc w:val="center"/>
                    <w:rPr>
                      <w:rFonts w:hint="default" w:ascii="Times New Roman" w:hAnsi="Times New Roman" w:eastAsia="宋体" w:cs="Times New Roman"/>
                      <w:color w:val="auto"/>
                      <w:highlight w:val="none"/>
                    </w:rPr>
                  </w:pPr>
                </w:p>
              </w:tc>
              <w:tc>
                <w:tcPr>
                  <w:tcW w:w="3626" w:type="dxa"/>
                  <w:vAlign w:val="center"/>
                </w:tcPr>
                <w:p w14:paraId="025738AD">
                  <w:pPr>
                    <w:pStyle w:val="28"/>
                    <w:bidi w:val="0"/>
                    <w:jc w:val="center"/>
                    <w:rPr>
                      <w:rFonts w:hint="default"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3个</w:t>
                  </w:r>
                  <w:r>
                    <w:rPr>
                      <w:rFonts w:hint="default" w:ascii="Times New Roman" w:hAnsi="Times New Roman" w:eastAsia="宋体" w:cs="Times New Roman"/>
                      <w:color w:val="auto"/>
                      <w:sz w:val="21"/>
                      <w:szCs w:val="21"/>
                      <w:highlight w:val="none"/>
                      <w:lang w:eastAsia="zh-CN"/>
                    </w:rPr>
                    <w:t>沉砂池</w:t>
                  </w:r>
                  <w:r>
                    <w:rPr>
                      <w:rFonts w:hint="default" w:ascii="Times New Roman" w:hAnsi="Times New Roman" w:eastAsia="宋体" w:cs="Times New Roman"/>
                      <w:color w:val="auto"/>
                      <w:sz w:val="21"/>
                      <w:szCs w:val="21"/>
                      <w:highlight w:val="none"/>
                      <w:lang w:val="en-US" w:eastAsia="zh-CN"/>
                    </w:rPr>
                    <w:t>5m³</w:t>
                  </w:r>
                  <w:r>
                    <w:rPr>
                      <w:rFonts w:hint="default" w:ascii="Times New Roman" w:hAnsi="Times New Roman" w:eastAsia="宋体" w:cs="Times New Roman"/>
                      <w:color w:val="auto"/>
                      <w:sz w:val="21"/>
                      <w:szCs w:val="21"/>
                      <w:highlight w:val="none"/>
                      <w:lang w:eastAsia="zh-CN"/>
                    </w:rPr>
                    <w:t>、排水沟</w:t>
                  </w:r>
                </w:p>
              </w:tc>
              <w:tc>
                <w:tcPr>
                  <w:tcW w:w="1160" w:type="dxa"/>
                  <w:vAlign w:val="center"/>
                </w:tcPr>
                <w:p w14:paraId="4413D732">
                  <w:pPr>
                    <w:pStyle w:val="28"/>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10</w:t>
                  </w:r>
                </w:p>
              </w:tc>
              <w:tc>
                <w:tcPr>
                  <w:tcW w:w="1116" w:type="dxa"/>
                  <w:vAlign w:val="center"/>
                </w:tcPr>
                <w:p w14:paraId="2D64351C">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4DBB4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6" w:type="dxa"/>
                  <w:vMerge w:val="continue"/>
                  <w:vAlign w:val="center"/>
                </w:tcPr>
                <w:p w14:paraId="519458EC">
                  <w:pPr>
                    <w:pStyle w:val="28"/>
                    <w:bidi w:val="0"/>
                    <w:jc w:val="center"/>
                    <w:rPr>
                      <w:rFonts w:hint="default" w:ascii="Times New Roman" w:hAnsi="Times New Roman" w:eastAsia="宋体" w:cs="Times New Roman"/>
                      <w:color w:val="auto"/>
                      <w:highlight w:val="none"/>
                    </w:rPr>
                  </w:pPr>
                </w:p>
              </w:tc>
              <w:tc>
                <w:tcPr>
                  <w:tcW w:w="1444" w:type="dxa"/>
                  <w:tcBorders>
                    <w:top w:val="single" w:color="auto" w:sz="4" w:space="0"/>
                    <w:bottom w:val="single" w:color="auto" w:sz="4" w:space="0"/>
                  </w:tcBorders>
                  <w:vAlign w:val="center"/>
                </w:tcPr>
                <w:p w14:paraId="24CD803B">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固废</w:t>
                  </w:r>
                </w:p>
              </w:tc>
              <w:tc>
                <w:tcPr>
                  <w:tcW w:w="3626" w:type="dxa"/>
                  <w:vAlign w:val="center"/>
                </w:tcPr>
                <w:p w14:paraId="4FAD1D70">
                  <w:pPr>
                    <w:pStyle w:val="28"/>
                    <w:bidi w:val="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施工场地</w:t>
                  </w:r>
                  <w:r>
                    <w:rPr>
                      <w:rFonts w:hint="default" w:ascii="Times New Roman" w:hAnsi="Times New Roman" w:eastAsia="宋体" w:cs="Times New Roman"/>
                      <w:color w:val="auto"/>
                      <w:highlight w:val="none"/>
                      <w:lang w:eastAsia="zh-CN"/>
                    </w:rPr>
                    <w:t>垃圾处置</w:t>
                  </w:r>
                </w:p>
              </w:tc>
              <w:tc>
                <w:tcPr>
                  <w:tcW w:w="1160" w:type="dxa"/>
                  <w:vAlign w:val="center"/>
                </w:tcPr>
                <w:p w14:paraId="28838C78">
                  <w:pPr>
                    <w:pStyle w:val="28"/>
                    <w:bidi w:val="0"/>
                    <w:jc w:val="center"/>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highlight w:val="none"/>
                      <w:lang w:val="en-US" w:eastAsia="zh-CN"/>
                    </w:rPr>
                    <w:t>3</w:t>
                  </w:r>
                </w:p>
              </w:tc>
              <w:tc>
                <w:tcPr>
                  <w:tcW w:w="1116" w:type="dxa"/>
                  <w:vAlign w:val="center"/>
                </w:tcPr>
                <w:p w14:paraId="58ACA0E3">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73655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6" w:type="dxa"/>
                  <w:vMerge w:val="continue"/>
                  <w:tcBorders>
                    <w:bottom w:val="single" w:color="auto" w:sz="4" w:space="0"/>
                  </w:tcBorders>
                  <w:vAlign w:val="center"/>
                </w:tcPr>
                <w:p w14:paraId="051B571A">
                  <w:pPr>
                    <w:pStyle w:val="28"/>
                    <w:bidi w:val="0"/>
                    <w:jc w:val="center"/>
                    <w:rPr>
                      <w:rFonts w:hint="default" w:ascii="Times New Roman" w:hAnsi="Times New Roman" w:eastAsia="宋体" w:cs="Times New Roman"/>
                      <w:color w:val="auto"/>
                      <w:highlight w:val="none"/>
                    </w:rPr>
                  </w:pPr>
                </w:p>
              </w:tc>
              <w:tc>
                <w:tcPr>
                  <w:tcW w:w="1444" w:type="dxa"/>
                  <w:tcBorders>
                    <w:top w:val="single" w:color="auto" w:sz="4" w:space="0"/>
                    <w:bottom w:val="single" w:color="auto" w:sz="4" w:space="0"/>
                  </w:tcBorders>
                  <w:vAlign w:val="center"/>
                </w:tcPr>
                <w:p w14:paraId="28622342">
                  <w:pPr>
                    <w:pStyle w:val="45"/>
                    <w:keepNext w:val="0"/>
                    <w:keepLines w:val="0"/>
                    <w:pageBreakBefore w:val="0"/>
                    <w:widowControl w:val="0"/>
                    <w:kinsoku/>
                    <w:wordWrap/>
                    <w:overflowPunct/>
                    <w:topLinePunct w:val="0"/>
                    <w:autoSpaceDE/>
                    <w:autoSpaceDN/>
                    <w:bidi w:val="0"/>
                    <w:adjustRightInd w:val="0"/>
                    <w:snapToGrid w:val="0"/>
                    <w:spacing w:before="39" w:line="210" w:lineRule="auto"/>
                    <w:ind w:left="217"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噪声</w:t>
                  </w:r>
                </w:p>
              </w:tc>
              <w:tc>
                <w:tcPr>
                  <w:tcW w:w="3626" w:type="dxa"/>
                  <w:vAlign w:val="center"/>
                </w:tcPr>
                <w:p w14:paraId="3851A206">
                  <w:pPr>
                    <w:pStyle w:val="45"/>
                    <w:keepNext w:val="0"/>
                    <w:keepLines w:val="0"/>
                    <w:pageBreakBefore w:val="0"/>
                    <w:widowControl w:val="0"/>
                    <w:kinsoku/>
                    <w:wordWrap/>
                    <w:overflowPunct/>
                    <w:topLinePunct w:val="0"/>
                    <w:autoSpaceDE/>
                    <w:autoSpaceDN/>
                    <w:bidi w:val="0"/>
                    <w:adjustRightInd w:val="0"/>
                    <w:snapToGrid w:val="0"/>
                    <w:spacing w:before="39" w:line="210" w:lineRule="auto"/>
                    <w:ind w:left="110"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施工场地周围设置围挡</w:t>
                  </w:r>
                </w:p>
              </w:tc>
              <w:tc>
                <w:tcPr>
                  <w:tcW w:w="1160" w:type="dxa"/>
                  <w:vAlign w:val="center"/>
                </w:tcPr>
                <w:p w14:paraId="00F69E02">
                  <w:pPr>
                    <w:keepNext w:val="0"/>
                    <w:keepLines w:val="0"/>
                    <w:pageBreakBefore w:val="0"/>
                    <w:widowControl w:val="0"/>
                    <w:kinsoku/>
                    <w:wordWrap/>
                    <w:overflowPunct/>
                    <w:topLinePunct w:val="0"/>
                    <w:autoSpaceDE/>
                    <w:autoSpaceDN/>
                    <w:bidi w:val="0"/>
                    <w:adjustRightInd w:val="0"/>
                    <w:snapToGrid w:val="0"/>
                    <w:spacing w:before="74" w:line="195" w:lineRule="auto"/>
                    <w:ind w:left="501" w:leftChars="0" w:firstLine="0" w:firstLineChars="0"/>
                    <w:jc w:val="both"/>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10</w:t>
                  </w:r>
                </w:p>
              </w:tc>
              <w:tc>
                <w:tcPr>
                  <w:tcW w:w="1116" w:type="dxa"/>
                  <w:vAlign w:val="center"/>
                </w:tcPr>
                <w:p w14:paraId="7060CC52">
                  <w:pPr>
                    <w:pStyle w:val="45"/>
                    <w:keepNext w:val="0"/>
                    <w:keepLines w:val="0"/>
                    <w:pageBreakBefore w:val="0"/>
                    <w:widowControl w:val="0"/>
                    <w:kinsoku/>
                    <w:wordWrap/>
                    <w:overflowPunct/>
                    <w:topLinePunct w:val="0"/>
                    <w:autoSpaceDE/>
                    <w:autoSpaceDN/>
                    <w:bidi w:val="0"/>
                    <w:adjustRightInd w:val="0"/>
                    <w:snapToGrid w:val="0"/>
                    <w:spacing w:before="39" w:line="210" w:lineRule="auto"/>
                    <w:ind w:left="119" w:lef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环评新增</w:t>
                  </w:r>
                </w:p>
              </w:tc>
            </w:tr>
            <w:tr w14:paraId="75BC3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6" w:type="dxa"/>
                  <w:vMerge w:val="restart"/>
                  <w:tcBorders>
                    <w:top w:val="single" w:color="auto" w:sz="4" w:space="0"/>
                  </w:tcBorders>
                  <w:vAlign w:val="center"/>
                </w:tcPr>
                <w:p w14:paraId="7A907512">
                  <w:pPr>
                    <w:pStyle w:val="28"/>
                    <w:bidi w:val="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运营期</w:t>
                  </w:r>
                </w:p>
              </w:tc>
              <w:tc>
                <w:tcPr>
                  <w:tcW w:w="1444" w:type="dxa"/>
                  <w:tcBorders>
                    <w:top w:val="single" w:color="auto" w:sz="4" w:space="0"/>
                  </w:tcBorders>
                  <w:vAlign w:val="center"/>
                </w:tcPr>
                <w:p w14:paraId="04D4BCC6">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固废</w:t>
                  </w:r>
                </w:p>
              </w:tc>
              <w:tc>
                <w:tcPr>
                  <w:tcW w:w="3626" w:type="dxa"/>
                  <w:vAlign w:val="center"/>
                </w:tcPr>
                <w:p w14:paraId="2C05C022">
                  <w:pPr>
                    <w:pStyle w:val="28"/>
                    <w:bidi w:val="0"/>
                    <w:jc w:val="center"/>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开关站内设置</w:t>
                  </w:r>
                  <w:r>
                    <w:rPr>
                      <w:rFonts w:hint="default" w:ascii="Times New Roman" w:hAnsi="Times New Roman" w:eastAsia="宋体" w:cs="Times New Roman"/>
                      <w:color w:val="auto"/>
                      <w:highlight w:val="none"/>
                    </w:rPr>
                    <w:t>1</w:t>
                  </w:r>
                  <w:r>
                    <w:rPr>
                      <w:rFonts w:hint="eastAsia" w:ascii="Times New Roman" w:hAnsi="Times New Roman" w:cs="Times New Roman"/>
                      <w:color w:val="auto"/>
                      <w:highlight w:val="none"/>
                      <w:lang w:eastAsia="zh-CN"/>
                    </w:rPr>
                    <w:t>间</w:t>
                  </w:r>
                  <w:r>
                    <w:rPr>
                      <w:rFonts w:hint="eastAsia" w:ascii="Times New Roman" w:hAnsi="Times New Roman" w:cs="Times New Roman"/>
                      <w:color w:val="auto"/>
                      <w:highlight w:val="none"/>
                      <w:lang w:val="en-US" w:eastAsia="zh-CN"/>
                    </w:rPr>
                    <w:t>6.25</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eastAsia="zh-CN"/>
                    </w:rPr>
                    <w:t>固废舱</w:t>
                  </w:r>
                  <w:r>
                    <w:rPr>
                      <w:rFonts w:hint="default" w:ascii="Times New Roman" w:hAnsi="Times New Roman" w:eastAsia="宋体" w:cs="Times New Roman"/>
                      <w:color w:val="auto"/>
                      <w:highlight w:val="none"/>
                      <w:lang w:val="en-US" w:eastAsia="zh-CN"/>
                    </w:rPr>
                    <w:t>和1间</w:t>
                  </w:r>
                  <w:r>
                    <w:rPr>
                      <w:rFonts w:hint="eastAsia" w:ascii="Times New Roman" w:hAnsi="Times New Roman" w:cs="Times New Roman"/>
                      <w:color w:val="auto"/>
                      <w:highlight w:val="none"/>
                      <w:lang w:val="en-US" w:eastAsia="zh-CN"/>
                    </w:rPr>
                    <w:t>15.3</w:t>
                  </w:r>
                  <w:r>
                    <w:rPr>
                      <w:rFonts w:hint="default" w:ascii="Times New Roman" w:hAnsi="Times New Roman" w:eastAsia="宋体" w:cs="Times New Roman"/>
                      <w:color w:val="auto"/>
                      <w:highlight w:val="none"/>
                      <w:lang w:val="en-US" w:eastAsia="zh-CN"/>
                    </w:rPr>
                    <w:t>㎡的</w:t>
                  </w:r>
                  <w:r>
                    <w:rPr>
                      <w:rFonts w:hint="eastAsia" w:ascii="Times New Roman" w:hAnsi="Times New Roman" w:cs="Times New Roman"/>
                      <w:color w:val="auto"/>
                      <w:highlight w:val="none"/>
                      <w:lang w:eastAsia="zh-CN"/>
                    </w:rPr>
                    <w:t>危废贮存间</w:t>
                  </w:r>
                </w:p>
              </w:tc>
              <w:tc>
                <w:tcPr>
                  <w:tcW w:w="1160" w:type="dxa"/>
                  <w:vAlign w:val="center"/>
                </w:tcPr>
                <w:p w14:paraId="6E62595F">
                  <w:pPr>
                    <w:pStyle w:val="28"/>
                    <w:bidi w:val="0"/>
                    <w:jc w:val="center"/>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highlight w:val="none"/>
                      <w:lang w:val="en-US" w:eastAsia="zh-CN"/>
                    </w:rPr>
                    <w:t>8</w:t>
                  </w:r>
                </w:p>
              </w:tc>
              <w:tc>
                <w:tcPr>
                  <w:tcW w:w="1116" w:type="dxa"/>
                  <w:vAlign w:val="center"/>
                </w:tcPr>
                <w:p w14:paraId="5EB08727">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1F49A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86" w:type="dxa"/>
                  <w:vMerge w:val="continue"/>
                  <w:vAlign w:val="center"/>
                </w:tcPr>
                <w:p w14:paraId="2A2E9C12">
                  <w:pPr>
                    <w:pStyle w:val="28"/>
                    <w:bidi w:val="0"/>
                    <w:jc w:val="center"/>
                    <w:rPr>
                      <w:rFonts w:hint="default" w:ascii="Times New Roman" w:hAnsi="Times New Roman" w:eastAsia="宋体" w:cs="Times New Roman"/>
                      <w:color w:val="auto"/>
                      <w:highlight w:val="none"/>
                    </w:rPr>
                  </w:pPr>
                </w:p>
              </w:tc>
              <w:tc>
                <w:tcPr>
                  <w:tcW w:w="1444" w:type="dxa"/>
                  <w:tcBorders>
                    <w:top w:val="single" w:color="auto" w:sz="4" w:space="0"/>
                  </w:tcBorders>
                  <w:vAlign w:val="center"/>
                </w:tcPr>
                <w:p w14:paraId="3E21C785">
                  <w:pPr>
                    <w:pStyle w:val="28"/>
                    <w:bidi w:val="0"/>
                    <w:jc w:val="center"/>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环境风险</w:t>
                  </w:r>
                </w:p>
              </w:tc>
              <w:tc>
                <w:tcPr>
                  <w:tcW w:w="3626" w:type="dxa"/>
                  <w:vAlign w:val="center"/>
                </w:tcPr>
                <w:p w14:paraId="364D2046">
                  <w:pPr>
                    <w:pStyle w:val="28"/>
                    <w:bidi w:val="0"/>
                    <w:jc w:val="center"/>
                    <w:rPr>
                      <w:rFonts w:hint="default" w:ascii="Times New Roman" w:hAnsi="Times New Roman" w:eastAsia="宋体" w:cs="Times New Roman"/>
                      <w:color w:val="auto"/>
                      <w:highlight w:val="none"/>
                    </w:rPr>
                  </w:pPr>
                  <w:r>
                    <w:rPr>
                      <w:rFonts w:hint="eastAsia" w:ascii="Times New Roman" w:hAnsi="Times New Roman" w:cs="Times New Roman"/>
                      <w:color w:val="auto"/>
                      <w:highlight w:val="none"/>
                      <w:lang w:eastAsia="zh-CN"/>
                    </w:rPr>
                    <w:t>危废贮存间</w:t>
                  </w:r>
                  <w:r>
                    <w:rPr>
                      <w:rFonts w:hint="default" w:ascii="Times New Roman" w:hAnsi="Times New Roman" w:eastAsia="宋体" w:cs="Times New Roman"/>
                      <w:color w:val="auto"/>
                      <w:highlight w:val="none"/>
                    </w:rPr>
                    <w:t>防渗处理</w:t>
                  </w:r>
                </w:p>
              </w:tc>
              <w:tc>
                <w:tcPr>
                  <w:tcW w:w="1160" w:type="dxa"/>
                  <w:vAlign w:val="center"/>
                </w:tcPr>
                <w:p w14:paraId="0661482C">
                  <w:pPr>
                    <w:pStyle w:val="28"/>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2</w:t>
                  </w:r>
                </w:p>
              </w:tc>
              <w:tc>
                <w:tcPr>
                  <w:tcW w:w="1116" w:type="dxa"/>
                  <w:vAlign w:val="center"/>
                </w:tcPr>
                <w:p w14:paraId="166618A7">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7BD66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230" w:type="dxa"/>
                  <w:gridSpan w:val="2"/>
                  <w:vMerge w:val="restart"/>
                  <w:tcBorders>
                    <w:top w:val="single" w:color="auto" w:sz="4" w:space="0"/>
                    <w:bottom w:val="nil"/>
                  </w:tcBorders>
                  <w:vAlign w:val="center"/>
                </w:tcPr>
                <w:p w14:paraId="64B9AD33">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生态环境</w:t>
                  </w:r>
                </w:p>
              </w:tc>
              <w:tc>
                <w:tcPr>
                  <w:tcW w:w="3626" w:type="dxa"/>
                  <w:vAlign w:val="center"/>
                </w:tcPr>
                <w:p w14:paraId="2A1EE816">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生态环境监测</w:t>
                  </w:r>
                </w:p>
              </w:tc>
              <w:tc>
                <w:tcPr>
                  <w:tcW w:w="1160" w:type="dxa"/>
                  <w:vAlign w:val="center"/>
                </w:tcPr>
                <w:p w14:paraId="4E34C68C">
                  <w:pPr>
                    <w:pStyle w:val="28"/>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4</w:t>
                  </w:r>
                </w:p>
              </w:tc>
              <w:tc>
                <w:tcPr>
                  <w:tcW w:w="1116" w:type="dxa"/>
                  <w:vAlign w:val="center"/>
                </w:tcPr>
                <w:p w14:paraId="3E78745C">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665DB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2230" w:type="dxa"/>
                  <w:gridSpan w:val="2"/>
                  <w:vMerge w:val="continue"/>
                  <w:tcBorders>
                    <w:top w:val="nil"/>
                  </w:tcBorders>
                  <w:vAlign w:val="center"/>
                </w:tcPr>
                <w:p w14:paraId="095F241E">
                  <w:pPr>
                    <w:pStyle w:val="28"/>
                    <w:bidi w:val="0"/>
                    <w:jc w:val="center"/>
                    <w:rPr>
                      <w:rFonts w:hint="default" w:ascii="Times New Roman" w:hAnsi="Times New Roman" w:eastAsia="宋体" w:cs="Times New Roman"/>
                      <w:color w:val="auto"/>
                      <w:highlight w:val="none"/>
                    </w:rPr>
                  </w:pPr>
                </w:p>
              </w:tc>
              <w:tc>
                <w:tcPr>
                  <w:tcW w:w="3626" w:type="dxa"/>
                  <w:vAlign w:val="center"/>
                </w:tcPr>
                <w:p w14:paraId="20F69EEC">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环保宣传牌</w:t>
                  </w:r>
                </w:p>
              </w:tc>
              <w:tc>
                <w:tcPr>
                  <w:tcW w:w="1160" w:type="dxa"/>
                  <w:vAlign w:val="center"/>
                </w:tcPr>
                <w:p w14:paraId="5C46B5E4">
                  <w:pPr>
                    <w:pStyle w:val="28"/>
                    <w:bidi w:val="0"/>
                    <w:jc w:val="center"/>
                    <w:rPr>
                      <w:rFonts w:hint="default" w:ascii="Times New Roman" w:hAnsi="Times New Roman" w:eastAsia="宋体" w:cs="Times New Roman"/>
                      <w:b w:val="0"/>
                      <w:bCs w:val="0"/>
                      <w:color w:val="auto"/>
                      <w:highlight w:val="none"/>
                      <w:lang w:eastAsia="zh-CN"/>
                    </w:rPr>
                  </w:pPr>
                  <w:r>
                    <w:rPr>
                      <w:rFonts w:hint="default" w:ascii="Times New Roman" w:hAnsi="Times New Roman" w:eastAsia="宋体" w:cs="Times New Roman"/>
                      <w:b w:val="0"/>
                      <w:bCs w:val="0"/>
                      <w:color w:val="auto"/>
                      <w:highlight w:val="none"/>
                      <w:lang w:val="en-US" w:eastAsia="zh-CN"/>
                    </w:rPr>
                    <w:t>2</w:t>
                  </w:r>
                </w:p>
              </w:tc>
              <w:tc>
                <w:tcPr>
                  <w:tcW w:w="1116" w:type="dxa"/>
                  <w:vAlign w:val="center"/>
                </w:tcPr>
                <w:p w14:paraId="477EF7EF">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环评新增</w:t>
                  </w:r>
                </w:p>
              </w:tc>
            </w:tr>
            <w:tr w14:paraId="16DA46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856" w:type="dxa"/>
                  <w:gridSpan w:val="3"/>
                  <w:tcBorders>
                    <w:bottom w:val="single" w:color="000000" w:sz="6" w:space="0"/>
                  </w:tcBorders>
                  <w:vAlign w:val="center"/>
                </w:tcPr>
                <w:p w14:paraId="2332C903">
                  <w:pPr>
                    <w:pStyle w:val="28"/>
                    <w:bidi w:val="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合计</w:t>
                  </w:r>
                </w:p>
              </w:tc>
              <w:tc>
                <w:tcPr>
                  <w:tcW w:w="1160" w:type="dxa"/>
                  <w:tcBorders>
                    <w:bottom w:val="single" w:color="000000" w:sz="6" w:space="0"/>
                  </w:tcBorders>
                  <w:vAlign w:val="center"/>
                </w:tcPr>
                <w:p w14:paraId="18EE2D86">
                  <w:pPr>
                    <w:pStyle w:val="28"/>
                    <w:bidi w:val="0"/>
                    <w:jc w:val="center"/>
                    <w:rPr>
                      <w:rFonts w:hint="default" w:ascii="Times New Roman" w:hAnsi="Times New Roman" w:eastAsia="宋体" w:cs="Times New Roman"/>
                      <w:b w:val="0"/>
                      <w:bCs w:val="0"/>
                      <w:color w:val="auto"/>
                      <w:highlight w:val="none"/>
                      <w:lang w:val="en-US" w:eastAsia="zh-CN"/>
                    </w:rPr>
                  </w:pPr>
                  <w:r>
                    <w:rPr>
                      <w:rFonts w:hint="default" w:ascii="Times New Roman" w:hAnsi="Times New Roman" w:eastAsia="宋体" w:cs="Times New Roman"/>
                      <w:b w:val="0"/>
                      <w:bCs w:val="0"/>
                      <w:color w:val="auto"/>
                      <w:highlight w:val="none"/>
                      <w:lang w:val="en-US" w:eastAsia="zh-CN"/>
                    </w:rPr>
                    <w:t>60</w:t>
                  </w:r>
                </w:p>
              </w:tc>
              <w:tc>
                <w:tcPr>
                  <w:tcW w:w="1116" w:type="dxa"/>
                  <w:tcBorders>
                    <w:bottom w:val="single" w:color="000000" w:sz="6" w:space="0"/>
                  </w:tcBorders>
                  <w:vAlign w:val="center"/>
                </w:tcPr>
                <w:p w14:paraId="68200708">
                  <w:pPr>
                    <w:pStyle w:val="28"/>
                    <w:bidi w:val="0"/>
                    <w:jc w:val="center"/>
                    <w:rPr>
                      <w:rFonts w:hint="default" w:ascii="Times New Roman" w:hAnsi="Times New Roman" w:eastAsia="宋体" w:cs="Times New Roman"/>
                      <w:color w:val="auto"/>
                      <w:highlight w:val="none"/>
                    </w:rPr>
                  </w:pPr>
                </w:p>
              </w:tc>
            </w:tr>
          </w:tbl>
          <w:p w14:paraId="41D00A69">
            <w:pPr>
              <w:adjustRightInd w:val="0"/>
              <w:snapToGrid w:val="0"/>
              <w:jc w:val="center"/>
              <w:rPr>
                <w:b/>
                <w:bCs/>
                <w:color w:val="auto"/>
                <w:spacing w:val="-3"/>
                <w:highlight w:val="none"/>
              </w:rPr>
            </w:pPr>
          </w:p>
        </w:tc>
      </w:tr>
    </w:tbl>
    <w:p w14:paraId="5CBBE609">
      <w:pPr>
        <w:rPr>
          <w:color w:val="auto"/>
          <w:highlight w:val="none"/>
        </w:rPr>
        <w:sectPr>
          <w:pgSz w:w="11907" w:h="16840"/>
          <w:pgMar w:top="1440" w:right="1797" w:bottom="1440" w:left="1797" w:header="851" w:footer="1077" w:gutter="0"/>
          <w:pgBorders>
            <w:top w:val="none" w:sz="0" w:space="0"/>
            <w:left w:val="none" w:sz="0" w:space="0"/>
            <w:bottom w:val="none" w:sz="0" w:space="0"/>
            <w:right w:val="none" w:sz="0" w:space="0"/>
          </w:pgBorders>
          <w:pgNumType w:fmt="decimal"/>
          <w:cols w:space="720" w:num="1"/>
          <w:docGrid w:linePitch="312" w:charSpace="0"/>
        </w:sectPr>
      </w:pPr>
    </w:p>
    <w:p w14:paraId="7F99BB91">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eastAsia" w:ascii="Times New Roman" w:hAnsi="Times New Roman" w:cs="Times New Roman"/>
          <w:b/>
          <w:bCs/>
          <w:snapToGrid w:val="0"/>
          <w:color w:val="auto"/>
          <w:sz w:val="30"/>
          <w:szCs w:val="30"/>
          <w:highlight w:val="none"/>
          <w:lang w:eastAsia="zh-CN"/>
        </w:rPr>
      </w:pPr>
      <w:bookmarkStart w:id="26" w:name="_Toc25403"/>
      <w:r>
        <w:rPr>
          <w:rFonts w:hint="eastAsia" w:ascii="Times New Roman" w:hAnsi="Times New Roman" w:cs="Times New Roman"/>
          <w:b/>
          <w:bCs/>
          <w:snapToGrid w:val="0"/>
          <w:color w:val="auto"/>
          <w:sz w:val="30"/>
          <w:szCs w:val="30"/>
          <w:highlight w:val="none"/>
          <w:lang w:eastAsia="zh-CN"/>
        </w:rPr>
        <w:t>六、生态环境保护措施监督检查清单</w:t>
      </w:r>
      <w:bookmarkEnd w:id="26"/>
    </w:p>
    <w:tbl>
      <w:tblPr>
        <w:tblStyle w:val="2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5039"/>
        <w:gridCol w:w="1852"/>
        <w:gridCol w:w="3316"/>
        <w:gridCol w:w="2632"/>
      </w:tblGrid>
      <w:tr w14:paraId="63FF60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vMerge w:val="restart"/>
            <w:tcBorders>
              <w:tl2br w:val="single" w:color="auto" w:sz="4" w:space="0"/>
            </w:tcBorders>
            <w:noWrap w:val="0"/>
            <w:vAlign w:val="top"/>
          </w:tcPr>
          <w:p w14:paraId="3492C2B4">
            <w:pPr>
              <w:pStyle w:val="16"/>
              <w:adjustRightInd w:val="0"/>
              <w:snapToGrid w:val="0"/>
              <w:spacing w:before="72" w:beforeLines="30" w:beforeAutospacing="0" w:after="0" w:afterAutospacing="0"/>
              <w:jc w:val="center"/>
              <w:outlineLvl w:val="0"/>
              <w:rPr>
                <w:rFonts w:ascii="Times New Roman" w:hAnsi="Times New Roman" w:eastAsia="黑体" w:cs="Times New Roman"/>
                <w:color w:val="auto"/>
                <w:kern w:val="2"/>
                <w:sz w:val="21"/>
                <w:szCs w:val="21"/>
                <w:highlight w:val="none"/>
              </w:rPr>
            </w:pPr>
            <w:bookmarkStart w:id="27" w:name="_Toc32284"/>
            <w:r>
              <w:rPr>
                <w:rFonts w:hint="default" w:ascii="Times New Roman" w:hAnsi="Times New Roman" w:eastAsia="黑体" w:cs="Times New Roman"/>
                <w:color w:val="auto"/>
                <w:kern w:val="2"/>
                <w:sz w:val="21"/>
                <w:szCs w:val="21"/>
                <w:highlight w:val="none"/>
              </w:rPr>
              <w:t>内容</w:t>
            </w:r>
            <w:bookmarkEnd w:id="27"/>
          </w:p>
          <w:p w14:paraId="00BFE0D9">
            <w:pPr>
              <w:pStyle w:val="16"/>
              <w:adjustRightInd w:val="0"/>
              <w:snapToGrid w:val="0"/>
              <w:spacing w:before="0" w:beforeAutospacing="0" w:after="0" w:afterAutospacing="0"/>
              <w:ind w:left="0" w:leftChars="0" w:firstLine="0" w:firstLineChars="0"/>
              <w:outlineLvl w:val="0"/>
              <w:rPr>
                <w:rFonts w:hint="default" w:ascii="Times New Roman" w:hAnsi="Times New Roman" w:eastAsia="黑体" w:cs="Times New Roman"/>
                <w:color w:val="auto"/>
                <w:kern w:val="2"/>
                <w:sz w:val="21"/>
                <w:szCs w:val="21"/>
                <w:highlight w:val="none"/>
              </w:rPr>
            </w:pPr>
            <w:bookmarkStart w:id="28" w:name="_Toc15801"/>
            <w:r>
              <w:rPr>
                <w:rFonts w:hint="default" w:ascii="Times New Roman" w:hAnsi="Times New Roman" w:eastAsia="黑体" w:cs="Times New Roman"/>
                <w:color w:val="auto"/>
                <w:kern w:val="2"/>
                <w:sz w:val="21"/>
                <w:szCs w:val="21"/>
                <w:highlight w:val="none"/>
              </w:rPr>
              <w:t>要素</w:t>
            </w:r>
            <w:bookmarkEnd w:id="28"/>
          </w:p>
        </w:tc>
        <w:tc>
          <w:tcPr>
            <w:tcW w:w="2430" w:type="pct"/>
            <w:gridSpan w:val="2"/>
            <w:noWrap w:val="0"/>
            <w:vAlign w:val="center"/>
          </w:tcPr>
          <w:p w14:paraId="1E4C0F9E">
            <w:pPr>
              <w:pStyle w:val="16"/>
              <w:adjustRightInd w:val="0"/>
              <w:snapToGrid w:val="0"/>
              <w:spacing w:before="0" w:beforeAutospacing="0" w:after="0" w:afterAutospacing="0"/>
              <w:jc w:val="center"/>
              <w:outlineLvl w:val="0"/>
              <w:rPr>
                <w:rFonts w:ascii="Times New Roman" w:hAnsi="Times New Roman" w:eastAsia="黑体" w:cs="Times New Roman"/>
                <w:color w:val="auto"/>
                <w:kern w:val="2"/>
                <w:sz w:val="21"/>
                <w:szCs w:val="21"/>
                <w:highlight w:val="none"/>
              </w:rPr>
            </w:pPr>
            <w:bookmarkStart w:id="29" w:name="_Toc13973"/>
            <w:r>
              <w:rPr>
                <w:rFonts w:hint="default" w:ascii="Times New Roman" w:hAnsi="Times New Roman" w:eastAsia="黑体" w:cs="Times New Roman"/>
                <w:color w:val="auto"/>
                <w:kern w:val="2"/>
                <w:sz w:val="21"/>
                <w:szCs w:val="21"/>
                <w:highlight w:val="none"/>
              </w:rPr>
              <w:t>施工期</w:t>
            </w:r>
            <w:bookmarkEnd w:id="29"/>
          </w:p>
        </w:tc>
        <w:tc>
          <w:tcPr>
            <w:tcW w:w="2097" w:type="pct"/>
            <w:gridSpan w:val="2"/>
            <w:noWrap w:val="0"/>
            <w:vAlign w:val="center"/>
          </w:tcPr>
          <w:p w14:paraId="4B8531C2">
            <w:pPr>
              <w:pStyle w:val="16"/>
              <w:adjustRightInd w:val="0"/>
              <w:snapToGrid w:val="0"/>
              <w:spacing w:before="0" w:beforeAutospacing="0" w:after="0" w:afterAutospacing="0"/>
              <w:jc w:val="center"/>
              <w:outlineLvl w:val="0"/>
              <w:rPr>
                <w:rFonts w:ascii="Times New Roman" w:hAnsi="Times New Roman" w:eastAsia="黑体" w:cs="Times New Roman"/>
                <w:color w:val="auto"/>
                <w:kern w:val="2"/>
                <w:sz w:val="21"/>
                <w:szCs w:val="21"/>
                <w:highlight w:val="none"/>
              </w:rPr>
            </w:pPr>
            <w:bookmarkStart w:id="30" w:name="_Toc11162"/>
            <w:r>
              <w:rPr>
                <w:rFonts w:hint="default" w:ascii="Times New Roman" w:hAnsi="Times New Roman" w:eastAsia="黑体" w:cs="Times New Roman"/>
                <w:color w:val="auto"/>
                <w:kern w:val="2"/>
                <w:sz w:val="21"/>
                <w:szCs w:val="21"/>
                <w:highlight w:val="none"/>
              </w:rPr>
              <w:t>运营期</w:t>
            </w:r>
            <w:bookmarkEnd w:id="30"/>
          </w:p>
        </w:tc>
      </w:tr>
      <w:tr w14:paraId="6A5208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vMerge w:val="continue"/>
            <w:noWrap w:val="0"/>
            <w:vAlign w:val="top"/>
          </w:tcPr>
          <w:p w14:paraId="2399D850">
            <w:pPr>
              <w:pStyle w:val="16"/>
              <w:adjustRightInd w:val="0"/>
              <w:snapToGrid w:val="0"/>
              <w:spacing w:before="0" w:beforeAutospacing="0" w:after="0" w:afterAutospacing="0"/>
              <w:ind w:firstLine="840"/>
              <w:jc w:val="center"/>
              <w:outlineLvl w:val="0"/>
              <w:rPr>
                <w:rFonts w:ascii="Times New Roman" w:hAnsi="Times New Roman" w:eastAsia="黑体" w:cs="Times New Roman"/>
                <w:color w:val="auto"/>
                <w:kern w:val="2"/>
                <w:sz w:val="21"/>
                <w:szCs w:val="21"/>
                <w:highlight w:val="none"/>
              </w:rPr>
            </w:pPr>
          </w:p>
        </w:tc>
        <w:tc>
          <w:tcPr>
            <w:tcW w:w="1777" w:type="pct"/>
            <w:noWrap w:val="0"/>
            <w:vAlign w:val="center"/>
          </w:tcPr>
          <w:p w14:paraId="67745AF6">
            <w:pPr>
              <w:pStyle w:val="16"/>
              <w:adjustRightInd w:val="0"/>
              <w:snapToGrid w:val="0"/>
              <w:spacing w:before="0" w:beforeAutospacing="0" w:after="0" w:afterAutospacing="0"/>
              <w:ind w:left="0" w:leftChars="0" w:firstLine="0" w:firstLineChars="0"/>
              <w:jc w:val="center"/>
              <w:outlineLvl w:val="0"/>
              <w:rPr>
                <w:rFonts w:ascii="Times New Roman" w:hAnsi="Times New Roman" w:eastAsia="黑体" w:cs="Times New Roman"/>
                <w:color w:val="auto"/>
                <w:kern w:val="2"/>
                <w:sz w:val="21"/>
                <w:szCs w:val="21"/>
                <w:highlight w:val="none"/>
              </w:rPr>
            </w:pPr>
            <w:bookmarkStart w:id="31" w:name="_Toc22956"/>
            <w:r>
              <w:rPr>
                <w:rFonts w:hint="default" w:ascii="Times New Roman" w:hAnsi="Times New Roman" w:eastAsia="黑体" w:cs="Times New Roman"/>
                <w:color w:val="auto"/>
                <w:kern w:val="2"/>
                <w:sz w:val="21"/>
                <w:szCs w:val="21"/>
                <w:highlight w:val="none"/>
              </w:rPr>
              <w:t>环境保护措施</w:t>
            </w:r>
            <w:bookmarkEnd w:id="31"/>
          </w:p>
        </w:tc>
        <w:tc>
          <w:tcPr>
            <w:tcW w:w="653" w:type="pct"/>
            <w:noWrap w:val="0"/>
            <w:vAlign w:val="center"/>
          </w:tcPr>
          <w:p w14:paraId="0A044638">
            <w:pPr>
              <w:pStyle w:val="16"/>
              <w:adjustRightInd w:val="0"/>
              <w:snapToGrid w:val="0"/>
              <w:spacing w:before="0" w:beforeAutospacing="0" w:after="0" w:afterAutospacing="0"/>
              <w:jc w:val="center"/>
              <w:outlineLvl w:val="0"/>
              <w:rPr>
                <w:rFonts w:ascii="Times New Roman" w:hAnsi="Times New Roman" w:eastAsia="黑体" w:cs="Times New Roman"/>
                <w:color w:val="auto"/>
                <w:kern w:val="2"/>
                <w:sz w:val="21"/>
                <w:szCs w:val="21"/>
                <w:highlight w:val="none"/>
              </w:rPr>
            </w:pPr>
            <w:bookmarkStart w:id="32" w:name="_Toc25668"/>
            <w:r>
              <w:rPr>
                <w:rFonts w:hint="default" w:ascii="Times New Roman" w:hAnsi="Times New Roman" w:eastAsia="黑体" w:cs="Times New Roman"/>
                <w:color w:val="auto"/>
                <w:kern w:val="2"/>
                <w:sz w:val="21"/>
                <w:szCs w:val="21"/>
                <w:highlight w:val="none"/>
              </w:rPr>
              <w:t>验收要求</w:t>
            </w:r>
            <w:bookmarkEnd w:id="32"/>
          </w:p>
        </w:tc>
        <w:tc>
          <w:tcPr>
            <w:tcW w:w="1169" w:type="pct"/>
            <w:noWrap w:val="0"/>
            <w:vAlign w:val="center"/>
          </w:tcPr>
          <w:p w14:paraId="222F7DC2">
            <w:pPr>
              <w:pStyle w:val="16"/>
              <w:adjustRightInd w:val="0"/>
              <w:snapToGrid w:val="0"/>
              <w:spacing w:before="0" w:beforeAutospacing="0" w:after="0" w:afterAutospacing="0"/>
              <w:ind w:left="0" w:leftChars="0" w:firstLine="0" w:firstLineChars="0"/>
              <w:jc w:val="center"/>
              <w:outlineLvl w:val="0"/>
              <w:rPr>
                <w:rFonts w:ascii="Times New Roman" w:hAnsi="Times New Roman" w:eastAsia="黑体" w:cs="Times New Roman"/>
                <w:color w:val="auto"/>
                <w:kern w:val="2"/>
                <w:sz w:val="21"/>
                <w:szCs w:val="21"/>
                <w:highlight w:val="none"/>
              </w:rPr>
            </w:pPr>
            <w:bookmarkStart w:id="33" w:name="_Toc4486"/>
            <w:r>
              <w:rPr>
                <w:rFonts w:hint="default" w:ascii="Times New Roman" w:hAnsi="Times New Roman" w:eastAsia="黑体" w:cs="Times New Roman"/>
                <w:color w:val="auto"/>
                <w:kern w:val="2"/>
                <w:sz w:val="21"/>
                <w:szCs w:val="21"/>
                <w:highlight w:val="none"/>
              </w:rPr>
              <w:t>环境保护措施</w:t>
            </w:r>
            <w:bookmarkEnd w:id="33"/>
          </w:p>
        </w:tc>
        <w:tc>
          <w:tcPr>
            <w:tcW w:w="928" w:type="pct"/>
            <w:noWrap w:val="0"/>
            <w:vAlign w:val="center"/>
          </w:tcPr>
          <w:p w14:paraId="49468431">
            <w:pPr>
              <w:pStyle w:val="16"/>
              <w:adjustRightInd w:val="0"/>
              <w:snapToGrid w:val="0"/>
              <w:spacing w:before="0" w:beforeAutospacing="0" w:after="0" w:afterAutospacing="0"/>
              <w:ind w:firstLine="1050" w:firstLineChars="500"/>
              <w:jc w:val="both"/>
              <w:outlineLvl w:val="0"/>
              <w:rPr>
                <w:rFonts w:ascii="Times New Roman" w:hAnsi="Times New Roman" w:eastAsia="黑体" w:cs="Times New Roman"/>
                <w:color w:val="auto"/>
                <w:kern w:val="2"/>
                <w:sz w:val="21"/>
                <w:szCs w:val="21"/>
                <w:highlight w:val="none"/>
              </w:rPr>
            </w:pPr>
            <w:bookmarkStart w:id="34" w:name="_Toc16461"/>
            <w:r>
              <w:rPr>
                <w:rFonts w:hint="default" w:ascii="Times New Roman" w:hAnsi="Times New Roman" w:eastAsia="黑体" w:cs="Times New Roman"/>
                <w:color w:val="auto"/>
                <w:kern w:val="2"/>
                <w:sz w:val="21"/>
                <w:szCs w:val="21"/>
                <w:highlight w:val="none"/>
              </w:rPr>
              <w:t>验收要求</w:t>
            </w:r>
            <w:bookmarkEnd w:id="34"/>
          </w:p>
        </w:tc>
      </w:tr>
      <w:tr w14:paraId="304CF4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29" w:hRule="atLeast"/>
          <w:jc w:val="center"/>
        </w:trPr>
        <w:tc>
          <w:tcPr>
            <w:tcW w:w="471" w:type="pct"/>
            <w:noWrap w:val="0"/>
            <w:vAlign w:val="center"/>
          </w:tcPr>
          <w:p w14:paraId="55B8DE70">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陆生生态</w:t>
            </w:r>
          </w:p>
        </w:tc>
        <w:tc>
          <w:tcPr>
            <w:tcW w:w="1777" w:type="pct"/>
            <w:noWrap w:val="0"/>
            <w:vAlign w:val="center"/>
          </w:tcPr>
          <w:p w14:paraId="5CE10ED6">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（一）</w:t>
            </w:r>
            <w:r>
              <w:rPr>
                <w:rFonts w:ascii="Times New Roman" w:hAnsi="Times New Roman" w:cs="Times New Roman"/>
                <w:b/>
                <w:bCs/>
                <w:color w:val="auto"/>
                <w:highlight w:val="none"/>
              </w:rPr>
              <w:t>植被保护和恢复措施</w:t>
            </w:r>
          </w:p>
          <w:p w14:paraId="4F950276">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1.</w:t>
            </w:r>
            <w:r>
              <w:rPr>
                <w:rFonts w:ascii="Times New Roman" w:hAnsi="Times New Roman" w:cs="Times New Roman"/>
                <w:color w:val="auto"/>
                <w:highlight w:val="none"/>
              </w:rPr>
              <w:t>避让措施</w:t>
            </w:r>
          </w:p>
          <w:p w14:paraId="5A04983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①</w:t>
            </w:r>
            <w:r>
              <w:rPr>
                <w:rFonts w:ascii="Times New Roman" w:hAnsi="Times New Roman" w:eastAsia="宋体" w:cs="Times New Roman"/>
                <w:color w:val="auto"/>
                <w:kern w:val="0"/>
                <w:sz w:val="21"/>
                <w:szCs w:val="21"/>
                <w:highlight w:val="none"/>
                <w:lang w:val="en-US" w:eastAsia="zh-CN" w:bidi="ar-SA"/>
              </w:rPr>
              <w:t>A1风机机位（云南松林区域）机位占地以云南松次生林地为主，施工前仅剥离吊装平台、基础必需区域植被；平台四周搭设1.2m高彩钢围挡，划定20m缓冲保护带，缓冲带内原生云南松全部原地保留，禁止砍伐、堆料；表土单独分区堆存，全覆盖土工布，施工结束全部回覆平台坡面恢复松林植被。场内依托乡村道路运输，不拓宽道路，车辆仅沿现有路面通行，不得碾压路侧松林灌草。</w:t>
            </w:r>
          </w:p>
          <w:p w14:paraId="7A36357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②</w:t>
            </w:r>
            <w:r>
              <w:rPr>
                <w:rFonts w:ascii="Times New Roman" w:hAnsi="Times New Roman" w:eastAsia="宋体" w:cs="Times New Roman"/>
                <w:color w:val="auto"/>
                <w:kern w:val="0"/>
                <w:sz w:val="21"/>
                <w:szCs w:val="21"/>
                <w:highlight w:val="none"/>
                <w:lang w:val="en-US" w:eastAsia="zh-CN" w:bidi="ar-SA"/>
              </w:rPr>
              <w:t>A2风机机位（尼泊尔桤木林区域）机位周边连片分布尼泊尔桤木，开挖作业带宽严格控制在基础、箱变轮廓范围内，尽可能保留坡脚成片桤木；吊装平台缩小占地尺寸，减少林地占用；施工材料全部堆放在硬化平台内，不占用周边桤木林地；雨季提前开挖平台周边简易截水沟，防止雨水冲刷林下土壤造成植被根系损毁。</w:t>
            </w:r>
          </w:p>
          <w:p w14:paraId="096A90E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③</w:t>
            </w:r>
            <w:r>
              <w:rPr>
                <w:rFonts w:ascii="Times New Roman" w:hAnsi="Times New Roman" w:eastAsia="宋体" w:cs="Times New Roman"/>
                <w:color w:val="auto"/>
                <w:kern w:val="0"/>
                <w:sz w:val="21"/>
                <w:szCs w:val="21"/>
                <w:highlight w:val="none"/>
                <w:lang w:val="en-US" w:eastAsia="zh-CN" w:bidi="ar-SA"/>
              </w:rPr>
              <w:t>A3风机机位（毛轴蕨草丛+灌丛区域）区域以蕨类灌草丛为主，植被覆盖度高，清表仅做基础局部剥离，坡面原生蕨草、滇榛灌丛最大限度留存；临时堆土全部集中于平台内侧，远离坡下成片灌丛，堆土四周设置土埂围挡，避免土方滑落掩埋下层植被。</w:t>
            </w:r>
          </w:p>
          <w:p w14:paraId="3867C47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④</w:t>
            </w:r>
            <w:r>
              <w:rPr>
                <w:rFonts w:ascii="Times New Roman" w:hAnsi="Times New Roman" w:eastAsia="宋体" w:cs="Times New Roman"/>
                <w:color w:val="auto"/>
                <w:kern w:val="0"/>
                <w:sz w:val="21"/>
                <w:szCs w:val="21"/>
                <w:highlight w:val="none"/>
                <w:lang w:val="en-US" w:eastAsia="zh-CN" w:bidi="ar-SA"/>
              </w:rPr>
              <w:t>35kV开关站（鼠曲草-西南蕨麻草丛区域）开关站占地为荒草地，征地边界设置连续围挡，站外周边灌丛、草本全部保留；站区施工分区分片开挖，表土单独存放，后期用于站内绿化及站外围坡植被恢复；不向外扩展施工场地，不在站外林地堆放建材、弃土。</w:t>
            </w:r>
          </w:p>
          <w:p w14:paraId="1EFF3DE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w:t>
            </w:r>
            <w:r>
              <w:rPr>
                <w:rFonts w:ascii="Times New Roman" w:hAnsi="Times New Roman" w:eastAsia="宋体" w:cs="Times New Roman"/>
                <w:color w:val="auto"/>
                <w:kern w:val="0"/>
                <w:sz w:val="21"/>
                <w:szCs w:val="21"/>
                <w:highlight w:val="none"/>
                <w:lang w:val="en-US" w:eastAsia="zh-CN" w:bidi="ar-SA"/>
              </w:rPr>
              <w:t>减缓措施</w:t>
            </w:r>
          </w:p>
          <w:p w14:paraId="1D2EB3C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w:t>
            </w:r>
            <w:r>
              <w:rPr>
                <w:rFonts w:ascii="Times New Roman" w:hAnsi="Times New Roman" w:eastAsia="宋体" w:cs="Times New Roman"/>
                <w:color w:val="auto"/>
                <w:kern w:val="0"/>
                <w:sz w:val="21"/>
                <w:szCs w:val="21"/>
                <w:highlight w:val="none"/>
                <w:lang w:val="en-US" w:eastAsia="zh-CN" w:bidi="ar-SA"/>
              </w:rPr>
              <w:t>时序管控减缓：全场施工避开3—6月植物萌发生长期，各风机分片错峰开挖，完成一处基础、平台开挖后立即布设临时防护，缩短裸土裸露时长，降低植被损毁范围。</w:t>
            </w:r>
          </w:p>
          <w:p w14:paraId="3AC5BDE7">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w:t>
            </w:r>
            <w:r>
              <w:rPr>
                <w:rFonts w:ascii="Times New Roman" w:hAnsi="Times New Roman" w:eastAsia="宋体" w:cs="Times New Roman"/>
                <w:color w:val="auto"/>
                <w:kern w:val="0"/>
                <w:sz w:val="21"/>
                <w:szCs w:val="21"/>
                <w:highlight w:val="none"/>
                <w:lang w:val="en-US" w:eastAsia="zh-CN" w:bidi="ar-SA"/>
              </w:rPr>
              <w:t>表土分层剥离减缓：A1、A2、A3风机、开关</w:t>
            </w:r>
            <w:r>
              <w:rPr>
                <w:rFonts w:hint="eastAsia" w:ascii="Times New Roman" w:hAnsi="Times New Roman" w:eastAsia="宋体" w:cs="Times New Roman"/>
                <w:color w:val="auto"/>
                <w:kern w:val="0"/>
                <w:sz w:val="21"/>
                <w:szCs w:val="21"/>
                <w:highlight w:val="none"/>
                <w:lang w:val="en-US" w:eastAsia="zh-CN" w:bidi="ar-SA"/>
              </w:rPr>
              <w:t>站，</w:t>
            </w:r>
            <w:r>
              <w:rPr>
                <w:rFonts w:ascii="Times New Roman" w:hAnsi="Times New Roman" w:eastAsia="宋体" w:cs="Times New Roman"/>
                <w:color w:val="auto"/>
                <w:kern w:val="0"/>
                <w:sz w:val="21"/>
                <w:szCs w:val="21"/>
                <w:highlight w:val="none"/>
                <w:lang w:val="en-US" w:eastAsia="zh-CN" w:bidi="ar-SA"/>
              </w:rPr>
              <w:t>施工前人工分层剥离20</w:t>
            </w:r>
            <w:r>
              <w:rPr>
                <w:rFonts w:hint="eastAsia" w:ascii="Times New Roman" w:hAnsi="Times New Roman" w:eastAsia="宋体" w:cs="Times New Roman"/>
                <w:color w:val="auto"/>
                <w:kern w:val="0"/>
                <w:sz w:val="21"/>
                <w:szCs w:val="21"/>
                <w:highlight w:val="none"/>
                <w:lang w:val="en-US" w:eastAsia="zh-CN" w:bidi="ar-SA"/>
              </w:rPr>
              <w:t>~</w:t>
            </w:r>
            <w:r>
              <w:rPr>
                <w:rFonts w:ascii="Times New Roman" w:hAnsi="Times New Roman" w:eastAsia="宋体" w:cs="Times New Roman"/>
                <w:color w:val="auto"/>
                <w:kern w:val="0"/>
                <w:sz w:val="21"/>
                <w:szCs w:val="21"/>
                <w:highlight w:val="none"/>
                <w:lang w:val="en-US" w:eastAsia="zh-CN" w:bidi="ar-SA"/>
              </w:rPr>
              <w:t>30cm厚腐殖表土，分区集中堆存，堆体四周搭设土埂围挡，顶面全覆盖土工布防雨冲刷，避免表层营养土流失，降低后期植被恢复难度。</w:t>
            </w:r>
          </w:p>
          <w:p w14:paraId="4C6FAD6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w:t>
            </w:r>
            <w:r>
              <w:rPr>
                <w:rFonts w:ascii="Times New Roman" w:hAnsi="Times New Roman" w:eastAsia="宋体" w:cs="Times New Roman"/>
                <w:color w:val="auto"/>
                <w:kern w:val="0"/>
                <w:sz w:val="21"/>
                <w:szCs w:val="21"/>
                <w:highlight w:val="none"/>
                <w:lang w:val="en-US" w:eastAsia="zh-CN" w:bidi="ar-SA"/>
              </w:rPr>
              <w:t>边坡植被固土减缓：各风机开挖边坡同步实施防护，坡度＞25°坡面铺设土工格栅、布设植生袋，原地留存低矮灌草固坡，减少坡面冲刷造成次生植被损毁。</w:t>
            </w:r>
          </w:p>
          <w:p w14:paraId="41B067B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4、</w:t>
            </w:r>
            <w:r>
              <w:rPr>
                <w:rFonts w:ascii="Times New Roman" w:hAnsi="Times New Roman" w:eastAsia="宋体" w:cs="Times New Roman"/>
                <w:color w:val="auto"/>
                <w:kern w:val="0"/>
                <w:sz w:val="21"/>
                <w:szCs w:val="21"/>
                <w:highlight w:val="none"/>
                <w:lang w:val="en-US" w:eastAsia="zh-CN" w:bidi="ar-SA"/>
              </w:rPr>
              <w:t>施工管控减缓：各机位设立专职生态管理员，每日巡查，严禁施工人员、机械超红线碾压、砍伐植被；建材、土石方全部堆放在平台硬化区域，不占用周边林地、灌丛。</w:t>
            </w:r>
          </w:p>
          <w:p w14:paraId="3DA9EC0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3、</w:t>
            </w:r>
            <w:r>
              <w:rPr>
                <w:rFonts w:ascii="Times New Roman" w:hAnsi="Times New Roman" w:eastAsia="宋体" w:cs="Times New Roman"/>
                <w:color w:val="auto"/>
                <w:kern w:val="0"/>
                <w:sz w:val="21"/>
                <w:szCs w:val="21"/>
                <w:highlight w:val="none"/>
                <w:lang w:val="en-US" w:eastAsia="zh-CN" w:bidi="ar-SA"/>
              </w:rPr>
              <w:t>恢复与补偿措施</w:t>
            </w:r>
          </w:p>
          <w:p w14:paraId="569F23E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（1）草皮剥离、养护和回铺措施</w:t>
            </w:r>
          </w:p>
          <w:p w14:paraId="4E84FB5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A1风机：平台荒草、林下草皮人工切块剥离，背风平整处分区养护，密目网遮盖保湿，施工结束后优先回铺平台裸地，草皮间隙填充本地腐殖土，压实促生根。</w:t>
            </w:r>
          </w:p>
          <w:p w14:paraId="4B7D456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A2风机：沟谷周边草皮单独假植养护，平台、箱变区完工后回铺坡面，搭配桤木幼苗同步栽植。</w:t>
            </w:r>
          </w:p>
          <w:p w14:paraId="790406E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A3风机：坡面蕨类下草皮重点留存，施工完成回铺边坡，减少坡面水土流失。</w:t>
            </w:r>
          </w:p>
          <w:p w14:paraId="60E0FC0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开关站：站内表土草皮集中养护，站区硬化空地拆除后全面回铺。</w:t>
            </w:r>
          </w:p>
          <w:p w14:paraId="0CF6761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（2）表土保存及原生植被保护利用措施</w:t>
            </w:r>
          </w:p>
          <w:p w14:paraId="44C56BA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各机位征地内需移栽的云南松、尼泊尔桤木幼树统一修枝，集中运至表土堆场临时假植养护，施工植被恢复阶段直接定植，就地利用乡土苗木，减少外购外来种苗。</w:t>
            </w:r>
          </w:p>
          <w:p w14:paraId="38880C5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（3）林地补偿措施</w:t>
            </w:r>
          </w:p>
          <w:p w14:paraId="288370E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建设单位依法办理林地征用手续，缴纳相应的林地征用补偿费。对被工程占用的林地，建议林业部门根据当地林业发展规划，在本行政区域内进行造林补偿，保证现有林地面积不减少。</w:t>
            </w:r>
          </w:p>
          <w:p w14:paraId="6A6DAE5A">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（4）植被恢复措施</w:t>
            </w:r>
          </w:p>
          <w:p w14:paraId="382B48B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在施工结束后开展施工场地植被恢复专项工程建设。植被恢复应以恢复至施工前原貌为远期目标，采用项目区内常见乔、灌、草物种，参照修复区域周边群落结构特征进行植被群落重建。植被恢复时，选择本地适生的树、草种，注意“乔、灌、草”结合，根据工程特点，各施工场地的主要恢复补偿措施如下：</w:t>
            </w:r>
          </w:p>
          <w:p w14:paraId="5315060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①风电机组区：施工结束后及时清理恢复施工迹地、平整场地，占地为草地的风机平台结合场地原土地利用情况撒播草籽绿化或回铺草皮，其他区域的平台植被恢复栽植灌木+撒播灌草，平台边坡采用灌草植被恢复，灌木可选用小叶栒子，草种可选用黑麦草、狗牙根等；</w:t>
            </w:r>
          </w:p>
          <w:p w14:paraId="285CF11B">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②集电线路：集电线路分段（个）施工，及时回填、平整，恢复施工迹地，结合原土地利用情况恢复植被，以撒播草籽为主，草籽可选用黑麦草、狗牙根等。</w:t>
            </w:r>
          </w:p>
          <w:p w14:paraId="6CFB7331">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③</w:t>
            </w:r>
            <w:r>
              <w:rPr>
                <w:rFonts w:hint="eastAsia" w:ascii="Times New Roman" w:hAnsi="Times New Roman" w:cs="Times New Roman"/>
                <w:color w:val="auto"/>
                <w:highlight w:val="none"/>
                <w:lang w:eastAsia="zh-CN"/>
              </w:rPr>
              <w:t>三场临时占地：施工结束后，应立即拆除临时设施，清除建筑垃圾，对表层压实土壤进行疏松处理，并根据原土地利用类型实施植被恢复。原为草地的区域以撒播本地草种为主，原为林地或灌丛的区域则补植相应乔灌木种，确保植被覆盖度和群落结构逐步恢复至施工前水平。恢复过程中应加强后期管护，包括灌溉、补播补植及病虫害防治，保障植被成活率与生态功能重建效果。</w:t>
            </w:r>
          </w:p>
          <w:p w14:paraId="5544D64D">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4.</w:t>
            </w:r>
            <w:r>
              <w:rPr>
                <w:rFonts w:ascii="Times New Roman" w:hAnsi="Times New Roman" w:cs="Times New Roman"/>
                <w:color w:val="auto"/>
                <w:highlight w:val="none"/>
              </w:rPr>
              <w:t>管理措施</w:t>
            </w:r>
          </w:p>
          <w:p w14:paraId="6FA18012">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建设单位和施工单位应及时上报工程施工方案和环境保护实施方案，严格按照施工方案进行施工。禁止超计划占用土地和破坏植被，土石方开挖料及时回填，弃渣必须运到指定的位置进行堆放，严禁沿道路及风机机位两侧山坡倾倒。</w:t>
            </w:r>
          </w:p>
          <w:p w14:paraId="0C19178D">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采取有效措施预防森林火灾，在工程建设期，更应加强防护。在施工区、材料堆场等竖立防火警示牌，严格控制用火；设立专人进行专项检查和监督，并配置一定的灭火装置备用，以预防和杜绝森林火灾发生。</w:t>
            </w:r>
          </w:p>
          <w:p w14:paraId="5F1D83CC">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（3）对于涉及生态保护红线及饮用水源准保护区的施工区域，需现场布设红线，并做好宣传工作，禁止施工人员及机械越过红线施工，禁止施工人员进入保护区，监理人员做好现场监理。</w:t>
            </w:r>
          </w:p>
          <w:p w14:paraId="3D62733A">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val="en-US" w:eastAsia="zh-CN"/>
              </w:rPr>
              <w:t>（二）</w:t>
            </w:r>
            <w:r>
              <w:rPr>
                <w:rFonts w:ascii="Times New Roman" w:hAnsi="Times New Roman" w:cs="Times New Roman"/>
                <w:b/>
                <w:bCs/>
                <w:color w:val="auto"/>
                <w:highlight w:val="none"/>
              </w:rPr>
              <w:t>陆生动物保护措施</w:t>
            </w:r>
          </w:p>
          <w:p w14:paraId="5182CBA3">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（1）避让措施</w:t>
            </w:r>
          </w:p>
          <w:p w14:paraId="3C29C230">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1）施工活动尽可能避让茂密的林木或灌木区域。</w:t>
            </w:r>
          </w:p>
          <w:p w14:paraId="6F28D9B6">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2）施工活动避让冲沟、洼地等两栖动物的栖息地。</w:t>
            </w:r>
          </w:p>
          <w:p w14:paraId="0E0BADD6">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（2）减缓措施</w:t>
            </w:r>
          </w:p>
          <w:p w14:paraId="1A233B52">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1）施工期进行生态观测和监理，重点进行迁徙鸟类及其通道的调查，及时优化调整施工时间、措施，采取相应的保护措施。</w:t>
            </w:r>
          </w:p>
          <w:p w14:paraId="34BE7134">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2）通过宣传教育，</w:t>
            </w:r>
            <w:r>
              <w:rPr>
                <w:rFonts w:hint="eastAsia" w:ascii="Times New Roman" w:hAnsi="Times New Roman" w:cs="Times New Roman"/>
                <w:color w:val="auto"/>
                <w:highlight w:val="none"/>
                <w:lang w:eastAsia="zh-CN"/>
              </w:rPr>
              <w:t>增强</w:t>
            </w:r>
            <w:r>
              <w:rPr>
                <w:rFonts w:ascii="Times New Roman" w:hAnsi="Times New Roman" w:cs="Times New Roman"/>
                <w:color w:val="auto"/>
                <w:highlight w:val="none"/>
              </w:rPr>
              <w:t>施工人员的保护意识，禁止施工人员捕食、贩卖野生动物和破坏野生动物生境的行为。</w:t>
            </w:r>
          </w:p>
          <w:p w14:paraId="18CEF48F">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3）尽量避免在鸟类繁殖期（春末夏初）吊装平台开挖等可能破坏鸟巢及鸟卵的施工作业；控制爆破等产生较大噪声的施工，减轻施工噪声对鸟类繁殖的干扰；进入场区的车辆应减速慢行，遇到野生动物横穿道路，应减速或停驶。</w:t>
            </w:r>
          </w:p>
          <w:p w14:paraId="294A11D5">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4）进入场区的车辆应慢速行驶，在遇到白腹锦鸡等雉类横穿公路时应减速或停驶，避免车辆行驶</w:t>
            </w:r>
            <w:r>
              <w:rPr>
                <w:rFonts w:hint="eastAsia" w:ascii="Times New Roman" w:hAnsi="Times New Roman" w:cs="Times New Roman"/>
                <w:color w:val="auto"/>
                <w:highlight w:val="none"/>
                <w:lang w:eastAsia="zh-CN"/>
              </w:rPr>
              <w:t>造成</w:t>
            </w:r>
            <w:r>
              <w:rPr>
                <w:rFonts w:ascii="Times New Roman" w:hAnsi="Times New Roman" w:cs="Times New Roman"/>
                <w:color w:val="auto"/>
                <w:highlight w:val="none"/>
              </w:rPr>
              <w:t>鸟类伤亡；禁止施工人员、电场管理人员捕食、贩卖鸟类、拾取鸟卵、破坏鸟巢等行为。</w:t>
            </w:r>
          </w:p>
          <w:p w14:paraId="166F00A5">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（3）补偿和恢复措施</w:t>
            </w:r>
          </w:p>
          <w:p w14:paraId="450BDDCC">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工程完工后尽快做好生态环境的恢复工作，以减少生境破坏对动物的不利影响。每个风机塔施工完成后，对其临时占地合理绿化，尽快恢复动物生境。</w:t>
            </w:r>
          </w:p>
          <w:p w14:paraId="081D8861">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（4）管理措施</w:t>
            </w:r>
          </w:p>
          <w:p w14:paraId="067EDC1A">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1）开展施工环境观测，主要是对工程施工、材料运输</w:t>
            </w:r>
            <w:r>
              <w:rPr>
                <w:rFonts w:hint="eastAsia" w:ascii="Times New Roman" w:hAnsi="Times New Roman" w:cs="Times New Roman"/>
                <w:color w:val="auto"/>
                <w:highlight w:val="none"/>
                <w:lang w:eastAsia="zh-CN"/>
              </w:rPr>
              <w:t>等</w:t>
            </w:r>
            <w:r>
              <w:rPr>
                <w:rFonts w:ascii="Times New Roman" w:hAnsi="Times New Roman" w:cs="Times New Roman"/>
                <w:color w:val="auto"/>
                <w:highlight w:val="none"/>
              </w:rPr>
              <w:t>鸟类栖息生境、鸟类数量等进行监控，若发现异常，立即与管理部门联系，分析原因，采取暂停施工等措施。尽量避免夜间施工，尤其在鸟类迁飞的季节。</w:t>
            </w:r>
          </w:p>
          <w:p w14:paraId="12A68433">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2）加强对施工人员进行野生动植物资源和</w:t>
            </w:r>
            <w:r>
              <w:rPr>
                <w:rFonts w:hint="eastAsia" w:ascii="Times New Roman" w:hAnsi="Times New Roman" w:cs="Times New Roman"/>
                <w:color w:val="auto"/>
                <w:highlight w:val="none"/>
                <w:lang w:eastAsia="zh-CN"/>
              </w:rPr>
              <w:t>生态环境</w:t>
            </w:r>
            <w:r>
              <w:rPr>
                <w:rFonts w:ascii="Times New Roman" w:hAnsi="Times New Roman" w:cs="Times New Roman"/>
                <w:color w:val="auto"/>
                <w:highlight w:val="none"/>
              </w:rPr>
              <w:t>保护意识的宣传教育，以便提高施工人员在施工过程中生态环境保护意识；制定相关规则，遵守林区管理规定，避免施工人员和运行维护人员伤害野生动物。严禁施工人员捕猎野生动物。</w:t>
            </w:r>
          </w:p>
          <w:p w14:paraId="260361A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3）</w:t>
            </w:r>
            <w:r>
              <w:rPr>
                <w:rFonts w:hint="eastAsia" w:ascii="Times New Roman" w:hAnsi="Times New Roman" w:cs="Times New Roman"/>
                <w:color w:val="auto"/>
                <w:highlight w:val="none"/>
                <w:lang w:eastAsia="zh-CN"/>
              </w:rPr>
              <w:t>竖立宣传牌</w:t>
            </w:r>
            <w:r>
              <w:rPr>
                <w:rFonts w:ascii="Times New Roman" w:hAnsi="Times New Roman" w:cs="Times New Roman"/>
                <w:color w:val="auto"/>
                <w:highlight w:val="none"/>
              </w:rPr>
              <w:t>、警示牌，明令禁止施工人员和外来人员捕猎野生动物。</w:t>
            </w:r>
          </w:p>
          <w:p w14:paraId="3E6CFF16">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4）对于施工过程中发现的兽类幼仔、鸟卵（蛋）或幼鸟，交给当地林业部门的专业人员处理，不得擅自处理。</w:t>
            </w:r>
          </w:p>
          <w:p w14:paraId="22DFBE65">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5）对工人进行保护鸟类的教育，禁止捕捉鸟类，发现异常鸟撞事件后要及时报告给管理部门。</w:t>
            </w:r>
          </w:p>
          <w:p w14:paraId="16F93EC4">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eastAsia="宋体" w:cs="Times New Roman"/>
                <w:color w:val="auto"/>
                <w:kern w:val="0"/>
                <w:sz w:val="21"/>
                <w:szCs w:val="21"/>
                <w:highlight w:val="none"/>
                <w:lang w:val="en-US" w:eastAsia="zh-CN" w:bidi="ar-SA"/>
              </w:rPr>
              <w:t>（三）</w:t>
            </w:r>
            <w:r>
              <w:rPr>
                <w:rFonts w:hint="eastAsia" w:ascii="Times New Roman" w:hAnsi="Times New Roman" w:eastAsia="宋体" w:cs="Times New Roman"/>
                <w:color w:val="auto"/>
                <w:kern w:val="0"/>
                <w:sz w:val="21"/>
                <w:szCs w:val="21"/>
                <w:highlight w:val="none"/>
                <w:lang w:val="en-US" w:eastAsia="zh-CN" w:bidi="ar-SA"/>
              </w:rPr>
              <w:t>永久基本农田保护措施</w:t>
            </w:r>
          </w:p>
          <w:p w14:paraId="720BAD5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（1）</w:t>
            </w:r>
            <w:r>
              <w:rPr>
                <w:rFonts w:ascii="Times New Roman" w:hAnsi="Times New Roman" w:eastAsia="宋体" w:cs="Times New Roman"/>
                <w:color w:val="auto"/>
                <w:kern w:val="0"/>
                <w:sz w:val="21"/>
                <w:szCs w:val="21"/>
                <w:highlight w:val="none"/>
                <w:lang w:val="en-US" w:eastAsia="zh-CN" w:bidi="ar-SA"/>
              </w:rPr>
              <w:t>精准划定施工作业边界</w:t>
            </w:r>
            <w:r>
              <w:rPr>
                <w:rFonts w:hint="eastAsia" w:ascii="Times New Roman" w:hAnsi="Times New Roman" w:eastAsia="宋体" w:cs="Times New Roman"/>
                <w:color w:val="auto"/>
                <w:kern w:val="0"/>
                <w:sz w:val="21"/>
                <w:szCs w:val="21"/>
                <w:highlight w:val="none"/>
                <w:lang w:val="en-US" w:eastAsia="zh-CN" w:bidi="ar-SA"/>
              </w:rPr>
              <w:t>：</w:t>
            </w:r>
            <w:r>
              <w:rPr>
                <w:rFonts w:ascii="Times New Roman" w:hAnsi="Times New Roman" w:eastAsia="宋体" w:cs="Times New Roman"/>
                <w:color w:val="auto"/>
                <w:kern w:val="0"/>
                <w:sz w:val="21"/>
                <w:szCs w:val="21"/>
                <w:highlight w:val="none"/>
                <w:lang w:val="en-US" w:eastAsia="zh-CN" w:bidi="ar-SA"/>
              </w:rPr>
              <w:t>针对A1机位南侧紧邻永久基本农田的集电线路填埋作业区域，提前通过现场放线设置硬质隔离围挡，严格限定临时作业面范围，严禁超范围占用农田区域，全程保障永久基本农田的数量不减少、用途不改变，从源头上规避施工活动对农田耕作层土壤的扰动。</w:t>
            </w:r>
          </w:p>
          <w:p w14:paraId="1DC5F41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（2）</w:t>
            </w:r>
            <w:r>
              <w:rPr>
                <w:rFonts w:ascii="Times New Roman" w:hAnsi="Times New Roman" w:eastAsia="宋体" w:cs="Times New Roman"/>
                <w:color w:val="auto"/>
                <w:kern w:val="0"/>
                <w:sz w:val="21"/>
                <w:szCs w:val="21"/>
                <w:highlight w:val="none"/>
                <w:lang w:val="en-US" w:eastAsia="zh-CN" w:bidi="ar-SA"/>
              </w:rPr>
              <w:t>耕作层专项保护与恢复措施</w:t>
            </w:r>
            <w:r>
              <w:rPr>
                <w:rFonts w:hint="eastAsia" w:ascii="Times New Roman" w:hAnsi="Times New Roman" w:eastAsia="宋体" w:cs="Times New Roman"/>
                <w:color w:val="auto"/>
                <w:kern w:val="0"/>
                <w:sz w:val="21"/>
                <w:szCs w:val="21"/>
                <w:highlight w:val="none"/>
                <w:lang w:val="en-US" w:eastAsia="zh-CN" w:bidi="ar-SA"/>
              </w:rPr>
              <w:t>：</w:t>
            </w:r>
            <w:r>
              <w:rPr>
                <w:rFonts w:ascii="Times New Roman" w:hAnsi="Times New Roman" w:eastAsia="宋体" w:cs="Times New Roman"/>
                <w:color w:val="auto"/>
                <w:kern w:val="0"/>
                <w:sz w:val="21"/>
                <w:szCs w:val="21"/>
                <w:highlight w:val="none"/>
                <w:lang w:val="en-US" w:eastAsia="zh-CN" w:bidi="ar-SA"/>
              </w:rPr>
              <w:t>地下集电线路填埋作业前，对作业涉及的临时占地表层耕作土壤进行单独剥离、集中堆存，并在堆土区域采用防雨苫布覆盖防护；施工填埋作业完成后第一时间开展土地平整作业，将预先剥离的耕作层土壤全部回铺复原，快速恢复原有土地利用条件，确保永久基本农田的农业生产功能不受任何影响。</w:t>
            </w:r>
          </w:p>
          <w:p w14:paraId="3FB61F96">
            <w:pPr>
              <w:rPr>
                <w:color w:val="auto"/>
              </w:rPr>
            </w:pPr>
          </w:p>
          <w:p w14:paraId="41BA2999">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p>
        </w:tc>
        <w:tc>
          <w:tcPr>
            <w:tcW w:w="653" w:type="pct"/>
            <w:noWrap w:val="0"/>
            <w:vAlign w:val="center"/>
          </w:tcPr>
          <w:p w14:paraId="68905455">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临时占地植被恢复，水保措施到位，满足生态环境保护要求。</w:t>
            </w:r>
          </w:p>
        </w:tc>
        <w:tc>
          <w:tcPr>
            <w:tcW w:w="1169" w:type="pct"/>
            <w:noWrap w:val="0"/>
            <w:vAlign w:val="center"/>
          </w:tcPr>
          <w:p w14:paraId="55370FAA">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（一）</w:t>
            </w:r>
            <w:r>
              <w:rPr>
                <w:rFonts w:ascii="Times New Roman" w:hAnsi="Times New Roman" w:cs="Times New Roman"/>
                <w:b/>
                <w:bCs/>
                <w:color w:val="auto"/>
                <w:highlight w:val="none"/>
              </w:rPr>
              <w:t>植被保护和恢复措施</w:t>
            </w:r>
          </w:p>
          <w:p w14:paraId="0C48917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本工程的建设会造成该地区生物量一定程度的减少，因此工程建设及运行期要采取一定的生态保护措施，工程施工结束后，应及时对施工便道、施工场地等临时占地植被恢复。枢纽区植被恢复除考虑路基防护、水土保持外，还应适当考虑景观及环保作用，使水保、绿化、美化、环保有机结合为一体。对占用林地及灌草地的植被恢复。在“适地适树、适地适草”的原则下，树种、草种应以选择当地优良的乡土树种草种为主，保证绿化栽植的成活率。把剥离的表层熟土回填至周围的植被恢复区内，用作施工区植被恢复。</w:t>
            </w:r>
          </w:p>
          <w:p w14:paraId="35930688">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在植被恢复期，树种、草种的选择应以当地优良的乡土树种草种为主，并通过建立外来物种环境影响评价制度和加强外来物种引进的监管工作等来防止外来物种的入侵，保护本地物种。在植被恢复时注意的技术要点：①选择适宜的林草种；②根据岩土组成，正确划分坡地类型，根据具体类型采取相应的植被恢复措施：植被恢复应针对不同岩土组成生境的水分条件，主要依靠优势生活型植物种类，进行乔灌草不同生活型植物类型的合理配置，建立起植被与生境水分条件的群落生态关系，方能达到成功的目的，如在侵蚀冲沟两侧等坡度较大的坡地，土壤极干旱，基本无法进行人工植被恢复，应进行</w:t>
            </w:r>
            <w:r>
              <w:rPr>
                <w:rFonts w:hint="eastAsia" w:ascii="Times New Roman" w:hAnsi="Times New Roman" w:cs="Times New Roman"/>
                <w:color w:val="auto"/>
                <w:highlight w:val="none"/>
                <w:lang w:eastAsia="zh-CN"/>
              </w:rPr>
              <w:t>封闭</w:t>
            </w:r>
            <w:r>
              <w:rPr>
                <w:rFonts w:ascii="Times New Roman" w:hAnsi="Times New Roman" w:cs="Times New Roman"/>
                <w:color w:val="auto"/>
                <w:highlight w:val="none"/>
              </w:rPr>
              <w:t>管理，使植被自然恢复。近地面小气候条件恶劣，对幼树生长极端不利，种植后成活率低，成活后保存率低，制约着人工植被恢复的进程，所以选择覆盖性能强的速生草本植物，迅速覆盖地表，发展多层次多种结构的人工混交植被类型尤为重要。混交模式必须遵循：混交类型以灌草为主，在砾石层坡地及其它</w:t>
            </w:r>
            <w:r>
              <w:rPr>
                <w:rFonts w:hint="eastAsia" w:ascii="Times New Roman" w:hAnsi="Times New Roman" w:cs="Times New Roman"/>
                <w:color w:val="auto"/>
                <w:highlight w:val="none"/>
                <w:lang w:eastAsia="zh-CN"/>
              </w:rPr>
              <w:t>水分</w:t>
            </w:r>
            <w:r>
              <w:rPr>
                <w:rFonts w:ascii="Times New Roman" w:hAnsi="Times New Roman" w:cs="Times New Roman"/>
                <w:color w:val="auto"/>
                <w:highlight w:val="none"/>
              </w:rPr>
              <w:t>条件较好的地段，可建立乔灌草人工混交植被，但必须控制乔木的比例；进行多林草种的搭配，建立稳定的多样性人工植被，多林草搭配应注意豆科和非豆科、阴性和阳性植物的搭配，混交方式以行间混交为主。</w:t>
            </w:r>
          </w:p>
          <w:p w14:paraId="0EA586E8">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（1）风电机组和箱变区植被恢复措施</w:t>
            </w:r>
          </w:p>
          <w:p w14:paraId="6D4AB09C">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主设考虑施工前对风机基坑及箱变开挖占地进行表土剥离，表土堆放实施临时编织袋拦挡措施，编织袋装土直接利用堆放的表土或需要回填的临时堆土，使用完时将编织袋清理干净，表土堆放期间的临时防尘网覆盖措施，待施工结束后用于本区临时占地进行植被恢复。施工结束后，对风机及箱变永久占地范围内未被硬化区域及临时吊装场地采取灌草结合的方式予以植被恢复。</w:t>
            </w:r>
          </w:p>
          <w:p w14:paraId="19F73C1D">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b/>
                <w:bCs/>
                <w:color w:val="auto"/>
                <w:highlight w:val="none"/>
              </w:rPr>
            </w:pPr>
            <w:r>
              <w:rPr>
                <w:rFonts w:hint="default" w:ascii="Times New Roman" w:hAnsi="Times New Roman" w:cs="Times New Roman"/>
                <w:b/>
                <w:bCs/>
                <w:color w:val="auto"/>
                <w:highlight w:val="none"/>
                <w:lang w:eastAsia="zh-CN"/>
              </w:rPr>
              <w:t>（二）</w:t>
            </w:r>
            <w:r>
              <w:rPr>
                <w:rFonts w:ascii="Times New Roman" w:hAnsi="Times New Roman" w:cs="Times New Roman"/>
                <w:b/>
                <w:bCs/>
                <w:color w:val="auto"/>
                <w:highlight w:val="none"/>
              </w:rPr>
              <w:t>动物保护措施</w:t>
            </w:r>
          </w:p>
          <w:p w14:paraId="378EE97A">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（1）加强对场区的管理，在场区和主要路口设置警示牌，禁止无关人员在场区范围内进行捕鸟、破坏鸟类生境等活动。</w:t>
            </w:r>
          </w:p>
          <w:p w14:paraId="01886205">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（2）风电场建成后，应加强场区巡视，密切关注风电场内的鸟类死亡情况，一旦发现异常，应及时研究，采取措施来解决问题；同时在必要时对受伤鸟类实施救护。</w:t>
            </w:r>
          </w:p>
          <w:p w14:paraId="2FCFFC99">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（3）在风机叶片上绘制驱鸟图案，减少鸟类撞击叶片事故概率。</w:t>
            </w:r>
          </w:p>
          <w:p w14:paraId="2E17EDA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（4）加强鸟类的保护管理，加强对电场工作人员和当地居民的爱鸟护鸟教育宣传工作，避免人为伤害或干扰鸟类的事件发生。</w:t>
            </w:r>
          </w:p>
          <w:p w14:paraId="551BBD9F">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（5）风电场场区内应密闭保存工人食物以避免吸引啮齿目动物的到来，从而不人为增加猛禽在区域出现的频率。</w:t>
            </w:r>
          </w:p>
        </w:tc>
        <w:tc>
          <w:tcPr>
            <w:tcW w:w="928" w:type="pct"/>
            <w:noWrap w:val="0"/>
            <w:vAlign w:val="center"/>
          </w:tcPr>
          <w:p w14:paraId="63FE19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cs="Times New Roman"/>
                <w:color w:val="auto"/>
                <w:szCs w:val="21"/>
                <w:highlight w:val="none"/>
              </w:rPr>
            </w:pPr>
            <w:r>
              <w:rPr>
                <w:rFonts w:ascii="Times New Roman" w:hAnsi="Times New Roman" w:eastAsia="宋体" w:cs="Times New Roman"/>
                <w:color w:val="auto"/>
                <w:kern w:val="0"/>
                <w:sz w:val="21"/>
                <w:szCs w:val="21"/>
                <w:highlight w:val="none"/>
                <w:lang w:val="en-US" w:eastAsia="zh-CN" w:bidi="ar-SA"/>
              </w:rPr>
              <w:t>植被恢复效果达到环保、水保要求，定期开展鸟类观测</w:t>
            </w:r>
          </w:p>
        </w:tc>
      </w:tr>
      <w:tr w14:paraId="2B005C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7FFC095E">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水生生态</w:t>
            </w:r>
          </w:p>
        </w:tc>
        <w:tc>
          <w:tcPr>
            <w:tcW w:w="1777" w:type="pct"/>
            <w:noWrap w:val="0"/>
            <w:vAlign w:val="center"/>
          </w:tcPr>
          <w:p w14:paraId="2A81DB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653" w:type="pct"/>
            <w:noWrap w:val="0"/>
            <w:vAlign w:val="center"/>
          </w:tcPr>
          <w:p w14:paraId="729949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1169" w:type="pct"/>
            <w:noWrap w:val="0"/>
            <w:vAlign w:val="center"/>
          </w:tcPr>
          <w:p w14:paraId="4FEFE3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928" w:type="pct"/>
            <w:noWrap w:val="0"/>
            <w:vAlign w:val="center"/>
          </w:tcPr>
          <w:p w14:paraId="6F5BA3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4526F3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67B76718">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地表水环境</w:t>
            </w:r>
          </w:p>
        </w:tc>
        <w:tc>
          <w:tcPr>
            <w:tcW w:w="1777" w:type="pct"/>
            <w:noWrap w:val="0"/>
            <w:vAlign w:val="center"/>
          </w:tcPr>
          <w:p w14:paraId="42FD1FC3">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项目的修建，施工道路路基的填筑、各种筑路材料的运输等均会产生扬尘，这些尘埃可能会随风飘落到附近的水体中，对其水质产生一定程度的不利影响。通过设置篷布对施工材料及临时堆土场进行遮盖，堆场周边设置排水沟，排水沟下游设置</w:t>
            </w:r>
            <w:r>
              <w:rPr>
                <w:rFonts w:hint="eastAsia" w:ascii="Times New Roman" w:hAnsi="Times New Roman" w:cs="Times New Roman"/>
                <w:color w:val="auto"/>
                <w:highlight w:val="none"/>
                <w:lang w:eastAsia="zh-CN"/>
              </w:rPr>
              <w:t>沉沙池</w:t>
            </w:r>
            <w:r>
              <w:rPr>
                <w:rFonts w:ascii="Times New Roman" w:hAnsi="Times New Roman" w:cs="Times New Roman"/>
                <w:color w:val="auto"/>
                <w:highlight w:val="none"/>
              </w:rPr>
              <w:t>，减少原辅料及水土流失。</w:t>
            </w:r>
          </w:p>
          <w:p w14:paraId="646369C4">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项目施工期不设施工营地及施工场地，</w:t>
            </w:r>
            <w:r>
              <w:rPr>
                <w:rFonts w:hint="eastAsia" w:ascii="Times New Roman" w:hAnsi="Times New Roman" w:cs="Times New Roman"/>
                <w:color w:val="auto"/>
                <w:highlight w:val="none"/>
                <w:lang w:eastAsia="zh-CN"/>
              </w:rPr>
              <w:t>施工废水经临时沉砂池收集后用于洒水降尘，不外排</w:t>
            </w:r>
            <w:r>
              <w:rPr>
                <w:rFonts w:ascii="Times New Roman" w:hAnsi="Times New Roman" w:cs="Times New Roman"/>
                <w:color w:val="auto"/>
                <w:highlight w:val="none"/>
              </w:rPr>
              <w:t>；项目混凝土养护废水一般在喷洒后即被吸收和蒸发。不会对周边水体造成影响。</w:t>
            </w:r>
          </w:p>
        </w:tc>
        <w:tc>
          <w:tcPr>
            <w:tcW w:w="653" w:type="pct"/>
            <w:noWrap w:val="0"/>
            <w:vAlign w:val="center"/>
          </w:tcPr>
          <w:p w14:paraId="3D28DCC2">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废水不外排</w:t>
            </w:r>
          </w:p>
        </w:tc>
        <w:tc>
          <w:tcPr>
            <w:tcW w:w="1169" w:type="pct"/>
            <w:noWrap w:val="0"/>
            <w:vAlign w:val="center"/>
          </w:tcPr>
          <w:p w14:paraId="626E8BCB">
            <w:pPr>
              <w:pStyle w:val="44"/>
              <w:keepNext w:val="0"/>
              <w:keepLines w:val="0"/>
              <w:pageBreakBefore w:val="0"/>
              <w:widowControl/>
              <w:kinsoku/>
              <w:wordWrap/>
              <w:overflowPunct/>
              <w:topLinePunct w:val="0"/>
              <w:autoSpaceDE/>
              <w:autoSpaceDN/>
              <w:bidi w:val="0"/>
              <w:adjustRightInd w:val="0"/>
              <w:snapToGrid w:val="0"/>
              <w:spacing w:before="0" w:beforeAutospacing="0" w:line="240" w:lineRule="auto"/>
              <w:ind w:left="0" w:leftChars="0" w:firstLine="0" w:firstLineChars="0"/>
              <w:textAlignment w:val="auto"/>
              <w:rPr>
                <w:color w:val="auto"/>
                <w:lang w:val="en-US" w:eastAsia="zh-CN"/>
              </w:rPr>
            </w:pPr>
            <w:r>
              <w:rPr>
                <w:rFonts w:hint="eastAsia" w:ascii="Times New Roman" w:hAnsi="Times New Roman" w:eastAsia="宋体" w:cs="Times New Roman"/>
                <w:color w:val="auto"/>
                <w:kern w:val="0"/>
                <w:sz w:val="21"/>
                <w:szCs w:val="21"/>
                <w:highlight w:val="none"/>
                <w:lang w:val="en-US" w:eastAsia="zh-CN" w:bidi="ar-SA"/>
              </w:rPr>
              <w:t>开关站按“无人值班，无人值守”原则运行，依托</w:t>
            </w:r>
            <w:r>
              <w:rPr>
                <w:rFonts w:hint="default" w:ascii="Times New Roman" w:hAnsi="Times New Roman" w:eastAsia="宋体" w:cs="Times New Roman"/>
                <w:color w:val="auto"/>
                <w:kern w:val="0"/>
                <w:sz w:val="21"/>
                <w:szCs w:val="21"/>
                <w:highlight w:val="none"/>
                <w:lang w:val="en-US" w:eastAsia="zh-CN" w:bidi="ar-SA"/>
              </w:rPr>
              <w:t>热水光伏电站管理人员</w:t>
            </w:r>
            <w:r>
              <w:rPr>
                <w:rFonts w:hint="eastAsia" w:ascii="Times New Roman" w:hAnsi="Times New Roman" w:eastAsia="宋体" w:cs="Times New Roman"/>
                <w:color w:val="auto"/>
                <w:kern w:val="0"/>
                <w:sz w:val="21"/>
                <w:szCs w:val="21"/>
                <w:highlight w:val="none"/>
                <w:lang w:val="en-US" w:eastAsia="zh-CN" w:bidi="ar-SA"/>
              </w:rPr>
              <w:t>，生活污水纳入当地污水处理系统，对周围环境影响较小。</w:t>
            </w:r>
          </w:p>
        </w:tc>
        <w:tc>
          <w:tcPr>
            <w:tcW w:w="928" w:type="pct"/>
            <w:noWrap w:val="0"/>
            <w:vAlign w:val="center"/>
          </w:tcPr>
          <w:p w14:paraId="386C44E3">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kern w:val="0"/>
                <w:sz w:val="21"/>
                <w:szCs w:val="21"/>
                <w:highlight w:val="none"/>
                <w:lang w:val="en-US" w:eastAsia="zh-CN" w:bidi="ar-SA"/>
              </w:rPr>
              <w:t>运营期无生产废水外排；管理人员依托热水光伏电站管理人员</w:t>
            </w:r>
            <w:r>
              <w:rPr>
                <w:rFonts w:hint="eastAsia" w:ascii="Times New Roman" w:hAnsi="Times New Roman" w:cs="Times New Roman"/>
                <w:color w:val="auto"/>
                <w:kern w:val="0"/>
                <w:sz w:val="21"/>
                <w:szCs w:val="21"/>
                <w:highlight w:val="none"/>
                <w:lang w:val="en-US" w:eastAsia="zh-CN" w:bidi="ar-SA"/>
              </w:rPr>
              <w:t>，本项目不设置管理用房。</w:t>
            </w:r>
          </w:p>
        </w:tc>
      </w:tr>
      <w:tr w14:paraId="4D745F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56A3275E">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地下水及土壤环境</w:t>
            </w:r>
          </w:p>
        </w:tc>
        <w:tc>
          <w:tcPr>
            <w:tcW w:w="1777" w:type="pct"/>
            <w:noWrap w:val="0"/>
            <w:vAlign w:val="center"/>
          </w:tcPr>
          <w:p w14:paraId="425472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653" w:type="pct"/>
            <w:noWrap w:val="0"/>
            <w:vAlign w:val="center"/>
          </w:tcPr>
          <w:p w14:paraId="35E6AF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w:t>
            </w:r>
          </w:p>
        </w:tc>
        <w:tc>
          <w:tcPr>
            <w:tcW w:w="1169" w:type="pct"/>
            <w:shd w:val="clear" w:color="auto" w:fill="auto"/>
            <w:noWrap w:val="0"/>
            <w:vAlign w:val="top"/>
          </w:tcPr>
          <w:p w14:paraId="3735D7A7">
            <w:pPr>
              <w:pStyle w:val="44"/>
              <w:keepNext w:val="0"/>
              <w:keepLines w:val="0"/>
              <w:pageBreakBefore w:val="0"/>
              <w:widowControl/>
              <w:kinsoku/>
              <w:wordWrap/>
              <w:overflowPunct/>
              <w:topLinePunct w:val="0"/>
              <w:autoSpaceDE/>
              <w:autoSpaceDN/>
              <w:bidi w:val="0"/>
              <w:adjustRightInd w:val="0"/>
              <w:snapToGrid w:val="0"/>
              <w:spacing w:line="240" w:lineRule="auto"/>
              <w:textAlignment w:val="auto"/>
              <w:rPr>
                <w:color w:val="auto"/>
                <w:lang w:val="en-US" w:eastAsia="en-US"/>
              </w:rPr>
            </w:pPr>
            <w:r>
              <w:rPr>
                <w:rFonts w:hint="eastAsia" w:ascii="Times New Roman" w:hAnsi="Times New Roman" w:eastAsia="宋体" w:cs="Times New Roman"/>
                <w:color w:val="auto"/>
                <w:kern w:val="0"/>
                <w:sz w:val="21"/>
                <w:szCs w:val="21"/>
                <w:highlight w:val="none"/>
                <w:lang w:val="en-US" w:eastAsia="zh-CN" w:bidi="ar-SA"/>
              </w:rPr>
              <w:t>危险废物暂存间采取防渗措施。</w:t>
            </w:r>
          </w:p>
        </w:tc>
        <w:tc>
          <w:tcPr>
            <w:tcW w:w="928" w:type="pct"/>
            <w:shd w:val="clear" w:color="auto" w:fill="auto"/>
            <w:noWrap w:val="0"/>
            <w:vAlign w:val="top"/>
          </w:tcPr>
          <w:p w14:paraId="1945D4AD">
            <w:pPr>
              <w:pStyle w:val="45"/>
              <w:keepNext w:val="0"/>
              <w:keepLines w:val="0"/>
              <w:pageBreakBefore w:val="0"/>
              <w:widowControl w:val="0"/>
              <w:kinsoku/>
              <w:wordWrap/>
              <w:overflowPunct/>
              <w:topLinePunct w:val="0"/>
              <w:autoSpaceDE/>
              <w:autoSpaceDN/>
              <w:bidi w:val="0"/>
              <w:adjustRightInd w:val="0"/>
              <w:snapToGrid w:val="0"/>
              <w:spacing w:before="65" w:line="240" w:lineRule="auto"/>
              <w:ind w:left="0" w:leftChars="0"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渗透系数应不大于</w:t>
            </w:r>
          </w:p>
          <w:p w14:paraId="336BD6F2">
            <w:pPr>
              <w:keepNext w:val="0"/>
              <w:keepLines w:val="0"/>
              <w:pageBreakBefore w:val="0"/>
              <w:widowControl w:val="0"/>
              <w:kinsoku/>
              <w:wordWrap/>
              <w:overflowPunct/>
              <w:topLinePunct w:val="0"/>
              <w:autoSpaceDE/>
              <w:autoSpaceDN/>
              <w:bidi w:val="0"/>
              <w:adjustRightInd w:val="0"/>
              <w:snapToGrid w:val="0"/>
              <w:spacing w:before="28" w:line="240" w:lineRule="auto"/>
              <w:ind w:left="171" w:firstLine="0" w:firstLineChars="0"/>
              <w:textAlignment w:val="auto"/>
              <w:rPr>
                <w:rFonts w:ascii="Times New Roman" w:hAnsi="Times New Roman" w:eastAsia="宋体" w:cs="Times New Roman"/>
                <w:color w:val="auto"/>
                <w:kern w:val="0"/>
                <w:sz w:val="21"/>
                <w:szCs w:val="21"/>
                <w:highlight w:val="none"/>
                <w:lang w:val="en-US" w:eastAsia="en-US" w:bidi="ar-SA"/>
              </w:rPr>
            </w:pPr>
            <w:r>
              <w:rPr>
                <w:rFonts w:ascii="Times New Roman" w:hAnsi="Times New Roman" w:eastAsia="宋体" w:cs="Times New Roman"/>
                <w:color w:val="auto"/>
                <w:kern w:val="0"/>
                <w:sz w:val="21"/>
                <w:szCs w:val="21"/>
                <w:highlight w:val="none"/>
                <w:lang w:val="en-US" w:eastAsia="zh-CN" w:bidi="ar-SA"/>
              </w:rPr>
              <w:t>1×10</w:t>
            </w:r>
            <w:r>
              <w:rPr>
                <w:rFonts w:hint="eastAsia" w:ascii="Times New Roman" w:hAnsi="Times New Roman" w:eastAsia="宋体" w:cs="Times New Roman"/>
                <w:color w:val="auto"/>
                <w:kern w:val="0"/>
                <w:sz w:val="21"/>
                <w:szCs w:val="21"/>
                <w:highlight w:val="none"/>
                <w:vertAlign w:val="superscript"/>
                <w:lang w:val="en-US" w:eastAsia="zh-CN" w:bidi="ar-SA"/>
              </w:rPr>
              <w:t>-10</w:t>
            </w:r>
            <w:r>
              <w:rPr>
                <w:rFonts w:ascii="Times New Roman" w:hAnsi="Times New Roman" w:eastAsia="宋体" w:cs="Times New Roman"/>
                <w:color w:val="auto"/>
                <w:kern w:val="0"/>
                <w:sz w:val="21"/>
                <w:szCs w:val="21"/>
                <w:highlight w:val="none"/>
                <w:lang w:val="en-US" w:eastAsia="zh-CN" w:bidi="ar-SA"/>
              </w:rPr>
              <w:t>cm/s</w:t>
            </w:r>
            <w:r>
              <w:rPr>
                <w:rFonts w:hint="eastAsia" w:ascii="Times New Roman" w:hAnsi="Times New Roman" w:eastAsia="宋体" w:cs="Times New Roman"/>
                <w:color w:val="auto"/>
                <w:kern w:val="0"/>
                <w:sz w:val="21"/>
                <w:szCs w:val="21"/>
                <w:highlight w:val="none"/>
                <w:lang w:val="en-US" w:eastAsia="zh-CN" w:bidi="ar-SA"/>
              </w:rPr>
              <w:t>.</w:t>
            </w:r>
          </w:p>
        </w:tc>
      </w:tr>
      <w:tr w14:paraId="60D9F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4DF7B524">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声环境</w:t>
            </w:r>
          </w:p>
        </w:tc>
        <w:tc>
          <w:tcPr>
            <w:tcW w:w="1777" w:type="pct"/>
            <w:noWrap w:val="0"/>
            <w:vAlign w:val="center"/>
          </w:tcPr>
          <w:p w14:paraId="47159EF3">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夜间禁止施工，并尽量采用低噪声机械设备，对超过国家标准的机械应禁止其入场施工，施工过程中还应经常对设备进行维修保养，避免由于设备性能变差而导致噪声增加，对产生震动的环节进行加固或改造，对振动较大的设备可使用减震机座；对于施工期间的材料运输、敲击、人的喊叫等施工声源，要求施工队通过文明施工、加强有效管理加以缓解。</w:t>
            </w:r>
          </w:p>
          <w:p w14:paraId="722D171F">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在利用现有道路运输施工物资时，应合理选择运输路线，禁止夜间运输。此外，在途经村庄时，应减速慢行。建设单位应对施工承包商的运输路线提出要求，要求承包商必须提供材料运输路线，并请环保监理或环保专业人员确认施工路线在减缓噪声影响方面的合理性。建设单位根据确定后的运输路线进行监督，</w:t>
            </w:r>
          </w:p>
          <w:p w14:paraId="75B61D4C">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并可联合地方环保部门</w:t>
            </w:r>
            <w:r>
              <w:rPr>
                <w:rFonts w:hint="eastAsia" w:ascii="Times New Roman" w:hAnsi="Times New Roman" w:cs="Times New Roman"/>
                <w:color w:val="auto"/>
                <w:highlight w:val="none"/>
                <w:lang w:eastAsia="zh-CN"/>
              </w:rPr>
              <w:t>加大</w:t>
            </w:r>
            <w:r>
              <w:rPr>
                <w:rFonts w:ascii="Times New Roman" w:hAnsi="Times New Roman" w:cs="Times New Roman"/>
                <w:color w:val="auto"/>
                <w:highlight w:val="none"/>
              </w:rPr>
              <w:t>监督力度。</w:t>
            </w:r>
          </w:p>
          <w:p w14:paraId="1874CA70">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（3）夜间禁止施工，昼间施工时也要进行良好的施工管理和采取必要的降噪措施，如临时声屏障围护等，控制同时作业的高噪声设备的数量，以符合</w:t>
            </w:r>
            <w:r>
              <w:rPr>
                <w:rFonts w:hint="eastAsia" w:ascii="Times New Roman" w:hAnsi="Times New Roman" w:cs="Times New Roman"/>
                <w:color w:val="auto"/>
                <w:highlight w:val="none"/>
                <w:lang w:eastAsia="zh-CN"/>
              </w:rPr>
              <w:t>《建筑施工噪声排放标准》（GB12523-2025）</w:t>
            </w:r>
            <w:r>
              <w:rPr>
                <w:rFonts w:ascii="Times New Roman" w:hAnsi="Times New Roman" w:cs="Times New Roman"/>
                <w:color w:val="auto"/>
                <w:highlight w:val="none"/>
              </w:rPr>
              <w:t>相关标准。</w:t>
            </w:r>
          </w:p>
          <w:p w14:paraId="43438CF5">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（4）合理布置施工平面和施工的顺序，充分利用地形对</w:t>
            </w:r>
            <w:r>
              <w:rPr>
                <w:rFonts w:hint="eastAsia" w:ascii="Times New Roman" w:hAnsi="Times New Roman" w:cs="Times New Roman"/>
                <w:color w:val="auto"/>
                <w:highlight w:val="none"/>
                <w:lang w:eastAsia="zh-CN"/>
              </w:rPr>
              <w:t>噪声</w:t>
            </w:r>
            <w:r>
              <w:rPr>
                <w:rFonts w:ascii="Times New Roman" w:hAnsi="Times New Roman" w:cs="Times New Roman"/>
                <w:color w:val="auto"/>
                <w:highlight w:val="none"/>
              </w:rPr>
              <w:t>的阻隔作用，调整作业工时，减少噪声对周边环境敏感点的影响。</w:t>
            </w:r>
          </w:p>
          <w:p w14:paraId="058F5DED">
            <w:pPr>
              <w:rPr>
                <w:color w:val="auto"/>
              </w:rPr>
            </w:pPr>
          </w:p>
        </w:tc>
        <w:tc>
          <w:tcPr>
            <w:tcW w:w="653" w:type="pct"/>
            <w:noWrap w:val="0"/>
            <w:vAlign w:val="center"/>
          </w:tcPr>
          <w:p w14:paraId="58A0422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施工厂界满足《建筑施工噪声排放标准》（GB12523-2025）</w:t>
            </w:r>
          </w:p>
        </w:tc>
        <w:tc>
          <w:tcPr>
            <w:tcW w:w="1169" w:type="pct"/>
            <w:noWrap w:val="0"/>
            <w:vAlign w:val="center"/>
          </w:tcPr>
          <w:p w14:paraId="4626906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①</w:t>
            </w:r>
            <w:r>
              <w:rPr>
                <w:rFonts w:ascii="Times New Roman" w:hAnsi="Times New Roman" w:eastAsia="宋体" w:cs="Times New Roman"/>
                <w:color w:val="auto"/>
                <w:kern w:val="0"/>
                <w:sz w:val="21"/>
                <w:szCs w:val="21"/>
                <w:highlight w:val="none"/>
                <w:lang w:val="en-US" w:eastAsia="zh-CN" w:bidi="ar-SA"/>
              </w:rPr>
              <w:t>加装锯齿尾缘</w:t>
            </w:r>
          </w:p>
          <w:p w14:paraId="2AEFC14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在风力发电机的叶片尾缘加装锯齿尾缘，尾缘锯齿会使流动在尾缘处形成一列反向旋转的涡对，改变了尾涡结构，减弱了下游尾迹区的展向相关性，减小了噪声的远场辐射。</w:t>
            </w:r>
          </w:p>
          <w:p w14:paraId="429BBAD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②</w:t>
            </w:r>
            <w:r>
              <w:rPr>
                <w:rFonts w:ascii="Times New Roman" w:hAnsi="Times New Roman" w:eastAsia="宋体" w:cs="Times New Roman"/>
                <w:color w:val="auto"/>
                <w:kern w:val="0"/>
                <w:sz w:val="21"/>
                <w:szCs w:val="21"/>
                <w:highlight w:val="none"/>
                <w:lang w:val="en-US" w:eastAsia="zh-CN" w:bidi="ar-SA"/>
              </w:rPr>
              <w:t>降噪运行模式</w:t>
            </w:r>
          </w:p>
          <w:p w14:paraId="6379D4F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对机位在</w:t>
            </w:r>
            <w:r>
              <w:rPr>
                <w:rFonts w:hint="eastAsia" w:ascii="Times New Roman" w:hAnsi="Times New Roman" w:eastAsia="宋体" w:cs="Times New Roman"/>
                <w:color w:val="auto"/>
                <w:kern w:val="0"/>
                <w:sz w:val="21"/>
                <w:szCs w:val="21"/>
                <w:highlight w:val="none"/>
                <w:lang w:val="en-US" w:eastAsia="zh-CN" w:bidi="ar-SA"/>
              </w:rPr>
              <w:t>某个</w:t>
            </w:r>
            <w:r>
              <w:rPr>
                <w:rFonts w:ascii="Times New Roman" w:hAnsi="Times New Roman" w:eastAsia="宋体" w:cs="Times New Roman"/>
                <w:color w:val="auto"/>
                <w:kern w:val="0"/>
                <w:sz w:val="21"/>
                <w:szCs w:val="21"/>
                <w:highlight w:val="none"/>
                <w:lang w:val="en-US" w:eastAsia="zh-CN" w:bidi="ar-SA"/>
              </w:rPr>
              <w:t>时间段（尤其夜间）、风向段、风速段实施停机或减速或偏航（减小切入角）操作，减速某个风向上特殊风况对风机的影响，降低风机的载荷，以降低发电量为代价，确保气动噪声的降低。</w:t>
            </w:r>
          </w:p>
          <w:p w14:paraId="7CD3229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③</w:t>
            </w:r>
            <w:r>
              <w:rPr>
                <w:rFonts w:ascii="Times New Roman" w:hAnsi="Times New Roman" w:eastAsia="宋体" w:cs="Times New Roman"/>
                <w:color w:val="auto"/>
                <w:kern w:val="0"/>
                <w:sz w:val="21"/>
                <w:szCs w:val="21"/>
                <w:highlight w:val="none"/>
                <w:lang w:val="en-US" w:eastAsia="zh-CN" w:bidi="ar-SA"/>
              </w:rPr>
              <w:t>从</w:t>
            </w:r>
            <w:r>
              <w:rPr>
                <w:rFonts w:hint="eastAsia" w:ascii="Times New Roman" w:hAnsi="Times New Roman" w:eastAsia="宋体" w:cs="Times New Roman"/>
                <w:color w:val="auto"/>
                <w:kern w:val="0"/>
                <w:sz w:val="21"/>
                <w:szCs w:val="21"/>
                <w:highlight w:val="none"/>
                <w:lang w:val="en-US" w:eastAsia="zh-CN" w:bidi="ar-SA"/>
              </w:rPr>
              <w:t>噪声</w:t>
            </w:r>
            <w:r>
              <w:rPr>
                <w:rFonts w:ascii="Times New Roman" w:hAnsi="Times New Roman" w:eastAsia="宋体" w:cs="Times New Roman"/>
                <w:color w:val="auto"/>
                <w:kern w:val="0"/>
                <w:sz w:val="21"/>
                <w:szCs w:val="21"/>
                <w:highlight w:val="none"/>
                <w:lang w:val="en-US" w:eastAsia="zh-CN" w:bidi="ar-SA"/>
              </w:rPr>
              <w:t>的声源处进行降噪</w:t>
            </w:r>
          </w:p>
          <w:p w14:paraId="222711B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加工工艺和运营维护的精益管理提高加工工艺和安装精度，同时做好运营维护管理，使齿轮和轴承保持良好的润滑。在风力发电机安装和运行过程中，由于安装精度或者运营维护的欠缺，齿轮和轴承的摩擦会产生铁屑增加摩擦系数，进而提高噪音分贝。</w:t>
            </w:r>
          </w:p>
          <w:p w14:paraId="4929B01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采用弹性连接为减小机械部件的振动，可在接近力源的地方切断振动传递的途径，如用弹性连接替代刚性连接。</w:t>
            </w:r>
          </w:p>
          <w:p w14:paraId="1E42E3B5">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采用高阻尼材料或增加</w:t>
            </w:r>
            <w:r>
              <w:rPr>
                <w:rFonts w:hint="eastAsia" w:ascii="Times New Roman" w:hAnsi="Times New Roman" w:eastAsia="宋体" w:cs="Times New Roman"/>
                <w:color w:val="auto"/>
                <w:kern w:val="0"/>
                <w:sz w:val="21"/>
                <w:szCs w:val="21"/>
                <w:highlight w:val="none"/>
                <w:lang w:val="en-US" w:eastAsia="zh-CN" w:bidi="ar-SA"/>
              </w:rPr>
              <w:t>消声</w:t>
            </w:r>
            <w:r>
              <w:rPr>
                <w:rFonts w:ascii="Times New Roman" w:hAnsi="Times New Roman" w:eastAsia="宋体" w:cs="Times New Roman"/>
                <w:color w:val="auto"/>
                <w:kern w:val="0"/>
                <w:sz w:val="21"/>
                <w:szCs w:val="21"/>
                <w:highlight w:val="none"/>
                <w:lang w:val="en-US" w:eastAsia="zh-CN" w:bidi="ar-SA"/>
              </w:rPr>
              <w:t>装置采用高阻尼材料吸收机械部位的振动能，以降低振动</w:t>
            </w:r>
            <w:r>
              <w:rPr>
                <w:rFonts w:hint="eastAsia" w:ascii="Times New Roman" w:hAnsi="Times New Roman" w:eastAsia="宋体" w:cs="Times New Roman"/>
                <w:color w:val="auto"/>
                <w:kern w:val="0"/>
                <w:sz w:val="21"/>
                <w:szCs w:val="21"/>
                <w:highlight w:val="none"/>
                <w:lang w:val="en-US" w:eastAsia="zh-CN" w:bidi="ar-SA"/>
              </w:rPr>
              <w:t>噪声</w:t>
            </w:r>
            <w:r>
              <w:rPr>
                <w:rFonts w:ascii="Times New Roman" w:hAnsi="Times New Roman" w:eastAsia="宋体" w:cs="Times New Roman"/>
                <w:color w:val="auto"/>
                <w:kern w:val="0"/>
                <w:sz w:val="21"/>
                <w:szCs w:val="21"/>
                <w:highlight w:val="none"/>
                <w:lang w:val="en-US" w:eastAsia="zh-CN" w:bidi="ar-SA"/>
              </w:rPr>
              <w:t>，如：机舱外壳采用高阻尼和更加吸音的材料；在发电机散热风扇及变流器散热器等辅助设备处安装</w:t>
            </w:r>
            <w:r>
              <w:rPr>
                <w:rFonts w:hint="eastAsia" w:ascii="Times New Roman" w:hAnsi="Times New Roman" w:eastAsia="宋体" w:cs="Times New Roman"/>
                <w:color w:val="auto"/>
                <w:kern w:val="0"/>
                <w:sz w:val="21"/>
                <w:szCs w:val="21"/>
                <w:highlight w:val="none"/>
                <w:lang w:val="en-US" w:eastAsia="zh-CN" w:bidi="ar-SA"/>
              </w:rPr>
              <w:t>消声</w:t>
            </w:r>
            <w:r>
              <w:rPr>
                <w:rFonts w:ascii="Times New Roman" w:hAnsi="Times New Roman" w:eastAsia="宋体" w:cs="Times New Roman"/>
                <w:color w:val="auto"/>
                <w:kern w:val="0"/>
                <w:sz w:val="21"/>
                <w:szCs w:val="21"/>
                <w:highlight w:val="none"/>
                <w:lang w:val="en-US" w:eastAsia="zh-CN" w:bidi="ar-SA"/>
              </w:rPr>
              <w:t>装置</w:t>
            </w:r>
            <w:r>
              <w:rPr>
                <w:rFonts w:hint="eastAsia" w:cs="Times New Roman"/>
                <w:color w:val="auto"/>
                <w:kern w:val="0"/>
                <w:sz w:val="21"/>
                <w:szCs w:val="21"/>
                <w:highlight w:val="none"/>
                <w:lang w:val="en-US" w:eastAsia="zh-CN" w:bidi="ar-SA"/>
              </w:rPr>
              <w:t>。</w:t>
            </w:r>
          </w:p>
          <w:p w14:paraId="12DD61C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④</w:t>
            </w:r>
            <w:r>
              <w:rPr>
                <w:rFonts w:ascii="Times New Roman" w:hAnsi="Times New Roman" w:eastAsia="宋体" w:cs="Times New Roman"/>
                <w:color w:val="auto"/>
                <w:kern w:val="0"/>
                <w:sz w:val="21"/>
                <w:szCs w:val="21"/>
                <w:highlight w:val="none"/>
                <w:lang w:val="en-US" w:eastAsia="zh-CN" w:bidi="ar-SA"/>
              </w:rPr>
              <w:t>从</w:t>
            </w:r>
            <w:r>
              <w:rPr>
                <w:rFonts w:hint="eastAsia" w:ascii="Times New Roman" w:hAnsi="Times New Roman" w:eastAsia="宋体" w:cs="Times New Roman"/>
                <w:color w:val="auto"/>
                <w:kern w:val="0"/>
                <w:sz w:val="21"/>
                <w:szCs w:val="21"/>
                <w:highlight w:val="none"/>
                <w:lang w:val="en-US" w:eastAsia="zh-CN" w:bidi="ar-SA"/>
              </w:rPr>
              <w:t>噪声</w:t>
            </w:r>
            <w:r>
              <w:rPr>
                <w:rFonts w:ascii="Times New Roman" w:hAnsi="Times New Roman" w:eastAsia="宋体" w:cs="Times New Roman"/>
                <w:color w:val="auto"/>
                <w:kern w:val="0"/>
                <w:sz w:val="21"/>
                <w:szCs w:val="21"/>
                <w:highlight w:val="none"/>
                <w:lang w:val="en-US" w:eastAsia="zh-CN" w:bidi="ar-SA"/>
              </w:rPr>
              <w:t>的接收处进行降噪</w:t>
            </w:r>
          </w:p>
          <w:p w14:paraId="321A308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ascii="Times New Roman" w:hAnsi="Times New Roman" w:cs="Times New Roman"/>
                <w:color w:val="auto"/>
                <w:highlight w:val="none"/>
              </w:rPr>
            </w:pPr>
            <w:r>
              <w:rPr>
                <w:rFonts w:hint="eastAsia" w:ascii="Times New Roman" w:hAnsi="Times New Roman" w:eastAsia="宋体" w:cs="Times New Roman"/>
                <w:color w:val="auto"/>
                <w:kern w:val="0"/>
                <w:sz w:val="21"/>
                <w:szCs w:val="21"/>
                <w:highlight w:val="none"/>
                <w:lang w:val="en-US" w:eastAsia="zh-CN" w:bidi="ar-SA"/>
              </w:rPr>
              <w:t>应上报当地政府，明确项目风机机位700m范围内不宜规划噪声敏感建筑。</w:t>
            </w:r>
          </w:p>
        </w:tc>
        <w:tc>
          <w:tcPr>
            <w:tcW w:w="928" w:type="pct"/>
            <w:noWrap w:val="0"/>
            <w:vAlign w:val="center"/>
          </w:tcPr>
          <w:p w14:paraId="2113D3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en-US" w:bidi="ar-SA"/>
              </w:rPr>
              <w:t>厂界噪声达GB12348-2008《工业企业厂界环境噪声排放标准》</w:t>
            </w:r>
            <w:r>
              <w:rPr>
                <w:rFonts w:hint="eastAsia" w:ascii="Times New Roman" w:hAnsi="Times New Roman" w:eastAsia="宋体" w:cs="Times New Roman"/>
                <w:color w:val="auto"/>
                <w:kern w:val="0"/>
                <w:sz w:val="21"/>
                <w:szCs w:val="21"/>
                <w:highlight w:val="none"/>
                <w:lang w:val="en-US" w:eastAsia="zh-CN" w:bidi="ar-SA"/>
              </w:rPr>
              <w:t>1</w:t>
            </w:r>
            <w:r>
              <w:rPr>
                <w:rFonts w:hint="default" w:ascii="Times New Roman" w:hAnsi="Times New Roman" w:eastAsia="宋体" w:cs="Times New Roman"/>
                <w:color w:val="auto"/>
                <w:kern w:val="0"/>
                <w:sz w:val="21"/>
                <w:szCs w:val="21"/>
                <w:highlight w:val="none"/>
                <w:lang w:val="en-US" w:eastAsia="en-US" w:bidi="ar-SA"/>
              </w:rPr>
              <w:t>类标准</w:t>
            </w:r>
          </w:p>
        </w:tc>
      </w:tr>
      <w:tr w14:paraId="4CFC09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2299FFF4">
            <w:pPr>
              <w:adjustRightInd w:val="0"/>
              <w:snapToGrid w:val="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振动</w:t>
            </w:r>
          </w:p>
        </w:tc>
        <w:tc>
          <w:tcPr>
            <w:tcW w:w="1777" w:type="pct"/>
            <w:noWrap w:val="0"/>
            <w:vAlign w:val="center"/>
          </w:tcPr>
          <w:p w14:paraId="11F84ABD">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653" w:type="pct"/>
            <w:noWrap w:val="0"/>
            <w:vAlign w:val="center"/>
          </w:tcPr>
          <w:p w14:paraId="02D6948E">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169" w:type="pct"/>
            <w:noWrap w:val="0"/>
            <w:vAlign w:val="center"/>
          </w:tcPr>
          <w:p w14:paraId="6BB0B5DA">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928" w:type="pct"/>
            <w:noWrap w:val="0"/>
            <w:vAlign w:val="center"/>
          </w:tcPr>
          <w:p w14:paraId="01BA15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5AD496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72762C55">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大气环境</w:t>
            </w:r>
          </w:p>
        </w:tc>
        <w:tc>
          <w:tcPr>
            <w:tcW w:w="1777" w:type="pct"/>
            <w:noWrap w:val="0"/>
            <w:vAlign w:val="center"/>
          </w:tcPr>
          <w:p w14:paraId="0C42B82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（1）施工期间应根据具体情况适时对施工现场和道路进行洒水（降雨日除外），春季干旱多风日可适当增加洒水次数。</w:t>
            </w:r>
          </w:p>
          <w:p w14:paraId="12901DF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（2）尽量不在大风天施工作业，尤其是引起地面扰动的作业。</w:t>
            </w:r>
          </w:p>
          <w:p w14:paraId="63F22DD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（3）限制运输车辆的行驶速度，场地内的行车速度不得超过15km/h。</w:t>
            </w:r>
          </w:p>
          <w:p w14:paraId="27A82E7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（4）对风机基座开挖的土方回填后，弃方应及时运走或进行遮盖，减少土方裸露面积和时间，减少风蚀强度。</w:t>
            </w:r>
          </w:p>
          <w:p w14:paraId="3895A6D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（5）对临时堆土点的土方和弃渣应尽快回填利用或运至指定地点堆放，暂时采用编织袋进行临时挡护，顶面用土工布进行覆盖；在春节干旱多风日应临时对临时堆土场洒水，减少粉尘产生。</w:t>
            </w:r>
          </w:p>
          <w:p w14:paraId="1551086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highlight w:val="none"/>
                <w:lang w:val="en-US" w:eastAsia="zh-CN" w:bidi="ar-SA"/>
              </w:rPr>
              <w:t>6</w:t>
            </w:r>
            <w:r>
              <w:rPr>
                <w:rFonts w:ascii="Times New Roman" w:hAnsi="Times New Roman" w:eastAsia="宋体" w:cs="Times New Roman"/>
                <w:color w:val="auto"/>
                <w:kern w:val="0"/>
                <w:sz w:val="21"/>
                <w:szCs w:val="21"/>
                <w:highlight w:val="none"/>
                <w:lang w:val="en-US" w:eastAsia="zh-CN" w:bidi="ar-SA"/>
              </w:rPr>
              <w:t>）施工材料如水泥等粉状物料将采用罐车进行运输，砂石料运输车辆一般都加盖篷布，以减少建筑材料的撒落和飞灰。</w:t>
            </w:r>
          </w:p>
          <w:p w14:paraId="7ED3CB9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highlight w:val="none"/>
                <w:lang w:val="en-US" w:eastAsia="zh-CN" w:bidi="ar-SA"/>
              </w:rPr>
              <w:t>7</w:t>
            </w:r>
            <w:r>
              <w:rPr>
                <w:rFonts w:ascii="Times New Roman" w:hAnsi="Times New Roman" w:eastAsia="宋体" w:cs="Times New Roman"/>
                <w:color w:val="auto"/>
                <w:kern w:val="0"/>
                <w:sz w:val="21"/>
                <w:szCs w:val="21"/>
                <w:highlight w:val="none"/>
                <w:lang w:val="en-US" w:eastAsia="zh-CN" w:bidi="ar-SA"/>
              </w:rPr>
              <w:t>）加强对机械、车辆的维修保养，禁止施工机械超负荷工作，同时使用先进设备和优质燃料油。</w:t>
            </w:r>
          </w:p>
          <w:p w14:paraId="7A8057E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highlight w:val="none"/>
                <w:lang w:val="en-US" w:eastAsia="zh-CN" w:bidi="ar-SA"/>
              </w:rPr>
              <w:t>8</w:t>
            </w:r>
            <w:r>
              <w:rPr>
                <w:rFonts w:ascii="Times New Roman" w:hAnsi="Times New Roman" w:eastAsia="宋体" w:cs="Times New Roman"/>
                <w:color w:val="auto"/>
                <w:kern w:val="0"/>
                <w:sz w:val="21"/>
                <w:szCs w:val="21"/>
                <w:highlight w:val="none"/>
                <w:lang w:val="en-US" w:eastAsia="zh-CN" w:bidi="ar-SA"/>
              </w:rPr>
              <w:t>）加强对施工人员的环保教育，</w:t>
            </w:r>
            <w:r>
              <w:rPr>
                <w:rFonts w:hint="eastAsia" w:ascii="Times New Roman" w:hAnsi="Times New Roman" w:eastAsia="宋体" w:cs="Times New Roman"/>
                <w:color w:val="auto"/>
                <w:kern w:val="0"/>
                <w:sz w:val="21"/>
                <w:szCs w:val="21"/>
                <w:highlight w:val="none"/>
                <w:lang w:val="en-US" w:eastAsia="zh-CN" w:bidi="ar-SA"/>
              </w:rPr>
              <w:t>增强</w:t>
            </w:r>
            <w:r>
              <w:rPr>
                <w:rFonts w:ascii="Times New Roman" w:hAnsi="Times New Roman" w:eastAsia="宋体" w:cs="Times New Roman"/>
                <w:color w:val="auto"/>
                <w:kern w:val="0"/>
                <w:sz w:val="21"/>
                <w:szCs w:val="21"/>
                <w:highlight w:val="none"/>
                <w:lang w:val="en-US" w:eastAsia="zh-CN" w:bidi="ar-SA"/>
              </w:rPr>
              <w:t>全体施工人员的环保意识。</w:t>
            </w:r>
          </w:p>
          <w:p w14:paraId="140685A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highlight w:val="none"/>
                <w:lang w:val="en-US" w:eastAsia="zh-CN" w:bidi="ar-SA"/>
              </w:rPr>
              <w:t>9</w:t>
            </w:r>
            <w:r>
              <w:rPr>
                <w:rFonts w:ascii="Times New Roman" w:hAnsi="Times New Roman" w:eastAsia="宋体" w:cs="Times New Roman"/>
                <w:color w:val="auto"/>
                <w:kern w:val="0"/>
                <w:sz w:val="21"/>
                <w:szCs w:val="21"/>
                <w:highlight w:val="none"/>
                <w:lang w:val="en-US" w:eastAsia="zh-CN" w:bidi="ar-SA"/>
              </w:rPr>
              <w:t>）施工材料应尽量较少露天堆放，堆放在封闭的库房内，确需临时堆放的应采用土工布进行遮盖，对</w:t>
            </w:r>
            <w:r>
              <w:rPr>
                <w:rFonts w:hint="eastAsia" w:ascii="Times New Roman" w:hAnsi="Times New Roman" w:eastAsia="宋体" w:cs="Times New Roman"/>
                <w:color w:val="auto"/>
                <w:kern w:val="0"/>
                <w:sz w:val="21"/>
                <w:szCs w:val="21"/>
                <w:highlight w:val="none"/>
                <w:lang w:val="en-US" w:eastAsia="zh-CN" w:bidi="ar-SA"/>
              </w:rPr>
              <w:t>施工</w:t>
            </w:r>
            <w:r>
              <w:rPr>
                <w:rFonts w:ascii="Times New Roman" w:hAnsi="Times New Roman" w:eastAsia="宋体" w:cs="Times New Roman"/>
                <w:color w:val="auto"/>
                <w:kern w:val="0"/>
                <w:sz w:val="21"/>
                <w:szCs w:val="21"/>
                <w:highlight w:val="none"/>
                <w:lang w:val="en-US" w:eastAsia="zh-CN" w:bidi="ar-SA"/>
              </w:rPr>
              <w:t>场地定期洒水降尘。</w:t>
            </w:r>
          </w:p>
          <w:p w14:paraId="559AE1F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Times New Roman" w:hAnsi="Times New Roman" w:cs="Times New Roman"/>
                <w:color w:val="auto"/>
                <w:highlight w:val="none"/>
              </w:rPr>
            </w:pPr>
            <w:r>
              <w:rPr>
                <w:rFonts w:ascii="Times New Roman" w:hAnsi="Times New Roman" w:eastAsia="宋体" w:cs="Times New Roman"/>
                <w:color w:val="auto"/>
                <w:kern w:val="0"/>
                <w:sz w:val="21"/>
                <w:szCs w:val="21"/>
                <w:highlight w:val="none"/>
                <w:lang w:val="en-US" w:eastAsia="zh-CN" w:bidi="ar-SA"/>
              </w:rPr>
              <w:t>（1</w:t>
            </w:r>
            <w:r>
              <w:rPr>
                <w:rFonts w:hint="eastAsia" w:ascii="Times New Roman" w:hAnsi="Times New Roman" w:eastAsia="宋体" w:cs="Times New Roman"/>
                <w:color w:val="auto"/>
                <w:kern w:val="0"/>
                <w:sz w:val="21"/>
                <w:szCs w:val="21"/>
                <w:highlight w:val="none"/>
                <w:lang w:val="en-US" w:eastAsia="zh-CN" w:bidi="ar-SA"/>
              </w:rPr>
              <w:t>0</w:t>
            </w:r>
            <w:r>
              <w:rPr>
                <w:rFonts w:ascii="Times New Roman" w:hAnsi="Times New Roman" w:eastAsia="宋体" w:cs="Times New Roman"/>
                <w:color w:val="auto"/>
                <w:kern w:val="0"/>
                <w:sz w:val="21"/>
                <w:szCs w:val="21"/>
                <w:highlight w:val="none"/>
                <w:lang w:val="en-US" w:eastAsia="zh-CN" w:bidi="ar-SA"/>
              </w:rPr>
              <w:t>）在项目靠近村庄等敏感点附近地段施工时采取增加洒水次数等措施，以控制和减轻施工扬尘对该保护目标的影响。</w:t>
            </w:r>
          </w:p>
        </w:tc>
        <w:tc>
          <w:tcPr>
            <w:tcW w:w="653" w:type="pct"/>
            <w:noWrap w:val="0"/>
            <w:vAlign w:val="center"/>
          </w:tcPr>
          <w:p w14:paraId="370151DB">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施工扬尘达到《大气污染物综合排放标准》</w:t>
            </w:r>
          </w:p>
          <w:p w14:paraId="41E3453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hint="default" w:ascii="Times New Roman" w:hAnsi="Times New Roman" w:cs="Times New Roman"/>
                <w:color w:val="auto"/>
                <w:highlight w:val="none"/>
              </w:rPr>
              <w:t>（GB16297-1996）要求</w:t>
            </w:r>
          </w:p>
        </w:tc>
        <w:tc>
          <w:tcPr>
            <w:tcW w:w="1169" w:type="pct"/>
            <w:noWrap w:val="0"/>
            <w:vAlign w:val="center"/>
          </w:tcPr>
          <w:p w14:paraId="07B9EFD7">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风力发电场运营</w:t>
            </w:r>
            <w:r>
              <w:rPr>
                <w:rFonts w:hint="eastAsia" w:ascii="Times New Roman" w:hAnsi="Times New Roman" w:cs="Times New Roman"/>
                <w:color w:val="auto"/>
                <w:highlight w:val="none"/>
                <w:lang w:eastAsia="zh-CN"/>
              </w:rPr>
              <w:t>过程</w:t>
            </w:r>
            <w:r>
              <w:rPr>
                <w:rFonts w:ascii="Times New Roman" w:hAnsi="Times New Roman" w:cs="Times New Roman"/>
                <w:color w:val="auto"/>
                <w:highlight w:val="none"/>
              </w:rPr>
              <w:t>中无废气产生，</w:t>
            </w:r>
            <w:r>
              <w:rPr>
                <w:rFonts w:hint="default" w:ascii="Times New Roman" w:hAnsi="Times New Roman" w:cs="Times New Roman"/>
                <w:color w:val="auto"/>
                <w:highlight w:val="none"/>
                <w:lang w:eastAsia="zh-CN"/>
              </w:rPr>
              <w:t>不设置食堂，</w:t>
            </w:r>
            <w:r>
              <w:rPr>
                <w:rFonts w:hint="eastAsia" w:cs="Times New Roman"/>
                <w:color w:val="auto"/>
                <w:highlight w:val="none"/>
                <w:lang w:eastAsia="zh-CN"/>
              </w:rPr>
              <w:t>依托</w:t>
            </w:r>
            <w:r>
              <w:rPr>
                <w:rFonts w:hint="default" w:ascii="Times New Roman" w:hAnsi="Times New Roman" w:cs="Times New Roman"/>
                <w:color w:val="auto"/>
                <w:highlight w:val="none"/>
                <w:lang w:eastAsia="zh-CN"/>
              </w:rPr>
              <w:t>热水光伏电站管理人员，无</w:t>
            </w:r>
            <w:r>
              <w:rPr>
                <w:rFonts w:ascii="Times New Roman" w:hAnsi="Times New Roman" w:cs="Times New Roman"/>
                <w:color w:val="auto"/>
                <w:highlight w:val="none"/>
              </w:rPr>
              <w:t>废气影响。</w:t>
            </w:r>
          </w:p>
          <w:p w14:paraId="2D6DE1DB">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p>
        </w:tc>
        <w:tc>
          <w:tcPr>
            <w:tcW w:w="928" w:type="pct"/>
            <w:noWrap w:val="0"/>
            <w:vAlign w:val="center"/>
          </w:tcPr>
          <w:p w14:paraId="7D3A12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r>
      <w:tr w14:paraId="18A590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0B03184E">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固体废物</w:t>
            </w:r>
          </w:p>
        </w:tc>
        <w:tc>
          <w:tcPr>
            <w:tcW w:w="1777" w:type="pct"/>
            <w:noWrap w:val="0"/>
            <w:vAlign w:val="center"/>
          </w:tcPr>
          <w:p w14:paraId="146DA54D">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（1）施工弃渣处理要求</w:t>
            </w:r>
          </w:p>
          <w:p w14:paraId="0FCAC738">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应进一步优化弃渣方案，避免占用有林地，加强后续水保设计，报经相关部门批准后实施。出渣</w:t>
            </w:r>
            <w:r>
              <w:rPr>
                <w:rFonts w:hint="eastAsia" w:ascii="Times New Roman" w:hAnsi="Times New Roman" w:cs="Times New Roman"/>
                <w:color w:val="auto"/>
                <w:highlight w:val="none"/>
                <w:lang w:eastAsia="zh-CN"/>
              </w:rPr>
              <w:t>必须严格按照</w:t>
            </w:r>
            <w:r>
              <w:rPr>
                <w:rFonts w:ascii="Times New Roman" w:hAnsi="Times New Roman" w:cs="Times New Roman"/>
                <w:color w:val="auto"/>
                <w:highlight w:val="none"/>
              </w:rPr>
              <w:t>主体工程施工图设计指定的表土堆场集中堆放，不得随意倾倒。</w:t>
            </w:r>
          </w:p>
          <w:p w14:paraId="1224CB96">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highlight w:val="none"/>
              </w:rPr>
            </w:pPr>
            <w:r>
              <w:rPr>
                <w:rFonts w:ascii="Times New Roman" w:hAnsi="Times New Roman" w:cs="Times New Roman"/>
                <w:color w:val="auto"/>
                <w:highlight w:val="none"/>
              </w:rPr>
              <w:t>（2）生活垃圾处理要求</w:t>
            </w:r>
          </w:p>
          <w:p w14:paraId="708BE871">
            <w:pPr>
              <w:pStyle w:val="28"/>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left"/>
              <w:textAlignment w:val="auto"/>
              <w:rPr>
                <w:rFonts w:ascii="Times New Roman" w:hAnsi="Times New Roman" w:cs="Times New Roman"/>
                <w:color w:val="auto"/>
                <w:szCs w:val="21"/>
                <w:highlight w:val="none"/>
              </w:rPr>
            </w:pPr>
            <w:r>
              <w:rPr>
                <w:rFonts w:ascii="Times New Roman" w:hAnsi="Times New Roman" w:cs="Times New Roman"/>
                <w:color w:val="auto"/>
                <w:highlight w:val="none"/>
              </w:rPr>
              <w:t>施工期生活垃圾，建议在各施工场地设置垃圾收集桶，联系当地环卫部门定期清运。</w:t>
            </w:r>
          </w:p>
        </w:tc>
        <w:tc>
          <w:tcPr>
            <w:tcW w:w="653" w:type="pct"/>
            <w:noWrap w:val="0"/>
            <w:vAlign w:val="center"/>
          </w:tcPr>
          <w:p w14:paraId="3030B6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cs="Times New Roman"/>
                <w:color w:val="auto"/>
                <w:szCs w:val="21"/>
                <w:highlight w:val="none"/>
              </w:rPr>
            </w:pPr>
            <w:r>
              <w:rPr>
                <w:rFonts w:ascii="Times New Roman" w:hAnsi="Times New Roman" w:eastAsia="宋体" w:cs="Times New Roman"/>
                <w:color w:val="auto"/>
                <w:kern w:val="0"/>
                <w:sz w:val="21"/>
                <w:szCs w:val="21"/>
                <w:highlight w:val="none"/>
                <w:lang w:val="en-US" w:eastAsia="zh-CN" w:bidi="ar-SA"/>
              </w:rPr>
              <w:t>合理处置</w:t>
            </w:r>
          </w:p>
        </w:tc>
        <w:tc>
          <w:tcPr>
            <w:tcW w:w="1169" w:type="pct"/>
            <w:noWrap w:val="0"/>
            <w:vAlign w:val="center"/>
          </w:tcPr>
          <w:p w14:paraId="5845FA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r>
              <w:rPr>
                <w:rFonts w:hint="eastAsia" w:cs="Times New Roman"/>
                <w:color w:val="auto"/>
                <w:kern w:val="0"/>
                <w:sz w:val="21"/>
                <w:szCs w:val="21"/>
                <w:highlight w:val="none"/>
                <w:lang w:val="en-US" w:eastAsia="zh-CN" w:bidi="ar-SA"/>
              </w:rPr>
              <w:t>1</w:t>
            </w:r>
            <w:r>
              <w:rPr>
                <w:rFonts w:ascii="Times New Roman" w:hAnsi="Times New Roman" w:eastAsia="宋体" w:cs="Times New Roman"/>
                <w:color w:val="auto"/>
                <w:kern w:val="0"/>
                <w:sz w:val="21"/>
                <w:szCs w:val="21"/>
                <w:highlight w:val="none"/>
                <w:lang w:val="en-US" w:eastAsia="zh-CN" w:bidi="ar-SA"/>
              </w:rPr>
              <w:t>）危险废物处理要求</w:t>
            </w:r>
          </w:p>
          <w:p w14:paraId="2D48E2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在升压站内设置</w:t>
            </w:r>
            <w:r>
              <w:rPr>
                <w:rFonts w:hint="eastAsia" w:cs="Times New Roman"/>
                <w:color w:val="auto"/>
                <w:kern w:val="0"/>
                <w:sz w:val="21"/>
                <w:szCs w:val="21"/>
                <w:highlight w:val="none"/>
                <w:lang w:val="en-US" w:eastAsia="zh-CN" w:bidi="ar-SA"/>
              </w:rPr>
              <w:t>危废贮存间</w:t>
            </w:r>
            <w:r>
              <w:rPr>
                <w:rFonts w:ascii="Times New Roman" w:hAnsi="Times New Roman" w:eastAsia="宋体" w:cs="Times New Roman"/>
                <w:color w:val="auto"/>
                <w:kern w:val="0"/>
                <w:sz w:val="21"/>
                <w:szCs w:val="21"/>
                <w:highlight w:val="none"/>
                <w:lang w:val="en-US" w:eastAsia="zh-CN" w:bidi="ar-SA"/>
              </w:rPr>
              <w:t>，项目废机油、油桶等含油废物均属于危险废物，需</w:t>
            </w:r>
            <w:r>
              <w:rPr>
                <w:rFonts w:hint="eastAsia" w:cs="Times New Roman"/>
                <w:color w:val="auto"/>
                <w:kern w:val="0"/>
                <w:sz w:val="21"/>
                <w:szCs w:val="21"/>
                <w:highlight w:val="none"/>
                <w:lang w:val="en-US" w:eastAsia="zh-CN" w:bidi="ar-SA"/>
              </w:rPr>
              <w:t>统一</w:t>
            </w:r>
            <w:r>
              <w:rPr>
                <w:rFonts w:ascii="Times New Roman" w:hAnsi="Times New Roman" w:eastAsia="宋体" w:cs="Times New Roman"/>
                <w:color w:val="auto"/>
                <w:kern w:val="0"/>
                <w:sz w:val="21"/>
                <w:szCs w:val="21"/>
                <w:highlight w:val="none"/>
                <w:lang w:val="en-US" w:eastAsia="zh-CN" w:bidi="ar-SA"/>
              </w:rPr>
              <w:t>收储在</w:t>
            </w:r>
            <w:r>
              <w:rPr>
                <w:rFonts w:hint="eastAsia" w:cs="Times New Roman"/>
                <w:color w:val="auto"/>
                <w:kern w:val="0"/>
                <w:sz w:val="21"/>
                <w:szCs w:val="21"/>
                <w:highlight w:val="none"/>
                <w:lang w:val="en-US" w:eastAsia="zh-CN" w:bidi="ar-SA"/>
              </w:rPr>
              <w:t>危废贮存间</w:t>
            </w:r>
            <w:r>
              <w:rPr>
                <w:rFonts w:ascii="Times New Roman" w:hAnsi="Times New Roman" w:eastAsia="宋体" w:cs="Times New Roman"/>
                <w:color w:val="auto"/>
                <w:kern w:val="0"/>
                <w:sz w:val="21"/>
                <w:szCs w:val="21"/>
                <w:highlight w:val="none"/>
                <w:lang w:val="en-US" w:eastAsia="zh-CN" w:bidi="ar-SA"/>
              </w:rPr>
              <w:t>，定期由有资质的单位回收处理，</w:t>
            </w:r>
            <w:r>
              <w:rPr>
                <w:rFonts w:hint="eastAsia" w:cs="Times New Roman"/>
                <w:color w:val="auto"/>
                <w:kern w:val="0"/>
                <w:sz w:val="21"/>
                <w:szCs w:val="21"/>
                <w:highlight w:val="none"/>
                <w:lang w:val="en-US" w:eastAsia="zh-CN" w:bidi="ar-SA"/>
              </w:rPr>
              <w:t>危废贮存间</w:t>
            </w:r>
            <w:r>
              <w:rPr>
                <w:rFonts w:ascii="Times New Roman" w:hAnsi="Times New Roman" w:eastAsia="宋体" w:cs="Times New Roman"/>
                <w:color w:val="auto"/>
                <w:kern w:val="0"/>
                <w:sz w:val="21"/>
                <w:szCs w:val="21"/>
                <w:highlight w:val="none"/>
                <w:lang w:val="en-US" w:eastAsia="zh-CN" w:bidi="ar-SA"/>
              </w:rPr>
              <w:t>防渗措施应满足《危险废物贮存污染控制标准》相关要求。</w:t>
            </w:r>
          </w:p>
          <w:p w14:paraId="28B16D0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①危险废物贮存间的设计原则</w:t>
            </w:r>
          </w:p>
          <w:p w14:paraId="643975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a危险废物贮存间应采取“四防”（防风、防雨、防晒、防渗漏）措施。</w:t>
            </w:r>
          </w:p>
          <w:p w14:paraId="3721D1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b基础必须防渗，防渗层为至少1m厚粘土层（渗透系数≤10</w:t>
            </w:r>
            <w:r>
              <w:rPr>
                <w:rFonts w:hint="eastAsia" w:cs="Times New Roman"/>
                <w:color w:val="auto"/>
                <w:kern w:val="0"/>
                <w:sz w:val="21"/>
                <w:szCs w:val="21"/>
                <w:highlight w:val="none"/>
                <w:vertAlign w:val="superscript"/>
                <w:lang w:val="en-US" w:eastAsia="zh-CN" w:bidi="ar-SA"/>
              </w:rPr>
              <w:t>-</w:t>
            </w:r>
            <w:r>
              <w:rPr>
                <w:rFonts w:ascii="Times New Roman" w:hAnsi="Times New Roman" w:eastAsia="宋体" w:cs="Times New Roman"/>
                <w:color w:val="auto"/>
                <w:kern w:val="0"/>
                <w:sz w:val="21"/>
                <w:szCs w:val="21"/>
                <w:highlight w:val="none"/>
                <w:vertAlign w:val="superscript"/>
                <w:lang w:val="en-US" w:eastAsia="zh-CN" w:bidi="ar-SA"/>
              </w:rPr>
              <w:t>7</w:t>
            </w:r>
            <w:r>
              <w:rPr>
                <w:rFonts w:ascii="Times New Roman" w:hAnsi="Times New Roman" w:eastAsia="宋体" w:cs="Times New Roman"/>
                <w:color w:val="auto"/>
                <w:kern w:val="0"/>
                <w:sz w:val="21"/>
                <w:szCs w:val="21"/>
                <w:highlight w:val="none"/>
                <w:lang w:val="en-US" w:eastAsia="zh-CN" w:bidi="ar-SA"/>
              </w:rPr>
              <w:t>cm/s），或2mm厚高密度聚乙烯，或至少2mm厚的</w:t>
            </w:r>
            <w:r>
              <w:rPr>
                <w:rFonts w:hint="eastAsia" w:cs="Times New Roman"/>
                <w:color w:val="auto"/>
                <w:kern w:val="0"/>
                <w:sz w:val="21"/>
                <w:szCs w:val="21"/>
                <w:highlight w:val="none"/>
                <w:lang w:val="en-US" w:eastAsia="zh-CN" w:bidi="ar-SA"/>
              </w:rPr>
              <w:t>其他人工</w:t>
            </w:r>
            <w:r>
              <w:rPr>
                <w:rFonts w:ascii="Times New Roman" w:hAnsi="Times New Roman" w:eastAsia="宋体" w:cs="Times New Roman"/>
                <w:color w:val="auto"/>
                <w:kern w:val="0"/>
                <w:sz w:val="21"/>
                <w:szCs w:val="21"/>
                <w:highlight w:val="none"/>
                <w:lang w:val="en-US" w:eastAsia="zh-CN" w:bidi="ar-SA"/>
              </w:rPr>
              <w:t>材料，渗透系数≤10</w:t>
            </w:r>
            <w:r>
              <w:rPr>
                <w:rFonts w:hint="eastAsia" w:cs="Times New Roman"/>
                <w:color w:val="auto"/>
                <w:kern w:val="0"/>
                <w:sz w:val="21"/>
                <w:szCs w:val="21"/>
                <w:highlight w:val="none"/>
                <w:vertAlign w:val="superscript"/>
                <w:lang w:val="en-US" w:eastAsia="zh-CN" w:bidi="ar-SA"/>
              </w:rPr>
              <w:t>-</w:t>
            </w:r>
            <w:r>
              <w:rPr>
                <w:rFonts w:ascii="Times New Roman" w:hAnsi="Times New Roman" w:eastAsia="宋体" w:cs="Times New Roman"/>
                <w:color w:val="auto"/>
                <w:kern w:val="0"/>
                <w:sz w:val="21"/>
                <w:szCs w:val="21"/>
                <w:highlight w:val="none"/>
                <w:vertAlign w:val="superscript"/>
                <w:lang w:val="en-US" w:eastAsia="zh-CN" w:bidi="ar-SA"/>
              </w:rPr>
              <w:t>10</w:t>
            </w:r>
            <w:r>
              <w:rPr>
                <w:rFonts w:ascii="Times New Roman" w:hAnsi="Times New Roman" w:eastAsia="宋体" w:cs="Times New Roman"/>
                <w:color w:val="auto"/>
                <w:kern w:val="0"/>
                <w:sz w:val="21"/>
                <w:szCs w:val="21"/>
                <w:highlight w:val="none"/>
                <w:lang w:val="en-US" w:eastAsia="zh-CN" w:bidi="ar-SA"/>
              </w:rPr>
              <w:t>cm/s。</w:t>
            </w:r>
          </w:p>
          <w:p w14:paraId="0CE144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c地面与裙脚要用坚固、防渗的材料建造，建筑材料必须与危险废物相容。</w:t>
            </w:r>
          </w:p>
          <w:p w14:paraId="40D8CF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d</w:t>
            </w:r>
            <w:r>
              <w:rPr>
                <w:rFonts w:hint="eastAsia" w:cs="Times New Roman"/>
                <w:color w:val="auto"/>
                <w:kern w:val="0"/>
                <w:sz w:val="21"/>
                <w:szCs w:val="21"/>
                <w:highlight w:val="none"/>
                <w:lang w:val="en-US" w:eastAsia="zh-CN" w:bidi="ar-SA"/>
              </w:rPr>
              <w:t>危废贮存间</w:t>
            </w:r>
            <w:r>
              <w:rPr>
                <w:rFonts w:ascii="Times New Roman" w:hAnsi="Times New Roman" w:eastAsia="宋体" w:cs="Times New Roman"/>
                <w:color w:val="auto"/>
                <w:kern w:val="0"/>
                <w:sz w:val="21"/>
                <w:szCs w:val="21"/>
                <w:highlight w:val="none"/>
                <w:lang w:val="en-US" w:eastAsia="zh-CN" w:bidi="ar-SA"/>
              </w:rPr>
              <w:t>配备通讯设备、照明设施和消防设施。</w:t>
            </w:r>
          </w:p>
          <w:p w14:paraId="110A89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e设耐腐蚀的硬化地面，且表面无裂隙。</w:t>
            </w:r>
          </w:p>
          <w:p w14:paraId="674D14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f应设计堵截泄漏的裙脚，地面与裙脚所围建的容积不低于堵截最大容器的最大储量或总储量的五分之一。</w:t>
            </w:r>
          </w:p>
          <w:p w14:paraId="0DBA55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②项目产生的危险废物应分类收集并分类、分区域存放于危险废物暂存间内，并配套安装对应的告示牌。</w:t>
            </w:r>
          </w:p>
          <w:p w14:paraId="7BE2F2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③危险废物采用专用收集桶盛装，应当使用符合标准的容器盛装危险废物。</w:t>
            </w:r>
          </w:p>
          <w:p w14:paraId="0B5CBF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建设方必须将其产生的危险废物交给持有该种危险废物的《危险废物经营许可证》的单位进行运输、利用、处理，严禁擅自倾倒、排放或交未经认证的取得经营资格的单位进行处理、处置，并加强对危险废物的管理，做好危废出、入库登记。在日常管理中，应设置专人加强对危废暂存区的管理，出现问题及时解决，避免形成二次污染，对工作人员应进行专业培训，熟知各项固废知识。</w:t>
            </w:r>
          </w:p>
        </w:tc>
        <w:tc>
          <w:tcPr>
            <w:tcW w:w="928" w:type="pct"/>
            <w:noWrap w:val="0"/>
            <w:vAlign w:val="center"/>
          </w:tcPr>
          <w:p w14:paraId="689B62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妥善处置</w:t>
            </w:r>
          </w:p>
        </w:tc>
      </w:tr>
      <w:tr w14:paraId="46631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62C263EA">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电磁环境</w:t>
            </w:r>
          </w:p>
        </w:tc>
        <w:tc>
          <w:tcPr>
            <w:tcW w:w="1777" w:type="pct"/>
            <w:shd w:val="clear" w:color="auto" w:fill="auto"/>
            <w:noWrap w:val="0"/>
            <w:vAlign w:val="top"/>
          </w:tcPr>
          <w:p w14:paraId="3A2113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p>
          <w:p w14:paraId="494765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p>
        </w:tc>
        <w:tc>
          <w:tcPr>
            <w:tcW w:w="653" w:type="pct"/>
            <w:shd w:val="clear" w:color="auto" w:fill="auto"/>
            <w:noWrap w:val="0"/>
            <w:vAlign w:val="top"/>
          </w:tcPr>
          <w:p w14:paraId="3EB7A3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p>
          <w:p w14:paraId="304E14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p>
        </w:tc>
        <w:tc>
          <w:tcPr>
            <w:tcW w:w="1169" w:type="pct"/>
            <w:shd w:val="clear" w:color="auto" w:fill="auto"/>
            <w:noWrap w:val="0"/>
            <w:vAlign w:val="top"/>
          </w:tcPr>
          <w:p w14:paraId="220405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w:t>
            </w:r>
          </w:p>
        </w:tc>
        <w:tc>
          <w:tcPr>
            <w:tcW w:w="928" w:type="pct"/>
            <w:shd w:val="clear" w:color="auto" w:fill="auto"/>
            <w:noWrap w:val="0"/>
            <w:vAlign w:val="top"/>
          </w:tcPr>
          <w:p w14:paraId="571BB0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w:t>
            </w:r>
          </w:p>
        </w:tc>
      </w:tr>
      <w:tr w14:paraId="0CFC8A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130BCD26">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环境风险</w:t>
            </w:r>
          </w:p>
        </w:tc>
        <w:tc>
          <w:tcPr>
            <w:tcW w:w="1777" w:type="pct"/>
            <w:shd w:val="clear" w:color="auto" w:fill="auto"/>
            <w:noWrap w:val="0"/>
            <w:vAlign w:val="top"/>
          </w:tcPr>
          <w:p w14:paraId="0C5DE6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加强施工人员教育，避免发生火灾、禁止捕猎野生动物</w:t>
            </w:r>
          </w:p>
        </w:tc>
        <w:tc>
          <w:tcPr>
            <w:tcW w:w="653" w:type="pct"/>
            <w:shd w:val="clear" w:color="auto" w:fill="auto"/>
            <w:noWrap w:val="0"/>
            <w:vAlign w:val="top"/>
          </w:tcPr>
          <w:p w14:paraId="36DDA1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p>
          <w:p w14:paraId="0712CB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lang w:val="en-US" w:eastAsia="zh-CN" w:bidi="ar-SA"/>
              </w:rPr>
              <w:t>/</w:t>
            </w:r>
          </w:p>
        </w:tc>
        <w:tc>
          <w:tcPr>
            <w:tcW w:w="1169" w:type="pct"/>
            <w:noWrap w:val="0"/>
            <w:vAlign w:val="center"/>
          </w:tcPr>
          <w:p w14:paraId="5269A6D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危废贮存间</w:t>
            </w:r>
            <w:r>
              <w:rPr>
                <w:rFonts w:ascii="Times New Roman" w:hAnsi="Times New Roman" w:eastAsia="宋体" w:cs="Times New Roman"/>
                <w:color w:val="auto"/>
                <w:kern w:val="0"/>
                <w:sz w:val="21"/>
                <w:szCs w:val="21"/>
                <w:highlight w:val="none"/>
                <w:lang w:val="en-US" w:eastAsia="zh-CN" w:bidi="ar-SA"/>
              </w:rPr>
              <w:t>建设，要求严格按照《危险废物贮存污染控制标准》（GB18597-2023）要求进行建设，</w:t>
            </w:r>
            <w:r>
              <w:rPr>
                <w:rFonts w:hint="eastAsia" w:cs="Times New Roman"/>
                <w:color w:val="auto"/>
                <w:kern w:val="0"/>
                <w:sz w:val="21"/>
                <w:szCs w:val="21"/>
                <w:highlight w:val="none"/>
                <w:lang w:val="en-US" w:eastAsia="zh-CN" w:bidi="ar-SA"/>
              </w:rPr>
              <w:t>危废贮存间</w:t>
            </w:r>
            <w:r>
              <w:rPr>
                <w:rFonts w:ascii="Times New Roman" w:hAnsi="Times New Roman" w:eastAsia="宋体" w:cs="Times New Roman"/>
                <w:color w:val="auto"/>
                <w:kern w:val="0"/>
                <w:sz w:val="21"/>
                <w:szCs w:val="21"/>
                <w:highlight w:val="none"/>
                <w:lang w:val="en-US" w:eastAsia="zh-CN" w:bidi="ar-SA"/>
              </w:rPr>
              <w:t>须密闭，地面用C30混凝土浇筑20cm进行硬化，同时地面和四周墙体须用防渗材料进行处理，墙体处理高度为1m左右，使渗透系数≤10</w:t>
            </w:r>
            <w:r>
              <w:rPr>
                <w:rFonts w:ascii="Times New Roman" w:hAnsi="Times New Roman" w:eastAsia="宋体" w:cs="Times New Roman"/>
                <w:color w:val="auto"/>
                <w:kern w:val="0"/>
                <w:sz w:val="21"/>
                <w:szCs w:val="21"/>
                <w:highlight w:val="none"/>
                <w:vertAlign w:val="superscript"/>
                <w:lang w:val="en-US" w:eastAsia="zh-CN" w:bidi="ar-SA"/>
              </w:rPr>
              <w:t>-l0</w:t>
            </w:r>
            <w:r>
              <w:rPr>
                <w:rFonts w:ascii="Times New Roman" w:hAnsi="Times New Roman" w:eastAsia="宋体" w:cs="Times New Roman"/>
                <w:color w:val="auto"/>
                <w:kern w:val="0"/>
                <w:sz w:val="21"/>
                <w:szCs w:val="21"/>
                <w:highlight w:val="none"/>
                <w:lang w:val="en-US" w:eastAsia="zh-CN" w:bidi="ar-SA"/>
              </w:rPr>
              <w:t>cm/s。</w:t>
            </w:r>
          </w:p>
        </w:tc>
        <w:tc>
          <w:tcPr>
            <w:tcW w:w="928" w:type="pct"/>
            <w:noWrap w:val="0"/>
            <w:vAlign w:val="center"/>
          </w:tcPr>
          <w:p w14:paraId="5B7583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w:t>
            </w:r>
            <w:r>
              <w:rPr>
                <w:rFonts w:ascii="Times New Roman" w:hAnsi="Times New Roman" w:eastAsia="宋体" w:cs="Times New Roman"/>
                <w:color w:val="auto"/>
                <w:kern w:val="0"/>
                <w:sz w:val="21"/>
                <w:szCs w:val="21"/>
                <w:highlight w:val="none"/>
                <w:lang w:val="en-US" w:eastAsia="zh-CN" w:bidi="ar-SA"/>
              </w:rPr>
              <w:t>危险废物合理处置。</w:t>
            </w:r>
          </w:p>
          <w:p w14:paraId="0F4744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w:t>
            </w:r>
            <w:r>
              <w:rPr>
                <w:rFonts w:ascii="Times New Roman" w:hAnsi="Times New Roman" w:eastAsia="宋体" w:cs="Times New Roman"/>
                <w:color w:val="auto"/>
                <w:kern w:val="0"/>
                <w:sz w:val="21"/>
                <w:szCs w:val="21"/>
                <w:highlight w:val="none"/>
                <w:lang w:val="en-US" w:eastAsia="zh-CN" w:bidi="ar-SA"/>
              </w:rPr>
              <w:t>危险废物暂存间</w:t>
            </w:r>
            <w:r>
              <w:rPr>
                <w:rFonts w:hint="eastAsia" w:cs="Times New Roman"/>
                <w:color w:val="auto"/>
                <w:kern w:val="0"/>
                <w:sz w:val="21"/>
                <w:szCs w:val="21"/>
                <w:highlight w:val="none"/>
                <w:lang w:val="en-US" w:eastAsia="zh-CN" w:bidi="ar-SA"/>
              </w:rPr>
              <w:t>建设</w:t>
            </w:r>
            <w:r>
              <w:rPr>
                <w:rFonts w:ascii="Times New Roman" w:hAnsi="Times New Roman" w:eastAsia="宋体" w:cs="Times New Roman"/>
                <w:color w:val="auto"/>
                <w:kern w:val="0"/>
                <w:sz w:val="21"/>
                <w:szCs w:val="21"/>
                <w:highlight w:val="none"/>
                <w:lang w:val="en-US" w:eastAsia="zh-CN" w:bidi="ar-SA"/>
              </w:rPr>
              <w:t>完成。</w:t>
            </w:r>
          </w:p>
        </w:tc>
      </w:tr>
      <w:tr w14:paraId="07EF23D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631CE671">
            <w:pPr>
              <w:adjustRightInd w:val="0"/>
              <w:snapToGrid w:val="0"/>
              <w:ind w:left="0" w:leftChars="0" w:firstLine="0" w:firstLineChars="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环境监测</w:t>
            </w:r>
          </w:p>
        </w:tc>
        <w:tc>
          <w:tcPr>
            <w:tcW w:w="1777" w:type="pct"/>
            <w:noWrap w:val="0"/>
            <w:vAlign w:val="center"/>
          </w:tcPr>
          <w:p w14:paraId="4556AF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sz w:val="21"/>
                <w:szCs w:val="21"/>
                <w:highlight w:val="none"/>
                <w:lang w:val="en-US" w:eastAsia="zh-CN"/>
              </w:rPr>
              <w:t>/</w:t>
            </w:r>
          </w:p>
        </w:tc>
        <w:tc>
          <w:tcPr>
            <w:tcW w:w="653" w:type="pct"/>
            <w:noWrap w:val="0"/>
            <w:vAlign w:val="center"/>
          </w:tcPr>
          <w:p w14:paraId="69D6BE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w:t>
            </w:r>
          </w:p>
        </w:tc>
        <w:tc>
          <w:tcPr>
            <w:tcW w:w="1169" w:type="pct"/>
            <w:noWrap w:val="0"/>
            <w:vAlign w:val="center"/>
          </w:tcPr>
          <w:p w14:paraId="7C0A768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1、生态植被</w:t>
            </w:r>
          </w:p>
          <w:p w14:paraId="730754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监测地点：施工占地区及扰动区</w:t>
            </w:r>
          </w:p>
          <w:p w14:paraId="69D719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auto"/>
                <w:sz w:val="21"/>
                <w:szCs w:val="21"/>
                <w:highlight w:val="none"/>
              </w:rPr>
            </w:pPr>
            <w:r>
              <w:rPr>
                <w:rFonts w:hint="eastAsia" w:cs="Times New Roman"/>
                <w:color w:val="auto"/>
                <w:kern w:val="0"/>
                <w:sz w:val="21"/>
                <w:szCs w:val="21"/>
                <w:highlight w:val="none"/>
                <w:lang w:val="en-US" w:eastAsia="zh-CN" w:bidi="ar-SA"/>
              </w:rPr>
              <w:t>监测因子：采用现场调查法，</w:t>
            </w:r>
            <w:r>
              <w:rPr>
                <w:rFonts w:hint="default" w:ascii="Times New Roman" w:hAnsi="Times New Roman" w:cs="Times New Roman"/>
                <w:color w:val="auto"/>
                <w:sz w:val="21"/>
                <w:szCs w:val="21"/>
                <w:highlight w:val="none"/>
              </w:rPr>
              <w:t>调查工程区域植被恢复情况</w:t>
            </w:r>
          </w:p>
          <w:p w14:paraId="5E5BEA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监测频率：</w:t>
            </w:r>
            <w:r>
              <w:rPr>
                <w:rFonts w:hint="eastAsia" w:ascii="Times New Roman" w:hAnsi="Times New Roman" w:eastAsia="宋体" w:cs="Times New Roman"/>
                <w:color w:val="auto"/>
                <w:sz w:val="21"/>
                <w:szCs w:val="21"/>
                <w:highlight w:val="none"/>
                <w:lang w:eastAsia="zh-CN"/>
              </w:rPr>
              <w:t>验收时</w:t>
            </w:r>
            <w:r>
              <w:rPr>
                <w:rFonts w:hint="default" w:ascii="Times New Roman" w:hAnsi="Times New Roman" w:eastAsia="宋体" w:cs="Times New Roman"/>
                <w:color w:val="auto"/>
                <w:sz w:val="21"/>
                <w:szCs w:val="21"/>
                <w:highlight w:val="none"/>
              </w:rPr>
              <w:t>开展跟踪生态监测1次</w:t>
            </w:r>
          </w:p>
          <w:p w14:paraId="62C655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2、鸟类</w:t>
            </w:r>
          </w:p>
          <w:p w14:paraId="3625E0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监测地点：风电场场址</w:t>
            </w:r>
          </w:p>
          <w:p w14:paraId="47C3CD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监测因子：鸟类撞击死亡率</w:t>
            </w:r>
          </w:p>
          <w:p w14:paraId="6A2614C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监测</w:t>
            </w:r>
            <w:r>
              <w:rPr>
                <w:rFonts w:hint="eastAsia" w:ascii="Times New Roman" w:hAnsi="Times New Roman" w:eastAsia="宋体" w:cs="Times New Roman"/>
                <w:color w:val="auto"/>
                <w:sz w:val="21"/>
                <w:szCs w:val="21"/>
                <w:highlight w:val="none"/>
                <w:lang w:val="en-US" w:eastAsia="zh-CN"/>
              </w:rPr>
              <w:t>频次：竣工验收、日常维护开展</w:t>
            </w:r>
          </w:p>
          <w:p w14:paraId="70A68E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3、动物</w:t>
            </w:r>
          </w:p>
          <w:p w14:paraId="144639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监测地点：风电场场址</w:t>
            </w:r>
          </w:p>
          <w:p w14:paraId="34268F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监测因子：保护动物</w:t>
            </w:r>
          </w:p>
          <w:p w14:paraId="5CCFBB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监测</w:t>
            </w:r>
            <w:r>
              <w:rPr>
                <w:rFonts w:hint="eastAsia" w:ascii="Times New Roman" w:hAnsi="Times New Roman" w:eastAsia="宋体" w:cs="Times New Roman"/>
                <w:color w:val="auto"/>
                <w:sz w:val="21"/>
                <w:szCs w:val="21"/>
                <w:highlight w:val="none"/>
                <w:lang w:val="en-US" w:eastAsia="zh-CN"/>
              </w:rPr>
              <w:t>频次：竣工验收、日常维护开展</w:t>
            </w:r>
          </w:p>
          <w:p w14:paraId="627D89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cs="Times New Roman"/>
                <w:color w:val="auto"/>
                <w:sz w:val="21"/>
                <w:szCs w:val="21"/>
                <w:highlight w:val="none"/>
                <w:lang w:val="en-US" w:eastAsia="zh-CN"/>
              </w:rPr>
            </w:pPr>
          </w:p>
        </w:tc>
        <w:tc>
          <w:tcPr>
            <w:tcW w:w="928" w:type="pct"/>
            <w:noWrap w:val="0"/>
            <w:vAlign w:val="center"/>
          </w:tcPr>
          <w:p w14:paraId="644E8CA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w:t>
            </w:r>
          </w:p>
        </w:tc>
      </w:tr>
      <w:tr w14:paraId="1987960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1" w:type="pct"/>
            <w:noWrap w:val="0"/>
            <w:vAlign w:val="center"/>
          </w:tcPr>
          <w:p w14:paraId="7C174FD5">
            <w:pPr>
              <w:adjustRightInd w:val="0"/>
              <w:snapToGrid w:val="0"/>
              <w:jc w:val="both"/>
              <w:rPr>
                <w:rFonts w:ascii="Times New Roman" w:hAnsi="Times New Roman" w:cs="Times New Roman"/>
                <w:color w:val="auto"/>
                <w:szCs w:val="21"/>
                <w:highlight w:val="none"/>
              </w:rPr>
            </w:pPr>
            <w:r>
              <w:rPr>
                <w:rFonts w:hint="default" w:ascii="Times New Roman" w:hAnsi="Times New Roman" w:cs="Times New Roman"/>
                <w:color w:val="auto"/>
                <w:szCs w:val="21"/>
                <w:highlight w:val="none"/>
              </w:rPr>
              <w:t>其他</w:t>
            </w:r>
          </w:p>
        </w:tc>
        <w:tc>
          <w:tcPr>
            <w:tcW w:w="1777" w:type="pct"/>
            <w:noWrap w:val="0"/>
            <w:vAlign w:val="center"/>
          </w:tcPr>
          <w:p w14:paraId="186220F6">
            <w:pPr>
              <w:adjustRightInd w:val="0"/>
              <w:snapToGrid w:val="0"/>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653" w:type="pct"/>
            <w:noWrap w:val="0"/>
            <w:vAlign w:val="center"/>
          </w:tcPr>
          <w:p w14:paraId="34D57B88">
            <w:pPr>
              <w:adjustRightInd w:val="0"/>
              <w:snapToGrid w:val="0"/>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1169" w:type="pct"/>
            <w:noWrap w:val="0"/>
            <w:vAlign w:val="center"/>
          </w:tcPr>
          <w:p w14:paraId="1C8B237B">
            <w:pPr>
              <w:adjustRightInd w:val="0"/>
              <w:snapToGrid w:val="0"/>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c>
          <w:tcPr>
            <w:tcW w:w="928" w:type="pct"/>
            <w:noWrap w:val="0"/>
            <w:vAlign w:val="center"/>
          </w:tcPr>
          <w:p w14:paraId="1B038B55">
            <w:pPr>
              <w:adjustRightInd w:val="0"/>
              <w:snapToGrid w:val="0"/>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w:t>
            </w:r>
          </w:p>
        </w:tc>
      </w:tr>
    </w:tbl>
    <w:p w14:paraId="1EA5B950">
      <w:pPr>
        <w:rPr>
          <w:color w:val="auto"/>
          <w:highlight w:val="none"/>
        </w:rPr>
      </w:pPr>
    </w:p>
    <w:p w14:paraId="2407E89E">
      <w:pPr>
        <w:rPr>
          <w:color w:val="auto"/>
          <w:highlight w:val="none"/>
        </w:rPr>
        <w:sectPr>
          <w:pgSz w:w="16840" w:h="11907" w:orient="landscape"/>
          <w:pgMar w:top="1797" w:right="1440" w:bottom="1797" w:left="1440" w:header="851" w:footer="1077" w:gutter="0"/>
          <w:pgBorders>
            <w:top w:val="none" w:sz="0" w:space="0"/>
            <w:left w:val="none" w:sz="0" w:space="0"/>
            <w:bottom w:val="none" w:sz="0" w:space="0"/>
            <w:right w:val="none" w:sz="0" w:space="0"/>
          </w:pgBorders>
          <w:pgNumType w:fmt="decimal"/>
          <w:cols w:space="720" w:num="1"/>
          <w:docGrid w:linePitch="312" w:charSpace="0"/>
        </w:sectPr>
      </w:pPr>
    </w:p>
    <w:p w14:paraId="6F7FB699">
      <w:pPr>
        <w:bidi w:val="0"/>
        <w:rPr>
          <w:color w:val="auto"/>
          <w:highlight w:val="none"/>
        </w:rPr>
      </w:pPr>
    </w:p>
    <w:p w14:paraId="2A28DBF8">
      <w:pPr>
        <w:pStyle w:val="1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outlineLvl w:val="0"/>
        <w:rPr>
          <w:rFonts w:hint="eastAsia" w:ascii="Times New Roman" w:hAnsi="Times New Roman" w:cs="Times New Roman"/>
          <w:b/>
          <w:bCs/>
          <w:snapToGrid w:val="0"/>
          <w:color w:val="auto"/>
          <w:sz w:val="30"/>
          <w:szCs w:val="30"/>
          <w:highlight w:val="none"/>
          <w:lang w:eastAsia="zh-CN"/>
        </w:rPr>
      </w:pPr>
      <w:bookmarkStart w:id="35" w:name="_Toc30529"/>
      <w:r>
        <w:rPr>
          <w:rFonts w:hint="eastAsia" w:ascii="Times New Roman" w:hAnsi="Times New Roman" w:cs="Times New Roman"/>
          <w:b/>
          <w:bCs/>
          <w:snapToGrid w:val="0"/>
          <w:color w:val="auto"/>
          <w:sz w:val="30"/>
          <w:szCs w:val="30"/>
          <w:highlight w:val="none"/>
          <w:lang w:eastAsia="zh-CN"/>
        </w:rPr>
        <w:t>七、结论</w:t>
      </w:r>
      <w:bookmarkEnd w:id="35"/>
    </w:p>
    <w:tbl>
      <w:tblPr>
        <w:tblStyle w:val="20"/>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20C8AB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99" w:hRule="atLeast"/>
          <w:jc w:val="center"/>
        </w:trPr>
        <w:tc>
          <w:tcPr>
            <w:tcW w:w="9289" w:type="dxa"/>
            <w:noWrap w:val="0"/>
            <w:vAlign w:val="center"/>
          </w:tcPr>
          <w:p w14:paraId="2BAE9299">
            <w:pPr>
              <w:autoSpaceDE w:val="0"/>
              <w:autoSpaceDN w:val="0"/>
              <w:spacing w:line="360" w:lineRule="auto"/>
              <w:ind w:left="0" w:leftChars="0" w:firstLine="482" w:firstLineChars="200"/>
              <w:rPr>
                <w:rFonts w:hint="default" w:ascii="Times New Roman" w:hAnsi="Times New Roman" w:eastAsia="宋体" w:cs="Times New Roman"/>
                <w:b/>
                <w:bCs/>
                <w:color w:val="auto"/>
                <w:kern w:val="0"/>
                <w:sz w:val="24"/>
                <w:highlight w:val="none"/>
              </w:rPr>
            </w:pPr>
            <w:r>
              <w:rPr>
                <w:rFonts w:hint="eastAsia" w:cs="Times New Roman"/>
                <w:b/>
                <w:bCs/>
                <w:color w:val="auto"/>
                <w:kern w:val="0"/>
                <w:sz w:val="24"/>
                <w:highlight w:val="none"/>
                <w:lang w:eastAsia="zh-CN"/>
              </w:rPr>
              <w:t>1.</w:t>
            </w:r>
            <w:r>
              <w:rPr>
                <w:rFonts w:hint="default" w:ascii="Times New Roman" w:hAnsi="Times New Roman" w:eastAsia="宋体" w:cs="Times New Roman"/>
                <w:b/>
                <w:bCs/>
                <w:color w:val="auto"/>
                <w:kern w:val="0"/>
                <w:sz w:val="24"/>
                <w:highlight w:val="none"/>
              </w:rPr>
              <w:t>评价结论</w:t>
            </w:r>
          </w:p>
          <w:p w14:paraId="3257D51D">
            <w:pPr>
              <w:autoSpaceDE w:val="0"/>
              <w:autoSpaceDN w:val="0"/>
              <w:spacing w:line="360" w:lineRule="auto"/>
              <w:rPr>
                <w:color w:val="auto"/>
                <w:spacing w:val="-1"/>
                <w:highlight w:val="none"/>
              </w:rPr>
            </w:pPr>
            <w:r>
              <w:rPr>
                <w:color w:val="auto"/>
                <w:spacing w:val="-2"/>
                <w:highlight w:val="none"/>
              </w:rPr>
              <w:t>拟建项目属于新能源开发项目，符合国家产业政策和国家能源规划要求。拟建项目选址、施工设施区不占用生态保护红线、自然保护区、风景名胜区、文物保护单位、云南省候鸟迁徙通道等生态环境敏感区。项目选址符合《云南省主体功能区规划》和《云南省生态功能区划》。拟建项目选址及风机总体布局环境合理。项目建设可减少不可再生资源的损耗及由此带来的废气排放，项目建设过程中产生的不利环境影响，在采取相</w:t>
            </w:r>
            <w:r>
              <w:rPr>
                <w:color w:val="auto"/>
                <w:spacing w:val="-6"/>
                <w:highlight w:val="none"/>
              </w:rPr>
              <w:t>应的环境保护措施后，可减小并得到控制，不会造成物种灭亡。从环境保护的角度来</w:t>
            </w:r>
            <w:r>
              <w:rPr>
                <w:color w:val="auto"/>
                <w:spacing w:val="-7"/>
                <w:highlight w:val="none"/>
              </w:rPr>
              <w:t>看，</w:t>
            </w:r>
            <w:r>
              <w:rPr>
                <w:color w:val="auto"/>
                <w:spacing w:val="-2"/>
                <w:highlight w:val="none"/>
              </w:rPr>
              <w:t>只要建设单位和施工单位在施工和营运过程中，认真落实主体设计及本报告提出的各项</w:t>
            </w:r>
            <w:r>
              <w:rPr>
                <w:color w:val="auto"/>
                <w:spacing w:val="-1"/>
                <w:highlight w:val="none"/>
              </w:rPr>
              <w:t>环境保护措施，项目的建设是可行的。</w:t>
            </w:r>
          </w:p>
          <w:p w14:paraId="466D3F9E">
            <w:pPr>
              <w:autoSpaceDE w:val="0"/>
              <w:autoSpaceDN w:val="0"/>
              <w:spacing w:line="360" w:lineRule="auto"/>
              <w:rPr>
                <w:rFonts w:hint="default" w:ascii="Times New Roman" w:hAnsi="Times New Roman" w:eastAsia="宋体" w:cs="Times New Roman"/>
                <w:b/>
                <w:bCs/>
                <w:color w:val="auto"/>
                <w:kern w:val="0"/>
                <w:sz w:val="24"/>
                <w:highlight w:val="none"/>
              </w:rPr>
            </w:pPr>
            <w:r>
              <w:rPr>
                <w:rFonts w:hint="eastAsia" w:cs="Times New Roman"/>
                <w:b/>
                <w:bCs/>
                <w:color w:val="auto"/>
                <w:kern w:val="0"/>
                <w:sz w:val="24"/>
                <w:highlight w:val="none"/>
                <w:lang w:eastAsia="zh-CN"/>
              </w:rPr>
              <w:t>2.</w:t>
            </w:r>
            <w:r>
              <w:rPr>
                <w:rFonts w:hint="default" w:ascii="Times New Roman" w:hAnsi="Times New Roman" w:eastAsia="宋体" w:cs="Times New Roman"/>
                <w:b/>
                <w:bCs/>
                <w:color w:val="auto"/>
                <w:kern w:val="0"/>
                <w:sz w:val="24"/>
                <w:highlight w:val="none"/>
              </w:rPr>
              <w:t>建议</w:t>
            </w:r>
          </w:p>
          <w:p w14:paraId="33EFE6D4">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（1）严格落实环保“三同时”制度，即环保设施与主体工程要同时设计、同时施工、同时投产使用。</w:t>
            </w:r>
          </w:p>
          <w:p w14:paraId="7D22A425">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（2）项目建设完成、设备调试正常后，及时开展环境保护竣工验收工作。</w:t>
            </w:r>
          </w:p>
          <w:p w14:paraId="198E4DD6">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（3）编制突发环境事件应急预案，并</w:t>
            </w:r>
            <w:r>
              <w:rPr>
                <w:rFonts w:hint="eastAsia" w:cs="Times New Roman"/>
                <w:color w:val="auto"/>
                <w:sz w:val="24"/>
                <w:highlight w:val="none"/>
                <w:lang w:eastAsia="zh-CN"/>
              </w:rPr>
              <w:t>报</w:t>
            </w:r>
            <w:r>
              <w:rPr>
                <w:rFonts w:hint="default" w:ascii="Times New Roman" w:hAnsi="Times New Roman" w:eastAsia="宋体" w:cs="Times New Roman"/>
                <w:color w:val="auto"/>
                <w:sz w:val="24"/>
                <w:highlight w:val="none"/>
              </w:rPr>
              <w:t>当地生态环境主管部门备案，并根据应急预案要求，定期开展突发环境事件演练工作，做好演练记录和总结。</w:t>
            </w:r>
          </w:p>
          <w:p w14:paraId="03593D96">
            <w:pPr>
              <w:adjustRightInd w:val="0"/>
              <w:snapToGrid w:val="0"/>
              <w:spacing w:line="360" w:lineRule="auto"/>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（4）完善项目环境管理体系，制定环保管理制度，定期开展环境保护知识宣传、培训，提高员工环保及环境风险防范意识。</w:t>
            </w:r>
          </w:p>
          <w:p w14:paraId="35EA4854">
            <w:pPr>
              <w:adjustRightInd w:val="0"/>
              <w:snapToGrid w:val="0"/>
              <w:ind w:firstLine="315"/>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（5）加强项目区环境绿化，种植乡土植物，提高绿化存活率。</w:t>
            </w:r>
          </w:p>
          <w:p w14:paraId="39F8DD90">
            <w:pPr>
              <w:pStyle w:val="19"/>
              <w:rPr>
                <w:rFonts w:hint="default" w:ascii="Times New Roman" w:hAnsi="Times New Roman" w:eastAsia="宋体" w:cs="Times New Roman"/>
                <w:color w:val="auto"/>
                <w:sz w:val="24"/>
                <w:highlight w:val="none"/>
              </w:rPr>
            </w:pPr>
          </w:p>
          <w:p w14:paraId="524F07C4">
            <w:pPr>
              <w:pStyle w:val="18"/>
              <w:rPr>
                <w:rFonts w:hint="default" w:ascii="Times New Roman" w:hAnsi="Times New Roman" w:eastAsia="宋体" w:cs="Times New Roman"/>
                <w:color w:val="auto"/>
                <w:sz w:val="24"/>
                <w:highlight w:val="none"/>
              </w:rPr>
            </w:pPr>
          </w:p>
          <w:p w14:paraId="207DE8B8">
            <w:pPr>
              <w:rPr>
                <w:rFonts w:hint="default" w:ascii="Times New Roman" w:hAnsi="Times New Roman" w:eastAsia="宋体" w:cs="Times New Roman"/>
                <w:color w:val="auto"/>
                <w:sz w:val="24"/>
                <w:highlight w:val="none"/>
              </w:rPr>
            </w:pPr>
          </w:p>
          <w:p w14:paraId="538EED5A">
            <w:pPr>
              <w:pStyle w:val="19"/>
              <w:rPr>
                <w:rFonts w:hint="default" w:ascii="Times New Roman" w:hAnsi="Times New Roman" w:eastAsia="宋体" w:cs="Times New Roman"/>
                <w:color w:val="auto"/>
                <w:sz w:val="24"/>
                <w:highlight w:val="none"/>
              </w:rPr>
            </w:pPr>
          </w:p>
          <w:p w14:paraId="01ED1D8D">
            <w:pPr>
              <w:pStyle w:val="18"/>
              <w:rPr>
                <w:rFonts w:hint="default" w:ascii="Times New Roman" w:hAnsi="Times New Roman" w:eastAsia="宋体" w:cs="Times New Roman"/>
                <w:color w:val="auto"/>
                <w:sz w:val="24"/>
                <w:highlight w:val="none"/>
              </w:rPr>
            </w:pPr>
          </w:p>
          <w:p w14:paraId="34D7BA18">
            <w:pPr>
              <w:rPr>
                <w:rFonts w:hint="default" w:ascii="Times New Roman" w:hAnsi="Times New Roman" w:eastAsia="宋体" w:cs="Times New Roman"/>
                <w:color w:val="auto"/>
                <w:sz w:val="24"/>
                <w:highlight w:val="none"/>
              </w:rPr>
            </w:pPr>
          </w:p>
          <w:p w14:paraId="7154EF08">
            <w:pPr>
              <w:pStyle w:val="19"/>
              <w:rPr>
                <w:rFonts w:hint="default" w:ascii="Times New Roman" w:hAnsi="Times New Roman" w:eastAsia="宋体" w:cs="Times New Roman"/>
                <w:color w:val="auto"/>
                <w:sz w:val="24"/>
                <w:highlight w:val="none"/>
              </w:rPr>
            </w:pPr>
          </w:p>
          <w:p w14:paraId="0BC49D0D">
            <w:pPr>
              <w:ind w:left="0" w:leftChars="0" w:firstLine="0" w:firstLineChars="0"/>
              <w:rPr>
                <w:color w:val="auto"/>
                <w:highlight w:val="none"/>
              </w:rPr>
            </w:pPr>
          </w:p>
        </w:tc>
      </w:tr>
    </w:tbl>
    <w:p w14:paraId="08A42A75">
      <w:pPr>
        <w:ind w:left="0" w:leftChars="0" w:firstLine="0" w:firstLineChars="0"/>
      </w:pPr>
    </w:p>
    <w:sectPr>
      <w:pgSz w:w="11906" w:h="16838"/>
      <w:pgMar w:top="1440" w:right="1800" w:bottom="1440" w:left="1800" w:header="851" w:footer="1077"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Times New Roman Regular">
    <w:altName w:val="Times New Roman"/>
    <w:panose1 w:val="02020503050405090304"/>
    <w:charset w:val="00"/>
    <w:family w:val="auto"/>
    <w:pitch w:val="default"/>
    <w:sig w:usb0="00000000" w:usb1="00000000" w:usb2="00000001" w:usb3="00000000" w:csb0="400001BF" w:csb1="DFF7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0922">
    <w:pPr>
      <w:pStyle w:val="14"/>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822AA">
    <w:pPr>
      <w:pStyle w:val="14"/>
      <w:framePr w:wrap="around" w:vAnchor="text" w:hAnchor="margin" w:xAlign="outside" w:y="1"/>
      <w:rPr>
        <w:rStyle w:val="24"/>
      </w:rPr>
    </w:pPr>
    <w:r>
      <w:fldChar w:fldCharType="begin"/>
    </w:r>
    <w:r>
      <w:rPr>
        <w:rStyle w:val="24"/>
      </w:rPr>
      <w:instrText xml:space="preserve">PAGE  </w:instrText>
    </w:r>
    <w:r>
      <w:fldChar w:fldCharType="end"/>
    </w:r>
  </w:p>
  <w:p w14:paraId="7A502256">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24046">
    <w:pPr>
      <w:pStyle w:val="14"/>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2EDBD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42EDBD9">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C54EC">
    <w:pPr>
      <w:pStyle w:val="14"/>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2B97B">
                          <w:pPr>
                            <w:pStyle w:val="1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E32B97B">
                    <w:pPr>
                      <w:pStyle w:val="14"/>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D6D8AC"/>
    <w:multiLevelType w:val="singleLevel"/>
    <w:tmpl w:val="96D6D8AC"/>
    <w:lvl w:ilvl="0" w:tentative="0">
      <w:start w:val="1"/>
      <w:numFmt w:val="decimal"/>
      <w:lvlText w:val="%1."/>
      <w:lvlJc w:val="left"/>
      <w:pPr>
        <w:ind w:left="720" w:hanging="360"/>
      </w:pPr>
      <w:rPr>
        <w:sz w:val="24"/>
      </w:rPr>
    </w:lvl>
  </w:abstractNum>
  <w:abstractNum w:abstractNumId="1">
    <w:nsid w:val="A4CA5EBA"/>
    <w:multiLevelType w:val="singleLevel"/>
    <w:tmpl w:val="A4CA5EBA"/>
    <w:lvl w:ilvl="0" w:tentative="0">
      <w:start w:val="1"/>
      <w:numFmt w:val="decimal"/>
      <w:suff w:val="nothing"/>
      <w:lvlText w:val="（%1）"/>
      <w:lvlJc w:val="left"/>
    </w:lvl>
  </w:abstractNum>
  <w:abstractNum w:abstractNumId="2">
    <w:nsid w:val="A77C0B07"/>
    <w:multiLevelType w:val="singleLevel"/>
    <w:tmpl w:val="A77C0B07"/>
    <w:lvl w:ilvl="0" w:tentative="0">
      <w:start w:val="2"/>
      <w:numFmt w:val="decimal"/>
      <w:suff w:val="nothing"/>
      <w:lvlText w:val="%1、"/>
      <w:lvlJc w:val="left"/>
    </w:lvl>
  </w:abstractNum>
  <w:abstractNum w:abstractNumId="3">
    <w:nsid w:val="B8E9DB53"/>
    <w:multiLevelType w:val="singleLevel"/>
    <w:tmpl w:val="B8E9DB53"/>
    <w:lvl w:ilvl="0" w:tentative="0">
      <w:start w:val="4"/>
      <w:numFmt w:val="chineseCounting"/>
      <w:lvlText w:val="%1、"/>
      <w:lvlJc w:val="left"/>
      <w:pPr>
        <w:tabs>
          <w:tab w:val="left" w:pos="420"/>
        </w:tabs>
      </w:pPr>
      <w:rPr>
        <w:rFonts w:hint="eastAsia"/>
      </w:rPr>
    </w:lvl>
  </w:abstractNum>
  <w:abstractNum w:abstractNumId="4">
    <w:nsid w:val="CC590798"/>
    <w:multiLevelType w:val="singleLevel"/>
    <w:tmpl w:val="CC590798"/>
    <w:lvl w:ilvl="0" w:tentative="0">
      <w:start w:val="7"/>
      <w:numFmt w:val="decimal"/>
      <w:suff w:val="nothing"/>
      <w:lvlText w:val="%1、"/>
      <w:lvlJc w:val="left"/>
    </w:lvl>
  </w:abstractNum>
  <w:abstractNum w:abstractNumId="5">
    <w:nsid w:val="FA508300"/>
    <w:multiLevelType w:val="singleLevel"/>
    <w:tmpl w:val="FA508300"/>
    <w:lvl w:ilvl="0" w:tentative="0">
      <w:start w:val="1"/>
      <w:numFmt w:val="decimal"/>
      <w:lvlText w:val="%1."/>
      <w:lvlJc w:val="left"/>
      <w:pPr>
        <w:ind w:left="720" w:hanging="360"/>
      </w:pPr>
      <w:rPr>
        <w:sz w:val="24"/>
      </w:rPr>
    </w:lvl>
  </w:abstractNum>
  <w:abstractNum w:abstractNumId="6">
    <w:nsid w:val="FCF48FE2"/>
    <w:multiLevelType w:val="singleLevel"/>
    <w:tmpl w:val="FCF48FE2"/>
    <w:lvl w:ilvl="0" w:tentative="0">
      <w:start w:val="10"/>
      <w:numFmt w:val="decimal"/>
      <w:suff w:val="nothing"/>
      <w:lvlText w:val="%1、"/>
      <w:lvlJc w:val="left"/>
    </w:lvl>
  </w:abstractNum>
  <w:abstractNum w:abstractNumId="7">
    <w:nsid w:val="32CA9359"/>
    <w:multiLevelType w:val="singleLevel"/>
    <w:tmpl w:val="32CA9359"/>
    <w:lvl w:ilvl="0" w:tentative="0">
      <w:start w:val="2"/>
      <w:numFmt w:val="chineseCounting"/>
      <w:suff w:val="nothing"/>
      <w:lvlText w:val="%1、"/>
      <w:lvlJc w:val="left"/>
      <w:rPr>
        <w:rFonts w:hint="eastAsia"/>
      </w:rPr>
    </w:lvl>
  </w:abstractNum>
  <w:abstractNum w:abstractNumId="8">
    <w:nsid w:val="4699ECE0"/>
    <w:multiLevelType w:val="singleLevel"/>
    <w:tmpl w:val="4699ECE0"/>
    <w:lvl w:ilvl="0" w:tentative="0">
      <w:start w:val="1"/>
      <w:numFmt w:val="decimal"/>
      <w:suff w:val="nothing"/>
      <w:lvlText w:val="（%1）"/>
      <w:lvlJc w:val="left"/>
    </w:lvl>
  </w:abstractNum>
  <w:abstractNum w:abstractNumId="9">
    <w:nsid w:val="65803141"/>
    <w:multiLevelType w:val="singleLevel"/>
    <w:tmpl w:val="65803141"/>
    <w:lvl w:ilvl="0" w:tentative="0">
      <w:start w:val="1"/>
      <w:numFmt w:val="chineseCounting"/>
      <w:suff w:val="nothing"/>
      <w:lvlText w:val="%1、"/>
      <w:lvlJc w:val="left"/>
      <w:rPr>
        <w:rFonts w:hint="eastAsia"/>
      </w:rPr>
    </w:lvl>
  </w:abstractNum>
  <w:abstractNum w:abstractNumId="10">
    <w:nsid w:val="6C437AC8"/>
    <w:multiLevelType w:val="singleLevel"/>
    <w:tmpl w:val="6C437AC8"/>
    <w:lvl w:ilvl="0" w:tentative="0">
      <w:start w:val="1"/>
      <w:numFmt w:val="decimal"/>
      <w:lvlText w:val="%1."/>
      <w:lvlJc w:val="left"/>
      <w:pPr>
        <w:ind w:left="720" w:hanging="360"/>
      </w:pPr>
      <w:rPr>
        <w:sz w:val="24"/>
      </w:rPr>
    </w:lvl>
  </w:abstractNum>
  <w:num w:numId="1">
    <w:abstractNumId w:val="2"/>
  </w:num>
  <w:num w:numId="2">
    <w:abstractNumId w:val="8"/>
  </w:num>
  <w:num w:numId="3">
    <w:abstractNumId w:val="9"/>
  </w:num>
  <w:num w:numId="4">
    <w:abstractNumId w:val="4"/>
  </w:num>
  <w:num w:numId="5">
    <w:abstractNumId w:val="6"/>
  </w:num>
  <w:num w:numId="6">
    <w:abstractNumId w:val="7"/>
  </w:num>
  <w:num w:numId="7">
    <w:abstractNumId w:val="3"/>
  </w:num>
  <w:num w:numId="8">
    <w:abstractNumId w:val="0"/>
  </w:num>
  <w:num w:numId="9">
    <w:abstractNumId w:val="5"/>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oNotHyphenateCaps/>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947"/>
    <w:rsid w:val="00001CED"/>
    <w:rsid w:val="00001E67"/>
    <w:rsid w:val="00003CD8"/>
    <w:rsid w:val="00014965"/>
    <w:rsid w:val="0001523A"/>
    <w:rsid w:val="00016ECB"/>
    <w:rsid w:val="000269F6"/>
    <w:rsid w:val="00031939"/>
    <w:rsid w:val="00032D25"/>
    <w:rsid w:val="0005219D"/>
    <w:rsid w:val="0005568F"/>
    <w:rsid w:val="0006153D"/>
    <w:rsid w:val="00061B1F"/>
    <w:rsid w:val="000664DB"/>
    <w:rsid w:val="0007127D"/>
    <w:rsid w:val="00071AE5"/>
    <w:rsid w:val="00074783"/>
    <w:rsid w:val="000801E0"/>
    <w:rsid w:val="00082A29"/>
    <w:rsid w:val="0008331D"/>
    <w:rsid w:val="00083C18"/>
    <w:rsid w:val="00092899"/>
    <w:rsid w:val="000A178E"/>
    <w:rsid w:val="000A557E"/>
    <w:rsid w:val="000B058F"/>
    <w:rsid w:val="000B693F"/>
    <w:rsid w:val="000C09AC"/>
    <w:rsid w:val="000C0A63"/>
    <w:rsid w:val="000C437E"/>
    <w:rsid w:val="000E5F16"/>
    <w:rsid w:val="000F4452"/>
    <w:rsid w:val="000F6DA1"/>
    <w:rsid w:val="000F701B"/>
    <w:rsid w:val="000F7C8F"/>
    <w:rsid w:val="001056A0"/>
    <w:rsid w:val="00115279"/>
    <w:rsid w:val="00117459"/>
    <w:rsid w:val="0011749A"/>
    <w:rsid w:val="00127A68"/>
    <w:rsid w:val="00140B13"/>
    <w:rsid w:val="00141B68"/>
    <w:rsid w:val="001466DA"/>
    <w:rsid w:val="00154DE1"/>
    <w:rsid w:val="00155B40"/>
    <w:rsid w:val="00157435"/>
    <w:rsid w:val="00163EEA"/>
    <w:rsid w:val="00167A07"/>
    <w:rsid w:val="0017046A"/>
    <w:rsid w:val="001704A3"/>
    <w:rsid w:val="0017504D"/>
    <w:rsid w:val="00177422"/>
    <w:rsid w:val="00184F10"/>
    <w:rsid w:val="00185546"/>
    <w:rsid w:val="0019146B"/>
    <w:rsid w:val="00194398"/>
    <w:rsid w:val="001A7D2A"/>
    <w:rsid w:val="001B574C"/>
    <w:rsid w:val="001C0AF9"/>
    <w:rsid w:val="001C155A"/>
    <w:rsid w:val="001C48C0"/>
    <w:rsid w:val="001D6726"/>
    <w:rsid w:val="001F3347"/>
    <w:rsid w:val="001F4440"/>
    <w:rsid w:val="001F69E4"/>
    <w:rsid w:val="00206A65"/>
    <w:rsid w:val="00212D31"/>
    <w:rsid w:val="002130C7"/>
    <w:rsid w:val="002218A8"/>
    <w:rsid w:val="0022306D"/>
    <w:rsid w:val="00226574"/>
    <w:rsid w:val="002278EC"/>
    <w:rsid w:val="0023368B"/>
    <w:rsid w:val="002357C7"/>
    <w:rsid w:val="002367C4"/>
    <w:rsid w:val="0025679E"/>
    <w:rsid w:val="00260C68"/>
    <w:rsid w:val="002648B0"/>
    <w:rsid w:val="00275271"/>
    <w:rsid w:val="0027535E"/>
    <w:rsid w:val="00275AA6"/>
    <w:rsid w:val="002807D5"/>
    <w:rsid w:val="0028264D"/>
    <w:rsid w:val="00282CCD"/>
    <w:rsid w:val="002A168C"/>
    <w:rsid w:val="002A2C48"/>
    <w:rsid w:val="002A3EED"/>
    <w:rsid w:val="002A4A39"/>
    <w:rsid w:val="002A5A17"/>
    <w:rsid w:val="002A6425"/>
    <w:rsid w:val="002B49E2"/>
    <w:rsid w:val="002B7B00"/>
    <w:rsid w:val="002B7C44"/>
    <w:rsid w:val="002C1388"/>
    <w:rsid w:val="002C3C6A"/>
    <w:rsid w:val="002D42DB"/>
    <w:rsid w:val="002E1F3A"/>
    <w:rsid w:val="002E298A"/>
    <w:rsid w:val="002F02A4"/>
    <w:rsid w:val="002F272B"/>
    <w:rsid w:val="002F7C6D"/>
    <w:rsid w:val="003027E4"/>
    <w:rsid w:val="0030332C"/>
    <w:rsid w:val="00312296"/>
    <w:rsid w:val="0031340E"/>
    <w:rsid w:val="00316464"/>
    <w:rsid w:val="0032073A"/>
    <w:rsid w:val="00321D8E"/>
    <w:rsid w:val="00334996"/>
    <w:rsid w:val="00336969"/>
    <w:rsid w:val="00336C52"/>
    <w:rsid w:val="00341B3E"/>
    <w:rsid w:val="00341B42"/>
    <w:rsid w:val="00345154"/>
    <w:rsid w:val="0034560E"/>
    <w:rsid w:val="00350523"/>
    <w:rsid w:val="00352975"/>
    <w:rsid w:val="00356868"/>
    <w:rsid w:val="0036485B"/>
    <w:rsid w:val="00373B0D"/>
    <w:rsid w:val="00376988"/>
    <w:rsid w:val="00381A72"/>
    <w:rsid w:val="003A1948"/>
    <w:rsid w:val="003B152A"/>
    <w:rsid w:val="003B545B"/>
    <w:rsid w:val="003C10DE"/>
    <w:rsid w:val="003D3EE9"/>
    <w:rsid w:val="003E7681"/>
    <w:rsid w:val="003F0809"/>
    <w:rsid w:val="003F611C"/>
    <w:rsid w:val="003F755C"/>
    <w:rsid w:val="00406F01"/>
    <w:rsid w:val="00411B36"/>
    <w:rsid w:val="004121D7"/>
    <w:rsid w:val="00416D50"/>
    <w:rsid w:val="00417772"/>
    <w:rsid w:val="00420E6A"/>
    <w:rsid w:val="00433CA9"/>
    <w:rsid w:val="0043521D"/>
    <w:rsid w:val="00442024"/>
    <w:rsid w:val="0044254C"/>
    <w:rsid w:val="00443F6A"/>
    <w:rsid w:val="00450A17"/>
    <w:rsid w:val="004528FC"/>
    <w:rsid w:val="00466321"/>
    <w:rsid w:val="004672AF"/>
    <w:rsid w:val="004727B0"/>
    <w:rsid w:val="00480247"/>
    <w:rsid w:val="0048081D"/>
    <w:rsid w:val="0048117E"/>
    <w:rsid w:val="004855F6"/>
    <w:rsid w:val="00486F0C"/>
    <w:rsid w:val="00494670"/>
    <w:rsid w:val="004A0EB4"/>
    <w:rsid w:val="004A3823"/>
    <w:rsid w:val="004A59BB"/>
    <w:rsid w:val="004B43A3"/>
    <w:rsid w:val="004B4C49"/>
    <w:rsid w:val="004B58A5"/>
    <w:rsid w:val="004B63D9"/>
    <w:rsid w:val="004C0882"/>
    <w:rsid w:val="004C55BE"/>
    <w:rsid w:val="004D5652"/>
    <w:rsid w:val="004E5B30"/>
    <w:rsid w:val="004F0779"/>
    <w:rsid w:val="004F1230"/>
    <w:rsid w:val="004F173F"/>
    <w:rsid w:val="004F177C"/>
    <w:rsid w:val="004F2DCE"/>
    <w:rsid w:val="005039CB"/>
    <w:rsid w:val="0050558F"/>
    <w:rsid w:val="005057E0"/>
    <w:rsid w:val="00506286"/>
    <w:rsid w:val="00510813"/>
    <w:rsid w:val="00511DE0"/>
    <w:rsid w:val="00517F02"/>
    <w:rsid w:val="00524547"/>
    <w:rsid w:val="005258A2"/>
    <w:rsid w:val="00530F7C"/>
    <w:rsid w:val="00531451"/>
    <w:rsid w:val="00534567"/>
    <w:rsid w:val="00534F43"/>
    <w:rsid w:val="00535A84"/>
    <w:rsid w:val="00536889"/>
    <w:rsid w:val="00542E07"/>
    <w:rsid w:val="00554A7B"/>
    <w:rsid w:val="0055572C"/>
    <w:rsid w:val="0056064F"/>
    <w:rsid w:val="00561B84"/>
    <w:rsid w:val="00571D98"/>
    <w:rsid w:val="005720AE"/>
    <w:rsid w:val="0058030D"/>
    <w:rsid w:val="00582045"/>
    <w:rsid w:val="00590AE3"/>
    <w:rsid w:val="005918F1"/>
    <w:rsid w:val="005A06B7"/>
    <w:rsid w:val="005A1759"/>
    <w:rsid w:val="005D0369"/>
    <w:rsid w:val="005D2854"/>
    <w:rsid w:val="005D53FE"/>
    <w:rsid w:val="005D7A0F"/>
    <w:rsid w:val="005E0438"/>
    <w:rsid w:val="005E1791"/>
    <w:rsid w:val="005E2CE6"/>
    <w:rsid w:val="005E6324"/>
    <w:rsid w:val="005F228B"/>
    <w:rsid w:val="005F29CD"/>
    <w:rsid w:val="005F4DFB"/>
    <w:rsid w:val="005F6CC0"/>
    <w:rsid w:val="00603E5B"/>
    <w:rsid w:val="00604BC8"/>
    <w:rsid w:val="00615B4C"/>
    <w:rsid w:val="00615B5D"/>
    <w:rsid w:val="0062146F"/>
    <w:rsid w:val="006343AF"/>
    <w:rsid w:val="0063634A"/>
    <w:rsid w:val="0064250D"/>
    <w:rsid w:val="006535EB"/>
    <w:rsid w:val="00663016"/>
    <w:rsid w:val="00674605"/>
    <w:rsid w:val="006748B8"/>
    <w:rsid w:val="0068535B"/>
    <w:rsid w:val="0068736E"/>
    <w:rsid w:val="0069290A"/>
    <w:rsid w:val="00697032"/>
    <w:rsid w:val="006975AC"/>
    <w:rsid w:val="006A15FB"/>
    <w:rsid w:val="006A72BF"/>
    <w:rsid w:val="006B332A"/>
    <w:rsid w:val="006B33BD"/>
    <w:rsid w:val="006C3F75"/>
    <w:rsid w:val="006D170E"/>
    <w:rsid w:val="006E06AF"/>
    <w:rsid w:val="006F1789"/>
    <w:rsid w:val="00706C5D"/>
    <w:rsid w:val="007118E6"/>
    <w:rsid w:val="007225C9"/>
    <w:rsid w:val="00735CD7"/>
    <w:rsid w:val="00754034"/>
    <w:rsid w:val="00754BF1"/>
    <w:rsid w:val="00755A30"/>
    <w:rsid w:val="00755E1C"/>
    <w:rsid w:val="00756556"/>
    <w:rsid w:val="0076132B"/>
    <w:rsid w:val="007623AE"/>
    <w:rsid w:val="00770B19"/>
    <w:rsid w:val="00774FA0"/>
    <w:rsid w:val="00776620"/>
    <w:rsid w:val="00777B6D"/>
    <w:rsid w:val="00784855"/>
    <w:rsid w:val="00784F39"/>
    <w:rsid w:val="0078545C"/>
    <w:rsid w:val="007906C4"/>
    <w:rsid w:val="007940EA"/>
    <w:rsid w:val="007967E8"/>
    <w:rsid w:val="007A63F2"/>
    <w:rsid w:val="007B68DE"/>
    <w:rsid w:val="007C1857"/>
    <w:rsid w:val="007C514F"/>
    <w:rsid w:val="007D0F95"/>
    <w:rsid w:val="007D7ECB"/>
    <w:rsid w:val="007E25A1"/>
    <w:rsid w:val="007E4BD2"/>
    <w:rsid w:val="007E7145"/>
    <w:rsid w:val="007F3916"/>
    <w:rsid w:val="00801179"/>
    <w:rsid w:val="00802479"/>
    <w:rsid w:val="00805372"/>
    <w:rsid w:val="00805B7B"/>
    <w:rsid w:val="0081293E"/>
    <w:rsid w:val="00814FFB"/>
    <w:rsid w:val="00820568"/>
    <w:rsid w:val="00831A80"/>
    <w:rsid w:val="008332C8"/>
    <w:rsid w:val="00833743"/>
    <w:rsid w:val="008340A4"/>
    <w:rsid w:val="00836799"/>
    <w:rsid w:val="00837028"/>
    <w:rsid w:val="00837131"/>
    <w:rsid w:val="00845F57"/>
    <w:rsid w:val="008521E0"/>
    <w:rsid w:val="008525B0"/>
    <w:rsid w:val="00867CBC"/>
    <w:rsid w:val="00876C30"/>
    <w:rsid w:val="00877017"/>
    <w:rsid w:val="008773C0"/>
    <w:rsid w:val="00880364"/>
    <w:rsid w:val="00886C4C"/>
    <w:rsid w:val="0088711C"/>
    <w:rsid w:val="00892ECF"/>
    <w:rsid w:val="00892F06"/>
    <w:rsid w:val="00894285"/>
    <w:rsid w:val="008A40AE"/>
    <w:rsid w:val="008A4E19"/>
    <w:rsid w:val="008A67C5"/>
    <w:rsid w:val="008B22E1"/>
    <w:rsid w:val="008B3C78"/>
    <w:rsid w:val="008B4AE9"/>
    <w:rsid w:val="008C30AD"/>
    <w:rsid w:val="008D068E"/>
    <w:rsid w:val="008D0F7A"/>
    <w:rsid w:val="008D63BE"/>
    <w:rsid w:val="008E0CFF"/>
    <w:rsid w:val="008E5D6B"/>
    <w:rsid w:val="008E689B"/>
    <w:rsid w:val="008E76F0"/>
    <w:rsid w:val="008F15FE"/>
    <w:rsid w:val="008F2A94"/>
    <w:rsid w:val="008F5187"/>
    <w:rsid w:val="008F709C"/>
    <w:rsid w:val="0090312B"/>
    <w:rsid w:val="00904961"/>
    <w:rsid w:val="0091736D"/>
    <w:rsid w:val="00931001"/>
    <w:rsid w:val="00931863"/>
    <w:rsid w:val="00933524"/>
    <w:rsid w:val="0094278D"/>
    <w:rsid w:val="0095308A"/>
    <w:rsid w:val="00955AEE"/>
    <w:rsid w:val="00956F14"/>
    <w:rsid w:val="009620FD"/>
    <w:rsid w:val="0096247A"/>
    <w:rsid w:val="00965F4B"/>
    <w:rsid w:val="00970F8A"/>
    <w:rsid w:val="00971FB5"/>
    <w:rsid w:val="00972D2A"/>
    <w:rsid w:val="00975CC5"/>
    <w:rsid w:val="00976328"/>
    <w:rsid w:val="00976B4E"/>
    <w:rsid w:val="00984458"/>
    <w:rsid w:val="00985283"/>
    <w:rsid w:val="00987322"/>
    <w:rsid w:val="009A0F3B"/>
    <w:rsid w:val="009A72C7"/>
    <w:rsid w:val="009B0897"/>
    <w:rsid w:val="009D0852"/>
    <w:rsid w:val="009D1FBF"/>
    <w:rsid w:val="009E399C"/>
    <w:rsid w:val="009E43C1"/>
    <w:rsid w:val="009E7E95"/>
    <w:rsid w:val="009F116F"/>
    <w:rsid w:val="009F329E"/>
    <w:rsid w:val="009F7ED3"/>
    <w:rsid w:val="00A03607"/>
    <w:rsid w:val="00A047FF"/>
    <w:rsid w:val="00A04FEF"/>
    <w:rsid w:val="00A122CD"/>
    <w:rsid w:val="00A12A32"/>
    <w:rsid w:val="00A14248"/>
    <w:rsid w:val="00A14947"/>
    <w:rsid w:val="00A23DC5"/>
    <w:rsid w:val="00A34028"/>
    <w:rsid w:val="00A35568"/>
    <w:rsid w:val="00A37056"/>
    <w:rsid w:val="00A4358F"/>
    <w:rsid w:val="00A46F67"/>
    <w:rsid w:val="00A54AA1"/>
    <w:rsid w:val="00A568FF"/>
    <w:rsid w:val="00A61496"/>
    <w:rsid w:val="00A61833"/>
    <w:rsid w:val="00A624C6"/>
    <w:rsid w:val="00A63CEC"/>
    <w:rsid w:val="00A7031E"/>
    <w:rsid w:val="00A728B1"/>
    <w:rsid w:val="00A763DE"/>
    <w:rsid w:val="00A803D6"/>
    <w:rsid w:val="00A81282"/>
    <w:rsid w:val="00A8713F"/>
    <w:rsid w:val="00A91167"/>
    <w:rsid w:val="00A9171C"/>
    <w:rsid w:val="00A92FFD"/>
    <w:rsid w:val="00A95975"/>
    <w:rsid w:val="00A9708D"/>
    <w:rsid w:val="00AA0C79"/>
    <w:rsid w:val="00AA2C17"/>
    <w:rsid w:val="00AA4172"/>
    <w:rsid w:val="00AB1914"/>
    <w:rsid w:val="00AB5330"/>
    <w:rsid w:val="00AB7747"/>
    <w:rsid w:val="00AC2532"/>
    <w:rsid w:val="00AD1507"/>
    <w:rsid w:val="00AD5A70"/>
    <w:rsid w:val="00AD738B"/>
    <w:rsid w:val="00AE1BF4"/>
    <w:rsid w:val="00AE5D97"/>
    <w:rsid w:val="00AE6794"/>
    <w:rsid w:val="00B01110"/>
    <w:rsid w:val="00B02262"/>
    <w:rsid w:val="00B03CEC"/>
    <w:rsid w:val="00B1209F"/>
    <w:rsid w:val="00B12AD0"/>
    <w:rsid w:val="00B24F30"/>
    <w:rsid w:val="00B31ABF"/>
    <w:rsid w:val="00B335AE"/>
    <w:rsid w:val="00B37CE1"/>
    <w:rsid w:val="00B40ACF"/>
    <w:rsid w:val="00B46BAA"/>
    <w:rsid w:val="00B50B5F"/>
    <w:rsid w:val="00B54128"/>
    <w:rsid w:val="00B55826"/>
    <w:rsid w:val="00B60426"/>
    <w:rsid w:val="00B622DD"/>
    <w:rsid w:val="00B63522"/>
    <w:rsid w:val="00B76F1D"/>
    <w:rsid w:val="00B92A19"/>
    <w:rsid w:val="00B9544C"/>
    <w:rsid w:val="00BA29E9"/>
    <w:rsid w:val="00BB3618"/>
    <w:rsid w:val="00BC0C9E"/>
    <w:rsid w:val="00BC32DC"/>
    <w:rsid w:val="00BD1B51"/>
    <w:rsid w:val="00BD47F6"/>
    <w:rsid w:val="00BE312D"/>
    <w:rsid w:val="00BE3FCA"/>
    <w:rsid w:val="00BF0897"/>
    <w:rsid w:val="00C05719"/>
    <w:rsid w:val="00C10578"/>
    <w:rsid w:val="00C1078D"/>
    <w:rsid w:val="00C17D62"/>
    <w:rsid w:val="00C21FDC"/>
    <w:rsid w:val="00C24EE7"/>
    <w:rsid w:val="00C2596A"/>
    <w:rsid w:val="00C271BE"/>
    <w:rsid w:val="00C27425"/>
    <w:rsid w:val="00C328FE"/>
    <w:rsid w:val="00C33A05"/>
    <w:rsid w:val="00C42500"/>
    <w:rsid w:val="00C4409D"/>
    <w:rsid w:val="00C455BE"/>
    <w:rsid w:val="00C51E5F"/>
    <w:rsid w:val="00C53D08"/>
    <w:rsid w:val="00C61E4B"/>
    <w:rsid w:val="00C62E3A"/>
    <w:rsid w:val="00C64503"/>
    <w:rsid w:val="00C64A1F"/>
    <w:rsid w:val="00C64BFF"/>
    <w:rsid w:val="00C763C9"/>
    <w:rsid w:val="00C80057"/>
    <w:rsid w:val="00C82C79"/>
    <w:rsid w:val="00C84753"/>
    <w:rsid w:val="00C91611"/>
    <w:rsid w:val="00CA3585"/>
    <w:rsid w:val="00CA3D5A"/>
    <w:rsid w:val="00CA4C7C"/>
    <w:rsid w:val="00CB0183"/>
    <w:rsid w:val="00CB1EA3"/>
    <w:rsid w:val="00CB552C"/>
    <w:rsid w:val="00CB6A9E"/>
    <w:rsid w:val="00CC6181"/>
    <w:rsid w:val="00CD2BCD"/>
    <w:rsid w:val="00CD36AA"/>
    <w:rsid w:val="00CD3791"/>
    <w:rsid w:val="00CD65B0"/>
    <w:rsid w:val="00CE02CD"/>
    <w:rsid w:val="00CE10E9"/>
    <w:rsid w:val="00D0072E"/>
    <w:rsid w:val="00D15727"/>
    <w:rsid w:val="00D16332"/>
    <w:rsid w:val="00D24972"/>
    <w:rsid w:val="00D2515E"/>
    <w:rsid w:val="00D308ED"/>
    <w:rsid w:val="00D32A2B"/>
    <w:rsid w:val="00D56178"/>
    <w:rsid w:val="00D56CF0"/>
    <w:rsid w:val="00D56F5C"/>
    <w:rsid w:val="00D704B1"/>
    <w:rsid w:val="00D70B63"/>
    <w:rsid w:val="00D72B92"/>
    <w:rsid w:val="00D72ED4"/>
    <w:rsid w:val="00D73F61"/>
    <w:rsid w:val="00D754C0"/>
    <w:rsid w:val="00D776A2"/>
    <w:rsid w:val="00D801C4"/>
    <w:rsid w:val="00D90836"/>
    <w:rsid w:val="00D95896"/>
    <w:rsid w:val="00D95CC6"/>
    <w:rsid w:val="00DA2DA3"/>
    <w:rsid w:val="00DA6615"/>
    <w:rsid w:val="00DA76AE"/>
    <w:rsid w:val="00DB181E"/>
    <w:rsid w:val="00DB1C7A"/>
    <w:rsid w:val="00DB2983"/>
    <w:rsid w:val="00DB343D"/>
    <w:rsid w:val="00DB5579"/>
    <w:rsid w:val="00DB5CFE"/>
    <w:rsid w:val="00DC72A6"/>
    <w:rsid w:val="00DD2113"/>
    <w:rsid w:val="00DD265E"/>
    <w:rsid w:val="00DF1930"/>
    <w:rsid w:val="00DF514A"/>
    <w:rsid w:val="00E0358D"/>
    <w:rsid w:val="00E06327"/>
    <w:rsid w:val="00E2064B"/>
    <w:rsid w:val="00E25239"/>
    <w:rsid w:val="00E265B1"/>
    <w:rsid w:val="00E275B0"/>
    <w:rsid w:val="00E412D0"/>
    <w:rsid w:val="00E47CDB"/>
    <w:rsid w:val="00E566BC"/>
    <w:rsid w:val="00E60982"/>
    <w:rsid w:val="00E60C8D"/>
    <w:rsid w:val="00E6162F"/>
    <w:rsid w:val="00E6311B"/>
    <w:rsid w:val="00E65D97"/>
    <w:rsid w:val="00E67EFD"/>
    <w:rsid w:val="00E702DC"/>
    <w:rsid w:val="00E71FFB"/>
    <w:rsid w:val="00E76D1D"/>
    <w:rsid w:val="00E806F8"/>
    <w:rsid w:val="00E87752"/>
    <w:rsid w:val="00E8793B"/>
    <w:rsid w:val="00E90F81"/>
    <w:rsid w:val="00E91A6D"/>
    <w:rsid w:val="00E9242D"/>
    <w:rsid w:val="00EB041C"/>
    <w:rsid w:val="00EC5874"/>
    <w:rsid w:val="00ED192D"/>
    <w:rsid w:val="00ED30B4"/>
    <w:rsid w:val="00ED31F5"/>
    <w:rsid w:val="00EF2759"/>
    <w:rsid w:val="00EF45EB"/>
    <w:rsid w:val="00EF5099"/>
    <w:rsid w:val="00EF5E33"/>
    <w:rsid w:val="00F00075"/>
    <w:rsid w:val="00F07822"/>
    <w:rsid w:val="00F15C95"/>
    <w:rsid w:val="00F22985"/>
    <w:rsid w:val="00F241AB"/>
    <w:rsid w:val="00F31382"/>
    <w:rsid w:val="00F35829"/>
    <w:rsid w:val="00F42868"/>
    <w:rsid w:val="00F465A7"/>
    <w:rsid w:val="00F50B7C"/>
    <w:rsid w:val="00F5202D"/>
    <w:rsid w:val="00F52CF6"/>
    <w:rsid w:val="00F54496"/>
    <w:rsid w:val="00F61097"/>
    <w:rsid w:val="00F74345"/>
    <w:rsid w:val="00F74441"/>
    <w:rsid w:val="00F77F30"/>
    <w:rsid w:val="00F82589"/>
    <w:rsid w:val="00F82B19"/>
    <w:rsid w:val="00F90AA7"/>
    <w:rsid w:val="00F9212D"/>
    <w:rsid w:val="00F941FA"/>
    <w:rsid w:val="00FA301A"/>
    <w:rsid w:val="00FA406A"/>
    <w:rsid w:val="00FA5CB6"/>
    <w:rsid w:val="00FC66AC"/>
    <w:rsid w:val="00FD18F4"/>
    <w:rsid w:val="00FD74B4"/>
    <w:rsid w:val="00FF0E4A"/>
    <w:rsid w:val="00FF6FCE"/>
    <w:rsid w:val="00FF7518"/>
    <w:rsid w:val="00FF7FD8"/>
    <w:rsid w:val="010A2F9E"/>
    <w:rsid w:val="011A7E03"/>
    <w:rsid w:val="011D6E67"/>
    <w:rsid w:val="012313A8"/>
    <w:rsid w:val="012B4A44"/>
    <w:rsid w:val="013D4B60"/>
    <w:rsid w:val="01583748"/>
    <w:rsid w:val="01590320"/>
    <w:rsid w:val="017F3AA6"/>
    <w:rsid w:val="01823A06"/>
    <w:rsid w:val="019B32C6"/>
    <w:rsid w:val="019D7E34"/>
    <w:rsid w:val="01A331FC"/>
    <w:rsid w:val="01A86D70"/>
    <w:rsid w:val="01B91D0C"/>
    <w:rsid w:val="01F21968"/>
    <w:rsid w:val="01FD4015"/>
    <w:rsid w:val="02012E78"/>
    <w:rsid w:val="021B342F"/>
    <w:rsid w:val="02353CBD"/>
    <w:rsid w:val="024E43D4"/>
    <w:rsid w:val="02554B69"/>
    <w:rsid w:val="02565064"/>
    <w:rsid w:val="0293252C"/>
    <w:rsid w:val="02963DFC"/>
    <w:rsid w:val="02B475F1"/>
    <w:rsid w:val="02BA5D3C"/>
    <w:rsid w:val="02C55317"/>
    <w:rsid w:val="02CB4A82"/>
    <w:rsid w:val="02FA082F"/>
    <w:rsid w:val="02FF7BF3"/>
    <w:rsid w:val="03174F3D"/>
    <w:rsid w:val="03222EC1"/>
    <w:rsid w:val="0324162C"/>
    <w:rsid w:val="033A6712"/>
    <w:rsid w:val="03407792"/>
    <w:rsid w:val="03425C39"/>
    <w:rsid w:val="03717C90"/>
    <w:rsid w:val="03751D9B"/>
    <w:rsid w:val="037615D4"/>
    <w:rsid w:val="03AC7783"/>
    <w:rsid w:val="03CC3F79"/>
    <w:rsid w:val="03DB0660"/>
    <w:rsid w:val="03DF158C"/>
    <w:rsid w:val="03F20AEB"/>
    <w:rsid w:val="03FF434E"/>
    <w:rsid w:val="0400747C"/>
    <w:rsid w:val="04041965"/>
    <w:rsid w:val="042518DB"/>
    <w:rsid w:val="04695C6C"/>
    <w:rsid w:val="04700DA8"/>
    <w:rsid w:val="048B6EB5"/>
    <w:rsid w:val="04C82992"/>
    <w:rsid w:val="04C86418"/>
    <w:rsid w:val="04FB7792"/>
    <w:rsid w:val="050A36B5"/>
    <w:rsid w:val="052D6C99"/>
    <w:rsid w:val="053F172A"/>
    <w:rsid w:val="05615F60"/>
    <w:rsid w:val="0570500B"/>
    <w:rsid w:val="05733AF0"/>
    <w:rsid w:val="05740860"/>
    <w:rsid w:val="05742AC8"/>
    <w:rsid w:val="05793607"/>
    <w:rsid w:val="05946ADF"/>
    <w:rsid w:val="05A36F5B"/>
    <w:rsid w:val="05AE31EB"/>
    <w:rsid w:val="05B457E7"/>
    <w:rsid w:val="05C018BB"/>
    <w:rsid w:val="05D2664E"/>
    <w:rsid w:val="05DD1DAD"/>
    <w:rsid w:val="05F63194"/>
    <w:rsid w:val="060D1576"/>
    <w:rsid w:val="062C0061"/>
    <w:rsid w:val="06352F05"/>
    <w:rsid w:val="063E7D85"/>
    <w:rsid w:val="063F305D"/>
    <w:rsid w:val="064424ED"/>
    <w:rsid w:val="06451A56"/>
    <w:rsid w:val="064A5EDE"/>
    <w:rsid w:val="06585F98"/>
    <w:rsid w:val="065D35AE"/>
    <w:rsid w:val="068560C3"/>
    <w:rsid w:val="06B16B87"/>
    <w:rsid w:val="06B331CE"/>
    <w:rsid w:val="06BE2A9A"/>
    <w:rsid w:val="06CD24E2"/>
    <w:rsid w:val="06FE67EB"/>
    <w:rsid w:val="070457D8"/>
    <w:rsid w:val="070875E0"/>
    <w:rsid w:val="07293586"/>
    <w:rsid w:val="07295285"/>
    <w:rsid w:val="072E28A4"/>
    <w:rsid w:val="074B6533"/>
    <w:rsid w:val="07770C56"/>
    <w:rsid w:val="077A1F3E"/>
    <w:rsid w:val="07862691"/>
    <w:rsid w:val="07987FF3"/>
    <w:rsid w:val="07A53083"/>
    <w:rsid w:val="07B77739"/>
    <w:rsid w:val="07C9793D"/>
    <w:rsid w:val="07D16CD0"/>
    <w:rsid w:val="07E53700"/>
    <w:rsid w:val="07ED4390"/>
    <w:rsid w:val="07F10068"/>
    <w:rsid w:val="07F95DA5"/>
    <w:rsid w:val="080C31A0"/>
    <w:rsid w:val="082B3374"/>
    <w:rsid w:val="082D2605"/>
    <w:rsid w:val="08403C42"/>
    <w:rsid w:val="0843731D"/>
    <w:rsid w:val="084E1401"/>
    <w:rsid w:val="08726BF4"/>
    <w:rsid w:val="087E057F"/>
    <w:rsid w:val="087F1A3E"/>
    <w:rsid w:val="088B6211"/>
    <w:rsid w:val="089470F2"/>
    <w:rsid w:val="08AA4E73"/>
    <w:rsid w:val="08AB57EE"/>
    <w:rsid w:val="08BA73F0"/>
    <w:rsid w:val="08BD39B5"/>
    <w:rsid w:val="08D6249A"/>
    <w:rsid w:val="08DC1E32"/>
    <w:rsid w:val="08DD09D6"/>
    <w:rsid w:val="08E375DA"/>
    <w:rsid w:val="08F972F8"/>
    <w:rsid w:val="090109D5"/>
    <w:rsid w:val="09075A53"/>
    <w:rsid w:val="091A3917"/>
    <w:rsid w:val="092217DD"/>
    <w:rsid w:val="092D370C"/>
    <w:rsid w:val="093079A7"/>
    <w:rsid w:val="0938261D"/>
    <w:rsid w:val="093A7294"/>
    <w:rsid w:val="093B7C41"/>
    <w:rsid w:val="09410F65"/>
    <w:rsid w:val="094B5940"/>
    <w:rsid w:val="095B6401"/>
    <w:rsid w:val="098175B4"/>
    <w:rsid w:val="098826F0"/>
    <w:rsid w:val="098F309D"/>
    <w:rsid w:val="09924B64"/>
    <w:rsid w:val="09925994"/>
    <w:rsid w:val="09AD2157"/>
    <w:rsid w:val="09B06648"/>
    <w:rsid w:val="09B41737"/>
    <w:rsid w:val="09C82713"/>
    <w:rsid w:val="09D63EB0"/>
    <w:rsid w:val="09D640F0"/>
    <w:rsid w:val="09D83701"/>
    <w:rsid w:val="09DD4CD4"/>
    <w:rsid w:val="09EE3789"/>
    <w:rsid w:val="09FC4E8C"/>
    <w:rsid w:val="0A0D78C6"/>
    <w:rsid w:val="0A16122E"/>
    <w:rsid w:val="0A454A85"/>
    <w:rsid w:val="0A5371A2"/>
    <w:rsid w:val="0A700A4D"/>
    <w:rsid w:val="0A7315F2"/>
    <w:rsid w:val="0A7657E7"/>
    <w:rsid w:val="0A7A4F8C"/>
    <w:rsid w:val="0A890310"/>
    <w:rsid w:val="0AAC240E"/>
    <w:rsid w:val="0AB37C41"/>
    <w:rsid w:val="0AC230F3"/>
    <w:rsid w:val="0AC8253F"/>
    <w:rsid w:val="0ADD2F10"/>
    <w:rsid w:val="0AF65D7F"/>
    <w:rsid w:val="0B09418A"/>
    <w:rsid w:val="0B100BEF"/>
    <w:rsid w:val="0B1B45ED"/>
    <w:rsid w:val="0B27077E"/>
    <w:rsid w:val="0B304DED"/>
    <w:rsid w:val="0B3222C4"/>
    <w:rsid w:val="0B362DA6"/>
    <w:rsid w:val="0B592ACE"/>
    <w:rsid w:val="0B6243DC"/>
    <w:rsid w:val="0B64718D"/>
    <w:rsid w:val="0B824A13"/>
    <w:rsid w:val="0BBF58D6"/>
    <w:rsid w:val="0BCA2083"/>
    <w:rsid w:val="0BD27BF6"/>
    <w:rsid w:val="0BD87233"/>
    <w:rsid w:val="0BDA11FD"/>
    <w:rsid w:val="0BDE6348"/>
    <w:rsid w:val="0BE5729B"/>
    <w:rsid w:val="0BEF4CF1"/>
    <w:rsid w:val="0C293400"/>
    <w:rsid w:val="0C403756"/>
    <w:rsid w:val="0C444AA9"/>
    <w:rsid w:val="0C6E3759"/>
    <w:rsid w:val="0CD45A1D"/>
    <w:rsid w:val="0CD93263"/>
    <w:rsid w:val="0CDB522D"/>
    <w:rsid w:val="0CE265BB"/>
    <w:rsid w:val="0CF5561A"/>
    <w:rsid w:val="0D232783"/>
    <w:rsid w:val="0D2C6AE3"/>
    <w:rsid w:val="0D470B14"/>
    <w:rsid w:val="0D505C1B"/>
    <w:rsid w:val="0D5079C9"/>
    <w:rsid w:val="0D611BD6"/>
    <w:rsid w:val="0D6671EC"/>
    <w:rsid w:val="0D8E0749"/>
    <w:rsid w:val="0D933D59"/>
    <w:rsid w:val="0DB77A48"/>
    <w:rsid w:val="0DBF5665"/>
    <w:rsid w:val="0DD04666"/>
    <w:rsid w:val="0DF95AD2"/>
    <w:rsid w:val="0E110D06"/>
    <w:rsid w:val="0E331A39"/>
    <w:rsid w:val="0E342E47"/>
    <w:rsid w:val="0E6928D6"/>
    <w:rsid w:val="0E6F20D1"/>
    <w:rsid w:val="0E846FD6"/>
    <w:rsid w:val="0E8A515C"/>
    <w:rsid w:val="0EAB2494"/>
    <w:rsid w:val="0EAE1581"/>
    <w:rsid w:val="0EC50100"/>
    <w:rsid w:val="0EC928F0"/>
    <w:rsid w:val="0ECB7EDB"/>
    <w:rsid w:val="0ED15AE5"/>
    <w:rsid w:val="0EEA0953"/>
    <w:rsid w:val="0EF127ED"/>
    <w:rsid w:val="0EFC4B4B"/>
    <w:rsid w:val="0F13775A"/>
    <w:rsid w:val="0F2615B8"/>
    <w:rsid w:val="0F2811FF"/>
    <w:rsid w:val="0F2904D1"/>
    <w:rsid w:val="0F3C1D22"/>
    <w:rsid w:val="0F43251D"/>
    <w:rsid w:val="0F501F02"/>
    <w:rsid w:val="0F6A2898"/>
    <w:rsid w:val="0F714162"/>
    <w:rsid w:val="0F77638A"/>
    <w:rsid w:val="0F804919"/>
    <w:rsid w:val="0F977B31"/>
    <w:rsid w:val="0F9A112B"/>
    <w:rsid w:val="0FC95811"/>
    <w:rsid w:val="0FCD552D"/>
    <w:rsid w:val="0FD04DF1"/>
    <w:rsid w:val="0FED54E5"/>
    <w:rsid w:val="0FEE2832"/>
    <w:rsid w:val="0FFC3664"/>
    <w:rsid w:val="102C6FB4"/>
    <w:rsid w:val="10321608"/>
    <w:rsid w:val="106519DD"/>
    <w:rsid w:val="10664B5E"/>
    <w:rsid w:val="106D2F64"/>
    <w:rsid w:val="10A02A15"/>
    <w:rsid w:val="10A53C29"/>
    <w:rsid w:val="10B01AD1"/>
    <w:rsid w:val="10B63710"/>
    <w:rsid w:val="10BE4C49"/>
    <w:rsid w:val="10ED5D1E"/>
    <w:rsid w:val="10F27AD6"/>
    <w:rsid w:val="10F5757C"/>
    <w:rsid w:val="10FE679F"/>
    <w:rsid w:val="11114067"/>
    <w:rsid w:val="111C2F7A"/>
    <w:rsid w:val="112D6151"/>
    <w:rsid w:val="113013DE"/>
    <w:rsid w:val="114370A3"/>
    <w:rsid w:val="11692E07"/>
    <w:rsid w:val="117A14B8"/>
    <w:rsid w:val="119500A0"/>
    <w:rsid w:val="119F2CCD"/>
    <w:rsid w:val="11A42375"/>
    <w:rsid w:val="11A85086"/>
    <w:rsid w:val="11B36778"/>
    <w:rsid w:val="11D32976"/>
    <w:rsid w:val="11D65607"/>
    <w:rsid w:val="11E05414"/>
    <w:rsid w:val="11E132E5"/>
    <w:rsid w:val="11FC3E71"/>
    <w:rsid w:val="122B06C2"/>
    <w:rsid w:val="122C2A91"/>
    <w:rsid w:val="1250484F"/>
    <w:rsid w:val="127A1CD1"/>
    <w:rsid w:val="128E407F"/>
    <w:rsid w:val="12900868"/>
    <w:rsid w:val="12C01BDA"/>
    <w:rsid w:val="12E22503"/>
    <w:rsid w:val="12E52961"/>
    <w:rsid w:val="12FE0C9D"/>
    <w:rsid w:val="13002FE8"/>
    <w:rsid w:val="13076D7C"/>
    <w:rsid w:val="130D494D"/>
    <w:rsid w:val="131E5EEC"/>
    <w:rsid w:val="1321351C"/>
    <w:rsid w:val="1326458A"/>
    <w:rsid w:val="13367661"/>
    <w:rsid w:val="1381676B"/>
    <w:rsid w:val="13830445"/>
    <w:rsid w:val="1392150C"/>
    <w:rsid w:val="13951726"/>
    <w:rsid w:val="13CC5361"/>
    <w:rsid w:val="13CE1647"/>
    <w:rsid w:val="13D717F0"/>
    <w:rsid w:val="13DE0489"/>
    <w:rsid w:val="13E65165"/>
    <w:rsid w:val="141C7636"/>
    <w:rsid w:val="141F1EA3"/>
    <w:rsid w:val="142C122E"/>
    <w:rsid w:val="143533EF"/>
    <w:rsid w:val="1437543F"/>
    <w:rsid w:val="14396509"/>
    <w:rsid w:val="1447165C"/>
    <w:rsid w:val="14480D38"/>
    <w:rsid w:val="14576279"/>
    <w:rsid w:val="145A1B30"/>
    <w:rsid w:val="147F2631"/>
    <w:rsid w:val="14943583"/>
    <w:rsid w:val="149A3343"/>
    <w:rsid w:val="149C7998"/>
    <w:rsid w:val="14A04D63"/>
    <w:rsid w:val="14A779A2"/>
    <w:rsid w:val="14C8253B"/>
    <w:rsid w:val="14CB0F47"/>
    <w:rsid w:val="14CD033A"/>
    <w:rsid w:val="14D94748"/>
    <w:rsid w:val="14DC46D6"/>
    <w:rsid w:val="14E97911"/>
    <w:rsid w:val="14F11A91"/>
    <w:rsid w:val="14FA4979"/>
    <w:rsid w:val="15057013"/>
    <w:rsid w:val="151D053F"/>
    <w:rsid w:val="152B6F63"/>
    <w:rsid w:val="153154B8"/>
    <w:rsid w:val="15316332"/>
    <w:rsid w:val="15347304"/>
    <w:rsid w:val="15395961"/>
    <w:rsid w:val="153D4CD7"/>
    <w:rsid w:val="154C60E2"/>
    <w:rsid w:val="157C0F6F"/>
    <w:rsid w:val="158B3597"/>
    <w:rsid w:val="159A4C5C"/>
    <w:rsid w:val="15B326F6"/>
    <w:rsid w:val="15B90C81"/>
    <w:rsid w:val="15C72A4F"/>
    <w:rsid w:val="15DE21ED"/>
    <w:rsid w:val="15E45152"/>
    <w:rsid w:val="15E816E4"/>
    <w:rsid w:val="15F03EF5"/>
    <w:rsid w:val="15FE0889"/>
    <w:rsid w:val="16041350"/>
    <w:rsid w:val="160A26DF"/>
    <w:rsid w:val="1615355E"/>
    <w:rsid w:val="162064D9"/>
    <w:rsid w:val="16311102"/>
    <w:rsid w:val="166D4C9E"/>
    <w:rsid w:val="166E1CA1"/>
    <w:rsid w:val="169C3C7F"/>
    <w:rsid w:val="16B5271D"/>
    <w:rsid w:val="16CD1684"/>
    <w:rsid w:val="16D62785"/>
    <w:rsid w:val="17127A9D"/>
    <w:rsid w:val="1716356E"/>
    <w:rsid w:val="172D19A8"/>
    <w:rsid w:val="175C5A0C"/>
    <w:rsid w:val="175F378B"/>
    <w:rsid w:val="1768364E"/>
    <w:rsid w:val="17735226"/>
    <w:rsid w:val="177D6F96"/>
    <w:rsid w:val="17872239"/>
    <w:rsid w:val="178939B5"/>
    <w:rsid w:val="1791130A"/>
    <w:rsid w:val="17994EC4"/>
    <w:rsid w:val="17B4766F"/>
    <w:rsid w:val="17C0399D"/>
    <w:rsid w:val="17D17D9B"/>
    <w:rsid w:val="17D26ACD"/>
    <w:rsid w:val="17D64EF8"/>
    <w:rsid w:val="17EA04AD"/>
    <w:rsid w:val="17FD7D6F"/>
    <w:rsid w:val="1811509D"/>
    <w:rsid w:val="18197919"/>
    <w:rsid w:val="18275A6F"/>
    <w:rsid w:val="1829247C"/>
    <w:rsid w:val="182F38E7"/>
    <w:rsid w:val="183369F2"/>
    <w:rsid w:val="18434EDA"/>
    <w:rsid w:val="18457863"/>
    <w:rsid w:val="184D4082"/>
    <w:rsid w:val="185254F4"/>
    <w:rsid w:val="185632CE"/>
    <w:rsid w:val="1866622B"/>
    <w:rsid w:val="18730A0F"/>
    <w:rsid w:val="187C12F9"/>
    <w:rsid w:val="188514F7"/>
    <w:rsid w:val="18A935B2"/>
    <w:rsid w:val="18AC1E92"/>
    <w:rsid w:val="18AD0A0F"/>
    <w:rsid w:val="18B66808"/>
    <w:rsid w:val="18F84C2A"/>
    <w:rsid w:val="19031D93"/>
    <w:rsid w:val="19274253"/>
    <w:rsid w:val="192A5572"/>
    <w:rsid w:val="192B12EA"/>
    <w:rsid w:val="192B3098"/>
    <w:rsid w:val="192E7B16"/>
    <w:rsid w:val="19314ABB"/>
    <w:rsid w:val="193E101D"/>
    <w:rsid w:val="1969029C"/>
    <w:rsid w:val="196D1144"/>
    <w:rsid w:val="196D42C1"/>
    <w:rsid w:val="19715320"/>
    <w:rsid w:val="19B14345"/>
    <w:rsid w:val="19C02B62"/>
    <w:rsid w:val="19E05E71"/>
    <w:rsid w:val="19FD4712"/>
    <w:rsid w:val="1A144B45"/>
    <w:rsid w:val="1A1C66C0"/>
    <w:rsid w:val="1A332204"/>
    <w:rsid w:val="1A371E92"/>
    <w:rsid w:val="1A387A77"/>
    <w:rsid w:val="1A42393B"/>
    <w:rsid w:val="1A44723C"/>
    <w:rsid w:val="1A4632D7"/>
    <w:rsid w:val="1A54439E"/>
    <w:rsid w:val="1A555BBE"/>
    <w:rsid w:val="1A5F29C1"/>
    <w:rsid w:val="1A5F749D"/>
    <w:rsid w:val="1A6F7B77"/>
    <w:rsid w:val="1A885114"/>
    <w:rsid w:val="1AD87250"/>
    <w:rsid w:val="1ADA72BB"/>
    <w:rsid w:val="1AE14F80"/>
    <w:rsid w:val="1AEF6E14"/>
    <w:rsid w:val="1AF74E99"/>
    <w:rsid w:val="1B046F80"/>
    <w:rsid w:val="1B0E71AD"/>
    <w:rsid w:val="1B1117F5"/>
    <w:rsid w:val="1B1477AE"/>
    <w:rsid w:val="1B1D4EE7"/>
    <w:rsid w:val="1B244243"/>
    <w:rsid w:val="1B2A7AAB"/>
    <w:rsid w:val="1B3267B5"/>
    <w:rsid w:val="1B447AD8"/>
    <w:rsid w:val="1B5607E3"/>
    <w:rsid w:val="1B5B67BF"/>
    <w:rsid w:val="1B75684C"/>
    <w:rsid w:val="1B854CE1"/>
    <w:rsid w:val="1B9F64EC"/>
    <w:rsid w:val="1BA2295D"/>
    <w:rsid w:val="1BB235FD"/>
    <w:rsid w:val="1BC25DC8"/>
    <w:rsid w:val="1BC872C4"/>
    <w:rsid w:val="1BE0460E"/>
    <w:rsid w:val="1BE74A93"/>
    <w:rsid w:val="1BEA6CF6"/>
    <w:rsid w:val="1C3330BE"/>
    <w:rsid w:val="1C387059"/>
    <w:rsid w:val="1C4E71BE"/>
    <w:rsid w:val="1C5E7925"/>
    <w:rsid w:val="1C803F23"/>
    <w:rsid w:val="1C887FC8"/>
    <w:rsid w:val="1C98760D"/>
    <w:rsid w:val="1CE95744"/>
    <w:rsid w:val="1CEB3B54"/>
    <w:rsid w:val="1CED4F09"/>
    <w:rsid w:val="1D1B1B6E"/>
    <w:rsid w:val="1D4666F2"/>
    <w:rsid w:val="1D47530C"/>
    <w:rsid w:val="1D4B5481"/>
    <w:rsid w:val="1D5F6196"/>
    <w:rsid w:val="1D6132A5"/>
    <w:rsid w:val="1D7238DD"/>
    <w:rsid w:val="1D7E7C3A"/>
    <w:rsid w:val="1D7F1613"/>
    <w:rsid w:val="1D8E56D5"/>
    <w:rsid w:val="1DF371FE"/>
    <w:rsid w:val="1DF63C75"/>
    <w:rsid w:val="1E05210A"/>
    <w:rsid w:val="1E1E141D"/>
    <w:rsid w:val="1E4A14A1"/>
    <w:rsid w:val="1E7A43DA"/>
    <w:rsid w:val="1E874440"/>
    <w:rsid w:val="1E8A260F"/>
    <w:rsid w:val="1EA2244E"/>
    <w:rsid w:val="1EB1097C"/>
    <w:rsid w:val="1EB277FE"/>
    <w:rsid w:val="1EB41931"/>
    <w:rsid w:val="1EB5427B"/>
    <w:rsid w:val="1EE02EB8"/>
    <w:rsid w:val="1F1620F4"/>
    <w:rsid w:val="1F5122ED"/>
    <w:rsid w:val="1F576995"/>
    <w:rsid w:val="1F5F658A"/>
    <w:rsid w:val="1F66307C"/>
    <w:rsid w:val="1F6F0182"/>
    <w:rsid w:val="1F71724C"/>
    <w:rsid w:val="1F751511"/>
    <w:rsid w:val="1FC049E7"/>
    <w:rsid w:val="1FC85AF8"/>
    <w:rsid w:val="1FD4578F"/>
    <w:rsid w:val="1FD91AA0"/>
    <w:rsid w:val="1FE52AE8"/>
    <w:rsid w:val="1FE7539E"/>
    <w:rsid w:val="1FFD700C"/>
    <w:rsid w:val="200D63FA"/>
    <w:rsid w:val="201025BC"/>
    <w:rsid w:val="2042160B"/>
    <w:rsid w:val="20474C5B"/>
    <w:rsid w:val="205E1FA5"/>
    <w:rsid w:val="206E2046"/>
    <w:rsid w:val="208B25D9"/>
    <w:rsid w:val="20963CB8"/>
    <w:rsid w:val="20B07FB6"/>
    <w:rsid w:val="20BD6CCC"/>
    <w:rsid w:val="20D050BE"/>
    <w:rsid w:val="20D73BEF"/>
    <w:rsid w:val="20DE357A"/>
    <w:rsid w:val="20DF4E94"/>
    <w:rsid w:val="20FE0332"/>
    <w:rsid w:val="211A10FC"/>
    <w:rsid w:val="21344D92"/>
    <w:rsid w:val="213B74B1"/>
    <w:rsid w:val="214E70F2"/>
    <w:rsid w:val="215A2310"/>
    <w:rsid w:val="216367E8"/>
    <w:rsid w:val="219944B7"/>
    <w:rsid w:val="21B04A82"/>
    <w:rsid w:val="21B31E7D"/>
    <w:rsid w:val="21B61D9D"/>
    <w:rsid w:val="21B7468A"/>
    <w:rsid w:val="21DA4716"/>
    <w:rsid w:val="21DE318A"/>
    <w:rsid w:val="21E01DC0"/>
    <w:rsid w:val="21EF5B80"/>
    <w:rsid w:val="21F4496F"/>
    <w:rsid w:val="220F3D84"/>
    <w:rsid w:val="22156F08"/>
    <w:rsid w:val="221A1EFC"/>
    <w:rsid w:val="221A3D34"/>
    <w:rsid w:val="22396826"/>
    <w:rsid w:val="223D16E1"/>
    <w:rsid w:val="22576990"/>
    <w:rsid w:val="225E628C"/>
    <w:rsid w:val="228E67DE"/>
    <w:rsid w:val="229451CA"/>
    <w:rsid w:val="229C4EAB"/>
    <w:rsid w:val="22B8599C"/>
    <w:rsid w:val="22BA4C63"/>
    <w:rsid w:val="22C31939"/>
    <w:rsid w:val="22CB1E92"/>
    <w:rsid w:val="22D24584"/>
    <w:rsid w:val="22F917D2"/>
    <w:rsid w:val="22FD1CC3"/>
    <w:rsid w:val="23161237"/>
    <w:rsid w:val="2316669C"/>
    <w:rsid w:val="23362D65"/>
    <w:rsid w:val="235B27CC"/>
    <w:rsid w:val="235C0A1E"/>
    <w:rsid w:val="235C2C83"/>
    <w:rsid w:val="2378512C"/>
    <w:rsid w:val="237D2742"/>
    <w:rsid w:val="2399733B"/>
    <w:rsid w:val="23B06A72"/>
    <w:rsid w:val="23C93F42"/>
    <w:rsid w:val="23DA6CA9"/>
    <w:rsid w:val="241733C3"/>
    <w:rsid w:val="241E2177"/>
    <w:rsid w:val="24262DDA"/>
    <w:rsid w:val="243B6031"/>
    <w:rsid w:val="24545050"/>
    <w:rsid w:val="246D0A09"/>
    <w:rsid w:val="247955FF"/>
    <w:rsid w:val="247C5FA0"/>
    <w:rsid w:val="24853FA4"/>
    <w:rsid w:val="248C1A8E"/>
    <w:rsid w:val="24985E3C"/>
    <w:rsid w:val="249D50F0"/>
    <w:rsid w:val="24AE32A3"/>
    <w:rsid w:val="24BD218B"/>
    <w:rsid w:val="24CF3AD2"/>
    <w:rsid w:val="24D606C4"/>
    <w:rsid w:val="24D91964"/>
    <w:rsid w:val="24EC6699"/>
    <w:rsid w:val="24F2482F"/>
    <w:rsid w:val="25166CE2"/>
    <w:rsid w:val="252A114A"/>
    <w:rsid w:val="252D53FE"/>
    <w:rsid w:val="253634F0"/>
    <w:rsid w:val="254E4396"/>
    <w:rsid w:val="255020C6"/>
    <w:rsid w:val="255120D8"/>
    <w:rsid w:val="25C40AFC"/>
    <w:rsid w:val="25EC2D81"/>
    <w:rsid w:val="25F8534E"/>
    <w:rsid w:val="26040F92"/>
    <w:rsid w:val="26146435"/>
    <w:rsid w:val="26315FB0"/>
    <w:rsid w:val="264528BD"/>
    <w:rsid w:val="26500847"/>
    <w:rsid w:val="268A74F7"/>
    <w:rsid w:val="26AA1A7C"/>
    <w:rsid w:val="26CC7C68"/>
    <w:rsid w:val="26D71646"/>
    <w:rsid w:val="272159FD"/>
    <w:rsid w:val="27240C6A"/>
    <w:rsid w:val="272A6E7C"/>
    <w:rsid w:val="273A28DB"/>
    <w:rsid w:val="2741775F"/>
    <w:rsid w:val="2765697F"/>
    <w:rsid w:val="27693709"/>
    <w:rsid w:val="276A122F"/>
    <w:rsid w:val="277161B0"/>
    <w:rsid w:val="27830026"/>
    <w:rsid w:val="27933B14"/>
    <w:rsid w:val="27A91D58"/>
    <w:rsid w:val="27BB0DA8"/>
    <w:rsid w:val="27BE338B"/>
    <w:rsid w:val="27D15DD1"/>
    <w:rsid w:val="27E82228"/>
    <w:rsid w:val="28060F58"/>
    <w:rsid w:val="281C4D04"/>
    <w:rsid w:val="282F658A"/>
    <w:rsid w:val="284B2CED"/>
    <w:rsid w:val="284C7E57"/>
    <w:rsid w:val="28530C17"/>
    <w:rsid w:val="28541BD2"/>
    <w:rsid w:val="28591FB0"/>
    <w:rsid w:val="28641733"/>
    <w:rsid w:val="286F094E"/>
    <w:rsid w:val="287E12B9"/>
    <w:rsid w:val="287F0D0A"/>
    <w:rsid w:val="28A76295"/>
    <w:rsid w:val="28B1164C"/>
    <w:rsid w:val="28D41056"/>
    <w:rsid w:val="28E15521"/>
    <w:rsid w:val="28E934E3"/>
    <w:rsid w:val="28F6721F"/>
    <w:rsid w:val="290A5C6F"/>
    <w:rsid w:val="29206EB8"/>
    <w:rsid w:val="29325D7D"/>
    <w:rsid w:val="29421067"/>
    <w:rsid w:val="29491FC5"/>
    <w:rsid w:val="298B3C5F"/>
    <w:rsid w:val="29A529F3"/>
    <w:rsid w:val="29B83B80"/>
    <w:rsid w:val="29E325E0"/>
    <w:rsid w:val="29EA3434"/>
    <w:rsid w:val="29F234A6"/>
    <w:rsid w:val="29F87F6A"/>
    <w:rsid w:val="29FB7994"/>
    <w:rsid w:val="2A0776C6"/>
    <w:rsid w:val="2A0B4CC0"/>
    <w:rsid w:val="2A0F7D89"/>
    <w:rsid w:val="2A107348"/>
    <w:rsid w:val="2A1D3313"/>
    <w:rsid w:val="2A273408"/>
    <w:rsid w:val="2A330776"/>
    <w:rsid w:val="2A3510C4"/>
    <w:rsid w:val="2A355B25"/>
    <w:rsid w:val="2A44644C"/>
    <w:rsid w:val="2A452503"/>
    <w:rsid w:val="2A5341FD"/>
    <w:rsid w:val="2A55059E"/>
    <w:rsid w:val="2A7C7BF7"/>
    <w:rsid w:val="2ABE1FBE"/>
    <w:rsid w:val="2ACE1666"/>
    <w:rsid w:val="2AD839F2"/>
    <w:rsid w:val="2ADE6B4A"/>
    <w:rsid w:val="2AE27D26"/>
    <w:rsid w:val="2AEC50EA"/>
    <w:rsid w:val="2B057BED"/>
    <w:rsid w:val="2B08148B"/>
    <w:rsid w:val="2B2A01B3"/>
    <w:rsid w:val="2B382728"/>
    <w:rsid w:val="2B3A00CA"/>
    <w:rsid w:val="2B430D06"/>
    <w:rsid w:val="2B4F105E"/>
    <w:rsid w:val="2B5C3604"/>
    <w:rsid w:val="2B69017C"/>
    <w:rsid w:val="2B7277D6"/>
    <w:rsid w:val="2B744A61"/>
    <w:rsid w:val="2B756E42"/>
    <w:rsid w:val="2B920D55"/>
    <w:rsid w:val="2B96130D"/>
    <w:rsid w:val="2B9729CB"/>
    <w:rsid w:val="2BA936A8"/>
    <w:rsid w:val="2BD3305E"/>
    <w:rsid w:val="2BEF4D47"/>
    <w:rsid w:val="2BFD5910"/>
    <w:rsid w:val="2C0C4151"/>
    <w:rsid w:val="2C187F64"/>
    <w:rsid w:val="2C315A5A"/>
    <w:rsid w:val="2C3343DB"/>
    <w:rsid w:val="2C3619B9"/>
    <w:rsid w:val="2C7B6FAE"/>
    <w:rsid w:val="2C842D93"/>
    <w:rsid w:val="2C9F197B"/>
    <w:rsid w:val="2CBB70BA"/>
    <w:rsid w:val="2CD5741D"/>
    <w:rsid w:val="2D1A56B3"/>
    <w:rsid w:val="2D2F2FAF"/>
    <w:rsid w:val="2D515EDF"/>
    <w:rsid w:val="2D532720"/>
    <w:rsid w:val="2D5C1287"/>
    <w:rsid w:val="2D5E1ABB"/>
    <w:rsid w:val="2D660F0B"/>
    <w:rsid w:val="2D7544C0"/>
    <w:rsid w:val="2D7F4033"/>
    <w:rsid w:val="2D981A9F"/>
    <w:rsid w:val="2D9E56F5"/>
    <w:rsid w:val="2DA60AE7"/>
    <w:rsid w:val="2DB150B6"/>
    <w:rsid w:val="2DB651CE"/>
    <w:rsid w:val="2DB843CA"/>
    <w:rsid w:val="2DC53339"/>
    <w:rsid w:val="2DFF1514"/>
    <w:rsid w:val="2E0A72C8"/>
    <w:rsid w:val="2E241E0C"/>
    <w:rsid w:val="2E254102"/>
    <w:rsid w:val="2E3215A7"/>
    <w:rsid w:val="2E513149"/>
    <w:rsid w:val="2E605140"/>
    <w:rsid w:val="2E640D3D"/>
    <w:rsid w:val="2E667F96"/>
    <w:rsid w:val="2E8157DC"/>
    <w:rsid w:val="2E8226AB"/>
    <w:rsid w:val="2E825006"/>
    <w:rsid w:val="2E9B1CF5"/>
    <w:rsid w:val="2EA52D6F"/>
    <w:rsid w:val="2EBF3B17"/>
    <w:rsid w:val="2EC8784D"/>
    <w:rsid w:val="2ED31DB0"/>
    <w:rsid w:val="2EEB1D9C"/>
    <w:rsid w:val="2EEB66A3"/>
    <w:rsid w:val="2EF275EA"/>
    <w:rsid w:val="2F0A6E6A"/>
    <w:rsid w:val="2F1039AD"/>
    <w:rsid w:val="2F264155"/>
    <w:rsid w:val="2F430480"/>
    <w:rsid w:val="2F45373F"/>
    <w:rsid w:val="2F5527C5"/>
    <w:rsid w:val="2F587F49"/>
    <w:rsid w:val="2F5F04B7"/>
    <w:rsid w:val="2F832C79"/>
    <w:rsid w:val="2F9013C4"/>
    <w:rsid w:val="2FA3253D"/>
    <w:rsid w:val="2FAC6E5D"/>
    <w:rsid w:val="2FC72393"/>
    <w:rsid w:val="2FD602BF"/>
    <w:rsid w:val="2FD935ED"/>
    <w:rsid w:val="2FEF255F"/>
    <w:rsid w:val="2FEF2D58"/>
    <w:rsid w:val="300246FB"/>
    <w:rsid w:val="301574EF"/>
    <w:rsid w:val="30232088"/>
    <w:rsid w:val="30275401"/>
    <w:rsid w:val="30275FC0"/>
    <w:rsid w:val="305679EE"/>
    <w:rsid w:val="30580BC9"/>
    <w:rsid w:val="3069106A"/>
    <w:rsid w:val="306C44D5"/>
    <w:rsid w:val="308220A2"/>
    <w:rsid w:val="30C12E8B"/>
    <w:rsid w:val="30CD1A42"/>
    <w:rsid w:val="30D23B66"/>
    <w:rsid w:val="30DF797C"/>
    <w:rsid w:val="30F02A92"/>
    <w:rsid w:val="311E2ED7"/>
    <w:rsid w:val="31292A95"/>
    <w:rsid w:val="315A1D85"/>
    <w:rsid w:val="315C449C"/>
    <w:rsid w:val="315D491D"/>
    <w:rsid w:val="31A876A2"/>
    <w:rsid w:val="31B82709"/>
    <w:rsid w:val="31E247E4"/>
    <w:rsid w:val="31EA3BF2"/>
    <w:rsid w:val="32223D4C"/>
    <w:rsid w:val="322B37C3"/>
    <w:rsid w:val="322E4F1A"/>
    <w:rsid w:val="32400B34"/>
    <w:rsid w:val="325F576F"/>
    <w:rsid w:val="32676A97"/>
    <w:rsid w:val="326A26D5"/>
    <w:rsid w:val="329E6876"/>
    <w:rsid w:val="32A81D3F"/>
    <w:rsid w:val="32E40324"/>
    <w:rsid w:val="32F25BBF"/>
    <w:rsid w:val="32FD564D"/>
    <w:rsid w:val="33043A98"/>
    <w:rsid w:val="33271912"/>
    <w:rsid w:val="33446DD8"/>
    <w:rsid w:val="335831A6"/>
    <w:rsid w:val="335F3C12"/>
    <w:rsid w:val="335F5BD4"/>
    <w:rsid w:val="33624526"/>
    <w:rsid w:val="336A405C"/>
    <w:rsid w:val="337C47C4"/>
    <w:rsid w:val="337F42B4"/>
    <w:rsid w:val="33883169"/>
    <w:rsid w:val="339C7D16"/>
    <w:rsid w:val="33AD0E22"/>
    <w:rsid w:val="33B57CD6"/>
    <w:rsid w:val="33D47D4F"/>
    <w:rsid w:val="33D934D4"/>
    <w:rsid w:val="33E228F6"/>
    <w:rsid w:val="33E317DE"/>
    <w:rsid w:val="33E75ED9"/>
    <w:rsid w:val="33EB36F8"/>
    <w:rsid w:val="33FE2F6A"/>
    <w:rsid w:val="34101033"/>
    <w:rsid w:val="34155C30"/>
    <w:rsid w:val="341B5D8B"/>
    <w:rsid w:val="342A7BA0"/>
    <w:rsid w:val="342B60E5"/>
    <w:rsid w:val="343054E5"/>
    <w:rsid w:val="343230D5"/>
    <w:rsid w:val="34592D57"/>
    <w:rsid w:val="34670FD0"/>
    <w:rsid w:val="34B017CE"/>
    <w:rsid w:val="34BB67DC"/>
    <w:rsid w:val="34C86083"/>
    <w:rsid w:val="34E42656"/>
    <w:rsid w:val="34E844EF"/>
    <w:rsid w:val="351C6F68"/>
    <w:rsid w:val="35245D2C"/>
    <w:rsid w:val="352A38F1"/>
    <w:rsid w:val="353646C3"/>
    <w:rsid w:val="353A3B27"/>
    <w:rsid w:val="354632DC"/>
    <w:rsid w:val="355A28E3"/>
    <w:rsid w:val="3566572C"/>
    <w:rsid w:val="356814A4"/>
    <w:rsid w:val="35747E49"/>
    <w:rsid w:val="35941783"/>
    <w:rsid w:val="35C236B1"/>
    <w:rsid w:val="35C83CF1"/>
    <w:rsid w:val="35EF4E1B"/>
    <w:rsid w:val="35F07A71"/>
    <w:rsid w:val="35F150CE"/>
    <w:rsid w:val="36036374"/>
    <w:rsid w:val="36074A7F"/>
    <w:rsid w:val="3616309C"/>
    <w:rsid w:val="361A0858"/>
    <w:rsid w:val="361B1CDF"/>
    <w:rsid w:val="36750F75"/>
    <w:rsid w:val="367D7F23"/>
    <w:rsid w:val="36923549"/>
    <w:rsid w:val="36A75FFC"/>
    <w:rsid w:val="36B75FBF"/>
    <w:rsid w:val="36BB6985"/>
    <w:rsid w:val="36BD7687"/>
    <w:rsid w:val="36C62A73"/>
    <w:rsid w:val="36CE7325"/>
    <w:rsid w:val="36FB4891"/>
    <w:rsid w:val="37046FAB"/>
    <w:rsid w:val="373F7D42"/>
    <w:rsid w:val="375D15A6"/>
    <w:rsid w:val="375F0704"/>
    <w:rsid w:val="378B2AA5"/>
    <w:rsid w:val="379963C7"/>
    <w:rsid w:val="37A333EE"/>
    <w:rsid w:val="37C077B1"/>
    <w:rsid w:val="37CD1A92"/>
    <w:rsid w:val="37CD3932"/>
    <w:rsid w:val="37F606DB"/>
    <w:rsid w:val="37F65BD2"/>
    <w:rsid w:val="37FA1725"/>
    <w:rsid w:val="38577EAB"/>
    <w:rsid w:val="38637D01"/>
    <w:rsid w:val="3870241E"/>
    <w:rsid w:val="387542FC"/>
    <w:rsid w:val="389912BB"/>
    <w:rsid w:val="38A44724"/>
    <w:rsid w:val="38B247E4"/>
    <w:rsid w:val="38B62526"/>
    <w:rsid w:val="38BD0749"/>
    <w:rsid w:val="38E277E7"/>
    <w:rsid w:val="38F12CD3"/>
    <w:rsid w:val="38F94775"/>
    <w:rsid w:val="38FA68B7"/>
    <w:rsid w:val="38FC1E4B"/>
    <w:rsid w:val="38FD0155"/>
    <w:rsid w:val="390908A8"/>
    <w:rsid w:val="390E4110"/>
    <w:rsid w:val="390E5CB1"/>
    <w:rsid w:val="39111E53"/>
    <w:rsid w:val="391B682D"/>
    <w:rsid w:val="392751D2"/>
    <w:rsid w:val="392971ED"/>
    <w:rsid w:val="392B4462"/>
    <w:rsid w:val="39305703"/>
    <w:rsid w:val="393731E6"/>
    <w:rsid w:val="39542E1A"/>
    <w:rsid w:val="39662B65"/>
    <w:rsid w:val="396F0447"/>
    <w:rsid w:val="398A12C3"/>
    <w:rsid w:val="39942EF0"/>
    <w:rsid w:val="399E7355"/>
    <w:rsid w:val="39A62C24"/>
    <w:rsid w:val="39B479BB"/>
    <w:rsid w:val="39CE38A0"/>
    <w:rsid w:val="3A045513"/>
    <w:rsid w:val="3A076141"/>
    <w:rsid w:val="3A2B0CF2"/>
    <w:rsid w:val="3A306308"/>
    <w:rsid w:val="3A324A06"/>
    <w:rsid w:val="3A510ED9"/>
    <w:rsid w:val="3A523EFD"/>
    <w:rsid w:val="3A571AE7"/>
    <w:rsid w:val="3A692AF3"/>
    <w:rsid w:val="3A884383"/>
    <w:rsid w:val="3A920779"/>
    <w:rsid w:val="3AA47B6F"/>
    <w:rsid w:val="3AAA7E69"/>
    <w:rsid w:val="3ABA038B"/>
    <w:rsid w:val="3AC262D0"/>
    <w:rsid w:val="3AC74A79"/>
    <w:rsid w:val="3AE315CD"/>
    <w:rsid w:val="3AFA0DF0"/>
    <w:rsid w:val="3AFB3AFA"/>
    <w:rsid w:val="3B163750"/>
    <w:rsid w:val="3B181276"/>
    <w:rsid w:val="3B2203C8"/>
    <w:rsid w:val="3B297E39"/>
    <w:rsid w:val="3B2C3D25"/>
    <w:rsid w:val="3B2C7764"/>
    <w:rsid w:val="3B375346"/>
    <w:rsid w:val="3B3763D1"/>
    <w:rsid w:val="3B483EC7"/>
    <w:rsid w:val="3B4D70C2"/>
    <w:rsid w:val="3B7B3FDE"/>
    <w:rsid w:val="3B8E3F34"/>
    <w:rsid w:val="3BA54333"/>
    <w:rsid w:val="3BB07D59"/>
    <w:rsid w:val="3BB439AE"/>
    <w:rsid w:val="3BC60CD2"/>
    <w:rsid w:val="3BC761E8"/>
    <w:rsid w:val="3BD827B4"/>
    <w:rsid w:val="3BDB4052"/>
    <w:rsid w:val="3BE52006"/>
    <w:rsid w:val="3BFA41C9"/>
    <w:rsid w:val="3BFD4725"/>
    <w:rsid w:val="3C02537B"/>
    <w:rsid w:val="3C15560C"/>
    <w:rsid w:val="3C1D4016"/>
    <w:rsid w:val="3C56470C"/>
    <w:rsid w:val="3C611912"/>
    <w:rsid w:val="3C9F32D2"/>
    <w:rsid w:val="3CB94393"/>
    <w:rsid w:val="3CD155B4"/>
    <w:rsid w:val="3CDA245A"/>
    <w:rsid w:val="3CE84C78"/>
    <w:rsid w:val="3CEE0A37"/>
    <w:rsid w:val="3D075D8F"/>
    <w:rsid w:val="3D200500"/>
    <w:rsid w:val="3D393726"/>
    <w:rsid w:val="3D604BF0"/>
    <w:rsid w:val="3D696D70"/>
    <w:rsid w:val="3D762284"/>
    <w:rsid w:val="3DB64D77"/>
    <w:rsid w:val="3DB93C3A"/>
    <w:rsid w:val="3DC77914"/>
    <w:rsid w:val="3DC97D5B"/>
    <w:rsid w:val="3DD35929"/>
    <w:rsid w:val="3DE141B8"/>
    <w:rsid w:val="3DE23AE2"/>
    <w:rsid w:val="3DEE6A01"/>
    <w:rsid w:val="3E115526"/>
    <w:rsid w:val="3E16775C"/>
    <w:rsid w:val="3E360791"/>
    <w:rsid w:val="3E4719D3"/>
    <w:rsid w:val="3E497999"/>
    <w:rsid w:val="3E7964D0"/>
    <w:rsid w:val="3EFD18C7"/>
    <w:rsid w:val="3F1104B7"/>
    <w:rsid w:val="3F217805"/>
    <w:rsid w:val="3F2D72BA"/>
    <w:rsid w:val="3F660E74"/>
    <w:rsid w:val="3F666AD0"/>
    <w:rsid w:val="3F6A25B2"/>
    <w:rsid w:val="3F7B3322"/>
    <w:rsid w:val="3F7E0B75"/>
    <w:rsid w:val="3F8956A8"/>
    <w:rsid w:val="3F8C5D8F"/>
    <w:rsid w:val="3F9115F7"/>
    <w:rsid w:val="3FA52EE5"/>
    <w:rsid w:val="3FA83641"/>
    <w:rsid w:val="3FAF6E07"/>
    <w:rsid w:val="3FBD3924"/>
    <w:rsid w:val="3FCA68B7"/>
    <w:rsid w:val="3FCB34E6"/>
    <w:rsid w:val="3FD00372"/>
    <w:rsid w:val="3FD118D8"/>
    <w:rsid w:val="400B75FC"/>
    <w:rsid w:val="40107D2A"/>
    <w:rsid w:val="4011165D"/>
    <w:rsid w:val="40155F55"/>
    <w:rsid w:val="40162472"/>
    <w:rsid w:val="40267E17"/>
    <w:rsid w:val="40300733"/>
    <w:rsid w:val="403C5749"/>
    <w:rsid w:val="405F73AD"/>
    <w:rsid w:val="40694322"/>
    <w:rsid w:val="407056B1"/>
    <w:rsid w:val="407A0C78"/>
    <w:rsid w:val="407A6407"/>
    <w:rsid w:val="408A0E7C"/>
    <w:rsid w:val="40A55471"/>
    <w:rsid w:val="40C90468"/>
    <w:rsid w:val="40CD2B03"/>
    <w:rsid w:val="40D95004"/>
    <w:rsid w:val="41054F50"/>
    <w:rsid w:val="4107771F"/>
    <w:rsid w:val="410A1F16"/>
    <w:rsid w:val="411155FB"/>
    <w:rsid w:val="411E4201"/>
    <w:rsid w:val="412511BE"/>
    <w:rsid w:val="412B568A"/>
    <w:rsid w:val="412D25B4"/>
    <w:rsid w:val="41592C89"/>
    <w:rsid w:val="41755F54"/>
    <w:rsid w:val="41780CC1"/>
    <w:rsid w:val="419235EB"/>
    <w:rsid w:val="419D0727"/>
    <w:rsid w:val="41A20564"/>
    <w:rsid w:val="41CF4659"/>
    <w:rsid w:val="41D41C6F"/>
    <w:rsid w:val="41D97316"/>
    <w:rsid w:val="41E579D9"/>
    <w:rsid w:val="41EE1526"/>
    <w:rsid w:val="41FF7556"/>
    <w:rsid w:val="420C1955"/>
    <w:rsid w:val="42156510"/>
    <w:rsid w:val="421A7D7F"/>
    <w:rsid w:val="42332F68"/>
    <w:rsid w:val="423A3BCC"/>
    <w:rsid w:val="423D5A66"/>
    <w:rsid w:val="423F533B"/>
    <w:rsid w:val="4253528A"/>
    <w:rsid w:val="425836CC"/>
    <w:rsid w:val="42663905"/>
    <w:rsid w:val="426E500B"/>
    <w:rsid w:val="426E5C20"/>
    <w:rsid w:val="426F0B0E"/>
    <w:rsid w:val="42823DB6"/>
    <w:rsid w:val="42865E45"/>
    <w:rsid w:val="428B5599"/>
    <w:rsid w:val="428E30DA"/>
    <w:rsid w:val="4292190E"/>
    <w:rsid w:val="42984A4B"/>
    <w:rsid w:val="42CD6DEA"/>
    <w:rsid w:val="42D40179"/>
    <w:rsid w:val="42D71A17"/>
    <w:rsid w:val="42D9648D"/>
    <w:rsid w:val="42DE4B54"/>
    <w:rsid w:val="42F93000"/>
    <w:rsid w:val="42F951EF"/>
    <w:rsid w:val="42FE6FA4"/>
    <w:rsid w:val="430345BA"/>
    <w:rsid w:val="430F11B1"/>
    <w:rsid w:val="431D412A"/>
    <w:rsid w:val="432E3C17"/>
    <w:rsid w:val="433513BF"/>
    <w:rsid w:val="433A3E47"/>
    <w:rsid w:val="433A54D5"/>
    <w:rsid w:val="433A6FE6"/>
    <w:rsid w:val="4350713C"/>
    <w:rsid w:val="436112E1"/>
    <w:rsid w:val="43617533"/>
    <w:rsid w:val="436653E0"/>
    <w:rsid w:val="438020AF"/>
    <w:rsid w:val="43A07D60"/>
    <w:rsid w:val="43A655D4"/>
    <w:rsid w:val="43BB1407"/>
    <w:rsid w:val="43BC3141"/>
    <w:rsid w:val="43E17353"/>
    <w:rsid w:val="43E90552"/>
    <w:rsid w:val="44332E1A"/>
    <w:rsid w:val="44384737"/>
    <w:rsid w:val="44494618"/>
    <w:rsid w:val="444F0682"/>
    <w:rsid w:val="44531571"/>
    <w:rsid w:val="44692B43"/>
    <w:rsid w:val="447943F6"/>
    <w:rsid w:val="447A4D50"/>
    <w:rsid w:val="448742A8"/>
    <w:rsid w:val="44986F84"/>
    <w:rsid w:val="449A2CFC"/>
    <w:rsid w:val="449F47B6"/>
    <w:rsid w:val="44CD14E0"/>
    <w:rsid w:val="44E40213"/>
    <w:rsid w:val="44F52628"/>
    <w:rsid w:val="45010FCD"/>
    <w:rsid w:val="450137F0"/>
    <w:rsid w:val="450D0C9B"/>
    <w:rsid w:val="450E314E"/>
    <w:rsid w:val="45132AAF"/>
    <w:rsid w:val="451A4965"/>
    <w:rsid w:val="451E6974"/>
    <w:rsid w:val="452756CC"/>
    <w:rsid w:val="453766E7"/>
    <w:rsid w:val="45403BB5"/>
    <w:rsid w:val="45603F46"/>
    <w:rsid w:val="45654104"/>
    <w:rsid w:val="458946E9"/>
    <w:rsid w:val="45C46976"/>
    <w:rsid w:val="45C476F1"/>
    <w:rsid w:val="45DD0BC4"/>
    <w:rsid w:val="45E16C19"/>
    <w:rsid w:val="45E958C2"/>
    <w:rsid w:val="45ED3300"/>
    <w:rsid w:val="45ED51BC"/>
    <w:rsid w:val="45EF52CA"/>
    <w:rsid w:val="46020B59"/>
    <w:rsid w:val="461B7E6D"/>
    <w:rsid w:val="46426740"/>
    <w:rsid w:val="4647357A"/>
    <w:rsid w:val="464C5BD7"/>
    <w:rsid w:val="464E5266"/>
    <w:rsid w:val="4662410F"/>
    <w:rsid w:val="4665558C"/>
    <w:rsid w:val="468452BE"/>
    <w:rsid w:val="469D252C"/>
    <w:rsid w:val="469F1234"/>
    <w:rsid w:val="46B04006"/>
    <w:rsid w:val="46C04A60"/>
    <w:rsid w:val="46C11D22"/>
    <w:rsid w:val="46D955A7"/>
    <w:rsid w:val="47062500"/>
    <w:rsid w:val="470923BB"/>
    <w:rsid w:val="47133957"/>
    <w:rsid w:val="47172729"/>
    <w:rsid w:val="47370CD6"/>
    <w:rsid w:val="473F1A7D"/>
    <w:rsid w:val="47680E90"/>
    <w:rsid w:val="4779329E"/>
    <w:rsid w:val="47A07E0C"/>
    <w:rsid w:val="47A120FB"/>
    <w:rsid w:val="47C65414"/>
    <w:rsid w:val="47D06870"/>
    <w:rsid w:val="47D47AF4"/>
    <w:rsid w:val="47D50476"/>
    <w:rsid w:val="47ED5839"/>
    <w:rsid w:val="47F0411D"/>
    <w:rsid w:val="47F15329"/>
    <w:rsid w:val="47F75622"/>
    <w:rsid w:val="48195AE2"/>
    <w:rsid w:val="481D3E1B"/>
    <w:rsid w:val="481E1E96"/>
    <w:rsid w:val="48311D25"/>
    <w:rsid w:val="48564788"/>
    <w:rsid w:val="485F657B"/>
    <w:rsid w:val="486E0728"/>
    <w:rsid w:val="4870272E"/>
    <w:rsid w:val="487F2F7D"/>
    <w:rsid w:val="48847F4B"/>
    <w:rsid w:val="48853239"/>
    <w:rsid w:val="48945CB4"/>
    <w:rsid w:val="48981FDB"/>
    <w:rsid w:val="48A227F4"/>
    <w:rsid w:val="48AD0F4E"/>
    <w:rsid w:val="48C77E38"/>
    <w:rsid w:val="48D84B2B"/>
    <w:rsid w:val="49011FF5"/>
    <w:rsid w:val="49014A37"/>
    <w:rsid w:val="490619BC"/>
    <w:rsid w:val="49086E8F"/>
    <w:rsid w:val="490E2746"/>
    <w:rsid w:val="49296771"/>
    <w:rsid w:val="494C41EC"/>
    <w:rsid w:val="49603530"/>
    <w:rsid w:val="49670139"/>
    <w:rsid w:val="49755AE6"/>
    <w:rsid w:val="4984163B"/>
    <w:rsid w:val="498571F8"/>
    <w:rsid w:val="49B758A3"/>
    <w:rsid w:val="49D33B00"/>
    <w:rsid w:val="49DB003F"/>
    <w:rsid w:val="49DC7715"/>
    <w:rsid w:val="49DE7F41"/>
    <w:rsid w:val="49E14F29"/>
    <w:rsid w:val="49FE3D2D"/>
    <w:rsid w:val="4A023139"/>
    <w:rsid w:val="4A22351A"/>
    <w:rsid w:val="4A534028"/>
    <w:rsid w:val="4A581016"/>
    <w:rsid w:val="4A6921BC"/>
    <w:rsid w:val="4A7B576F"/>
    <w:rsid w:val="4A8C352C"/>
    <w:rsid w:val="4A971A3B"/>
    <w:rsid w:val="4A981C28"/>
    <w:rsid w:val="4A9B42A2"/>
    <w:rsid w:val="4AB65807"/>
    <w:rsid w:val="4ABA31A2"/>
    <w:rsid w:val="4ABB6AB5"/>
    <w:rsid w:val="4AD23834"/>
    <w:rsid w:val="4ADC085D"/>
    <w:rsid w:val="4ADC724A"/>
    <w:rsid w:val="4B027E16"/>
    <w:rsid w:val="4B074019"/>
    <w:rsid w:val="4B07529E"/>
    <w:rsid w:val="4B376ACD"/>
    <w:rsid w:val="4B380701"/>
    <w:rsid w:val="4B4D30FB"/>
    <w:rsid w:val="4B667DDC"/>
    <w:rsid w:val="4B82488A"/>
    <w:rsid w:val="4B966D92"/>
    <w:rsid w:val="4B967555"/>
    <w:rsid w:val="4BBA394F"/>
    <w:rsid w:val="4BBC17AA"/>
    <w:rsid w:val="4BD50ABE"/>
    <w:rsid w:val="4BD73B3D"/>
    <w:rsid w:val="4BD969A1"/>
    <w:rsid w:val="4BDD5875"/>
    <w:rsid w:val="4BEA1443"/>
    <w:rsid w:val="4BFA14BF"/>
    <w:rsid w:val="4C2F0FC1"/>
    <w:rsid w:val="4C4A0649"/>
    <w:rsid w:val="4C516396"/>
    <w:rsid w:val="4C620E5B"/>
    <w:rsid w:val="4C6A074A"/>
    <w:rsid w:val="4C6A1EDD"/>
    <w:rsid w:val="4C8A3367"/>
    <w:rsid w:val="4C904A50"/>
    <w:rsid w:val="4C96791F"/>
    <w:rsid w:val="4CD77ED7"/>
    <w:rsid w:val="4CE470D3"/>
    <w:rsid w:val="4CEE19C4"/>
    <w:rsid w:val="4D09071B"/>
    <w:rsid w:val="4D110FBB"/>
    <w:rsid w:val="4D1E34D5"/>
    <w:rsid w:val="4D242E94"/>
    <w:rsid w:val="4D267475"/>
    <w:rsid w:val="4D4C3583"/>
    <w:rsid w:val="4D664345"/>
    <w:rsid w:val="4D7C4508"/>
    <w:rsid w:val="4D863560"/>
    <w:rsid w:val="4D93478D"/>
    <w:rsid w:val="4D9549A9"/>
    <w:rsid w:val="4DCE3A17"/>
    <w:rsid w:val="4DD80C70"/>
    <w:rsid w:val="4DE247B1"/>
    <w:rsid w:val="4DEC4FB0"/>
    <w:rsid w:val="4DF5539E"/>
    <w:rsid w:val="4E075D8A"/>
    <w:rsid w:val="4E296E9F"/>
    <w:rsid w:val="4E2B0E69"/>
    <w:rsid w:val="4E466A35"/>
    <w:rsid w:val="4E4E414A"/>
    <w:rsid w:val="4E622728"/>
    <w:rsid w:val="4E636855"/>
    <w:rsid w:val="4E722480"/>
    <w:rsid w:val="4E854A1D"/>
    <w:rsid w:val="4EA40C60"/>
    <w:rsid w:val="4EB64BD7"/>
    <w:rsid w:val="4EC56BC8"/>
    <w:rsid w:val="4EEF00E8"/>
    <w:rsid w:val="4EFB03B7"/>
    <w:rsid w:val="4F031046"/>
    <w:rsid w:val="4F102BE2"/>
    <w:rsid w:val="4F1338C8"/>
    <w:rsid w:val="4F3124AF"/>
    <w:rsid w:val="4F312CC3"/>
    <w:rsid w:val="4F4552C7"/>
    <w:rsid w:val="4F617220"/>
    <w:rsid w:val="4F876573"/>
    <w:rsid w:val="4F8D1DDB"/>
    <w:rsid w:val="4F9D7B44"/>
    <w:rsid w:val="4FBD1F95"/>
    <w:rsid w:val="4FC14613"/>
    <w:rsid w:val="4FC50CEB"/>
    <w:rsid w:val="4FC62A8C"/>
    <w:rsid w:val="4FE20F0D"/>
    <w:rsid w:val="4FE90FDC"/>
    <w:rsid w:val="4FF77255"/>
    <w:rsid w:val="500D049A"/>
    <w:rsid w:val="502B3F12"/>
    <w:rsid w:val="502B6F59"/>
    <w:rsid w:val="503540D6"/>
    <w:rsid w:val="503B4BE7"/>
    <w:rsid w:val="504C17C5"/>
    <w:rsid w:val="50504C4B"/>
    <w:rsid w:val="50797CC1"/>
    <w:rsid w:val="508B13F1"/>
    <w:rsid w:val="50994E97"/>
    <w:rsid w:val="509C6E7C"/>
    <w:rsid w:val="50B934BB"/>
    <w:rsid w:val="50BE014B"/>
    <w:rsid w:val="510B3D50"/>
    <w:rsid w:val="510C6D30"/>
    <w:rsid w:val="5119769F"/>
    <w:rsid w:val="511D6795"/>
    <w:rsid w:val="511F2F07"/>
    <w:rsid w:val="51217A74"/>
    <w:rsid w:val="51432318"/>
    <w:rsid w:val="514364CA"/>
    <w:rsid w:val="514761E8"/>
    <w:rsid w:val="51477D68"/>
    <w:rsid w:val="5151478A"/>
    <w:rsid w:val="516059AF"/>
    <w:rsid w:val="5162104E"/>
    <w:rsid w:val="51A108D2"/>
    <w:rsid w:val="51A46F68"/>
    <w:rsid w:val="51B30B7F"/>
    <w:rsid w:val="51B354F7"/>
    <w:rsid w:val="51ED009E"/>
    <w:rsid w:val="51FE3B11"/>
    <w:rsid w:val="520514AA"/>
    <w:rsid w:val="520B69A6"/>
    <w:rsid w:val="521F52CC"/>
    <w:rsid w:val="52392A02"/>
    <w:rsid w:val="527E3C5D"/>
    <w:rsid w:val="5290125A"/>
    <w:rsid w:val="529E28EE"/>
    <w:rsid w:val="52C5363A"/>
    <w:rsid w:val="52CB1154"/>
    <w:rsid w:val="52CF44B9"/>
    <w:rsid w:val="52D25D57"/>
    <w:rsid w:val="52D84F6A"/>
    <w:rsid w:val="52DA4C61"/>
    <w:rsid w:val="530E74B7"/>
    <w:rsid w:val="53210C7A"/>
    <w:rsid w:val="53307BB7"/>
    <w:rsid w:val="534479A8"/>
    <w:rsid w:val="536D2BFD"/>
    <w:rsid w:val="53746E0E"/>
    <w:rsid w:val="537A08C9"/>
    <w:rsid w:val="537C4D9E"/>
    <w:rsid w:val="538C1421"/>
    <w:rsid w:val="53A039CC"/>
    <w:rsid w:val="53A1505A"/>
    <w:rsid w:val="53A2397B"/>
    <w:rsid w:val="53A560DC"/>
    <w:rsid w:val="53AE2320"/>
    <w:rsid w:val="53C73F79"/>
    <w:rsid w:val="53DE7BA6"/>
    <w:rsid w:val="53EC109A"/>
    <w:rsid w:val="54063E08"/>
    <w:rsid w:val="54160C10"/>
    <w:rsid w:val="54291EC5"/>
    <w:rsid w:val="543437E8"/>
    <w:rsid w:val="543547EF"/>
    <w:rsid w:val="546926EB"/>
    <w:rsid w:val="546D40DC"/>
    <w:rsid w:val="546F6062"/>
    <w:rsid w:val="5478427C"/>
    <w:rsid w:val="54A92AE8"/>
    <w:rsid w:val="54AE2C44"/>
    <w:rsid w:val="54C87F4D"/>
    <w:rsid w:val="54D77655"/>
    <w:rsid w:val="54D86127"/>
    <w:rsid w:val="54E44ED6"/>
    <w:rsid w:val="55142EEF"/>
    <w:rsid w:val="552D54C7"/>
    <w:rsid w:val="55451EB1"/>
    <w:rsid w:val="55482C14"/>
    <w:rsid w:val="5562510A"/>
    <w:rsid w:val="558863EB"/>
    <w:rsid w:val="559B174B"/>
    <w:rsid w:val="55CC4CE0"/>
    <w:rsid w:val="55CE0CF4"/>
    <w:rsid w:val="55DB780D"/>
    <w:rsid w:val="55E86828"/>
    <w:rsid w:val="55E92A2C"/>
    <w:rsid w:val="55F918BC"/>
    <w:rsid w:val="56124994"/>
    <w:rsid w:val="561609D5"/>
    <w:rsid w:val="563B3C13"/>
    <w:rsid w:val="563E29F7"/>
    <w:rsid w:val="56454AA4"/>
    <w:rsid w:val="56570A4D"/>
    <w:rsid w:val="56794E67"/>
    <w:rsid w:val="567C0A12"/>
    <w:rsid w:val="56936A6D"/>
    <w:rsid w:val="56A33C92"/>
    <w:rsid w:val="56A35797"/>
    <w:rsid w:val="56B22A9C"/>
    <w:rsid w:val="56C169E5"/>
    <w:rsid w:val="56D73191"/>
    <w:rsid w:val="56D77DE0"/>
    <w:rsid w:val="56E209C5"/>
    <w:rsid w:val="57044B1F"/>
    <w:rsid w:val="570738D6"/>
    <w:rsid w:val="57174680"/>
    <w:rsid w:val="57375511"/>
    <w:rsid w:val="5738017F"/>
    <w:rsid w:val="573C0715"/>
    <w:rsid w:val="576C4A4E"/>
    <w:rsid w:val="57A22C31"/>
    <w:rsid w:val="57B72A76"/>
    <w:rsid w:val="57CA53FE"/>
    <w:rsid w:val="57EB72A1"/>
    <w:rsid w:val="582F1556"/>
    <w:rsid w:val="58367C09"/>
    <w:rsid w:val="583B614D"/>
    <w:rsid w:val="58627B7D"/>
    <w:rsid w:val="587442AD"/>
    <w:rsid w:val="5886386C"/>
    <w:rsid w:val="58A04948"/>
    <w:rsid w:val="58A14202"/>
    <w:rsid w:val="58D13B17"/>
    <w:rsid w:val="58F03289"/>
    <w:rsid w:val="59192E6D"/>
    <w:rsid w:val="5919401E"/>
    <w:rsid w:val="591C731D"/>
    <w:rsid w:val="593B6F6F"/>
    <w:rsid w:val="593E34F6"/>
    <w:rsid w:val="5978578B"/>
    <w:rsid w:val="597B0F3D"/>
    <w:rsid w:val="59870472"/>
    <w:rsid w:val="598A299B"/>
    <w:rsid w:val="598F6750"/>
    <w:rsid w:val="599B50F5"/>
    <w:rsid w:val="59C604DE"/>
    <w:rsid w:val="59F05922"/>
    <w:rsid w:val="59F51775"/>
    <w:rsid w:val="59F64A21"/>
    <w:rsid w:val="59FD5EB2"/>
    <w:rsid w:val="5A02006D"/>
    <w:rsid w:val="5A1124DF"/>
    <w:rsid w:val="5A3C747D"/>
    <w:rsid w:val="5A3F7F02"/>
    <w:rsid w:val="5A41017D"/>
    <w:rsid w:val="5A44753A"/>
    <w:rsid w:val="5A4B385C"/>
    <w:rsid w:val="5A504131"/>
    <w:rsid w:val="5A8B5169"/>
    <w:rsid w:val="5A8E4C59"/>
    <w:rsid w:val="5A94704B"/>
    <w:rsid w:val="5AAF3090"/>
    <w:rsid w:val="5AB92F88"/>
    <w:rsid w:val="5ABE2233"/>
    <w:rsid w:val="5AC72B57"/>
    <w:rsid w:val="5ACC5271"/>
    <w:rsid w:val="5AD85ED5"/>
    <w:rsid w:val="5AD9459C"/>
    <w:rsid w:val="5AF440A0"/>
    <w:rsid w:val="5AFD0D0C"/>
    <w:rsid w:val="5B0A2B6C"/>
    <w:rsid w:val="5B21454D"/>
    <w:rsid w:val="5B21787C"/>
    <w:rsid w:val="5B276D18"/>
    <w:rsid w:val="5B3E4230"/>
    <w:rsid w:val="5B5277F7"/>
    <w:rsid w:val="5B537EED"/>
    <w:rsid w:val="5B654883"/>
    <w:rsid w:val="5B6B4403"/>
    <w:rsid w:val="5B6F4A8B"/>
    <w:rsid w:val="5B702BBF"/>
    <w:rsid w:val="5B7F45A2"/>
    <w:rsid w:val="5B8816A9"/>
    <w:rsid w:val="5B8B207C"/>
    <w:rsid w:val="5B963047"/>
    <w:rsid w:val="5BB95855"/>
    <w:rsid w:val="5BC80191"/>
    <w:rsid w:val="5BCE5E90"/>
    <w:rsid w:val="5BDF5D95"/>
    <w:rsid w:val="5BE72873"/>
    <w:rsid w:val="5BFD0480"/>
    <w:rsid w:val="5C090F2F"/>
    <w:rsid w:val="5C1B79E0"/>
    <w:rsid w:val="5C2A09B2"/>
    <w:rsid w:val="5C393B7E"/>
    <w:rsid w:val="5C42018B"/>
    <w:rsid w:val="5C473312"/>
    <w:rsid w:val="5C4821F4"/>
    <w:rsid w:val="5C4F0418"/>
    <w:rsid w:val="5C4F54D6"/>
    <w:rsid w:val="5C6E4D42"/>
    <w:rsid w:val="5C710D93"/>
    <w:rsid w:val="5C744E01"/>
    <w:rsid w:val="5C817DCF"/>
    <w:rsid w:val="5C871960"/>
    <w:rsid w:val="5CBF734C"/>
    <w:rsid w:val="5CD85DEB"/>
    <w:rsid w:val="5CE4141D"/>
    <w:rsid w:val="5CE66442"/>
    <w:rsid w:val="5CFF1E3E"/>
    <w:rsid w:val="5D1C2342"/>
    <w:rsid w:val="5D242FBD"/>
    <w:rsid w:val="5D3F72BB"/>
    <w:rsid w:val="5D4F3E18"/>
    <w:rsid w:val="5D59154F"/>
    <w:rsid w:val="5D5C2F0F"/>
    <w:rsid w:val="5D6F6A3F"/>
    <w:rsid w:val="5D887E95"/>
    <w:rsid w:val="5DAE4355"/>
    <w:rsid w:val="5DB25C0E"/>
    <w:rsid w:val="5DB26EB1"/>
    <w:rsid w:val="5DBB14A3"/>
    <w:rsid w:val="5DBF512A"/>
    <w:rsid w:val="5DC02F4A"/>
    <w:rsid w:val="5DC32E6C"/>
    <w:rsid w:val="5DC818E3"/>
    <w:rsid w:val="5DD426FD"/>
    <w:rsid w:val="5DD872CF"/>
    <w:rsid w:val="5DDE7679"/>
    <w:rsid w:val="5DE03A1E"/>
    <w:rsid w:val="5DF179D9"/>
    <w:rsid w:val="5DF87A0F"/>
    <w:rsid w:val="5DFC50BD"/>
    <w:rsid w:val="5E0F7E5F"/>
    <w:rsid w:val="5E145476"/>
    <w:rsid w:val="5E4D0B44"/>
    <w:rsid w:val="5E5D6E1D"/>
    <w:rsid w:val="5E604706"/>
    <w:rsid w:val="5E677548"/>
    <w:rsid w:val="5E7E4A0C"/>
    <w:rsid w:val="5E824F54"/>
    <w:rsid w:val="5EA842DD"/>
    <w:rsid w:val="5EAA781E"/>
    <w:rsid w:val="5EB7471A"/>
    <w:rsid w:val="5EBF1885"/>
    <w:rsid w:val="5ED35331"/>
    <w:rsid w:val="5EE27405"/>
    <w:rsid w:val="5F08021D"/>
    <w:rsid w:val="5F1A2B43"/>
    <w:rsid w:val="5F2416E8"/>
    <w:rsid w:val="5F2B25D2"/>
    <w:rsid w:val="5F751F44"/>
    <w:rsid w:val="5F8C714A"/>
    <w:rsid w:val="5F9E7C73"/>
    <w:rsid w:val="5FB837BB"/>
    <w:rsid w:val="5FCE3E5E"/>
    <w:rsid w:val="5FDC1911"/>
    <w:rsid w:val="5FF732A1"/>
    <w:rsid w:val="600E0DE6"/>
    <w:rsid w:val="602045A6"/>
    <w:rsid w:val="602202C6"/>
    <w:rsid w:val="603923CB"/>
    <w:rsid w:val="604005D6"/>
    <w:rsid w:val="60471B32"/>
    <w:rsid w:val="605D1356"/>
    <w:rsid w:val="60712CDB"/>
    <w:rsid w:val="607464A5"/>
    <w:rsid w:val="608102DF"/>
    <w:rsid w:val="60995980"/>
    <w:rsid w:val="60B7767B"/>
    <w:rsid w:val="60C21CAE"/>
    <w:rsid w:val="60DB227B"/>
    <w:rsid w:val="60E973AF"/>
    <w:rsid w:val="61051FB1"/>
    <w:rsid w:val="6118702B"/>
    <w:rsid w:val="61202383"/>
    <w:rsid w:val="612158E8"/>
    <w:rsid w:val="61290528"/>
    <w:rsid w:val="61300838"/>
    <w:rsid w:val="61502C69"/>
    <w:rsid w:val="61657658"/>
    <w:rsid w:val="61667CC3"/>
    <w:rsid w:val="61804639"/>
    <w:rsid w:val="61857110"/>
    <w:rsid w:val="61A56C03"/>
    <w:rsid w:val="61BA4B64"/>
    <w:rsid w:val="61C13B66"/>
    <w:rsid w:val="61CE1DDF"/>
    <w:rsid w:val="61D2367E"/>
    <w:rsid w:val="61EE4EB3"/>
    <w:rsid w:val="620A0821"/>
    <w:rsid w:val="62164440"/>
    <w:rsid w:val="62205C3F"/>
    <w:rsid w:val="622C5CE4"/>
    <w:rsid w:val="6230766F"/>
    <w:rsid w:val="62364782"/>
    <w:rsid w:val="624125B1"/>
    <w:rsid w:val="624C4B4A"/>
    <w:rsid w:val="62842E61"/>
    <w:rsid w:val="628964F1"/>
    <w:rsid w:val="628A7090"/>
    <w:rsid w:val="62B05E74"/>
    <w:rsid w:val="62CC4571"/>
    <w:rsid w:val="62D07C7B"/>
    <w:rsid w:val="62EA01D8"/>
    <w:rsid w:val="63027F93"/>
    <w:rsid w:val="630F26B0"/>
    <w:rsid w:val="632366D8"/>
    <w:rsid w:val="635527B8"/>
    <w:rsid w:val="6377272F"/>
    <w:rsid w:val="637F15E3"/>
    <w:rsid w:val="639808F7"/>
    <w:rsid w:val="63BE20DB"/>
    <w:rsid w:val="63C03B2C"/>
    <w:rsid w:val="63C8749A"/>
    <w:rsid w:val="63D07F56"/>
    <w:rsid w:val="63D40BE9"/>
    <w:rsid w:val="63E0211F"/>
    <w:rsid w:val="63E410CB"/>
    <w:rsid w:val="63E63E12"/>
    <w:rsid w:val="63F37308"/>
    <w:rsid w:val="63F8267F"/>
    <w:rsid w:val="6421433B"/>
    <w:rsid w:val="642D04CF"/>
    <w:rsid w:val="642F52DB"/>
    <w:rsid w:val="64412D3D"/>
    <w:rsid w:val="644D32A6"/>
    <w:rsid w:val="64526DA7"/>
    <w:rsid w:val="645A5F57"/>
    <w:rsid w:val="645C76B6"/>
    <w:rsid w:val="6474275D"/>
    <w:rsid w:val="647A0E64"/>
    <w:rsid w:val="648C1654"/>
    <w:rsid w:val="648D1FCA"/>
    <w:rsid w:val="649864A1"/>
    <w:rsid w:val="649B244D"/>
    <w:rsid w:val="64D836A1"/>
    <w:rsid w:val="64F72B86"/>
    <w:rsid w:val="651D5558"/>
    <w:rsid w:val="65255C4F"/>
    <w:rsid w:val="652A37D1"/>
    <w:rsid w:val="65373578"/>
    <w:rsid w:val="65396685"/>
    <w:rsid w:val="653A14C2"/>
    <w:rsid w:val="65644F35"/>
    <w:rsid w:val="65921AA2"/>
    <w:rsid w:val="65A43583"/>
    <w:rsid w:val="65CD5BB9"/>
    <w:rsid w:val="65E16581"/>
    <w:rsid w:val="65E2598A"/>
    <w:rsid w:val="65E87914"/>
    <w:rsid w:val="65F31E15"/>
    <w:rsid w:val="66045B9D"/>
    <w:rsid w:val="660B4B1B"/>
    <w:rsid w:val="66212E26"/>
    <w:rsid w:val="663B1599"/>
    <w:rsid w:val="664E5178"/>
    <w:rsid w:val="66725FA1"/>
    <w:rsid w:val="66756CCD"/>
    <w:rsid w:val="66824FD0"/>
    <w:rsid w:val="66911D59"/>
    <w:rsid w:val="66AB384D"/>
    <w:rsid w:val="66DE0D17"/>
    <w:rsid w:val="67021596"/>
    <w:rsid w:val="670544F5"/>
    <w:rsid w:val="670D4A21"/>
    <w:rsid w:val="670E4A09"/>
    <w:rsid w:val="671B5AC7"/>
    <w:rsid w:val="67220BBC"/>
    <w:rsid w:val="673F2C7A"/>
    <w:rsid w:val="67475966"/>
    <w:rsid w:val="67673E36"/>
    <w:rsid w:val="67893D52"/>
    <w:rsid w:val="67944795"/>
    <w:rsid w:val="6796587F"/>
    <w:rsid w:val="679A2E90"/>
    <w:rsid w:val="67BD42B6"/>
    <w:rsid w:val="67CB3BB3"/>
    <w:rsid w:val="67D00EAF"/>
    <w:rsid w:val="67E05DA8"/>
    <w:rsid w:val="67ED7463"/>
    <w:rsid w:val="68030A35"/>
    <w:rsid w:val="68096D2E"/>
    <w:rsid w:val="680D70CB"/>
    <w:rsid w:val="68197D1D"/>
    <w:rsid w:val="681F6961"/>
    <w:rsid w:val="68224C33"/>
    <w:rsid w:val="68275505"/>
    <w:rsid w:val="683464C5"/>
    <w:rsid w:val="683706DE"/>
    <w:rsid w:val="683F3A37"/>
    <w:rsid w:val="6840762F"/>
    <w:rsid w:val="68610A2F"/>
    <w:rsid w:val="68805514"/>
    <w:rsid w:val="68907DEF"/>
    <w:rsid w:val="6893478B"/>
    <w:rsid w:val="68DD5DFB"/>
    <w:rsid w:val="68ED7DC4"/>
    <w:rsid w:val="68F22708"/>
    <w:rsid w:val="68F24AF6"/>
    <w:rsid w:val="68F505D1"/>
    <w:rsid w:val="690E2FA5"/>
    <w:rsid w:val="692911FF"/>
    <w:rsid w:val="694E0C56"/>
    <w:rsid w:val="694E2071"/>
    <w:rsid w:val="69567192"/>
    <w:rsid w:val="696574CD"/>
    <w:rsid w:val="697A3B33"/>
    <w:rsid w:val="697B45FB"/>
    <w:rsid w:val="699566D7"/>
    <w:rsid w:val="6996483B"/>
    <w:rsid w:val="699E2456"/>
    <w:rsid w:val="69BD246B"/>
    <w:rsid w:val="69D22DF1"/>
    <w:rsid w:val="6A236173"/>
    <w:rsid w:val="6A570C85"/>
    <w:rsid w:val="6A577DFE"/>
    <w:rsid w:val="6A587E3E"/>
    <w:rsid w:val="6A7136EF"/>
    <w:rsid w:val="6A7B48DB"/>
    <w:rsid w:val="6A835E5D"/>
    <w:rsid w:val="6A8D5935"/>
    <w:rsid w:val="6A8E65B0"/>
    <w:rsid w:val="6A984704"/>
    <w:rsid w:val="6AA45DD3"/>
    <w:rsid w:val="6AA7598B"/>
    <w:rsid w:val="6AC65D4A"/>
    <w:rsid w:val="6AF01018"/>
    <w:rsid w:val="6AF05974"/>
    <w:rsid w:val="6AF65536"/>
    <w:rsid w:val="6B080110"/>
    <w:rsid w:val="6B264A3A"/>
    <w:rsid w:val="6B29003E"/>
    <w:rsid w:val="6B322639"/>
    <w:rsid w:val="6B4D7F19"/>
    <w:rsid w:val="6B544BE8"/>
    <w:rsid w:val="6B5641C9"/>
    <w:rsid w:val="6B5648A0"/>
    <w:rsid w:val="6B6C2D03"/>
    <w:rsid w:val="6B770B57"/>
    <w:rsid w:val="6B8836FD"/>
    <w:rsid w:val="6B8B1F7C"/>
    <w:rsid w:val="6BA208B3"/>
    <w:rsid w:val="6BA42804"/>
    <w:rsid w:val="6BAC7481"/>
    <w:rsid w:val="6BC229B5"/>
    <w:rsid w:val="6BCE4813"/>
    <w:rsid w:val="6BE73BE9"/>
    <w:rsid w:val="6BE7598B"/>
    <w:rsid w:val="6BFB5EC7"/>
    <w:rsid w:val="6C004D10"/>
    <w:rsid w:val="6C111A8D"/>
    <w:rsid w:val="6C20659F"/>
    <w:rsid w:val="6C21592D"/>
    <w:rsid w:val="6C2F6015"/>
    <w:rsid w:val="6C33740F"/>
    <w:rsid w:val="6C353187"/>
    <w:rsid w:val="6C3B292E"/>
    <w:rsid w:val="6C4C04D0"/>
    <w:rsid w:val="6C540CCD"/>
    <w:rsid w:val="6C636C38"/>
    <w:rsid w:val="6C67530A"/>
    <w:rsid w:val="6C6756D8"/>
    <w:rsid w:val="6C73229B"/>
    <w:rsid w:val="6C776701"/>
    <w:rsid w:val="6C8639E2"/>
    <w:rsid w:val="6CA905F8"/>
    <w:rsid w:val="6CB30AE5"/>
    <w:rsid w:val="6CBA5EF1"/>
    <w:rsid w:val="6CEE487B"/>
    <w:rsid w:val="6D29033A"/>
    <w:rsid w:val="6D433682"/>
    <w:rsid w:val="6D4C69DA"/>
    <w:rsid w:val="6D5D432A"/>
    <w:rsid w:val="6D70286F"/>
    <w:rsid w:val="6D763E46"/>
    <w:rsid w:val="6D8B6DD7"/>
    <w:rsid w:val="6DB34098"/>
    <w:rsid w:val="6DB344D1"/>
    <w:rsid w:val="6DB36FD5"/>
    <w:rsid w:val="6DB545B6"/>
    <w:rsid w:val="6DCA78FF"/>
    <w:rsid w:val="6DD4629B"/>
    <w:rsid w:val="6DF75950"/>
    <w:rsid w:val="6E027DEE"/>
    <w:rsid w:val="6E227042"/>
    <w:rsid w:val="6E323E19"/>
    <w:rsid w:val="6E382EA8"/>
    <w:rsid w:val="6E4375A0"/>
    <w:rsid w:val="6E514CED"/>
    <w:rsid w:val="6E7004A6"/>
    <w:rsid w:val="6E775C2D"/>
    <w:rsid w:val="6E79491A"/>
    <w:rsid w:val="6E8177CA"/>
    <w:rsid w:val="6E955891"/>
    <w:rsid w:val="6EA463A2"/>
    <w:rsid w:val="6EB563D5"/>
    <w:rsid w:val="6EBF7B30"/>
    <w:rsid w:val="6EC00F10"/>
    <w:rsid w:val="6ED053E9"/>
    <w:rsid w:val="6EDA6267"/>
    <w:rsid w:val="6EE3336E"/>
    <w:rsid w:val="6EEF37F3"/>
    <w:rsid w:val="6EF70BC7"/>
    <w:rsid w:val="6EFA6420"/>
    <w:rsid w:val="6F1572A0"/>
    <w:rsid w:val="6F225983"/>
    <w:rsid w:val="6F3E5031"/>
    <w:rsid w:val="6F457799"/>
    <w:rsid w:val="6F5C7D11"/>
    <w:rsid w:val="6F63625D"/>
    <w:rsid w:val="6F6D675F"/>
    <w:rsid w:val="6F742218"/>
    <w:rsid w:val="6F901890"/>
    <w:rsid w:val="6FA3261F"/>
    <w:rsid w:val="6FB90350"/>
    <w:rsid w:val="6FCA008A"/>
    <w:rsid w:val="6FFC5590"/>
    <w:rsid w:val="700B33B8"/>
    <w:rsid w:val="700C752C"/>
    <w:rsid w:val="70173559"/>
    <w:rsid w:val="70207CAA"/>
    <w:rsid w:val="70301DA3"/>
    <w:rsid w:val="7040659E"/>
    <w:rsid w:val="70550B9D"/>
    <w:rsid w:val="705A5516"/>
    <w:rsid w:val="706D1DD0"/>
    <w:rsid w:val="70856B87"/>
    <w:rsid w:val="70984874"/>
    <w:rsid w:val="709F5073"/>
    <w:rsid w:val="70C6670F"/>
    <w:rsid w:val="70D527EE"/>
    <w:rsid w:val="70D94A29"/>
    <w:rsid w:val="70EA1EA5"/>
    <w:rsid w:val="70F12BF9"/>
    <w:rsid w:val="70F80BA8"/>
    <w:rsid w:val="70FA499F"/>
    <w:rsid w:val="71092E34"/>
    <w:rsid w:val="71141580"/>
    <w:rsid w:val="71381B37"/>
    <w:rsid w:val="713954C7"/>
    <w:rsid w:val="715B5300"/>
    <w:rsid w:val="715F4BD7"/>
    <w:rsid w:val="71661BC7"/>
    <w:rsid w:val="716B31A7"/>
    <w:rsid w:val="71A46515"/>
    <w:rsid w:val="71A54719"/>
    <w:rsid w:val="71B50BEF"/>
    <w:rsid w:val="71B6178D"/>
    <w:rsid w:val="71C251BA"/>
    <w:rsid w:val="71CE6D52"/>
    <w:rsid w:val="71D27F8A"/>
    <w:rsid w:val="71D86DFC"/>
    <w:rsid w:val="71F64B04"/>
    <w:rsid w:val="71F744C6"/>
    <w:rsid w:val="71F960CF"/>
    <w:rsid w:val="71FB43B2"/>
    <w:rsid w:val="72005FE5"/>
    <w:rsid w:val="721B57B7"/>
    <w:rsid w:val="72266C97"/>
    <w:rsid w:val="722C0861"/>
    <w:rsid w:val="723C2892"/>
    <w:rsid w:val="72473A1C"/>
    <w:rsid w:val="724A0215"/>
    <w:rsid w:val="724F4761"/>
    <w:rsid w:val="72522BEE"/>
    <w:rsid w:val="72534367"/>
    <w:rsid w:val="72556B31"/>
    <w:rsid w:val="7278201F"/>
    <w:rsid w:val="72814069"/>
    <w:rsid w:val="729D0467"/>
    <w:rsid w:val="72AB7080"/>
    <w:rsid w:val="72C139C6"/>
    <w:rsid w:val="72C4135B"/>
    <w:rsid w:val="72D8187A"/>
    <w:rsid w:val="72EE72CB"/>
    <w:rsid w:val="72FF3958"/>
    <w:rsid w:val="731A1328"/>
    <w:rsid w:val="731B00BA"/>
    <w:rsid w:val="731F5D5E"/>
    <w:rsid w:val="733073FE"/>
    <w:rsid w:val="73340355"/>
    <w:rsid w:val="7351143E"/>
    <w:rsid w:val="73517D90"/>
    <w:rsid w:val="73605B81"/>
    <w:rsid w:val="73667C95"/>
    <w:rsid w:val="73A549A8"/>
    <w:rsid w:val="73A7531A"/>
    <w:rsid w:val="73B2330F"/>
    <w:rsid w:val="73B70925"/>
    <w:rsid w:val="73CD68E4"/>
    <w:rsid w:val="73DE59DE"/>
    <w:rsid w:val="73DF71BC"/>
    <w:rsid w:val="73E865B9"/>
    <w:rsid w:val="73E95CAF"/>
    <w:rsid w:val="73F90F3E"/>
    <w:rsid w:val="7401366E"/>
    <w:rsid w:val="74015E5E"/>
    <w:rsid w:val="740178A7"/>
    <w:rsid w:val="7406353F"/>
    <w:rsid w:val="74121311"/>
    <w:rsid w:val="741E793C"/>
    <w:rsid w:val="742C578B"/>
    <w:rsid w:val="7431489F"/>
    <w:rsid w:val="743D707D"/>
    <w:rsid w:val="74553C5C"/>
    <w:rsid w:val="74597C2E"/>
    <w:rsid w:val="745B5608"/>
    <w:rsid w:val="745D6BD4"/>
    <w:rsid w:val="74614E5D"/>
    <w:rsid w:val="74784BA3"/>
    <w:rsid w:val="747A2D07"/>
    <w:rsid w:val="748862C1"/>
    <w:rsid w:val="74973049"/>
    <w:rsid w:val="749D7361"/>
    <w:rsid w:val="74B82BA7"/>
    <w:rsid w:val="74C2049A"/>
    <w:rsid w:val="74C554AB"/>
    <w:rsid w:val="74DD23E1"/>
    <w:rsid w:val="74E67714"/>
    <w:rsid w:val="750758DC"/>
    <w:rsid w:val="7510189E"/>
    <w:rsid w:val="751B3AC4"/>
    <w:rsid w:val="75315055"/>
    <w:rsid w:val="753948DF"/>
    <w:rsid w:val="754D5C67"/>
    <w:rsid w:val="75656DAA"/>
    <w:rsid w:val="75790588"/>
    <w:rsid w:val="75811949"/>
    <w:rsid w:val="758C2B6B"/>
    <w:rsid w:val="758D6865"/>
    <w:rsid w:val="758D75E2"/>
    <w:rsid w:val="75991CE6"/>
    <w:rsid w:val="75AD2CAB"/>
    <w:rsid w:val="75B345E6"/>
    <w:rsid w:val="760338C7"/>
    <w:rsid w:val="7604030E"/>
    <w:rsid w:val="7608190C"/>
    <w:rsid w:val="760C0A79"/>
    <w:rsid w:val="7610713E"/>
    <w:rsid w:val="761202C2"/>
    <w:rsid w:val="762069DE"/>
    <w:rsid w:val="762248D0"/>
    <w:rsid w:val="76432944"/>
    <w:rsid w:val="76564426"/>
    <w:rsid w:val="76566332"/>
    <w:rsid w:val="765E1466"/>
    <w:rsid w:val="767174B1"/>
    <w:rsid w:val="769972F2"/>
    <w:rsid w:val="769C7A84"/>
    <w:rsid w:val="76BD26F7"/>
    <w:rsid w:val="76BD4C42"/>
    <w:rsid w:val="76C26D16"/>
    <w:rsid w:val="76E732D0"/>
    <w:rsid w:val="76F60F29"/>
    <w:rsid w:val="770025E3"/>
    <w:rsid w:val="771C636F"/>
    <w:rsid w:val="77453DA3"/>
    <w:rsid w:val="774808B4"/>
    <w:rsid w:val="77497028"/>
    <w:rsid w:val="77694944"/>
    <w:rsid w:val="77762421"/>
    <w:rsid w:val="7776476A"/>
    <w:rsid w:val="77804B1B"/>
    <w:rsid w:val="77814308"/>
    <w:rsid w:val="778A2F0E"/>
    <w:rsid w:val="77B17ACF"/>
    <w:rsid w:val="77B64A11"/>
    <w:rsid w:val="77B91682"/>
    <w:rsid w:val="77BA299A"/>
    <w:rsid w:val="77CC2A1C"/>
    <w:rsid w:val="77CC35FD"/>
    <w:rsid w:val="77D630EC"/>
    <w:rsid w:val="77FA641A"/>
    <w:rsid w:val="78011BF1"/>
    <w:rsid w:val="780F09F4"/>
    <w:rsid w:val="781038BA"/>
    <w:rsid w:val="78132BAC"/>
    <w:rsid w:val="78144598"/>
    <w:rsid w:val="783307BB"/>
    <w:rsid w:val="78453E05"/>
    <w:rsid w:val="78745037"/>
    <w:rsid w:val="787C5288"/>
    <w:rsid w:val="789A68EC"/>
    <w:rsid w:val="789C4F47"/>
    <w:rsid w:val="78A90480"/>
    <w:rsid w:val="78AF75C8"/>
    <w:rsid w:val="78D131C3"/>
    <w:rsid w:val="78D14237"/>
    <w:rsid w:val="78D26888"/>
    <w:rsid w:val="78EC4E9C"/>
    <w:rsid w:val="792409F5"/>
    <w:rsid w:val="792606CF"/>
    <w:rsid w:val="792D7857"/>
    <w:rsid w:val="793B0674"/>
    <w:rsid w:val="793B5B55"/>
    <w:rsid w:val="794E3974"/>
    <w:rsid w:val="795209AA"/>
    <w:rsid w:val="79584959"/>
    <w:rsid w:val="796174A4"/>
    <w:rsid w:val="79811327"/>
    <w:rsid w:val="79865022"/>
    <w:rsid w:val="799A6D1F"/>
    <w:rsid w:val="799D53E3"/>
    <w:rsid w:val="799F60E4"/>
    <w:rsid w:val="79AC25AE"/>
    <w:rsid w:val="79C97604"/>
    <w:rsid w:val="79D833A4"/>
    <w:rsid w:val="79E16FB5"/>
    <w:rsid w:val="79F75FBE"/>
    <w:rsid w:val="7A256073"/>
    <w:rsid w:val="7A364017"/>
    <w:rsid w:val="7A4153ED"/>
    <w:rsid w:val="7A462A03"/>
    <w:rsid w:val="7A574C10"/>
    <w:rsid w:val="7A7F0907"/>
    <w:rsid w:val="7A8265E1"/>
    <w:rsid w:val="7A94376E"/>
    <w:rsid w:val="7AB4245F"/>
    <w:rsid w:val="7ABC3BE6"/>
    <w:rsid w:val="7AC7009C"/>
    <w:rsid w:val="7ADE2923"/>
    <w:rsid w:val="7ADF2D25"/>
    <w:rsid w:val="7AE5700F"/>
    <w:rsid w:val="7AEE23C9"/>
    <w:rsid w:val="7B0363F4"/>
    <w:rsid w:val="7B124615"/>
    <w:rsid w:val="7B446F42"/>
    <w:rsid w:val="7B4F58E7"/>
    <w:rsid w:val="7B501226"/>
    <w:rsid w:val="7B5829EE"/>
    <w:rsid w:val="7B686D42"/>
    <w:rsid w:val="7B7535A0"/>
    <w:rsid w:val="7B841746"/>
    <w:rsid w:val="7B963F4F"/>
    <w:rsid w:val="7B9D26BC"/>
    <w:rsid w:val="7BC10593"/>
    <w:rsid w:val="7BD14DFD"/>
    <w:rsid w:val="7BD81D81"/>
    <w:rsid w:val="7BE14791"/>
    <w:rsid w:val="7BE2764E"/>
    <w:rsid w:val="7BF5648F"/>
    <w:rsid w:val="7BFA6A35"/>
    <w:rsid w:val="7C296138"/>
    <w:rsid w:val="7C357419"/>
    <w:rsid w:val="7C466CEA"/>
    <w:rsid w:val="7C467E84"/>
    <w:rsid w:val="7C482171"/>
    <w:rsid w:val="7C517275"/>
    <w:rsid w:val="7C5238E1"/>
    <w:rsid w:val="7C647170"/>
    <w:rsid w:val="7C690BD8"/>
    <w:rsid w:val="7C703D67"/>
    <w:rsid w:val="7C8A307B"/>
    <w:rsid w:val="7CA70F77"/>
    <w:rsid w:val="7CA7288F"/>
    <w:rsid w:val="7CA8270B"/>
    <w:rsid w:val="7CA9721E"/>
    <w:rsid w:val="7CBA1AF8"/>
    <w:rsid w:val="7CE17EA3"/>
    <w:rsid w:val="7CF25303"/>
    <w:rsid w:val="7CF60376"/>
    <w:rsid w:val="7CF624BE"/>
    <w:rsid w:val="7D0239FF"/>
    <w:rsid w:val="7D054335"/>
    <w:rsid w:val="7D080444"/>
    <w:rsid w:val="7D0A45E2"/>
    <w:rsid w:val="7D0B32E2"/>
    <w:rsid w:val="7D180687"/>
    <w:rsid w:val="7D380D29"/>
    <w:rsid w:val="7D3F77E3"/>
    <w:rsid w:val="7D43160D"/>
    <w:rsid w:val="7D5E40CD"/>
    <w:rsid w:val="7D693BED"/>
    <w:rsid w:val="7D8234F7"/>
    <w:rsid w:val="7D957640"/>
    <w:rsid w:val="7D981E4B"/>
    <w:rsid w:val="7DA37E53"/>
    <w:rsid w:val="7DC474A6"/>
    <w:rsid w:val="7DD117E2"/>
    <w:rsid w:val="7DDD290B"/>
    <w:rsid w:val="7DE44A0D"/>
    <w:rsid w:val="7E01724A"/>
    <w:rsid w:val="7E0522D0"/>
    <w:rsid w:val="7E1E0FAA"/>
    <w:rsid w:val="7E484F9C"/>
    <w:rsid w:val="7E6B47E6"/>
    <w:rsid w:val="7E713B7F"/>
    <w:rsid w:val="7E9C7095"/>
    <w:rsid w:val="7ED33124"/>
    <w:rsid w:val="7EDE2675"/>
    <w:rsid w:val="7EE03426"/>
    <w:rsid w:val="7EF37B95"/>
    <w:rsid w:val="7F022551"/>
    <w:rsid w:val="7F12031F"/>
    <w:rsid w:val="7F1430D0"/>
    <w:rsid w:val="7F1B506E"/>
    <w:rsid w:val="7F1C3F56"/>
    <w:rsid w:val="7F250E39"/>
    <w:rsid w:val="7F453289"/>
    <w:rsid w:val="7F46536B"/>
    <w:rsid w:val="7F525CF0"/>
    <w:rsid w:val="7F572FBC"/>
    <w:rsid w:val="7F573A90"/>
    <w:rsid w:val="7F623D8C"/>
    <w:rsid w:val="7F631C62"/>
    <w:rsid w:val="7F736048"/>
    <w:rsid w:val="7F954211"/>
    <w:rsid w:val="7FA2692E"/>
    <w:rsid w:val="7FAD3CE1"/>
    <w:rsid w:val="7FB0104A"/>
    <w:rsid w:val="7FCC5BC4"/>
    <w:rsid w:val="7FDD39BD"/>
    <w:rsid w:val="7FDE4DF5"/>
    <w:rsid w:val="7FE47E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iPriority="9" w:semiHidden="0" w:name="heading 3" w:locked="1"/>
    <w:lsdException w:qFormat="1" w:unhideWhenUsed="0" w:uiPriority="9"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7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locked/>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5"/>
    <w:next w:val="6"/>
    <w:unhideWhenUsed/>
    <w:qFormat/>
    <w:locked/>
    <w:uiPriority w:val="9"/>
    <w:pPr>
      <w:spacing w:after="50" w:afterLines="50" w:line="500" w:lineRule="exact"/>
      <w:outlineLvl w:val="2"/>
    </w:pPr>
    <w:rPr>
      <w:szCs w:val="32"/>
    </w:rPr>
  </w:style>
  <w:style w:type="paragraph" w:styleId="5">
    <w:name w:val="heading 4"/>
    <w:basedOn w:val="1"/>
    <w:next w:val="1"/>
    <w:qFormat/>
    <w:locked/>
    <w:uiPriority w:val="9"/>
    <w:pPr>
      <w:keepNext/>
      <w:keepLines/>
      <w:spacing w:before="280" w:after="290" w:line="376" w:lineRule="atLeast"/>
      <w:outlineLvl w:val="3"/>
    </w:pPr>
    <w:rPr>
      <w:rFonts w:ascii="Calibri Light" w:hAnsi="Calibri Light"/>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6">
    <w:name w:val="正文小四"/>
    <w:basedOn w:val="1"/>
    <w:qFormat/>
    <w:uiPriority w:val="0"/>
    <w:pPr>
      <w:autoSpaceDE w:val="0"/>
      <w:autoSpaceDN w:val="0"/>
    </w:pPr>
    <w:rPr>
      <w:rFonts w:cs="Calibri"/>
      <w:szCs w:val="21"/>
    </w:rPr>
  </w:style>
  <w:style w:type="paragraph" w:styleId="7">
    <w:name w:val="annotation text"/>
    <w:basedOn w:val="1"/>
    <w:link w:val="31"/>
    <w:semiHidden/>
    <w:qFormat/>
    <w:uiPriority w:val="0"/>
    <w:pPr>
      <w:jc w:val="left"/>
    </w:pPr>
    <w:rPr>
      <w:kern w:val="0"/>
      <w:sz w:val="20"/>
    </w:rPr>
  </w:style>
  <w:style w:type="paragraph" w:styleId="8">
    <w:name w:val="Body Text"/>
    <w:basedOn w:val="1"/>
    <w:next w:val="1"/>
    <w:link w:val="32"/>
    <w:qFormat/>
    <w:uiPriority w:val="0"/>
    <w:pPr>
      <w:widowControl/>
      <w:snapToGrid w:val="0"/>
      <w:spacing w:before="60" w:after="160" w:line="259" w:lineRule="auto"/>
      <w:ind w:right="113"/>
    </w:pPr>
    <w:rPr>
      <w:kern w:val="0"/>
      <w:sz w:val="18"/>
      <w:szCs w:val="18"/>
    </w:rPr>
  </w:style>
  <w:style w:type="paragraph" w:styleId="9">
    <w:name w:val="Body Text Indent"/>
    <w:basedOn w:val="1"/>
    <w:next w:val="10"/>
    <w:link w:val="33"/>
    <w:semiHidden/>
    <w:qFormat/>
    <w:uiPriority w:val="0"/>
    <w:pPr>
      <w:spacing w:after="120"/>
      <w:ind w:left="420" w:leftChars="200"/>
    </w:pPr>
  </w:style>
  <w:style w:type="paragraph" w:styleId="10">
    <w:name w:val="header"/>
    <w:basedOn w:val="1"/>
    <w:next w:val="1"/>
    <w:link w:val="37"/>
    <w:qFormat/>
    <w:uiPriority w:val="0"/>
    <w:pPr>
      <w:pBdr>
        <w:bottom w:val="single" w:color="auto" w:sz="6" w:space="1"/>
      </w:pBdr>
      <w:tabs>
        <w:tab w:val="center" w:pos="4153"/>
        <w:tab w:val="right" w:pos="8306"/>
      </w:tabs>
      <w:snapToGrid w:val="0"/>
      <w:jc w:val="center"/>
    </w:pPr>
    <w:rPr>
      <w:sz w:val="18"/>
      <w:szCs w:val="18"/>
    </w:rPr>
  </w:style>
  <w:style w:type="paragraph" w:styleId="11">
    <w:name w:val="Plain Text"/>
    <w:basedOn w:val="1"/>
    <w:next w:val="1"/>
    <w:qFormat/>
    <w:uiPriority w:val="0"/>
    <w:rPr>
      <w:rFonts w:ascii="宋体" w:hAnsi="Courier New"/>
      <w:szCs w:val="20"/>
    </w:rPr>
  </w:style>
  <w:style w:type="paragraph" w:styleId="12">
    <w:name w:val="Date"/>
    <w:basedOn w:val="1"/>
    <w:next w:val="1"/>
    <w:link w:val="34"/>
    <w:qFormat/>
    <w:uiPriority w:val="0"/>
    <w:pPr>
      <w:ind w:left="100" w:leftChars="2500"/>
    </w:pPr>
    <w:rPr>
      <w:kern w:val="0"/>
      <w:sz w:val="20"/>
    </w:rPr>
  </w:style>
  <w:style w:type="paragraph" w:styleId="13">
    <w:name w:val="Balloon Text"/>
    <w:basedOn w:val="1"/>
    <w:link w:val="35"/>
    <w:semiHidden/>
    <w:qFormat/>
    <w:uiPriority w:val="0"/>
    <w:rPr>
      <w:sz w:val="18"/>
      <w:szCs w:val="18"/>
    </w:rPr>
  </w:style>
  <w:style w:type="paragraph" w:styleId="14">
    <w:name w:val="footer"/>
    <w:basedOn w:val="1"/>
    <w:link w:val="36"/>
    <w:qFormat/>
    <w:uiPriority w:val="0"/>
    <w:pPr>
      <w:tabs>
        <w:tab w:val="center" w:pos="4153"/>
        <w:tab w:val="right" w:pos="8306"/>
      </w:tabs>
      <w:snapToGrid w:val="0"/>
      <w:jc w:val="left"/>
    </w:pPr>
    <w:rPr>
      <w:sz w:val="18"/>
      <w:szCs w:val="18"/>
    </w:rPr>
  </w:style>
  <w:style w:type="paragraph" w:styleId="15">
    <w:name w:val="toc 1"/>
    <w:basedOn w:val="1"/>
    <w:next w:val="1"/>
    <w:unhideWhenUsed/>
    <w:qFormat/>
    <w:locked/>
    <w:uiPriority w:val="39"/>
    <w:pPr>
      <w:widowControl/>
      <w:spacing w:after="100" w:line="259" w:lineRule="auto"/>
      <w:jc w:val="left"/>
    </w:pPr>
    <w:rPr>
      <w:kern w:val="0"/>
      <w:sz w:val="22"/>
    </w:rPr>
  </w:style>
  <w:style w:type="paragraph" w:styleId="16">
    <w:name w:val="Normal (Web)"/>
    <w:basedOn w:val="1"/>
    <w:link w:val="38"/>
    <w:qFormat/>
    <w:uiPriority w:val="0"/>
    <w:pPr>
      <w:widowControl/>
      <w:spacing w:before="100" w:beforeAutospacing="1" w:after="100" w:afterAutospacing="1"/>
      <w:jc w:val="left"/>
    </w:pPr>
    <w:rPr>
      <w:rFonts w:ascii="宋体" w:hAnsi="宋体"/>
      <w:kern w:val="0"/>
      <w:sz w:val="24"/>
    </w:rPr>
  </w:style>
  <w:style w:type="paragraph" w:styleId="17">
    <w:name w:val="annotation subject"/>
    <w:basedOn w:val="7"/>
    <w:next w:val="7"/>
    <w:link w:val="39"/>
    <w:semiHidden/>
    <w:qFormat/>
    <w:uiPriority w:val="0"/>
    <w:rPr>
      <w:b/>
      <w:bCs/>
    </w:rPr>
  </w:style>
  <w:style w:type="paragraph" w:styleId="18">
    <w:name w:val="Body Text First Indent"/>
    <w:basedOn w:val="8"/>
    <w:next w:val="1"/>
    <w:unhideWhenUsed/>
    <w:qFormat/>
    <w:uiPriority w:val="99"/>
    <w:pPr>
      <w:ind w:firstLine="420" w:firstLineChars="100"/>
    </w:pPr>
    <w:rPr>
      <w:sz w:val="21"/>
    </w:rPr>
  </w:style>
  <w:style w:type="paragraph" w:styleId="19">
    <w:name w:val="Body Text First Indent 2"/>
    <w:basedOn w:val="9"/>
    <w:next w:val="18"/>
    <w:qFormat/>
    <w:uiPriority w:val="99"/>
    <w:pPr>
      <w:spacing w:after="120"/>
      <w:ind w:left="420" w:leftChars="200" w:firstLine="420"/>
    </w:pPr>
    <w:rPr>
      <w:szCs w:val="24"/>
    </w:rPr>
  </w:style>
  <w:style w:type="table" w:styleId="21">
    <w:name w:val="Table Grid"/>
    <w:basedOn w:val="20"/>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locked/>
    <w:uiPriority w:val="0"/>
    <w:rPr>
      <w:b/>
    </w:rPr>
  </w:style>
  <w:style w:type="character" w:styleId="24">
    <w:name w:val="page number"/>
    <w:basedOn w:val="22"/>
    <w:qFormat/>
    <w:uiPriority w:val="0"/>
  </w:style>
  <w:style w:type="character" w:styleId="25">
    <w:name w:val="Emphasis"/>
    <w:basedOn w:val="22"/>
    <w:qFormat/>
    <w:locked/>
    <w:uiPriority w:val="0"/>
    <w:rPr>
      <w:i/>
    </w:rPr>
  </w:style>
  <w:style w:type="character" w:styleId="26">
    <w:name w:val="Hyperlink"/>
    <w:basedOn w:val="22"/>
    <w:qFormat/>
    <w:uiPriority w:val="0"/>
    <w:rPr>
      <w:color w:val="0000FF"/>
      <w:u w:val="single"/>
    </w:rPr>
  </w:style>
  <w:style w:type="character" w:styleId="27">
    <w:name w:val="annotation reference"/>
    <w:basedOn w:val="22"/>
    <w:semiHidden/>
    <w:qFormat/>
    <w:uiPriority w:val="0"/>
    <w:rPr>
      <w:sz w:val="21"/>
    </w:rPr>
  </w:style>
  <w:style w:type="paragraph" w:customStyle="1" w:styleId="28">
    <w:name w:val="表格"/>
    <w:basedOn w:val="29"/>
    <w:next w:val="1"/>
    <w:link w:val="30"/>
    <w:qFormat/>
    <w:uiPriority w:val="0"/>
    <w:pPr>
      <w:adjustRightInd w:val="0"/>
      <w:snapToGrid w:val="0"/>
      <w:spacing w:line="240" w:lineRule="auto"/>
      <w:ind w:firstLine="0" w:firstLineChars="0"/>
      <w:jc w:val="center"/>
    </w:pPr>
    <w:rPr>
      <w:rFonts w:ascii="宋体" w:hAnsi="宋体"/>
      <w:kern w:val="0"/>
      <w:sz w:val="21"/>
      <w:szCs w:val="21"/>
    </w:rPr>
  </w:style>
  <w:style w:type="paragraph" w:customStyle="1" w:styleId="29">
    <w:name w:val="表 格"/>
    <w:basedOn w:val="1"/>
    <w:autoRedefine/>
    <w:qFormat/>
    <w:uiPriority w:val="0"/>
    <w:pPr>
      <w:kinsoku w:val="0"/>
      <w:autoSpaceDE w:val="0"/>
      <w:autoSpaceDN w:val="0"/>
      <w:spacing w:line="240" w:lineRule="auto"/>
      <w:ind w:firstLine="0" w:firstLineChars="0"/>
      <w:jc w:val="center"/>
    </w:pPr>
    <w:rPr>
      <w:sz w:val="21"/>
      <w:szCs w:val="21"/>
    </w:rPr>
  </w:style>
  <w:style w:type="character" w:customStyle="1" w:styleId="30">
    <w:name w:val="表格 Char"/>
    <w:link w:val="28"/>
    <w:qFormat/>
    <w:locked/>
    <w:uiPriority w:val="0"/>
    <w:rPr>
      <w:rFonts w:ascii="宋体" w:hAnsi="宋体" w:eastAsia="宋体"/>
      <w:sz w:val="21"/>
    </w:rPr>
  </w:style>
  <w:style w:type="character" w:customStyle="1" w:styleId="31">
    <w:name w:val="Comment Text Char"/>
    <w:link w:val="7"/>
    <w:qFormat/>
    <w:locked/>
    <w:uiPriority w:val="0"/>
    <w:rPr>
      <w:rFonts w:ascii="Times New Roman" w:hAnsi="Times New Roman" w:eastAsia="宋体"/>
      <w:sz w:val="24"/>
    </w:rPr>
  </w:style>
  <w:style w:type="character" w:customStyle="1" w:styleId="32">
    <w:name w:val="Body Text Char"/>
    <w:link w:val="8"/>
    <w:qFormat/>
    <w:locked/>
    <w:uiPriority w:val="0"/>
    <w:rPr>
      <w:sz w:val="18"/>
    </w:rPr>
  </w:style>
  <w:style w:type="character" w:customStyle="1" w:styleId="33">
    <w:name w:val="Body Text Indent Char"/>
    <w:basedOn w:val="22"/>
    <w:link w:val="9"/>
    <w:semiHidden/>
    <w:qFormat/>
    <w:locked/>
    <w:uiPriority w:val="0"/>
    <w:rPr>
      <w:rFonts w:ascii="Times New Roman" w:hAnsi="Times New Roman" w:eastAsia="宋体" w:cs="Times New Roman"/>
      <w:sz w:val="24"/>
      <w:szCs w:val="24"/>
    </w:rPr>
  </w:style>
  <w:style w:type="character" w:customStyle="1" w:styleId="34">
    <w:name w:val="Date Char"/>
    <w:link w:val="12"/>
    <w:qFormat/>
    <w:locked/>
    <w:uiPriority w:val="0"/>
    <w:rPr>
      <w:rFonts w:ascii="Times New Roman" w:hAnsi="Times New Roman" w:eastAsia="宋体"/>
      <w:sz w:val="24"/>
    </w:rPr>
  </w:style>
  <w:style w:type="character" w:customStyle="1" w:styleId="35">
    <w:name w:val="Balloon Text Char"/>
    <w:basedOn w:val="22"/>
    <w:link w:val="13"/>
    <w:semiHidden/>
    <w:qFormat/>
    <w:locked/>
    <w:uiPriority w:val="0"/>
    <w:rPr>
      <w:rFonts w:ascii="Times New Roman" w:hAnsi="Times New Roman" w:eastAsia="宋体" w:cs="Times New Roman"/>
      <w:sz w:val="18"/>
      <w:szCs w:val="18"/>
    </w:rPr>
  </w:style>
  <w:style w:type="character" w:customStyle="1" w:styleId="36">
    <w:name w:val="Footer Char"/>
    <w:basedOn w:val="22"/>
    <w:link w:val="14"/>
    <w:qFormat/>
    <w:locked/>
    <w:uiPriority w:val="0"/>
    <w:rPr>
      <w:rFonts w:cs="Times New Roman"/>
      <w:sz w:val="18"/>
      <w:szCs w:val="18"/>
    </w:rPr>
  </w:style>
  <w:style w:type="character" w:customStyle="1" w:styleId="37">
    <w:name w:val="Header Char"/>
    <w:basedOn w:val="22"/>
    <w:link w:val="10"/>
    <w:qFormat/>
    <w:locked/>
    <w:uiPriority w:val="0"/>
    <w:rPr>
      <w:rFonts w:cs="Times New Roman"/>
      <w:sz w:val="18"/>
      <w:szCs w:val="18"/>
    </w:rPr>
  </w:style>
  <w:style w:type="character" w:customStyle="1" w:styleId="38">
    <w:name w:val="Normal (Web) Char"/>
    <w:link w:val="16"/>
    <w:qFormat/>
    <w:locked/>
    <w:uiPriority w:val="0"/>
    <w:rPr>
      <w:rFonts w:ascii="宋体" w:hAnsi="宋体" w:eastAsia="宋体"/>
      <w:sz w:val="24"/>
    </w:rPr>
  </w:style>
  <w:style w:type="character" w:customStyle="1" w:styleId="39">
    <w:name w:val="Comment Subject Char"/>
    <w:basedOn w:val="31"/>
    <w:link w:val="17"/>
    <w:semiHidden/>
    <w:qFormat/>
    <w:locked/>
    <w:uiPriority w:val="0"/>
    <w:rPr>
      <w:rFonts w:cs="Times New Roman"/>
      <w:b/>
      <w:bCs/>
      <w:kern w:val="2"/>
      <w:szCs w:val="24"/>
    </w:rPr>
  </w:style>
  <w:style w:type="character" w:customStyle="1" w:styleId="40">
    <w:name w:val="普通(网站) Char"/>
    <w:qFormat/>
    <w:locked/>
    <w:uiPriority w:val="0"/>
    <w:rPr>
      <w:rFonts w:ascii="宋体" w:hAnsi="宋体" w:eastAsia="宋体"/>
      <w:sz w:val="24"/>
    </w:rPr>
  </w:style>
  <w:style w:type="character" w:customStyle="1" w:styleId="41">
    <w:name w:val="正文文本 字符1"/>
    <w:basedOn w:val="22"/>
    <w:semiHidden/>
    <w:qFormat/>
    <w:uiPriority w:val="0"/>
    <w:rPr>
      <w:rFonts w:ascii="Times New Roman" w:hAnsi="Times New Roman" w:eastAsia="宋体" w:cs="Times New Roman"/>
      <w:sz w:val="24"/>
      <w:szCs w:val="24"/>
    </w:rPr>
  </w:style>
  <w:style w:type="character" w:customStyle="1" w:styleId="42">
    <w:name w:val="批注文字 字符1"/>
    <w:basedOn w:val="22"/>
    <w:semiHidden/>
    <w:qFormat/>
    <w:uiPriority w:val="0"/>
    <w:rPr>
      <w:rFonts w:ascii="Times New Roman" w:hAnsi="Times New Roman" w:eastAsia="宋体" w:cs="Times New Roman"/>
      <w:sz w:val="24"/>
      <w:szCs w:val="24"/>
    </w:rPr>
  </w:style>
  <w:style w:type="character" w:customStyle="1" w:styleId="43">
    <w:name w:val="日期 字符"/>
    <w:basedOn w:val="22"/>
    <w:semiHidden/>
    <w:qFormat/>
    <w:uiPriority w:val="0"/>
    <w:rPr>
      <w:rFonts w:ascii="Times New Roman" w:hAnsi="Times New Roman" w:eastAsia="宋体" w:cs="Times New Roman"/>
      <w:sz w:val="24"/>
      <w:szCs w:val="24"/>
    </w:rPr>
  </w:style>
  <w:style w:type="paragraph" w:customStyle="1" w:styleId="44">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45">
    <w:name w:val="Table Text"/>
    <w:basedOn w:val="1"/>
    <w:semiHidden/>
    <w:qFormat/>
    <w:uiPriority w:val="0"/>
    <w:rPr>
      <w:rFonts w:ascii="宋体" w:hAnsi="宋体" w:eastAsia="宋体" w:cs="宋体"/>
      <w:sz w:val="24"/>
      <w:szCs w:val="24"/>
      <w:lang w:val="en-US" w:eastAsia="en-US" w:bidi="ar-SA"/>
    </w:rPr>
  </w:style>
  <w:style w:type="table" w:customStyle="1" w:styleId="46">
    <w:name w:val="Table Normal"/>
    <w:unhideWhenUsed/>
    <w:qFormat/>
    <w:uiPriority w:val="0"/>
    <w:tblPr>
      <w:tblCellMar>
        <w:top w:w="0" w:type="dxa"/>
        <w:left w:w="0" w:type="dxa"/>
        <w:bottom w:w="0" w:type="dxa"/>
        <w:right w:w="0" w:type="dxa"/>
      </w:tblCellMar>
    </w:tblPr>
  </w:style>
  <w:style w:type="paragraph" w:customStyle="1" w:styleId="47">
    <w:name w:val="样式6 正文"/>
    <w:qFormat/>
    <w:uiPriority w:val="0"/>
    <w:pPr>
      <w:widowControl w:val="0"/>
      <w:tabs>
        <w:tab w:val="left" w:pos="420"/>
      </w:tabs>
      <w:spacing w:line="360" w:lineRule="auto"/>
      <w:ind w:firstLine="482"/>
      <w:jc w:val="both"/>
    </w:pPr>
    <w:rPr>
      <w:rFonts w:ascii="Times New Roman" w:hAnsi="Times New Roman" w:eastAsia="宋体" w:cs="Times New Roman"/>
      <w:sz w:val="24"/>
      <w:lang w:val="en-US" w:eastAsia="zh-CN" w:bidi="ar-SA"/>
    </w:rPr>
  </w:style>
  <w:style w:type="paragraph" w:customStyle="1" w:styleId="48">
    <w:name w:val="图标题"/>
    <w:basedOn w:val="1"/>
    <w:qFormat/>
    <w:uiPriority w:val="0"/>
    <w:pPr>
      <w:spacing w:line="240" w:lineRule="auto"/>
      <w:ind w:left="0" w:firstLine="0" w:firstLineChars="0"/>
      <w:jc w:val="center"/>
    </w:pPr>
    <w:rPr>
      <w:rFonts w:ascii="宋体" w:hAnsi="宋体" w:cs="宋体"/>
      <w:b/>
      <w:bCs/>
      <w:spacing w:val="-2"/>
      <w:sz w:val="21"/>
      <w:lang w:eastAsia="en-US"/>
    </w:rPr>
  </w:style>
  <w:style w:type="paragraph" w:customStyle="1" w:styleId="49">
    <w:name w:val="表标题"/>
    <w:basedOn w:val="1"/>
    <w:link w:val="51"/>
    <w:qFormat/>
    <w:uiPriority w:val="0"/>
    <w:pPr>
      <w:spacing w:line="240" w:lineRule="auto"/>
      <w:ind w:left="0" w:firstLine="0" w:firstLineChars="0"/>
      <w:jc w:val="center"/>
    </w:pPr>
    <w:rPr>
      <w:rFonts w:ascii="宋体" w:hAnsi="宋体" w:cs="宋体"/>
      <w:b/>
      <w:bCs/>
      <w:spacing w:val="5"/>
      <w:sz w:val="21"/>
      <w:szCs w:val="20"/>
      <w:lang w:eastAsia="en-US"/>
    </w:rPr>
  </w:style>
  <w:style w:type="paragraph" w:customStyle="1" w:styleId="50">
    <w:name w:val="wu正文"/>
    <w:qFormat/>
    <w:uiPriority w:val="0"/>
    <w:pPr>
      <w:spacing w:line="360" w:lineRule="auto"/>
      <w:ind w:firstLine="510"/>
      <w:jc w:val="both"/>
    </w:pPr>
    <w:rPr>
      <w:rFonts w:ascii="Times New Roman" w:hAnsi="Times New Roman" w:eastAsia="宋体" w:cs="Times New Roman"/>
      <w:sz w:val="24"/>
      <w:lang w:val="en-US" w:eastAsia="zh-CN" w:bidi="ar-SA"/>
    </w:rPr>
  </w:style>
  <w:style w:type="character" w:customStyle="1" w:styleId="51">
    <w:name w:val="表标题 Char"/>
    <w:link w:val="49"/>
    <w:qFormat/>
    <w:uiPriority w:val="0"/>
    <w:rPr>
      <w:rFonts w:ascii="宋体" w:hAnsi="宋体" w:cs="宋体"/>
      <w:b/>
      <w:bCs/>
      <w:spacing w:val="5"/>
      <w:sz w:val="21"/>
      <w:szCs w:val="20"/>
      <w:lang w:eastAsia="en-US"/>
    </w:rPr>
  </w:style>
  <w:style w:type="paragraph" w:customStyle="1" w:styleId="52">
    <w:name w:val="S表名图名"/>
    <w:basedOn w:val="53"/>
    <w:qFormat/>
    <w:uiPriority w:val="1"/>
    <w:pPr>
      <w:ind w:firstLine="0"/>
      <w:jc w:val="center"/>
    </w:pPr>
    <w:rPr>
      <w:b/>
      <w:szCs w:val="23"/>
    </w:rPr>
  </w:style>
  <w:style w:type="paragraph" w:customStyle="1" w:styleId="53">
    <w:name w:val="S报告正文"/>
    <w:basedOn w:val="1"/>
    <w:qFormat/>
    <w:uiPriority w:val="0"/>
    <w:pPr>
      <w:adjustRightInd w:val="0"/>
      <w:snapToGrid w:val="0"/>
      <w:spacing w:line="480" w:lineRule="exact"/>
      <w:ind w:firstLine="510"/>
      <w:jc w:val="left"/>
    </w:pPr>
    <w:rPr>
      <w:sz w:val="24"/>
    </w:rPr>
  </w:style>
  <w:style w:type="character" w:customStyle="1" w:styleId="54">
    <w:name w:val="font31"/>
    <w:basedOn w:val="22"/>
    <w:qFormat/>
    <w:uiPriority w:val="0"/>
    <w:rPr>
      <w:rFonts w:hint="eastAsia" w:ascii="宋体" w:hAnsi="宋体" w:eastAsia="宋体" w:cs="宋体"/>
      <w:color w:val="000000"/>
      <w:sz w:val="22"/>
      <w:szCs w:val="22"/>
      <w:u w:val="none"/>
    </w:rPr>
  </w:style>
  <w:style w:type="paragraph" w:customStyle="1" w:styleId="55">
    <w:name w:val="报告正文"/>
    <w:qFormat/>
    <w:uiPriority w:val="0"/>
    <w:pPr>
      <w:widowControl w:val="0"/>
      <w:overflowPunct w:val="0"/>
      <w:topLinePunct/>
      <w:spacing w:line="360" w:lineRule="auto"/>
      <w:ind w:firstLine="480" w:firstLineChars="200"/>
      <w:jc w:val="both"/>
    </w:pPr>
    <w:rPr>
      <w:rFonts w:ascii="Times New Roman" w:hAnsi="Times New Roman" w:eastAsia="Times New Roman" w:cs="Times New Roman"/>
      <w:bCs/>
      <w:color w:val="000000"/>
      <w:kern w:val="2"/>
      <w:sz w:val="24"/>
      <w:szCs w:val="24"/>
      <w:lang w:val="zh-CN" w:eastAsia="zh-CN" w:bidi="ar-SA"/>
    </w:rPr>
  </w:style>
  <w:style w:type="character" w:customStyle="1" w:styleId="56">
    <w:name w:val="font41"/>
    <w:basedOn w:val="22"/>
    <w:qFormat/>
    <w:uiPriority w:val="0"/>
    <w:rPr>
      <w:rFonts w:hint="default" w:ascii="Times New Roman" w:hAnsi="Times New Roman" w:cs="Times New Roman"/>
      <w:b/>
      <w:bCs/>
      <w:color w:val="0000FF"/>
      <w:sz w:val="21"/>
      <w:szCs w:val="21"/>
      <w:u w:val="none"/>
    </w:rPr>
  </w:style>
  <w:style w:type="character" w:customStyle="1" w:styleId="57">
    <w:name w:val="font11"/>
    <w:basedOn w:val="22"/>
    <w:qFormat/>
    <w:uiPriority w:val="0"/>
    <w:rPr>
      <w:rFonts w:hint="eastAsia" w:ascii="宋体" w:hAnsi="宋体" w:eastAsia="宋体" w:cs="宋体"/>
      <w:b/>
      <w:bCs/>
      <w:color w:val="0000FF"/>
      <w:sz w:val="21"/>
      <w:szCs w:val="21"/>
      <w:u w:val="none"/>
    </w:rPr>
  </w:style>
  <w:style w:type="paragraph" w:customStyle="1" w:styleId="58">
    <w:name w:val="1正文"/>
    <w:basedOn w:val="1"/>
    <w:qFormat/>
    <w:uiPriority w:val="0"/>
    <w:pPr>
      <w:spacing w:line="360" w:lineRule="auto"/>
      <w:ind w:firstLine="196" w:firstLineChars="196"/>
    </w:pPr>
    <w:rPr>
      <w:rFonts w:ascii="Calibri" w:hAnsi="Calibri" w:eastAsia="宋体" w:cs="Times New Roman"/>
      <w:sz w:val="24"/>
      <w:szCs w:val="3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customXml" Target="../customXml/item2.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emf"/><Relationship Id="rId28" Type="http://schemas.openxmlformats.org/officeDocument/2006/relationships/oleObject" Target="embeddings/oleObject2.bin"/><Relationship Id="rId27" Type="http://schemas.openxmlformats.org/officeDocument/2006/relationships/image" Target="media/image17.emf"/><Relationship Id="rId26" Type="http://schemas.openxmlformats.org/officeDocument/2006/relationships/oleObject" Target="embeddings/oleObject1.bin"/><Relationship Id="rId25" Type="http://schemas.openxmlformats.org/officeDocument/2006/relationships/image" Target="media/image16.jpeg"/><Relationship Id="rId24" Type="http://schemas.openxmlformats.org/officeDocument/2006/relationships/image" Target="media/image15.jpe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b95f8b3d-93f9-4c9e-9006-91ef57d3c00e</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 C8D628B</paraID>
      <start>33</start>
      <end>41</end>
      <status>modified</status>
      <modifiedWord>中共中央、国务院</modifiedWord>
      <trackRevisions>false</trackRevisions>
    </reviewItem>
    <reviewItem>
      <errorID>81556fea-edd1-488a-8d6e-136aa2444ff3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C8D628B</paraID>
      <start>134</start>
      <end>135</end>
      <status>unmodified</status>
      <modifiedWord/>
      <trackRevisions>false</trackRevisions>
    </reviewItem>
    <reviewItem>
      <errorID>e19cbe09-bfad-4321-bcb6-e829d62e128e</errorID>
      <errorWord>"</errorWord>
      <group>L1_Format</group>
      <groupName>格式问题</groupName>
      <ability>L2_HalfPunc_CN</ability>
      <abilityName>全半角问题</abilityName>
      <candidateList>
        <item>“</item>
      </candidateList>
      <explain>文本全半角错误。</explain>
      <paraID> C8D628B</paraID>
      <start>140</start>
      <end>141</end>
      <status>modified</status>
      <modifiedWord>“</modifiedWord>
      <trackRevisions>false</trackRevisions>
    </reviewItem>
    <reviewItem>
      <errorID>d25b4929-bd63-4e7a-a483-5f0370b27df5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C8D628B</paraID>
      <start>149</start>
      <end>150</end>
      <status>unmodified</status>
      <modifiedWord/>
      <trackRevisions>false</trackRevisions>
    </reviewItem>
    <reviewItem>
      <errorID>8e4f11ed-7140-4aa1-9cc0-fbfff02be33d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C8D628B</paraID>
      <start>154</start>
      <end>155</end>
      <status>unmodified</status>
      <modifiedWord/>
      <trackRevisions>false</trackRevisions>
    </reviewItem>
    <reviewItem>
      <errorID>93302e65-31fd-498c-a8f9-c1f99fd7749c</errorID>
      <errorWord>(</errorWord>
      <group>L1_Format</group>
      <groupName>格式问题</groupName>
      <ability>L2_HalfPunc_CN</ability>
      <abilityName>全半角问题</abilityName>
      <candidateList>
        <item>（</item>
      </candidateList>
      <explain>文本全半角错误。</explain>
      <paraID> C8D628B</paraID>
      <start>159</start>
      <end>160</end>
      <status>modified</status>
      <modifiedWord>（</modifiedWord>
      <trackRevisions>false</trackRevisions>
    </reviewItem>
    <reviewItem>
      <errorID>2c7eb2b0-9803-4b9e-824b-37d6786ed1e1</errorID>
      <errorWord>)</errorWord>
      <group>L1_Format</group>
      <groupName>格式问题</groupName>
      <ability>L2_HalfPunc_CN</ability>
      <abilityName>全半角问题</abilityName>
      <candidateList>
        <item>）</item>
      </candidateList>
      <explain>文本全半角错误。</explain>
      <paraID> C8D628B</paraID>
      <start>175</start>
      <end>176</end>
      <status>modified</status>
      <modifiedWord>）</modifiedWord>
      <trackRevisions>false</trackRevisions>
    </reviewItem>
    <reviewItem>
      <errorID>6394c72a-a700-43d1-8960-bb028f035636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126D6AF9</paraID>
      <start>17</start>
      <end>19</end>
      <status>modified</status>
      <modifiedWord>》《</modifiedWord>
      <trackRevisions>false</trackRevisions>
    </reviewItem>
    <reviewItem>
      <errorID>90d3096d-9fc2-4d40-9030-c9d17d6af600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126D6AF9</paraID>
      <start>153</start>
      <end>154</end>
      <status>unmodified</status>
      <modifiedWord/>
      <trackRevisions>false</trackRevisions>
    </reviewItem>
    <reviewItem>
      <errorID>1775c7e7-4f52-453d-ae37-e6ba42670028</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71101842</paraID>
      <start>78</start>
      <end>82</end>
      <status>modified</status>
      <modifiedWord>无须设置</modifiedWord>
      <trackRevisions>false</trackRevisions>
    </reviewItem>
    <reviewItem>
      <errorID>affb8b0c-b27a-4c53-9ff4-c37edefe959f</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 623A061</paraID>
      <start>214</start>
      <end>218</end>
      <status>modified</status>
      <modifiedWord>无须设置</modifiedWord>
      <trackRevisions>false</trackRevisions>
    </reviewItem>
    <reviewItem>
      <errorID>c1a23fbe-813d-4ea5-b42a-ce7258919963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305053B9</paraID>
      <start>0</start>
      <end>2</end>
      <status>modified</status>
      <modifiedWord>1.</modifiedWord>
      <trackRevisions>false</trackRevisions>
    </reviewItem>
    <reviewItem>
      <errorID>a1039dd6-db70-441b-9cbd-b6801af44efb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302A6A3E</paraID>
      <start>0</start>
      <end>2</end>
      <status>modified</status>
      <modifiedWord>2.</modifiedWord>
      <trackRevisions>false</trackRevisions>
    </reviewItem>
    <reviewItem>
      <errorID>31f49cb3-243b-4654-a42d-5a63865ce12f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3C84A40B</paraID>
      <start>0</start>
      <end>2</end>
      <status>modified</status>
      <modifiedWord>1.</modifiedWord>
      <trackRevisions>false</trackRevisions>
    </reviewItem>
    <reviewItem>
      <errorID>8cedda38-fab4-4178-ac83-ae5f6f5421c2</errorID>
      <errorWord>《中共中央、国务院</errorWord>
      <group>L1_Political</group>
      <groupName>政治性问题</groupName>
      <ability>L2_Unpolitical</ability>
      <abilityName>政治敏感错误</abilityName>
      <candidateList>
        <item>《中共中央 国务院</item>
      </candidateList>
      <explain/>
      <paraID>3D4E4E0D</paraID>
      <start>5</start>
      <end>14</end>
      <status>modified</status>
      <modifiedWord>《中共中央 国务院</modifiedWord>
      <trackRevisions>false</trackRevisions>
    </reviewItem>
    <reviewItem>
      <errorID>3e0dd8aa-13da-461a-9e49-3633c4cfd5e1</errorID>
      <errorWord>(</errorWord>
      <group>L1_Format</group>
      <groupName>格式问题</groupName>
      <ability>L2_HalfPunc_CN</ability>
      <abilityName>全半角问题</abilityName>
      <candidateList>
        <item>（</item>
      </candidateList>
      <explain>文本全半角错误。</explain>
      <paraID>3D4E4E0D</paraID>
      <start>154</start>
      <end>155</end>
      <status>modified</status>
      <modifiedWord>（</modifiedWord>
      <trackRevisions>false</trackRevisions>
    </reviewItem>
    <reviewItem>
      <errorID>d86ce6e4-8e65-4ecd-b635-039b62351dfd</errorID>
      <errorWord>)</errorWord>
      <group>L1_Format</group>
      <groupName>格式问题</groupName>
      <ability>L2_HalfPunc_CN</ability>
      <abilityName>全半角问题</abilityName>
      <candidateList>
        <item>）</item>
      </candidateList>
      <explain>文本全半角错误。</explain>
      <paraID>3D4E4E0D</paraID>
      <start>170</start>
      <end>171</end>
      <status>modified</status>
      <modifiedWord>）</modifiedWord>
      <trackRevisions>false</trackRevisions>
    </reviewItem>
    <reviewItem>
      <errorID>e554b53a-9831-4ea5-a5af-bbe05eed2be1</errorID>
      <errorWord>(</errorWord>
      <group>L1_Format</group>
      <groupName>格式问题</groupName>
      <ability>L2_HalfPunc_CN</ability>
      <abilityName>全半角问题</abilityName>
      <candidateList>
        <item>（</item>
      </candidateList>
      <explain>文本全半角错误。</explain>
      <paraID>2D3F45AF</paraID>
      <start>16</start>
      <end>17</end>
      <status>modified</status>
      <modifiedWord>（</modifiedWord>
      <trackRevisions>false</trackRevisions>
    </reviewItem>
    <reviewItem>
      <errorID>a8849a0c-f9ed-497c-8e44-24b4ed1423c1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2D3F45AF</paraID>
      <start>21</start>
      <end>22</end>
      <status>modified</status>
      <modifiedWord>—</modifiedWord>
      <trackRevisions>false</trackRevisions>
    </reviewItem>
    <reviewItem>
      <errorID>e32b9185-9172-4deb-b2bd-e995fcfb8adc</errorID>
      <errorWord>)</errorWord>
      <group>L1_Format</group>
      <groupName>格式问题</groupName>
      <ability>L2_HalfPunc_CN</ability>
      <abilityName>全半角问题</abilityName>
      <candidateList>
        <item>）</item>
      </candidateList>
      <explain>文本全半角错误。</explain>
      <paraID>2D3F45AF</paraID>
      <start>27</start>
      <end>28</end>
      <status>modified</status>
      <modifiedWord>）</modifiedWord>
      <trackRevisions>false</trackRevisions>
    </reviewItem>
    <reviewItem>
      <errorID>e8ecbbc3-75a5-444a-9ab4-80dffb8f7ec2</errorID>
      <errorWord>(</errorWord>
      <group>L1_Format</group>
      <groupName>格式问题</groupName>
      <ability>L2_HalfPunc_CN</ability>
      <abilityName>全半角问题</abilityName>
      <candidateList>
        <item>（</item>
      </candidateList>
      <explain>文本全半角错误。</explain>
      <paraID>2D3F45AF</paraID>
      <start>29</start>
      <end>30</end>
      <status>modified</status>
      <modifiedWord>（</modifiedWord>
      <trackRevisions>false</trackRevisions>
    </reviewItem>
    <reviewItem>
      <errorID>c6f0808d-642a-42f5-a061-53312a360adf</errorID>
      <errorWord>)</errorWord>
      <group>L1_Format</group>
      <groupName>格式问题</groupName>
      <ability>L2_HalfPunc_CN</ability>
      <abilityName>全半角问题</abilityName>
      <candidateList>
        <item>）</item>
      </candidateList>
      <explain>文本全半角错误。</explain>
      <paraID>2D3F45AF</paraID>
      <start>38</start>
      <end>39</end>
      <status>modified</status>
      <modifiedWord>）</modifiedWord>
      <trackRevisions>false</trackRevisions>
    </reviewItem>
    <reviewItem>
      <errorID>51554181-dc0f-446b-a2d2-e644ee1ed7a2</errorID>
      <errorWord>;</errorWord>
      <group>L1_Format</group>
      <groupName>格式问题</groupName>
      <ability>L2_HalfPunc_CN</ability>
      <abilityName>全半角问题</abilityName>
      <candidateList>
        <item>；</item>
      </candidateList>
      <explain>文本全半角错误。</explain>
      <paraID>6FF8E0FE</paraID>
      <start>89</start>
      <end>90</end>
      <status>modified</status>
      <modifiedWord>；</modifiedWord>
      <trackRevisions>false</trackRevisions>
    </reviewItem>
    <reviewItem>
      <errorID>46e45409-65e3-4158-9874-79ac3120be88</errorID>
      <errorWord>;</errorWord>
      <group>L1_Format</group>
      <groupName>格式问题</groupName>
      <ability>L2_HalfPunc_CN</ability>
      <abilityName>全半角问题</abilityName>
      <candidateList>
        <item>；</item>
      </candidateList>
      <explain>文本全半角错误。</explain>
      <paraID>6FF8E0FE</paraID>
      <start>127</start>
      <end>128</end>
      <status>modified</status>
      <modifiedWord>；</modifiedWord>
      <trackRevisions>false</trackRevisions>
    </reviewItem>
    <reviewItem>
      <errorID>e06d84df-da77-4d48-9c9d-9f8201f10247</errorID>
      <errorWord>源</errorWord>
      <group>L1_Word</group>
      <groupName>字词问题</groupName>
      <ability>L2_Typo</ability>
      <abilityName>字词错误</abilityName>
      <candidateList>
        <item>源局</item>
      </candidateList>
      <explain/>
      <paraID>5DAA8123</paraID>
      <start>18</start>
      <end>20</end>
      <status>modified</status>
      <modifiedWord>源局</modifiedWord>
      <trackRevisions>false</trackRevisions>
    </reviewItem>
    <reviewItem>
      <errorID>012c16ae-75fd-40c7-b411-a9d13ddd26e3</errorID>
      <errorWord>,</errorWord>
      <group>L1_Format</group>
      <groupName>格式问题</groupName>
      <ability>L2_HalfPunc_CN</ability>
      <abilityName>全半角问题</abilityName>
      <candidateList>
        <item>，</item>
      </candidateList>
      <explain>文本全半角错误。</explain>
      <paraID>5DAA8123</paraID>
      <start>88</start>
      <end>89</end>
      <status>modified</status>
      <modifiedWord>，</modifiedWord>
      <trackRevisions>false</trackRevisions>
    </reviewItem>
    <reviewItem>
      <errorID>dc39248a-b456-4ba9-82f6-6383c0dacc13</errorID>
      <errorWord>(</errorWord>
      <group>L1_Format</group>
      <groupName>格式问题</groupName>
      <ability>L2_HalfPunc_CN</ability>
      <abilityName>全半角问题</abilityName>
      <candidateList>
        <item>（</item>
      </candidateList>
      <explain>文本全半角错误。</explain>
      <paraID>5DAA8123</paraID>
      <start>103</start>
      <end>104</end>
      <status>modified</status>
      <modifiedWord>（</modifiedWord>
      <trackRevisions>false</trackRevisions>
    </reviewItem>
    <reviewItem>
      <errorID>d676ca47-4099-43aa-bfde-b813dfd841b3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5DAA8123</paraID>
      <start>108</start>
      <end>109</end>
      <status>modified</status>
      <modifiedWord>—</modifiedWord>
      <trackRevisions>false</trackRevisions>
    </reviewItem>
    <reviewItem>
      <errorID>ccd97206-52f0-40e9-baaf-cc9d79387036</errorID>
      <errorWord>)</errorWord>
      <group>L1_Format</group>
      <groupName>格式问题</groupName>
      <ability>L2_HalfPunc_CN</ability>
      <abilityName>全半角问题</abilityName>
      <candidateList>
        <item>）</item>
      </candidateList>
      <explain>文本全半角错误。</explain>
      <paraID>5DAA8123</paraID>
      <start>114</start>
      <end>115</end>
      <status>modified</status>
      <modifiedWord>）</modifiedWord>
      <trackRevisions>false</trackRevisions>
    </reviewItem>
    <reviewItem>
      <errorID>7ac581c6-a88f-4cf6-9124-d5ab7b0c47ff</errorID>
      <errorWord>-</errorWord>
      <group>L1_Format</group>
      <groupName>格式问题</groupName>
      <ability>L2_HalfPunc_CN</ability>
      <abilityName>全半角问题</abilityName>
      <candidateList>
        <item>－</item>
      </candidateList>
      <explain>文本全半角错误。</explain>
      <paraID>7060E4DA</paraID>
      <start>210</start>
      <end>211</end>
      <status>modified</status>
      <modifiedWord>－</modifiedWord>
      <trackRevisions>false</trackRevisions>
    </reviewItem>
    <reviewItem>
      <errorID>74b19367-0f48-4453-91f9-b11c90e68dc0</errorID>
      <errorWord>历史文化保护线管理</errorWord>
      <group>L1_Political</group>
      <groupName>政治性问题</groupName>
      <ability>L2_Unpolitical</ability>
      <abilityName>政治敏感错误</abilityName>
      <candidateList>
        <item>历史文化保护线</item>
      </candidateList>
      <explain/>
      <paraID> 22C72AB</paraID>
      <start>255</start>
      <end>262</end>
      <status>modified</status>
      <modifiedWord>历史文化保护线</modifiedWord>
      <trackRevisions>false</trackRevisions>
    </reviewItem>
    <reviewItem>
      <errorID>e6b9ea10-0ad3-4081-8feb-605c26c96435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50638FF2</paraID>
      <start>0</start>
      <end>2</end>
      <status>modified</status>
      <modifiedWord>1.</modifiedWord>
      <trackRevisions>false</trackRevisions>
    </reviewItem>
    <reviewItem>
      <errorID>6a413b61-0ff9-472f-aebf-c42f38c1063c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9C0E9A3</paraID>
      <start>0</start>
      <end>2</end>
      <status>modified</status>
      <modifiedWord>2.</modifiedWord>
      <trackRevisions>false</trackRevisions>
    </reviewItem>
    <reviewItem>
      <errorID>324bb458-4da5-48b5-b932-15b31caf5956</errorID>
      <errorWord>节约和集约利用</errorWord>
      <group>L1_Political</group>
      <groupName>政治性问题</groupName>
      <ability>L2_Unpolitical</ability>
      <abilityName>政治敏感错误</abilityName>
      <candidateList>
        <item>节约集约利用</item>
      </candidateList>
      <explain/>
      <paraID>76CE3416</paraID>
      <start>37</start>
      <end>43</end>
      <status>modified</status>
      <modifiedWord>节约集约利用</modifiedWord>
      <trackRevisions>false</trackRevisions>
    </reviewItem>
    <reviewItem>
      <errorID>19998eab-f439-43a5-9aa1-5db2db65b77e</errorID>
      <errorWord>(</errorWord>
      <group>L1_Format</group>
      <groupName>格式问题</groupName>
      <ability>L2_HalfPunc_CN</ability>
      <abilityName>全半角问题</abilityName>
      <candidateList>
        <item>（</item>
      </candidateList>
      <explain>文本全半角错误。</explain>
      <paraID>3580F3D5</paraID>
      <start>150</start>
      <end>151</end>
      <status>modified</status>
      <modifiedWord>（</modifiedWord>
      <trackRevisions>false</trackRevisions>
    </reviewItem>
    <reviewItem>
      <errorID>a18c6c62-39f8-4bc2-86ad-6b6b677c3fa2</errorID>
      <errorWord>)</errorWord>
      <group>L1_Word</group>
      <groupName>字词问题</groupName>
      <ability>L2_Typo</ability>
      <abilityName>字词错误</abilityName>
      <candidateList>
        <item>)和</item>
      </candidateList>
      <explain/>
      <paraID>3580F3D5</paraID>
      <start>163</start>
      <end>165</end>
      <status>modified</status>
      <modifiedWord>)和</modifiedWord>
      <trackRevisions>false</trackRevisions>
    </reviewItem>
    <reviewItem>
      <errorID>257d3898-dbcf-4894-be21-5ef6db128e33</errorID>
      <errorWord>《国家林业和草原局关于规范风电场项目使用林草地有关工作的通知》(征求意见稿)</errorWord>
      <group>L1_Knowledge</group>
      <groupName>知识性问题</groupName>
      <ability>L2_Knowledge</ability>
      <abilityName>其他知识</abilityName>
      <candidateList>
        <item>《国家林业和草原局关于规范风电场项目使用林草地有关工作的通知(征求意见稿)》</item>
      </candidateList>
      <explain>疑似政策文件、法律法规名称等书写不规范，请注意检查。</explain>
      <paraID>3580F3D5</paraID>
      <start>165</start>
      <end>203</end>
      <status>modified</status>
      <modifiedWord>《国家林业和草原局关于规范风电场项目使用林草地有关工作的通知(征求意见稿)》</modifiedWord>
      <trackRevisions>false</trackRevisions>
    </reviewItem>
    <reviewItem>
      <errorID>c54c753d-e9f2-4117-9a2a-fa1d333374dd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1A5622AC</paraID>
      <start>0</start>
      <end>2</end>
      <status>modified</status>
      <modifiedWord>3.</modifiedWord>
      <trackRevisions>false</trackRevisions>
    </reviewItem>
    <reviewItem>
      <errorID>c823a6e0-f5c7-4c7b-85f9-4447e770c60d</errorID>
      <errorWord>反应</errorWord>
      <group>L1_Word</group>
      <groupName>字词问题</groupName>
      <ability>L2_Typo</ability>
      <abilityName>字词错误</abilityName>
      <candidateList>
        <item>反映</item>
      </candidateList>
      <explain>反映【词汇用法】1、将客观事物的面貌或者实质表现出来（例：这本书反映了当前社会的一些发展规律。）2、将意见，情况告诉给上级（例：我已经将相关情况反映给了上级部门。）</explain>
      <paraID>60878AD8</paraID>
      <start>9</start>
      <end>11</end>
      <status>modified</status>
      <modifiedWord>反映</modifiedWord>
      <trackRevisions>false</trackRevisions>
    </reviewItem>
    <reviewItem>
      <errorID>8b7b1af1-62ad-43c6-802f-45995344bae8</errorID>
      <errorWord>(</errorWord>
      <group>L1_Format</group>
      <groupName>格式问题</groupName>
      <ability>L2_HalfPunc_CN</ability>
      <abilityName>全半角问题</abilityName>
      <candidateList>
        <item>（</item>
      </candidateList>
      <explain>文本全半角错误。</explain>
      <paraID>547C8E53</paraID>
      <start>39</start>
      <end>40</end>
      <status>modified</status>
      <modifiedWord>（</modifiedWord>
      <trackRevisions>false</trackRevisions>
    </reviewItem>
    <reviewItem>
      <errorID>625fcb0c-5827-45f3-af7e-96def1e0f695</errorID>
      <errorWord>)</errorWord>
      <group>L1_Format</group>
      <groupName>格式问题</groupName>
      <ability>L2_HalfPunc_CN</ability>
      <abilityName>全半角问题</abilityName>
      <candidateList>
        <item>）</item>
      </candidateList>
      <explain>文本全半角错误。</explain>
      <paraID>547C8E53</paraID>
      <start>41</start>
      <end>42</end>
      <status>modified</status>
      <modifiedWord>）</modifiedWord>
      <trackRevisions>false</trackRevisions>
    </reviewItem>
    <reviewItem>
      <errorID>2ee9d3d7-574e-4ea0-b63d-d508a7d44e5c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547C8E53</paraID>
      <start>127</start>
      <end>128</end>
      <status>modified</status>
      <modifiedWord>—</modifiedWord>
      <trackRevisions>false</trackRevisions>
    </reviewItem>
    <reviewItem>
      <errorID>a7757a84-949b-4377-8a76-5a79e4b8a32c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6769E33C</paraID>
      <start>0</start>
      <end>2</end>
      <status>modified</status>
      <modifiedWord>4.</modifiedWord>
      <trackRevisions>false</trackRevisions>
    </reviewItem>
    <reviewItem>
      <errorID>c794b068-bf9d-44a9-9121-8f1d7394558e</errorID>
      <errorWord>(</errorWord>
      <group>L1_Format</group>
      <groupName>格式问题</groupName>
      <ability>L2_HalfPunc_CN</ability>
      <abilityName>全半角问题</abilityName>
      <candidateList>
        <item>（</item>
      </candidateList>
      <explain>文本全半角错误。</explain>
      <paraID>6C041BFF</paraID>
      <start>45</start>
      <end>46</end>
      <status>modified</status>
      <modifiedWord>（</modifiedWord>
      <trackRevisions>false</trackRevisions>
    </reviewItem>
    <reviewItem>
      <errorID>79cb69d1-edf1-4fce-8433-5862061de85c</errorID>
      <errorWord>)</errorWord>
      <group>L1_Format</group>
      <groupName>格式问题</groupName>
      <ability>L2_HalfPunc_CN</ability>
      <abilityName>全半角问题</abilityName>
      <candidateList>
        <item>）</item>
      </candidateList>
      <explain>文本全半角错误。</explain>
      <paraID>6C041BFF</paraID>
      <start>57</start>
      <end>58</end>
      <status>modified</status>
      <modifiedWord>）</modifiedWord>
      <trackRevisions>false</trackRevisions>
    </reviewItem>
    <reviewItem>
      <errorID>09aac2db-a5a2-4f18-8af8-db826b2b2ec9</errorID>
      <errorWord>(</errorWord>
      <group>L1_Format</group>
      <groupName>格式问题</groupName>
      <ability>L2_HalfPunc_CN</ability>
      <abilityName>全半角问题</abilityName>
      <candidateList>
        <item>（</item>
      </candidateList>
      <explain>文本全半角错误。</explain>
      <paraID>1A14BED7</paraID>
      <start>32</start>
      <end>33</end>
      <status>modified</status>
      <modifiedWord>（</modifiedWord>
      <trackRevisions>false</trackRevisions>
    </reviewItem>
    <reviewItem>
      <errorID>8435182b-9fb6-4507-b6e2-f4ee120f06e5</errorID>
      <errorWord>)</errorWord>
      <group>L1_Format</group>
      <groupName>格式问题</groupName>
      <ability>L2_HalfPunc_CN</ability>
      <abilityName>全半角问题</abilityName>
      <candidateList>
        <item>）</item>
      </candidateList>
      <explain>文本全半角错误。</explain>
      <paraID>1A14BED7</paraID>
      <start>44</start>
      <end>45</end>
      <status>modified</status>
      <modifiedWord>）</modifiedWord>
      <trackRevisions>false</trackRevisions>
    </reviewItem>
    <reviewItem>
      <errorID>a0f40a0e-ac20-4e4b-94cf-9ff573b73393</errorID>
      <errorWord>基</errorWord>
      <group>L1_Word</group>
      <groupName>字词问题</groupName>
      <ability>L2_Typo</ability>
      <abilityName>字词错误</abilityName>
      <candidateList>
        <item>基地</item>
      </candidateList>
      <explain/>
      <paraID>1A14BED7</paraID>
      <start>201</start>
      <end>203</end>
      <status>modified</status>
      <modifiedWord>基地</modifiedWord>
      <trackRevisions>false</trackRevisions>
    </reviewItem>
    <reviewItem>
      <errorID>4755bcdc-c08e-49bf-8249-5a14f65fd6b5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578EF360</paraID>
      <start>0</start>
      <end>2</end>
      <status>modified</status>
      <modifiedWord>5.</modifiedWord>
      <trackRevisions>false</trackRevisions>
    </reviewItem>
    <reviewItem>
      <errorID>4e81027e-64e4-4b2b-bd75-06c5c1c53f27</errorID>
      <errorWord>人大常务委员会</errorWord>
      <group>L1_Political</group>
      <groupName>政治性问题</groupName>
      <ability>L2_Unpolitical</ability>
      <abilityName>政治敏感错误</abilityName>
      <candidateList>
        <item>人大常委会</item>
      </candidateList>
      <explain/>
      <paraID> 81B3505</paraID>
      <start>39</start>
      <end>44</end>
      <status>modified</status>
      <modifiedWord>人大常委会</modifiedWord>
      <trackRevisions>false</trackRevisions>
    </reviewItem>
    <reviewItem>
      <errorID>fcea5acf-9e6d-4102-ba20-c12c8151a44d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3A1911E6</paraID>
      <start>25</start>
      <end>26</end>
      <status>unmodified</status>
      <modifiedWord/>
      <trackRevisions>false</trackRevisions>
    </reviewItem>
    <reviewItem>
      <errorID>84fc7200-ad75-4dfb-b444-faa941cc094d</errorID>
      <errorWord>多</errorWord>
      <group>L1_Word</group>
      <groupName>字词问题</groupName>
      <ability>L2_Typo</ability>
      <abilityName>字词错误</abilityName>
      <candidateList>
        <item>多数</item>
      </candidateList>
      <explain/>
      <paraID> F630E78</paraID>
      <start>42</start>
      <end>44</end>
      <status>modified</status>
      <modifiedWord>多数</modifiedWord>
      <trackRevisions>false</trackRevisions>
    </reviewItem>
    <reviewItem>
      <errorID>ac6d6ef4-c97a-4214-8357-4ca5623bde5b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7826F299</paraID>
      <start>0</start>
      <end>2</end>
      <status>modified</status>
      <modifiedWord>6.</modifiedWord>
      <trackRevisions>false</trackRevisions>
    </reviewItem>
    <reviewItem>
      <errorID>821d67d0-671c-4e84-a297-f9b91518ab73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46D7CCF3</paraID>
      <start>24</start>
      <end>25</end>
      <status>modified</status>
      <modifiedWord>—</modifiedWord>
      <trackRevisions>false</trackRevisions>
    </reviewItem>
    <reviewItem>
      <errorID>ca98ee4b-16ab-4fb4-b81e-fdb4ea602393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696DC38A</paraID>
      <start>2</start>
      <end>3</end>
      <status>modified</status>
      <modifiedWord>—</modifiedWord>
      <trackRevisions>false</trackRevisions>
    </reviewItem>
    <reviewItem>
      <errorID>b92ba38c-f22f-4550-a7fb-23cafc754fbc</errorID>
      <errorWord>南</errorWord>
      <group>L1_Word</group>
      <groupName>字词问题</groupName>
      <ability>L2_Typo</ability>
      <abilityName>字词错误</abilityName>
      <candidateList>
        <item>南省</item>
      </candidateList>
      <explain/>
      <paraID>25608BD6</paraID>
      <start>52</start>
      <end>54</end>
      <status>modified</status>
      <modifiedWord>南省</modifiedWord>
      <trackRevisions>false</trackRevisions>
    </reviewItem>
    <reviewItem>
      <errorID>62e5611f-a901-424c-8d83-45235892514b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48B709FA</paraID>
      <start>0</start>
      <end>2</end>
      <status>modified</status>
      <modifiedWord>7.</modifiedWord>
      <trackRevisions>false</trackRevisions>
    </reviewItem>
    <reviewItem>
      <errorID>ad6f3c84-03b0-498d-ac9d-59e602017fa3</errorID>
      <errorWord>管</errorWord>
      <group>L1_Word</group>
      <groupName>字词问题</groupName>
      <ability>L2_Typo</ability>
      <abilityName>字词错误</abilityName>
      <candidateList>
        <item>管理</item>
      </candidateList>
      <explain/>
      <paraID>5D4AB9BC</paraID>
      <start>9</start>
      <end>11</end>
      <status>modified</status>
      <modifiedWord>管理</modifiedWord>
      <trackRevisions>false</trackRevisions>
    </reviewItem>
    <reviewItem>
      <errorID>9db40618-3ab0-4b3a-8581-4c79d09af9e6</errorID>
      <errorWord>他中</errorWord>
      <group>L1_Word</group>
      <groupName>字词问题</groupName>
      <ability>L2_Typo</ability>
      <abilityName>字词错误</abilityName>
      <candidateList>
        <item>他</item>
      </candidateList>
      <explain/>
      <paraID>39D0F05F</paraID>
      <start>139</start>
      <end>140</end>
      <status>modified</status>
      <modifiedWord>他</modifiedWord>
      <trackRevisions>false</trackRevisions>
    </reviewItem>
    <reviewItem>
      <errorID>46a5eec3-15fa-4019-ac57-5a19564e35ba</errorID>
      <errorWord>，</errorWord>
      <group>L1_Word</group>
      <groupName>字词问题</groupName>
      <ability>L2_Typo</ability>
      <abilityName>字词错误</abilityName>
      <candidateList>
        <item>，在</item>
      </candidateList>
      <explain/>
      <paraID>2A3639A5</paraID>
      <start>90</start>
      <end>92</end>
      <status>modified</status>
      <modifiedWord>，在</modifiedWord>
      <trackRevisions>false</trackRevisions>
    </reviewItem>
    <reviewItem>
      <errorID>a9c1fe5f-30f2-42c4-ab04-2f0157f94f77</errorID>
      <errorWord>饮</errorWord>
      <group>L1_Word</group>
      <groupName>字词问题</groupName>
      <ability>L2_Typo</ability>
      <abilityName>字词错误</abilityName>
      <candidateList>
        <item>饮用</item>
      </candidateList>
      <explain/>
      <paraID>1AE38F99</paraID>
      <start>34</start>
      <end>36</end>
      <status>modified</status>
      <modifiedWord>饮用</modifiedWord>
      <trackRevisions>false</trackRevisions>
    </reviewItem>
    <reviewItem>
      <errorID>ea98817a-b4af-4d63-93b0-474df4a2a1a5</errorID>
      <errorWord>(</errorWord>
      <group>L1_Format</group>
      <groupName>格式问题</groupName>
      <ability>L2_HalfPunc_CN</ability>
      <abilityName>全半角问题</abilityName>
      <candidateList>
        <item>（</item>
      </candidateList>
      <explain>文本全半角错误。</explain>
      <paraID>58FA4E57</paraID>
      <start>167</start>
      <end>168</end>
      <status>modified</status>
      <modifiedWord>（</modifiedWord>
      <trackRevisions>false</trackRevisions>
    </reviewItem>
    <reviewItem>
      <errorID>afdab5f6-d329-4ced-9f6c-9157de702336</errorID>
      <errorWord>做为</errorWord>
      <group>L1_Word</group>
      <groupName>字词问题</groupName>
      <ability>L2_Typo</ability>
      <abilityName>字词错误</abilityName>
      <candidateList>
        <item>作为</item>
      </candidateList>
      <explain/>
      <paraID> 9FFC5C7</paraID>
      <start>35</start>
      <end>37</end>
      <status>modified</status>
      <modifiedWord>作为</modifiedWord>
      <trackRevisions>false</trackRevisions>
    </reviewItem>
    <reviewItem>
      <errorID>c62d5ba0-0e0b-486f-b372-7ac6b60072bb</errorID>
      <errorWord>饮</errorWord>
      <group>L1_Word</group>
      <groupName>字词问题</groupName>
      <ability>L2_Typo</ability>
      <abilityName>字词错误</abilityName>
      <candidateList>
        <item>饮用</item>
      </candidateList>
      <explain/>
      <paraID>567932C9</paraID>
      <start>14</start>
      <end>16</end>
      <status>modified</status>
      <modifiedWord>饮用</modifiedWord>
      <trackRevisions>false</trackRevisions>
    </reviewItem>
    <reviewItem>
      <errorID>90174604-3872-48ad-811a-43ae317253e4</errorID>
      <errorWord>IV类</errorWord>
      <group>L1_Knowledge</group>
      <groupName>知识性问题</groupName>
      <ability>L2_Knowledge</ability>
      <abilityName>其他知识</abilityName>
      <candidateList>
        <item>Ⅳ类</item>
      </candidateList>
      <explain>中文环境下罗马数字格式错误。</explain>
      <paraID>4A6200BC</paraID>
      <start>148</start>
      <end>150</end>
      <status>modified</status>
      <modifiedWord>Ⅳ类</modifiedWord>
      <trackRevisions>false</trackRevisions>
    </reviewItem>
    <reviewItem>
      <errorID>24c60a6b-78bc-4e6d-bf8d-95617c96d153</errorID>
      <errorWord>类大肠菌群</errorWord>
      <group>L1_Knowledge</group>
      <groupName>知识性问题</groupName>
      <ability>L2_Term</ability>
      <abilityName>专业术语</abilityName>
      <candidateList>
        <item>粪大肠菌群</item>
      </candidateList>
      <explain/>
      <paraID>4A6200BC</paraID>
      <start>165</start>
      <end>170</end>
      <status>modified</status>
      <modifiedWord>粪大肠菌群</modifiedWord>
      <trackRevisions>false</trackRevisions>
    </reviewItem>
    <reviewItem>
      <errorID>30e9e0fb-7a54-43e0-ad19-76499eb5ecd0</errorID>
      <errorWord>IV类</errorWord>
      <group>L1_Knowledge</group>
      <groupName>知识性问题</groupName>
      <ability>L2_Knowledge</ability>
      <abilityName>其他知识</abilityName>
      <candidateList>
        <item>Ⅳ类</item>
      </candidateList>
      <explain>中文环境下罗马数字格式错误。</explain>
      <paraID>4A6200BC</paraID>
      <start>217</start>
      <end>219</end>
      <status>modified</status>
      <modifiedWord>Ⅳ类</modifiedWord>
      <trackRevisions>false</trackRevisions>
    </reviewItem>
    <reviewItem>
      <errorID>17ee2a06-8c33-4aa6-9698-ea1778cba05e</errorID>
      <errorWord>(</errorWord>
      <group>L1_Format</group>
      <groupName>格式问题</groupName>
      <ability>L2_HalfPunc_CN</ability>
      <abilityName>全半角问题</abilityName>
      <candidateList>
        <item>（</item>
      </candidateList>
      <explain>文本全半角错误。</explain>
      <paraID>4A6200BC</paraID>
      <start>221</start>
      <end>222</end>
      <status>modified</status>
      <modifiedWord>（</modifiedWord>
      <trackRevisions>false</trackRevisions>
    </reviewItem>
    <reviewItem>
      <errorID>ea4d42c4-63a0-4c5a-8bf7-10983c9dbf47</errorID>
      <errorWord>类大肠菌群</errorWord>
      <group>L1_Knowledge</group>
      <groupName>知识性问题</groupName>
      <ability>L2_Term</ability>
      <abilityName>专业术语</abilityName>
      <candidateList>
        <item>粪大肠菌群</item>
      </candidateList>
      <explain/>
      <paraID>4A6200BC</paraID>
      <start>235</start>
      <end>240</end>
      <status>modified</status>
      <modifiedWord>粪大肠菌群</modifiedWord>
      <trackRevisions>false</trackRevisions>
    </reviewItem>
    <reviewItem>
      <errorID>41923d70-38a7-47c1-aa42-7adf11a8f86f</errorID>
      <errorWord>)</errorWord>
      <group>L1_Format</group>
      <groupName>格式问题</groupName>
      <ability>L2_HalfPunc_CN</ability>
      <abilityName>全半角问题</abilityName>
      <candidateList>
        <item>）</item>
      </candidateList>
      <explain>文本全半角错误。</explain>
      <paraID>4A6200BC</paraID>
      <start>248</start>
      <end>249</end>
      <status>modified</status>
      <modifiedWord>）</modifiedWord>
      <trackRevisions>false</trackRevisions>
    </reviewItem>
    <reviewItem>
      <errorID>a5f2bab7-eb04-41f6-8efd-273e8937a6bc</errorID>
      <errorWord>做为</errorWord>
      <group>L1_Word</group>
      <groupName>字词问题</groupName>
      <ability>L2_Typo</ability>
      <abilityName>字词错误</abilityName>
      <candidateList>
        <item>作为</item>
      </candidateList>
      <explain/>
      <paraID>2C84486F</paraID>
      <start>35</start>
      <end>37</end>
      <status>modified</status>
      <modifiedWord>作为</modifiedWord>
      <trackRevisions>false</trackRevisions>
    </reviewItem>
    <reviewItem>
      <errorID>6f4ae4db-7d77-4073-8d90-0417c1889d1d</errorID>
      <errorWord>做为</errorWord>
      <group>L1_Word</group>
      <groupName>字词问题</groupName>
      <ability>L2_Typo</ability>
      <abilityName>字词错误</abilityName>
      <candidateList>
        <item>作为</item>
      </candidateList>
      <explain/>
      <paraID>66F263B1</paraID>
      <start>15</start>
      <end>17</end>
      <status>modified</status>
      <modifiedWord>作为</modifiedWord>
      <trackRevisions>false</trackRevisions>
    </reviewItem>
    <reviewItem>
      <errorID>df2dedec-ab40-479f-b957-993bdeccb37c</errorID>
      <errorWord>做为</errorWord>
      <group>L1_Word</group>
      <groupName>字词问题</groupName>
      <ability>L2_Typo</ability>
      <abilityName>字词错误</abilityName>
      <candidateList>
        <item>作为</item>
      </candidateList>
      <explain/>
      <paraID>13F8A771</paraID>
      <start>40</start>
      <end>42</end>
      <status>modified</status>
      <modifiedWord>作为</modifiedWord>
      <trackRevisions>false</trackRevisions>
    </reviewItem>
    <reviewItem>
      <errorID>84724ba8-a7d4-437e-8622-d17afc76ced9</errorID>
      <errorWord>(</errorWord>
      <group>L1_Format</group>
      <groupName>格式问题</groupName>
      <ability>L2_HalfPunc_CN</ability>
      <abilityName>全半角问题</abilityName>
      <candidateList>
        <item>（</item>
      </candidateList>
      <explain>文本全半角错误。</explain>
      <paraID>2532DB71</paraID>
      <start>99</start>
      <end>100</end>
      <status>modified</status>
      <modifiedWord>（</modifiedWord>
      <trackRevisions>false</trackRevisions>
    </reviewItem>
    <reviewItem>
      <errorID>caa70987-fef0-4a6b-81dd-ff5bfc109dc7</errorID>
      <errorWord>)</errorWord>
      <group>L1_Format</group>
      <groupName>格式问题</groupName>
      <ability>L2_HalfPunc_CN</ability>
      <abilityName>全半角问题</abilityName>
      <candidateList>
        <item>）</item>
      </candidateList>
      <explain>文本全半角错误。</explain>
      <paraID>2532DB71</paraID>
      <start>103</start>
      <end>104</end>
      <status>modified</status>
      <modifiedWord>）</modifiedWord>
      <trackRevisions>false</trackRevisions>
    </reviewItem>
    <reviewItem>
      <errorID>6c3c2d1a-6708-47b4-b304-7556b5f702d1</errorID>
      <errorWord>做为</errorWord>
      <group>L1_Word</group>
      <groupName>字词问题</groupName>
      <ability>L2_Typo</ability>
      <abilityName>字词错误</abilityName>
      <candidateList>
        <item>作为</item>
      </candidateList>
      <explain/>
      <paraID>28ED0137</paraID>
      <start>36</start>
      <end>38</end>
      <status>modified</status>
      <modifiedWord>作为</modifiedWord>
      <trackRevisions>false</trackRevisions>
    </reviewItem>
    <reviewItem>
      <errorID>09eaff73-2391-4dd7-94ce-441946aa8016</errorID>
      <errorWord>及</errorWord>
      <group>L1_Word</group>
      <groupName>字词问题</groupName>
      <ability>L2_Typo</ability>
      <abilityName>字词错误</abilityName>
      <candidateList>
        <item>及有</item>
      </candidateList>
      <explain/>
      <paraID>7AA52E55</paraID>
      <start>102</start>
      <end>104</end>
      <status>modified</status>
      <modifiedWord>及有</modifiedWord>
      <trackRevisions>false</trackRevisions>
    </reviewItem>
    <reviewItem>
      <errorID>eeda2df8-394f-4c6e-883c-fe8cda8cb579</errorID>
      <errorWord>做为</errorWord>
      <group>L1_Word</group>
      <groupName>字词问题</groupName>
      <ability>L2_Typo</ability>
      <abilityName>字词错误</abilityName>
      <candidateList>
        <item>作为</item>
      </candidateList>
      <explain/>
      <paraID> 16A9875</paraID>
      <start>21</start>
      <end>23</end>
      <status>modified</status>
      <modifiedWord>作为</modifiedWord>
      <trackRevisions>false</trackRevisions>
    </reviewItem>
    <reviewItem>
      <errorID>bd14a657-b5eb-4bd8-ae43-8c41ff7bc2b4</errorID>
      <errorWord>农田灌溉水利用系数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词汇“农田灌溉水有效利用系数”在特定场景下为固定表述形式，请确认此处的“农田灌溉水利用系数”是否存在不当。</explain>
      <paraID>3AC6A9B5</paraID>
      <start>69</start>
      <end>80</end>
      <status>modified</status>
      <modifiedWord>农田灌溉水有效利用系数</modifiedWord>
      <trackRevisions>false</trackRevisions>
    </reviewItem>
    <reviewItem>
      <errorID>2059b8b8-2890-42ae-bdf1-944d0f03df64</errorID>
      <errorWord>做为</errorWord>
      <group>L1_Word</group>
      <groupName>字词问题</groupName>
      <ability>L2_Typo</ability>
      <abilityName>字词错误</abilityName>
      <candidateList>
        <item>作为</item>
      </candidateList>
      <explain/>
      <paraID>42ECE348</paraID>
      <start>21</start>
      <end>23</end>
      <status>modified</status>
      <modifiedWord>作为</modifiedWord>
      <trackRevisions>false</trackRevisions>
    </reviewItem>
    <reviewItem>
      <errorID>88302f49-5e71-4f91-aaa5-5c06419a9eb4</errorID>
      <errorWord>规模化</errorWord>
      <group>L1_Word</group>
      <groupName>字词问题</groupName>
      <ability>L2_Typo</ability>
      <abilityName>字词错误</abilityName>
      <candidateList>
        <item>规模</item>
      </candidateList>
      <explain/>
      <paraID> C6D06DB</paraID>
      <start>11</start>
      <end>13</end>
      <status>modified</status>
      <modifiedWord>规模</modifiedWord>
      <trackRevisions>false</trackRevisions>
    </reviewItem>
    <reviewItem>
      <errorID>9135f874-279a-4149-9e80-c17f0641a382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476C906</paraID>
      <start>0</start>
      <end>2</end>
      <status>modified</status>
      <modifiedWord>1.</modifiedWord>
      <trackRevisions>false</trackRevisions>
    </reviewItem>
    <reviewItem>
      <errorID>f18affca-023a-49ca-b92b-204070eda4fc</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2B26C53C</paraID>
      <start>160</start>
      <end>168</end>
      <status>modified</status>
      <modifiedWord>国家林业和草原局</modifiedWord>
      <trackRevisions>false</trackRevisions>
    </reviewItem>
    <reviewItem>
      <errorID>da530ffe-0498-4d44-9e8e-f23a6a0f1760</errorID>
      <errorWord>中共中央办公厅国务院办公厅</errorWord>
      <group>L1_Political</group>
      <groupName>政治性问题</groupName>
      <ability>L2_Keyword</ability>
      <abilityName>固定表述</abilityName>
      <candidateList>
        <item>中共中央办公厅、国务院办公厅</item>
      </candidateList>
      <explain>注意检查当前固定表述标点是否使用规范。</explain>
      <paraID>2B26C53C</paraID>
      <start>198</start>
      <end>212</end>
      <status>modified</status>
      <modifiedWord>中共中央办公厅、国务院办公厅</modifiedWord>
      <trackRevisions>false</trackRevisions>
    </reviewItem>
    <reviewItem>
      <errorID>6f3629cf-d31b-4165-8dd4-d3c02f4900ef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5B02964D</paraID>
      <start>0</start>
      <end>2</end>
      <status>modified</status>
      <modifiedWord>2.</modifiedWord>
      <trackRevisions>false</trackRevisions>
    </reviewItem>
    <reviewItem>
      <errorID>4b13c7c3-da9f-435b-8026-221365b9f054</errorID>
      <errorWord>项目项目</errorWord>
      <group>L1_Word</group>
      <groupName>字词问题</groupName>
      <ability>L2_Typo</ability>
      <abilityName>字词错误</abilityName>
      <candidateList>
        <item>项目</item>
      </candidateList>
      <explain/>
      <paraID>2E5AF605</paraID>
      <start>7</start>
      <end>9</end>
      <status>modified</status>
      <modifiedWord>项目</modifiedWord>
      <trackRevisions>false</trackRevisions>
    </reviewItem>
    <reviewItem>
      <errorID>642c3edf-0c9b-4272-8936-395b5d37b484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26F74C03</paraID>
      <start>0</start>
      <end>2</end>
      <status>modified</status>
      <modifiedWord>8.</modifiedWord>
      <trackRevisions>false</trackRevisions>
    </reviewItem>
    <reviewItem>
      <errorID>62e4cb21-4ff5-4e5b-b762-df2d1934fe94</errorID>
      <errorWord>目</errorWord>
      <group>L1_Word</group>
      <groupName>字词问题</groupName>
      <ability>L2_Typo</ability>
      <abilityName>字词错误</abilityName>
      <candidateList>
        <item>目标</item>
      </candidateList>
      <explain/>
      <paraID>1EFF689B</paraID>
      <start>29</start>
      <end>31</end>
      <status>modified</status>
      <modifiedWord>目标</modifiedWord>
      <trackRevisions>false</trackRevisions>
    </reviewItem>
    <reviewItem>
      <errorID>e3a3bd2e-f14b-4869-bbed-369f028ff91f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6F5FC885</paraID>
      <start>0</start>
      <end>2</end>
      <status>modified</status>
      <modifiedWord>9.</modifiedWord>
      <trackRevisions>false</trackRevisions>
    </reviewItem>
    <reviewItem>
      <errorID>ddf61561-ca77-4589-a7e6-68d0c4e9dc8f</errorID>
      <errorWord>总体现划</errorWord>
      <group>L1_Word</group>
      <groupName>字词问题</groupName>
      <ability>L2_Typo</ability>
      <abilityName>字词错误</abilityName>
      <candidateList>
        <item>总体规划</item>
      </candidateList>
      <explain/>
      <paraID>5E294123</paraID>
      <start>22</start>
      <end>26</end>
      <status>modified</status>
      <modifiedWord>总体规划</modifiedWord>
      <trackRevisions>false</trackRevisions>
    </reviewItem>
    <reviewItem>
      <errorID>0d0122bf-f12f-4a3c-a753-4b7156c5c4bb</errorID>
      <errorWord>项目位于项目位于</errorWord>
      <group>L1_Word</group>
      <groupName>字词问题</groupName>
      <ability>L2_Typo</ability>
      <abilityName>字词错误</abilityName>
      <candidateList>
        <item>项目位于</item>
      </candidateList>
      <explain/>
      <paraID>5C965222</paraID>
      <start>0</start>
      <end>4</end>
      <status>modified</status>
      <modifiedWord>项目位于</modifiedWord>
      <trackRevisions>false</trackRevisions>
    </reviewItem>
    <reviewItem>
      <errorID>4e6833f9-7b7d-443c-a88f-fabb5ec947f1</errorID>
      <errorWord>发力</errorWord>
      <group>L1_Word</group>
      <groupName>字词问题</groupName>
      <ability>L2_Typo</ability>
      <abilityName>字词错误</abilityName>
      <candidateList>
        <item>发电</item>
      </candidateList>
      <explain/>
      <paraID>28DB4825</paraID>
      <start>6</start>
      <end>8</end>
      <status>modified</status>
      <modifiedWord>发电</modifiedWord>
      <trackRevisions>false</trackRevisions>
    </reviewItem>
    <reviewItem>
      <errorID>bb32e748-b01c-4ceb-bd19-7e66f4d1e704</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410C1B1F</paraID>
      <start>4</start>
      <end>24</end>
      <status>modified</status>
      <modifiedWord>《产业结构调整指导目录（2024年本）》</modifiedWord>
      <trackRevisions>false</trackRevisions>
    </reviewItem>
    <reviewItem>
      <errorID>194cbbe5-ec5c-4326-bb5f-b5263a076cfe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2A226173</paraID>
      <start>0</start>
      <end>3</end>
      <status>modified</status>
      <modifiedWord>10.</modifiedWord>
      <trackRevisions>false</trackRevisions>
    </reviewItem>
    <reviewItem>
      <errorID>a7108768-8487-4050-8bb4-89bb31739438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4D7CA943</paraID>
      <start>68</start>
      <end>70</end>
      <status>modified</status>
      <modifiedWord>》《</modifiedWord>
      <trackRevisions>false</trackRevisions>
    </reviewItem>
    <reviewItem>
      <errorID>d2d98810-f3fb-4fee-92f5-e675c7ae3120</errorID>
      <errorWord>项目位于项目位于</errorWord>
      <group>L1_Word</group>
      <groupName>字词问题</groupName>
      <ability>L2_Typo</ability>
      <abilityName>字词错误</abilityName>
      <candidateList>
        <item>项目位于</item>
      </candidateList>
      <explain/>
      <paraID>216B4D09</paraID>
      <start>0</start>
      <end>4</end>
      <status>modified</status>
      <modifiedWord>项目位于</modifiedWord>
      <trackRevisions>false</trackRevisions>
    </reviewItem>
    <reviewItem>
      <errorID>cd962432-e833-4ca4-bf4c-1cc2665f025b</errorID>
      <errorWord>项目位于项目位于</errorWord>
      <group>L1_Word</group>
      <groupName>字词问题</groupName>
      <ability>L2_Typo</ability>
      <abilityName>字词错误</abilityName>
      <candidateList>
        <item>项目位于</item>
      </candidateList>
      <explain/>
      <paraID>18C8C54F</paraID>
      <start>0</start>
      <end>4</end>
      <status>modified</status>
      <modifiedWord>项目位于</modifiedWord>
      <trackRevisions>false</trackRevisions>
    </reviewItem>
    <reviewItem>
      <errorID>f3e19686-8f7f-40e9-bf1a-a76316a8ecd5</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1418472D</paraID>
      <start>29</start>
      <end>38</end>
      <status>modified</status>
      <modifiedWord>国务院投资主管部门</modifiedWord>
      <trackRevisions>false</trackRevisions>
    </reviewItem>
    <reviewItem>
      <errorID>2a1547b3-a5ba-42d2-ac07-d0e3a1e38152</errorID>
      <errorWord>~</errorWord>
      <group>L1_Format</group>
      <groupName>格式问题</groupName>
      <ability>L2_HalfPunc_CN</ability>
      <abilityName>全半角问题</abilityName>
      <candidateList>
        <item>～</item>
      </candidateList>
      <explain>文本全半角错误。</explain>
      <paraID>3487EB47</paraID>
      <start>29</start>
      <end>30</end>
      <status>modified</status>
      <modifiedWord>～</modifiedWord>
      <trackRevisions>false</trackRevisions>
    </reviewItem>
    <reviewItem>
      <errorID>7bc65815-a57b-441a-9167-adb76d312194</errorID>
      <errorWord>成</errorWord>
      <group>L1_Word</group>
      <groupName>字词问题</groupName>
      <ability>L2_Typo</ability>
      <abilityName>字词错误</abilityName>
      <candidateList>
        <item>成后</item>
      </candidateList>
      <explain/>
      <paraID>200DA499</paraID>
      <start>3</start>
      <end>5</end>
      <status>modified</status>
      <modifiedWord>成后</modifiedWord>
      <trackRevisions>false</trackRevisions>
    </reviewItem>
    <reviewItem>
      <errorID>865e3ab9-cfbb-4de1-ae4e-3fd4943d0c1c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54269DBD</paraID>
      <start>70</start>
      <end>71</end>
      <status>modified</status>
      <modifiedWord>—</modifiedWord>
      <trackRevisions>false</trackRevisions>
    </reviewItem>
    <reviewItem>
      <errorID>5b9d884a-f819-44d5-81fe-efd4745402e7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710BBD90</paraID>
      <start>76</start>
      <end>77</end>
      <status>modified</status>
      <modifiedWord>—</modifiedWord>
      <trackRevisions>false</trackRevisions>
    </reviewItem>
    <reviewItem>
      <errorID>f611ceda-29b6-4365-8bd9-8612d5c6d5ea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710BBD90</paraID>
      <start>119</start>
      <end>120</end>
      <status>modified</status>
      <modifiedWord>—</modifiedWord>
      <trackRevisions>false</trackRevisions>
    </reviewItem>
    <reviewItem>
      <errorID>e3014a7e-eaab-4a23-8b21-50cb9387b488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593DD930</paraID>
      <start>77</start>
      <end>78</end>
      <status>modified</status>
      <modifiedWord>—</modifiedWord>
      <trackRevisions>false</trackRevisions>
    </reviewItem>
    <reviewItem>
      <errorID>6455f3e7-df6d-4c83-9856-9575185c67cf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593DD930</paraID>
      <start>120</start>
      <end>121</end>
      <status>modified</status>
      <modifiedWord>—</modifiedWord>
      <trackRevisions>false</trackRevisions>
    </reviewItem>
    <reviewItem>
      <errorID>87f8bb82-9c04-4ae9-bc21-43823c76eb8a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458AD3FE</paraID>
      <start>0</start>
      <end>2</end>
      <status>modified</status>
      <modifiedWord>7.</modifiedWord>
      <trackRevisions>false</trackRevisions>
    </reviewItem>
    <reviewItem>
      <errorID>72f3eea6-d4ca-4586-a087-622fd20c5295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3E8B021</paraID>
      <start>0</start>
      <end>2</end>
      <status>modified</status>
      <modifiedWord>8.</modifiedWord>
      <trackRevisions>false</trackRevisions>
    </reviewItem>
    <reviewItem>
      <errorID>9e2ec203-855a-4826-9717-b4cbb5fe16d7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2632D95A</paraID>
      <start>0</start>
      <end>2</end>
      <status>modified</status>
      <modifiedWord>9.</modifiedWord>
      <trackRevisions>false</trackRevisions>
    </reviewItem>
    <reviewItem>
      <errorID>bfef7ba7-db52-4520-aa0a-e9d1d7d74b36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9BBE95B</paraID>
      <start>0</start>
      <end>3</end>
      <status>modified</status>
      <modifiedWord>10.</modifiedWord>
      <trackRevisions>false</trackRevisions>
    </reviewItem>
    <reviewItem>
      <errorID>992bf670-ec68-4b88-8240-2d72a5efecea</errorID>
      <errorWord>车辆交汇的</errorWord>
      <group>L1_Word</group>
      <groupName>字词问题</groupName>
      <ability>L2_Typo</ability>
      <abilityName>字词错误</abilityName>
      <candidateList>
        <item>车辆交会的</item>
      </candidateList>
      <explain/>
      <paraID>7B66FF33</paraID>
      <start>122</start>
      <end>127</end>
      <status>modified</status>
      <modifiedWord>车辆交会的</modifiedWord>
      <trackRevisions>false</trackRevisions>
    </reviewItem>
    <reviewItem>
      <errorID>5852623e-d182-46a4-bb8f-f6655089410c</errorID>
      <errorWord>物质</errorWord>
      <group>L1_Word</group>
      <groupName>字词问题</groupName>
      <ability>L2_Typo</ability>
      <abilityName>字词错误</abilityName>
      <candidateList>
        <item>物资</item>
      </candidateList>
      <explain/>
      <paraID>705A25A4</paraID>
      <start>23</start>
      <end>25</end>
      <status>modified</status>
      <modifiedWord>物资</modifiedWord>
      <trackRevisions>false</trackRevisions>
    </reviewItem>
    <reviewItem>
      <errorID>106bae95-7ceb-42a0-88e2-175a254a8a32</errorID>
      <errorWord>其它建材</errorWord>
      <group>L1_Word</group>
      <groupName>字词问题</groupName>
      <ability>L2_Alias</ability>
      <abilityName>也作/曾用词</abilityName>
      <candidateList>
        <item>其他建材</item>
      </candidateList>
      <explain>词汇[其它建材]为不规范表述或旧称，其规范书面表述为[其他建材]。</explain>
      <paraID>705A25A4</paraID>
      <start>45</start>
      <end>49</end>
      <status>modified</status>
      <modifiedWord>其他建材</modifiedWord>
      <trackRevisions>false</trackRevisions>
    </reviewItem>
    <reviewItem>
      <errorID>44d5d903-09e8-416f-8b19-c4f4c0ae7a03</errorID>
      <errorWord>生活物质</errorWord>
      <group>L1_Word</group>
      <groupName>字词问题</groupName>
      <ability>L2_Alias</ability>
      <abilityName>也作/曾用词</abilityName>
      <candidateList>
        <item>生活物资</item>
      </candidateList>
      <explain>词汇[生活物质]为不规范表述或旧称，其规范书面表述为[生活物资]。</explain>
      <paraID>4635FB27</paraID>
      <start>2</start>
      <end>6</end>
      <status>modified</status>
      <modifiedWord>生活物资</modifiedWord>
      <trackRevisions>false</trackRevisions>
    </reviewItem>
    <reviewItem>
      <errorID>755692e3-5d4d-4109-a627-4b113bb51efa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5D06D281</paraID>
      <start>0</start>
      <end>3</end>
      <status>modified</status>
      <modifiedWord>（1）</modifiedWord>
      <trackRevisions>false</trackRevisions>
    </reviewItem>
    <reviewItem>
      <errorID>e1247bb9-f6d3-4a64-ace4-c1289c52875c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4ACB571</paraID>
      <start>0</start>
      <end>3</end>
      <status>modified</status>
      <modifiedWord>（2）</modifiedWord>
      <trackRevisions>false</trackRevisions>
    </reviewItem>
    <reviewItem>
      <errorID>6e34b6dc-420d-43e9-afee-2e8e5128eb9b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6FDE88A3</paraID>
      <start>0</start>
      <end>3</end>
      <status>modified</status>
      <modifiedWord>（3）</modifiedWord>
      <trackRevisions>false</trackRevisions>
    </reviewItem>
    <reviewItem>
      <errorID>8dfd7047-50ee-4ea0-ab67-f4c4969f5195</errorID>
      <errorWord>,</errorWord>
      <group>L1_Format</group>
      <groupName>格式问题</groupName>
      <ability>L2_HalfPunc_CN</ability>
      <abilityName>全半角问题</abilityName>
      <candidateList>
        <item>，</item>
      </candidateList>
      <explain>文本全半角错误。</explain>
      <paraID>755E785B</paraID>
      <start>107</start>
      <end>108</end>
      <status>modified</status>
      <modifiedWord>，</modifiedWord>
      <trackRevisions>false</trackRevisions>
    </reviewItem>
    <reviewItem>
      <errorID>bc79a844-4e67-4a4e-8aa2-5638e91aa0e7</errorID>
      <errorWord>基</errorWord>
      <group>L1_Word</group>
      <groupName>字词问题</groupName>
      <ability>L2_Typo</ability>
      <abilityName>字词错误</abilityName>
      <candidateList>
        <item>基地</item>
      </candidateList>
      <explain/>
      <paraID> D65F23F</paraID>
      <start>184</start>
      <end>186</end>
      <status>modified</status>
      <modifiedWord>基地</modifiedWord>
      <trackRevisions>false</trackRevisions>
    </reviewItem>
    <reviewItem>
      <errorID>9a91ac83-df84-406a-9275-36ac768423f5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D50881</paraID>
      <start>18</start>
      <end>19</end>
      <status>unmodified</status>
      <modifiedWord/>
      <trackRevisions>false</trackRevisions>
    </reviewItem>
    <reviewItem>
      <errorID>017ab3ea-a279-42e8-a017-ae28e0933a9f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61D2ACA3</paraID>
      <start>10</start>
      <end>11</end>
      <status>modified</status>
      <modifiedWord>—</modifiedWord>
      <trackRevisions>false</trackRevisions>
    </reviewItem>
    <reviewItem>
      <errorID>b81ff9a4-2990-4a92-b094-4005d5edd86e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27D7B138</paraID>
      <start>0</start>
      <end>2</end>
      <status>modified</status>
      <modifiedWord>1.</modifiedWord>
      <trackRevisions>false</trackRevisions>
    </reviewItem>
    <reviewItem>
      <errorID>4dbedb95-fa63-428c-a60f-6a575657ef8e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72382A0E</paraID>
      <start>24</start>
      <end>26</end>
      <status>modified</status>
      <modifiedWord>涉及</modifiedWord>
      <trackRevisions>false</trackRevisions>
    </reviewItem>
    <reviewItem>
      <errorID>106abf6b-1e39-4678-9638-718c0fe3eee6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2657FEE9</paraID>
      <start>5</start>
      <end>6</end>
      <status>modified</status>
      <modifiedWord>—</modifiedWord>
      <trackRevisions>false</trackRevisions>
    </reviewItem>
    <reviewItem>
      <errorID>1e1d1bd8-0390-4695-83c2-0fdb6325eaef</errorID>
      <errorWord>40%~70%</errorWord>
      <group>L1_Knowledge</group>
      <groupName>知识性问题</groupName>
      <ability>L2_Knowledge</ability>
      <abilityName>其他知识</abilityName>
      <candidateList>
        <item>40%～70%</item>
      </candidateList>
      <explain>1. “40%~70%”中的单位“%”仅出现在后一个数字上，容易引起歧义；根据《现代汉语标点符号数字用法规范手册》，数字表示范围两边需要使用统一的格式。2. 根据标点国标 4.13 中的规则，数字、时间或地域连接符应使用（视觉上更长的）“—”或“～”。</explain>
      <paraID>2657FEE9</paraID>
      <start>11</start>
      <end>18</end>
      <status>modified</status>
      <modifiedWord>40%～70%</modifiedWord>
      <trackRevisions>false</trackRevisions>
    </reviewItem>
    <reviewItem>
      <errorID>6fae046f-981c-4e16-9008-4b583a4cba25</errorID>
      <errorWord>Quercuspannosa</errorWord>
      <group>L1_English</group>
      <groupName>英文问题</groupName>
      <ability>L2_Other_Grammar</ability>
      <abilityName>其他语法问题</abilityName>
      <candidateList>
        <item>Quercus pannonosa</item>
      </candidateList>
      <explain>疑似单词/词组使用不当, 建议将Quercuspannosa修改为Quercus pannonosa</explain>
      <paraID>2657FEE9</paraID>
      <start>72</start>
      <end>89</end>
      <status>modified</status>
      <modifiedWord>Quercus pannonosa</modifiedWord>
      <trackRevisions>false</trackRevisions>
    </reviewItem>
    <reviewItem>
      <errorID>606d5232-e814-491b-8951-86e62e7eb315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5DA77E07</paraID>
      <start>7</start>
      <end>8</end>
      <status>modified</status>
      <modifiedWord>—</modifiedWord>
      <trackRevisions>false</trackRevisions>
    </reviewItem>
    <reviewItem>
      <errorID>808ed672-d53e-42ea-b3de-09bfeb6c2147</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5DA77E07</paraID>
      <start>20</start>
      <end>27</end>
      <status>modified</status>
      <modifiedWord>10%～30%</modifiedWord>
      <trackRevisions>false</trackRevisions>
    </reviewItem>
    <reviewItem>
      <errorID>73bb51df-b5b1-42b0-8304-392eb98f7237</errorID>
      <errorWord>~</errorWord>
      <group>L1_Format</group>
      <groupName>格式问题</groupName>
      <ability>L2_HalfPunc_CN</ability>
      <abilityName>全半角问题</abilityName>
      <candidateList>
        <item>～</item>
      </candidateList>
      <explain>文本全半角错误。</explain>
      <paraID>708E1A49</paraID>
      <start>7</start>
      <end>8</end>
      <status>modified</status>
      <modifiedWord>～</modifiedWord>
      <trackRevisions>false</trackRevisions>
    </reviewItem>
    <reviewItem>
      <errorID>a398987d-ad55-4288-a4cb-f680251bf44f</errorID>
      <errorWord>30%~60%</errorWord>
      <group>L1_Knowledge</group>
      <groupName>知识性问题</groupName>
      <ability>L2_Knowledge</ability>
      <abilityName>其他知识</abilityName>
      <candidateList>
        <item>30%～60%</item>
      </candidateList>
      <explain>1. “30%~60%”中的单位“%”仅出现在后一个数字上，容易引起歧义；根据《现代汉语标点符号数字用法规范手册》，数字表示范围两边需要使用统一的格式。2. 根据标点国标 4.13 中的规则，数字、时间或地域连接符应使用（视觉上更长的）“—”或“～”。</explain>
      <paraID>708E1A49</paraID>
      <start>15</start>
      <end>22</end>
      <status>modified</status>
      <modifiedWord>30%～60%</modifiedWord>
      <trackRevisions>false</trackRevisions>
    </reviewItem>
    <reviewItem>
      <errorID>6ad0b1f4-6f88-4aa9-af22-2877fb56d66f</errorID>
      <errorWord>其中</errorWord>
      <group>L1_Word</group>
      <groupName>字词问题</groupName>
      <ability>L2_Typo</ability>
      <abilityName>字词错误</abilityName>
      <candidateList>
        <item>中</item>
      </candidateList>
      <explain/>
      <paraID>5ADE565E</paraID>
      <start>14</start>
      <end>15</end>
      <status>modified</status>
      <modifiedWord>中</modifiedWord>
      <trackRevisions>false</trackRevisions>
    </reviewItem>
    <reviewItem>
      <errorID>72713e99-6b2c-498c-af41-d8d7a832c30b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634B2FF2</paraID>
      <start>5</start>
      <end>6</end>
      <status>modified</status>
      <modifiedWord>—</modifiedWord>
      <trackRevisions>false</trackRevisions>
    </reviewItem>
    <reviewItem>
      <errorID>e918b175-8da4-47ff-b14b-eedcdf1a0a44</errorID>
      <errorWord>40%~70%</errorWord>
      <group>L1_Knowledge</group>
      <groupName>知识性问题</groupName>
      <ability>L2_Knowledge</ability>
      <abilityName>其他知识</abilityName>
      <candidateList>
        <item>40%～70%</item>
      </candidateList>
      <explain>1. “40%~70%”中的单位“%”仅出现在后一个数字上，容易引起歧义；根据《现代汉语标点符号数字用法规范手册》，数字表示范围两边需要使用统一的格式。2. 根据标点国标 4.13 中的规则，数字、时间或地域连接符应使用（视觉上更长的）“—”或“～”。</explain>
      <paraID>634B2FF2</paraID>
      <start>11</start>
      <end>18</end>
      <status>modified</status>
      <modifiedWord>40%～70%</modifiedWord>
      <trackRevisions>false</trackRevisions>
    </reviewItem>
    <reviewItem>
      <errorID>91165939-37ad-4629-a97f-1611677e1d09</errorID>
      <errorWord>Pinusarmandi</errorWord>
      <group>L1_English</group>
      <groupName>英文问题</groupName>
      <ability>L2_Spell</ability>
      <abilityName>拼写问题</abilityName>
      <candidateList>
        <item>Pinusmandi</item>
      </candidateList>
      <explain>疑似单词拼写有误，建议将Pinusarmandi修改为Pinusmandi</explain>
      <paraID>634B2FF2</paraID>
      <start>31</start>
      <end>41</end>
      <status>modified</status>
      <modifiedWord>Pinusmandi</modifiedWord>
      <trackRevisions>false</trackRevisions>
    </reviewItem>
    <reviewItem>
      <errorID>0a0eb5bb-cb0a-4e2c-8914-98a7897b1bd2</errorID>
      <errorWord>~</errorWord>
      <group>L1_Format</group>
      <groupName>格式问题</groupName>
      <ability>L2_HalfPunc_CN</ability>
      <abilityName>全半角问题</abilityName>
      <candidateList>
        <item>～</item>
      </candidateList>
      <explain>文本全半角错误。</explain>
      <paraID>76F49FB2</paraID>
      <start>7</start>
      <end>8</end>
      <status>modified</status>
      <modifiedWord>～</modifiedWord>
      <trackRevisions>false</trackRevisions>
    </reviewItem>
    <reviewItem>
      <errorID>e6d559fd-4840-4b24-a018-9251c0501ac4</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76F49FB2</paraID>
      <start>13</start>
      <end>20</end>
      <status>modified</status>
      <modifiedWord>10%～20%</modifiedWord>
      <trackRevisions>false</trackRevisions>
    </reviewItem>
    <reviewItem>
      <errorID>19c9c02e-acf4-40fd-a542-2fda59b7f149</errorID>
      <errorWord>~</errorWord>
      <group>L1_Format</group>
      <groupName>格式问题</groupName>
      <ability>L2_HalfPunc_CN</ability>
      <abilityName>全半角问题</abilityName>
      <candidateList>
        <item>～</item>
      </candidateList>
      <explain>文本全半角错误。</explain>
      <paraID>1AEDAEF0</paraID>
      <start>7</start>
      <end>8</end>
      <status>modified</status>
      <modifiedWord>～</modifiedWord>
      <trackRevisions>false</trackRevisions>
    </reviewItem>
    <reviewItem>
      <errorID>e9d5fef7-7451-4df4-88ab-d7ee7a3f151d</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1AEDAEF0</paraID>
      <start>13</start>
      <end>20</end>
      <status>modified</status>
      <modifiedWord>10%～30%</modifiedWord>
      <trackRevisions>false</trackRevisions>
    </reviewItem>
    <reviewItem>
      <errorID>c76aa7f1-bf1f-4ff7-a728-e3c4301e768c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CE3DEE</paraID>
      <start>5</start>
      <end>6</end>
      <status>modified</status>
      <modifiedWord>—</modifiedWord>
      <trackRevisions>false</trackRevisions>
    </reviewItem>
    <reviewItem>
      <errorID>689c35d3-b5b4-47ad-a7ed-abf85317e446</errorID>
      <errorWord>50%~80%</errorWord>
      <group>L1_Knowledge</group>
      <groupName>知识性问题</groupName>
      <ability>L2_Knowledge</ability>
      <abilityName>其他知识</abilityName>
      <candidateList>
        <item>50%～80%</item>
      </candidateList>
      <explain>1. “50%~80%”中的单位“%”仅出现在后一个数字上，容易引起歧义；根据《现代汉语标点符号数字用法规范手册》，数字表示范围两边需要使用统一的格式。2.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CE3DEE</paraID>
      <start>12</start>
      <end>19</end>
      <status>modified</status>
      <modifiedWord>50%～80%</modifiedWord>
      <trackRevisions>false</trackRevisions>
    </reviewItem>
    <reviewItem>
      <errorID>f3d275db-30e5-439c-bc0b-6111bbaecada</errorID>
      <errorWord>Quercuspannosa</errorWord>
      <group>L1_English</group>
      <groupName>英文问题</groupName>
      <ability>L2_Other_Grammar</ability>
      <abilityName>其他语法问题</abilityName>
      <candidateList>
        <item>Quercus pannonosa</item>
      </candidateList>
      <explain>疑似单词/词组使用不当, 建议将Quercuspannosa修改为Quercus pannonosa</explain>
      <paraID>  CE3DEE</paraID>
      <start>73</start>
      <end>90</end>
      <status>modified</status>
      <modifiedWord>Quercus pannonosa</modifiedWord>
      <trackRevisions>false</trackRevisions>
    </reviewItem>
    <reviewItem>
      <errorID>cb9b5421-fb52-4e9a-aff3-8a3a6926ee57</errorID>
      <errorWord>~</errorWord>
      <group>L1_Format</group>
      <groupName>格式问题</groupName>
      <ability>L2_HalfPunc_CN</ability>
      <abilityName>全半角问题</abilityName>
      <candidateList>
        <item>～</item>
      </candidateList>
      <explain>文本全半角错误。</explain>
      <paraID>265D327D</paraID>
      <start>7</start>
      <end>8</end>
      <status>modified</status>
      <modifiedWord>～</modifiedWord>
      <trackRevisions>false</trackRevisions>
    </reviewItem>
    <reviewItem>
      <errorID>b9b23964-9256-4bd0-a69d-84f0a054f654</errorID>
      <errorWord>20%~50%</errorWord>
      <group>L1_Knowledge</group>
      <groupName>知识性问题</groupName>
      <ability>L2_Knowledge</ability>
      <abilityName>其他知识</abilityName>
      <candidateList>
        <item>20%～50%</item>
      </candidateList>
      <explain>1. “20%~50%”中的单位“%”仅出现在后一个数字上，容易引起歧义；根据《现代汉语标点符号数字用法规范手册》，数字表示范围两边需要使用统一的格式。2. 根据标点国标 4.13 中的规则，数字、时间或地域连接符应使用（视觉上更长的）“—”或“～”。</explain>
      <paraID>265D327D</paraID>
      <start>13</start>
      <end>20</end>
      <status>modified</status>
      <modifiedWord>20%～50%</modifiedWord>
      <trackRevisions>false</trackRevisions>
    </reviewItem>
    <reviewItem>
      <errorID>4eb76f2d-e87d-4bbd-b3bf-2857fc7d3aaa</errorID>
      <errorWord>拔子</errorWord>
      <group>L1_Word</group>
      <groupName>字词问题</groupName>
      <ability>L2_Typo</ability>
      <abilityName>字词错误</abilityName>
      <candidateList>
        <item>栀子</item>
      </candidateList>
      <explain/>
      <paraID>265D327D</paraID>
      <start>113</start>
      <end>115</end>
      <status>modified</status>
      <modifiedWord>栀子</modifiedWord>
      <trackRevisions>false</trackRevisions>
    </reviewItem>
    <reviewItem>
      <errorID>850d6371-2f64-4f2c-95a7-5aba7907a693</errorID>
      <errorWord>~</errorWord>
      <group>L1_Format</group>
      <groupName>格式问题</groupName>
      <ability>L2_HalfPunc_CN</ability>
      <abilityName>全半角问题</abilityName>
      <candidateList>
        <item>～</item>
      </candidateList>
      <explain>文本全半角错误。</explain>
      <paraID>52E2CADD</paraID>
      <start>7</start>
      <end>8</end>
      <status>modified</status>
      <modifiedWord>～</modifiedWord>
      <trackRevisions>false</trackRevisions>
    </reviewItem>
    <reviewItem>
      <errorID>3ab9122b-5414-48d6-8a51-1a47e13cee28</errorID>
      <errorWord>40%~70%</errorWord>
      <group>L1_Knowledge</group>
      <groupName>知识性问题</groupName>
      <ability>L2_Knowledge</ability>
      <abilityName>其他知识</abilityName>
      <candidateList>
        <item>40%～70%</item>
      </candidateList>
      <explain>1. “40%~70%”中的单位“%”仅出现在后一个数字上，容易引起歧义；根据《现代汉语标点符号数字用法规范手册》，数字表示范围两边需要使用统一的格式。2. 根据标点国标 4.13 中的规则，数字、时间或地域连接符应使用（视觉上更长的）“—”或“～”。</explain>
      <paraID>52E2CADD</paraID>
      <start>15</start>
      <end>22</end>
      <status>modified</status>
      <modifiedWord>40%～70%</modifiedWord>
      <trackRevisions>false</trackRevisions>
    </reviewItem>
    <reviewItem>
      <errorID>e1a54ef0-8dc8-46d5-8e52-7dd121a47c1e</errorID>
      <errorWord>~</errorWord>
      <group>L1_Format</group>
      <groupName>格式问题</groupName>
      <ability>L2_HalfPunc_CN</ability>
      <abilityName>全半角问题</abilityName>
      <candidateList>
        <item>～</item>
      </candidateList>
      <explain>文本全半角错误。</explain>
      <paraID> 1C0012E</paraID>
      <start>22</start>
      <end>23</end>
      <status>modified</status>
      <modifiedWord>～</modifiedWord>
      <trackRevisions>false</trackRevisions>
    </reviewItem>
    <reviewItem>
      <errorID>ca73d750-cddc-47f3-8235-57599bd69ece</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1C0012E</paraID>
      <start>30</start>
      <end>37</end>
      <status>modified</status>
      <modifiedWord>20%～40%</modifiedWord>
      <trackRevisions>false</trackRevisions>
    </reviewItem>
    <reviewItem>
      <errorID>3ec1d649-540d-4de8-a8d4-8804a1bbcd93</errorID>
      <errorWord>~</errorWord>
      <group>L1_Format</group>
      <groupName>格式问题</groupName>
      <ability>L2_HalfPunc_CN</ability>
      <abilityName>全半角问题</abilityName>
      <candidateList>
        <item>～</item>
      </candidateList>
      <explain>文本全半角错误。</explain>
      <paraID> 1C0012E</paraID>
      <start>190</start>
      <end>191</end>
      <status>modified</status>
      <modifiedWord>～</modifiedWord>
      <trackRevisions>false</trackRevisions>
    </reviewItem>
    <reviewItem>
      <errorID>6f1463a5-a46e-4162-91c1-85838755b86e</errorID>
      <errorWord>Pseudognaphaliumaffine</errorWord>
      <group>L1_English</group>
      <groupName>英文问题</groupName>
      <ability>L2_Other_Grammar</ability>
      <abilityName>其他语法问题</abilityName>
      <candidateList>
        <item>Pseudognaphalia affinis</item>
      </candidateList>
      <explain>名词使用不当, 建议将Pseudognaphaliumaffine修改为Pseudognaphalia affinis</explain>
      <paraID> 1C0012E</paraID>
      <start>200</start>
      <end>223</end>
      <status>modified</status>
      <modifiedWord>Pseudognaphalia affinis</modifiedWord>
      <trackRevisions>false</trackRevisions>
    </reviewItem>
    <reviewItem>
      <errorID>a706ab9b-8c3c-4843-962a-fedfa5fc567c</errorID>
      <errorWord>Artemisialavandulifolia</errorWord>
      <group>L1_English</group>
      <groupName>英文问题</groupName>
      <ability>L2_Other_Grammar</ability>
      <abilityName>其他语法问题</abilityName>
      <candidateList>
        <item>Artemisia laevandulifolia</item>
      </candidateList>
      <explain>名词使用不当, 建议将Artemisialavandulifolia修改为Artemisia laevandulifolia</explain>
      <paraID> 1C0012E</paraID>
      <start>235</start>
      <end>260</end>
      <status>modified</status>
      <modifiedWord>Artemisia laevandulifolia</modifiedWord>
      <trackRevisions>false</trackRevisions>
    </reviewItem>
    <reviewItem>
      <errorID>132696ad-4873-4d7b-9300-50b730890c42</errorID>
      <errorWord>~</errorWord>
      <group>L1_Format</group>
      <groupName>格式问题</groupName>
      <ability>L2_HalfPunc_CN</ability>
      <abilityName>全半角问题</abilityName>
      <candidateList>
        <item>～</item>
      </candidateList>
      <explain>文本全半角错误。</explain>
      <paraID>49681F6B</paraID>
      <start>29</start>
      <end>30</end>
      <status>modified</status>
      <modifiedWord>～</modifiedWord>
      <trackRevisions>false</trackRevisions>
    </reviewItem>
    <reviewItem>
      <errorID>023783b7-0870-4fe2-9a2a-673f557e27b0</errorID>
      <errorWord>50%~90%</errorWord>
      <group>L1_Knowledge</group>
      <groupName>知识性问题</groupName>
      <ability>L2_Knowledge</ability>
      <abilityName>其他知识</abilityName>
      <candidateList>
        <item>50%～90%</item>
      </candidateList>
      <explain>1. “50%~90%”中的单位“%”仅出现在后一个数字上，容易引起歧义；根据《现代汉语标点符号数字用法规范手册》，数字表示范围两边需要使用统一的格式。2. 根据标点国标 4.13 中的规则，数字、时间或地域连接符应使用（视觉上更长的）“—”或“～”。</explain>
      <paraID>49681F6B</paraID>
      <start>35</start>
      <end>42</end>
      <status>modified</status>
      <modifiedWord>50%～90%</modifiedWord>
      <trackRevisions>false</trackRevisions>
    </reviewItem>
    <reviewItem>
      <errorID>3fec8ca9-2ada-4e09-9ab2-2ff90089244a</errorID>
      <errorWord>~</errorWord>
      <group>L1_Format</group>
      <groupName>格式问题</groupName>
      <ability>L2_HalfPunc_CN</ability>
      <abilityName>全半角问题</abilityName>
      <candidateList>
        <item>～</item>
      </candidateList>
      <explain>文本全半角错误。</explain>
      <paraID>6FD91EFC</paraID>
      <start>20</start>
      <end>21</end>
      <status>modified</status>
      <modifiedWord>～</modifiedWord>
      <trackRevisions>false</trackRevisions>
    </reviewItem>
    <reviewItem>
      <errorID>4ef8695f-ce74-4ae3-a878-35f6a22884a9</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6FD91EFC</paraID>
      <start>28</start>
      <end>35</end>
      <status>modified</status>
      <modifiedWord>10%～40%</modifiedWord>
      <trackRevisions>false</trackRevisions>
    </reviewItem>
    <reviewItem>
      <errorID>b2d3fc08-c424-4450-9667-214a1578f226</errorID>
      <errorWord>Pseudognaphaliumaffine</errorWord>
      <group>L1_English</group>
      <groupName>英文问题</groupName>
      <ability>L2_Other_Grammar</ability>
      <abilityName>其他语法问题</abilityName>
      <candidateList>
        <item>Pseudognaphalia affina</item>
      </candidateList>
      <explain>名词使用不当, 建议将Pseudognaphaliumaffine修改为Pseudognaphalia affina</explain>
      <paraID>6FD91EFC</paraID>
      <start>40</start>
      <end>62</end>
      <status>modified</status>
      <modifiedWord>Pseudognaphalia affina</modifiedWord>
      <trackRevisions>false</trackRevisions>
    </reviewItem>
    <reviewItem>
      <errorID>a008d776-afa5-4f35-b55d-70a421a6158a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31497FA4</paraID>
      <start>0</start>
      <end>2</end>
      <status>modified</status>
      <modifiedWord>2.</modifiedWord>
      <trackRevisions>false</trackRevisions>
    </reviewItem>
    <reviewItem>
      <errorID>7cd5995b-f703-4f27-bcfa-9872c816fd26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75EE0A28</paraID>
      <start>35</start>
      <end>37</end>
      <status>modified</status>
      <modifiedWord>》《</modifiedWord>
      <trackRevisions>false</trackRevisions>
    </reviewItem>
    <reviewItem>
      <errorID>c6fd51e8-10b9-4032-a795-03f62ed071ab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75EE0A28</paraID>
      <start>55</start>
      <end>57</end>
      <status>modified</status>
      <modifiedWord>》《</modifiedWord>
      <trackRevisions>false</trackRevisions>
    </reviewItem>
    <reviewItem>
      <errorID>799f507c-3fc2-427e-90a6-eab9240541a2</errorID>
      <errorWord>云南</errorWord>
      <group>L1_Political</group>
      <groupName>政治性问题</groupName>
      <ability>L2_Unpolitical</ability>
      <abilityName>政治敏感错误</abilityName>
      <candidateList/>
      <explain>省级行政单位不能与国家并列。</explain>
      <paraID>75EE0A28</paraID>
      <start>95</start>
      <end>97</end>
      <status>unmodified</status>
      <modifiedWord/>
      <trackRevisions>false</trackRevisions>
    </reviewItem>
    <reviewItem>
      <errorID>842fcc0f-595a-4699-ab30-f50542442213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70390EB4</paraID>
      <start>0</start>
      <end>2</end>
      <status>modified</status>
      <modifiedWord>3.</modifiedWord>
      <trackRevisions>false</trackRevisions>
    </reviewItem>
    <reviewItem>
      <errorID>103bd73c-bfbf-4220-b99e-aade53d68fd7</errorID>
      <errorWord>Ptyaskorros</errorWord>
      <group>L1_English</group>
      <groupName>英文问题</groupName>
      <ability>L2_Other_Grammar</ability>
      <abilityName>其他语法问题</abilityName>
      <candidateList>
        <item>Ptyas korsis</item>
      </candidateList>
      <explain>名词使用不当, 建议将Ptyaskorros修改为Ptyas korsis</explain>
      <paraID>3E216279</paraID>
      <start>3</start>
      <end>15</end>
      <status>modified</status>
      <modifiedWord>Ptyas korsis</modifiedWord>
      <trackRevisions>false</trackRevisions>
    </reviewItem>
    <reviewItem>
      <errorID>cfa9bfcf-f590-44af-aaf4-bf6d92871743</errorID>
      <errorWord>Tamiopsswinhoei</errorWord>
      <group>L1_English</group>
      <groupName>英文问题</groupName>
      <ability>L2_Spell</ability>
      <abilityName>拼写问题</abilityName>
      <candidateList>
        <item>Tamiopswinhoei</item>
      </candidateList>
      <explain>疑似单词拼写有误，建议将Tamiopsswinhoei修改为Tamiopswinhoei</explain>
      <paraID>4D813540</paraID>
      <start>5</start>
      <end>19</end>
      <status>modified</status>
      <modifiedWord>Tamiopswinhoei</modifiedWord>
      <trackRevisions>false</trackRevisions>
    </reviewItem>
    <reviewItem>
      <errorID>e955131e-8e22-44de-8f6c-d37664cbaf14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2B257FD8</paraID>
      <start>12</start>
      <end>13</end>
      <status>modified</status>
      <modifiedWord>—</modifiedWord>
      <trackRevisions>false</trackRevisions>
    </reviewItem>
    <reviewItem>
      <errorID>3dcb398a-48b1-4991-ae91-125c05e9beb8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2B257FD8</paraID>
      <start>23</start>
      <end>24</end>
      <status>modified</status>
      <modifiedWord>—</modifiedWord>
      <trackRevisions>false</trackRevisions>
    </reviewItem>
    <reviewItem>
      <errorID>2def7ccf-9646-4e80-a633-52a7465606cf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2B257FD8</paraID>
      <start>35</start>
      <end>36</end>
      <status>modified</status>
      <modifiedWord>—</modifiedWord>
      <trackRevisions>false</trackRevisions>
    </reviewItem>
    <reviewItem>
      <errorID>4cb21aed-1487-406b-86b5-5fee328eee40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2B257FD8</paraID>
      <start>46</start>
      <end>47</end>
      <status>modified</status>
      <modifiedWord>—</modifiedWord>
      <trackRevisions>false</trackRevisions>
    </reviewItem>
    <reviewItem>
      <errorID>9a9ad8e0-4732-4827-a5fc-cec053e3eb13</errorID>
      <errorWord>海拔从</errorWord>
      <group>L1_Word</group>
      <groupName>字词问题</groupName>
      <ability>L2_Typo</ability>
      <abilityName>字词错误</abilityName>
      <candidateList>
        <item>海拔</item>
      </candidateList>
      <explain/>
      <paraID>5B0626A1</paraID>
      <start>8</start>
      <end>10</end>
      <status>modified</status>
      <modifiedWord>海拔</modifiedWord>
      <trackRevisions>false</trackRevisions>
    </reviewItem>
    <reviewItem>
      <errorID>a5b4cf08-db31-4272-b4e8-6abfda426b1a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5B0626A1</paraID>
      <start>14</start>
      <end>15</end>
      <status>modified</status>
      <modifiedWord>—</modifiedWord>
      <trackRevisions>false</trackRevisions>
    </reviewItem>
    <reviewItem>
      <errorID>895b7f0c-8646-44e5-a07c-c27284a2832f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5B0626A1</paraID>
      <start>63</start>
      <end>64</end>
      <status>modified</status>
      <modifiedWord>—</modifiedWord>
      <trackRevisions>false</trackRevisions>
    </reviewItem>
    <reviewItem>
      <errorID>da259082-bb2f-4e36-bb35-97f087530efc</errorID>
      <errorWord>草从</errorWord>
      <group>L1_Word</group>
      <groupName>字词问题</groupName>
      <ability>L2_Typo</ability>
      <abilityName>字词错误</abilityName>
      <candidateList>
        <item>草丛</item>
      </candidateList>
      <explain/>
      <paraID>5B0626A1</paraID>
      <start>77</start>
      <end>79</end>
      <status>modified</status>
      <modifiedWord>草丛</modifiedWord>
      <trackRevisions>false</trackRevisions>
    </reviewItem>
    <reviewItem>
      <errorID>b10e55cf-d471-4bb4-9d8d-5aa91126c718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5B0626A1</paraID>
      <start>94</start>
      <end>95</end>
      <status>modified</status>
      <modifiedWord>—</modifiedWord>
      <trackRevisions>false</trackRevisions>
    </reviewItem>
    <reviewItem>
      <errorID>4de53bcc-6174-4889-93b6-90be8b968a46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5B0626A1</paraID>
      <start>128</start>
      <end>129</end>
      <status>modified</status>
      <modifiedWord>—</modifiedWord>
      <trackRevisions>false</trackRevisions>
    </reviewItem>
    <reviewItem>
      <errorID>e08996a9-7ccb-4f7d-9f04-994bc6c1aea3</errorID>
      <errorWord>主要以植物性食物为主</errorWord>
      <group>L1_Grammar</group>
      <groupName>语法问题</groupName>
      <ability>L2_Grammar</ability>
      <abilityName>语法错误</abilityName>
      <candidateList>
        <item>以植物性食物为主</item>
      </candidateList>
      <explain>该表达中的“主要以植物性食物为主”存在语义重复。</explain>
      <paraID>5B0626A1</paraID>
      <start>133</start>
      <end>141</end>
      <status>modified</status>
      <modifiedWord>以植物性食物为主</modifiedWord>
      <trackRevisions>false</trackRevisions>
    </reviewItem>
    <reviewItem>
      <errorID>f47b6328-cb97-42f8-a308-b2439c77d40b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2C640AC9</paraID>
      <start>15</start>
      <end>16</end>
      <status>modified</status>
      <modifiedWord>—</modifiedWord>
      <trackRevisions>false</trackRevisions>
    </reviewItem>
    <reviewItem>
      <errorID>799339e2-6ac1-439e-a80d-57a17c677a5d</errorID>
      <errorWord>褐</errorWord>
      <group>L1_Word</group>
      <groupName>字词问题</groupName>
      <ability>L2_Typo</ability>
      <abilityName>字词错误</abilityName>
      <candidateList>
        <item>褐色</item>
      </candidateList>
      <explain/>
      <paraID>2C640AC9</paraID>
      <start>38</start>
      <end>40</end>
      <status>modified</status>
      <modifiedWord>褐色</modifiedWord>
      <trackRevisions>false</trackRevisions>
    </reviewItem>
    <reviewItem>
      <errorID>c8f06dd2-d369-4c27-984c-6c5b96dfdff7</errorID>
      <errorWord>下体</errorWord>
      <group>L1_Sensitive</group>
      <groupName>敏感问题</groupName>
      <ability>L2_Yellow</ability>
      <abilityName>涉黄内容</abilityName>
      <candidateList/>
      <explain>【涉黄词条】句中包含涉黄敏感词条，请注意甄别。</explain>
      <paraID>2C640AC9</paraID>
      <start>107</start>
      <end>109</end>
      <status>unmodified</status>
      <modifiedWord/>
      <trackRevisions>false</trackRevisions>
    </reviewItem>
    <reviewItem>
      <errorID>81c04f9e-6047-453d-9126-2376b3646d23</errorID>
      <errorWord>下体</errorWord>
      <group>L1_Sensitive</group>
      <groupName>敏感问题</groupName>
      <ability>L2_Yellow</ability>
      <abilityName>涉黄内容</abilityName>
      <candidateList/>
      <explain>【涉黄词条】句中包含涉黄敏感词条，请注意甄别。</explain>
      <paraID>30FD150F</paraID>
      <start>49</start>
      <end>51</end>
      <status>unmodified</status>
      <modifiedWord/>
      <trackRevisions>false</trackRevisions>
    </reviewItem>
    <reviewItem>
      <errorID>b73afa84-162e-42a5-8333-cd4c576f3bc9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30FD150F</paraID>
      <start>123</start>
      <end>124</end>
      <status>modified</status>
      <modifiedWord>—</modifiedWord>
      <trackRevisions>false</trackRevisions>
    </reviewItem>
    <reviewItem>
      <errorID>2c7fb728-50e3-4381-9578-d1b4b0d7adf4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30FD150F</paraID>
      <start>133</start>
      <end>134</end>
      <status>modified</status>
      <modifiedWord>—</modifiedWord>
      <trackRevisions>false</trackRevisions>
    </reviewItem>
    <reviewItem>
      <errorID>fed8baf2-8de4-4c20-a5dc-1d6650024ce0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30FD150F</paraID>
      <start>143</start>
      <end>144</end>
      <status>modified</status>
      <modifiedWord>—</modifiedWord>
      <trackRevisions>false</trackRevisions>
    </reviewItem>
    <reviewItem>
      <errorID>7910b3e5-331e-4870-a99f-c47a367e3d92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30FD150F</paraID>
      <start>154</start>
      <end>155</end>
      <status>modified</status>
      <modifiedWord>—</modifiedWord>
      <trackRevisions>false</trackRevisions>
    </reviewItem>
    <reviewItem>
      <errorID>ab1b2d18-fe77-428d-8e2d-da4cee46dff6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30FD150F</paraID>
      <start>165</start>
      <end>166</end>
      <status>modified</status>
      <modifiedWord>—</modifiedWord>
      <trackRevisions>false</trackRevisions>
    </reviewItem>
    <reviewItem>
      <errorID>1fd80b59-32e1-44bc-91a1-bf01a4111907</errorID>
      <errorWord>下体</errorWord>
      <group>L1_Sensitive</group>
      <groupName>敏感问题</groupName>
      <ability>L2_Yellow</ability>
      <abilityName>涉黄内容</abilityName>
      <candidateList/>
      <explain>【涉黄词条】句中包含涉黄敏感词条，请注意甄别。</explain>
      <paraID>5412AA47</paraID>
      <start>58</start>
      <end>60</end>
      <status>unmodified</status>
      <modifiedWord/>
      <trackRevisions>false</trackRevisions>
    </reviewItem>
    <reviewItem>
      <errorID>40d05fa7-c910-4856-ac96-3bb4e4e3a7dd</errorID>
      <errorWord>、等</errorWord>
      <group>L1_Punc</group>
      <groupName>标点问题</groupName>
      <ability>L2_Punc_CN</ability>
      <abilityName>标点符号问题</abilityName>
      <candidateList>
        <item>等</item>
      </candidateList>
      <explain>“及”“和”“等”连词前不宜使用顿号，建议删除（或使用逗号）。</explain>
      <paraID>29321FEE</paraID>
      <start>135</start>
      <end>136</end>
      <status>modified</status>
      <modifiedWord>等</modifiedWord>
      <trackRevisions>false</trackRevisions>
    </reviewItem>
    <reviewItem>
      <errorID>80e8a424-d7d8-46c3-ae89-ba2aadda322e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29321FEE</paraID>
      <start>142</start>
      <end>143</end>
      <status>modified</status>
      <modifiedWord>—</modifiedWord>
      <trackRevisions>false</trackRevisions>
    </reviewItem>
    <reviewItem>
      <errorID>fe34d7ed-12e5-4a37-9d1c-572694bbd3c0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51B1D93D</paraID>
      <start>10</start>
      <end>11</end>
      <status>modified</status>
      <modifiedWord>—</modifiedWord>
      <trackRevisions>false</trackRevisions>
    </reviewItem>
    <reviewItem>
      <errorID>84bf14b3-ce3a-479e-86c1-c6a7490646b9</errorID>
      <errorWord>下体</errorWord>
      <group>L1_Sensitive</group>
      <groupName>敏感问题</groupName>
      <ability>L2_Yellow</ability>
      <abilityName>涉黄内容</abilityName>
      <candidateList/>
      <explain>【涉黄词条】句中包含涉黄敏感词条，请注意甄别。</explain>
      <paraID>51B1D93D</paraID>
      <start>56</start>
      <end>58</end>
      <status>unmodified</status>
      <modifiedWord/>
      <trackRevisions>false</trackRevisions>
    </reviewItem>
    <reviewItem>
      <errorID>081dd212-9147-47d2-a1f6-8073134d86a8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51B1D93D</paraID>
      <start>83</start>
      <end>84</end>
      <status>modified</status>
      <modifiedWord>—</modifiedWord>
      <trackRevisions>false</trackRevisions>
    </reviewItem>
    <reviewItem>
      <errorID>8d2360ac-aa35-4fd1-ba2f-25b4e2b06951</errorID>
      <errorWord>野免</errorWord>
      <group>L1_Word</group>
      <groupName>字词问题</groupName>
      <ability>L2_Typo</ability>
      <abilityName>字词错误</abilityName>
      <candidateList>
        <item>野兔</item>
      </candidateList>
      <explain/>
      <paraID>45EFB3AF</paraID>
      <start>74</start>
      <end>76</end>
      <status>modified</status>
      <modifiedWord>野兔</modifiedWord>
      <trackRevisions>false</trackRevisions>
    </reviewItem>
    <reviewItem>
      <errorID>3b538a28-be87-4f50-b3c9-f8fa044f0cc6</errorID>
      <errorWord>下体</errorWord>
      <group>L1_Sensitive</group>
      <groupName>敏感问题</groupName>
      <ability>L2_Yellow</ability>
      <abilityName>涉黄内容</abilityName>
      <candidateList/>
      <explain>【涉黄词条】句中包含涉黄敏感词条，请注意甄别。</explain>
      <paraID>5A41A10E</paraID>
      <start>83</start>
      <end>85</end>
      <status>unmodified</status>
      <modifiedWord/>
      <trackRevisions>false</trackRevisions>
    </reviewItem>
    <reviewItem>
      <errorID>f9117513-214f-4037-880f-36a6c2d86f41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5A41A10E</paraID>
      <start>113</start>
      <end>114</end>
      <status>modified</status>
      <modifiedWord>—</modifiedWord>
      <trackRevisions>false</trackRevisions>
    </reviewItem>
    <reviewItem>
      <errorID>1e626ee3-546f-4e34-ada3-cf2d9a07c2e9</errorID>
      <errorWord>1-1.8千</errorWord>
      <group>L1_Knowledge</group>
      <groupName>知识性问题</groupName>
      <ability>L2_Knowledge</ability>
      <abilityName>其他知识</abilityName>
      <candidateList>
        <item>1千—1.8千</item>
      </candidateList>
      <explain>1. “1-1.8千”中的单位“千”仅出现在后一个数字上，容易引起歧义；根据《现代汉语标点符号数字用法规范手册》，数字表示范围两边需要使用统一的格式。2. 根据标点国标 4.13 中的规则，数字、时间或地域连接符应使用（视觉上更长的）“—”或“～”。</explain>
      <paraID>5A41A10E</paraID>
      <start>147</start>
      <end>154</end>
      <status>modified</status>
      <modifiedWord>1千—1.8千</modifiedWord>
      <trackRevisions>false</trackRevisions>
    </reviewItem>
    <reviewItem>
      <errorID>6c98ce81-2203-4f53-8271-226266a8d2d2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5A41A10E</paraID>
      <start>161</start>
      <end>162</end>
      <status>modified</status>
      <modifiedWord>—</modifiedWord>
      <trackRevisions>false</trackRevisions>
    </reviewItem>
    <reviewItem>
      <errorID>1a1892c9-ce17-45a8-81a1-153137eea198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5A41A10E</paraID>
      <start>171</start>
      <end>172</end>
      <status>modified</status>
      <modifiedWord>—</modifiedWord>
      <trackRevisions>false</trackRevisions>
    </reviewItem>
    <reviewItem>
      <errorID>b05a55ee-fd5c-49b1-b3c7-ebb355945e42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5A41A10E</paraID>
      <start>181</start>
      <end>182</end>
      <status>modified</status>
      <modifiedWord>—</modifiedWord>
      <trackRevisions>false</trackRevisions>
    </reviewItem>
    <reviewItem>
      <errorID>705a623f-7499-43a5-a3f6-3e49059ac5fb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5A41A10E</paraID>
      <start>192</start>
      <end>193</end>
      <status>modified</status>
      <modifiedWord>—</modifiedWord>
      <trackRevisions>false</trackRevisions>
    </reviewItem>
    <reviewItem>
      <errorID>de05cdf8-52b8-4dfc-8181-244b88ec19dd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5A41A10E</paraID>
      <start>203</start>
      <end>204</end>
      <status>modified</status>
      <modifiedWord>—</modifiedWord>
      <trackRevisions>false</trackRevisions>
    </reviewItem>
    <reviewItem>
      <errorID>3a757c83-19bc-4234-8cf0-4ab41ff049f8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4B2A2667</paraID>
      <start>222</start>
      <end>223</end>
      <status>modified</status>
      <modifiedWord>—</modifiedWord>
      <trackRevisions>false</trackRevisions>
    </reviewItem>
    <reviewItem>
      <errorID>3c1d63af-fe13-4841-ab91-035c5b659d73</errorID>
      <errorWord>Falcotinnunculus</errorWord>
      <group>L1_English</group>
      <groupName>英文问题</groupName>
      <ability>L2_Other_Grammar</ability>
      <abilityName>其他语法问题</abilityName>
      <candidateList>
        <item>Falcotin</item>
      </candidateList>
      <explain>名词使用不当, 建议将Falcotinnunculus修改为Falcotin</explain>
      <paraID>67101730</paraID>
      <start>2</start>
      <end>10</end>
      <status>modified</status>
      <modifiedWord>Falcotin</modifiedWord>
      <trackRevisions>false</trackRevisions>
    </reviewItem>
    <reviewItem>
      <errorID>56b54e11-4c2d-4139-a617-7829bea8bb3b</errorID>
      <errorWord>:</errorWord>
      <group>L1_Format</group>
      <groupName>格式问题</groupName>
      <ability>L2_HalfPunc_CN</ability>
      <abilityName>全半角问题</abilityName>
      <candidateList>
        <item>：</item>
      </candidateList>
      <explain>文本全半角错误。</explain>
      <paraID>3B1F3E0A</paraID>
      <start>4</start>
      <end>5</end>
      <status>modified</status>
      <modifiedWord>：</modifiedWord>
      <trackRevisions>false</trackRevisions>
    </reviewItem>
    <reviewItem>
      <errorID>fc68ca6d-d0ac-4291-b060-084ab40f91fe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3B1F3E0A</paraID>
      <start>15</start>
      <end>16</end>
      <status>modified</status>
      <modifiedWord>—</modifiedWord>
      <trackRevisions>false</trackRevisions>
    </reviewItem>
    <reviewItem>
      <errorID>7df756f9-96b3-40d1-809f-61af94d1a391</errorID>
      <errorWord>下体</errorWord>
      <group>L1_Sensitive</group>
      <groupName>敏感问题</groupName>
      <ability>L2_Yellow</ability>
      <abilityName>涉黄内容</abilityName>
      <candidateList/>
      <explain>【涉黄词条】句中包含涉黄敏感词条，请注意甄别。</explain>
      <paraID>3B1F3E0A</paraID>
      <start>109</start>
      <end>111</end>
      <status>unmodified</status>
      <modifiedWord/>
      <trackRevisions>false</trackRevisions>
    </reviewItem>
    <reviewItem>
      <errorID>fec7b736-7206-48b9-b5f4-ca086a77e4a1</errorID>
      <errorWord>腊</errorWord>
      <group>L1_Word</group>
      <groupName>字词问题</groupName>
      <ability>L2_Typo</ability>
      <abilityName>字词错误</abilityName>
      <candidateList>
        <item>蜡</item>
      </candidateList>
      <explain>存在发音相同字词的误用。</explain>
      <paraID>3B1F3E0A</paraID>
      <start>224</start>
      <end>225</end>
      <status>modified</status>
      <modifiedWord>蜡</modifiedWord>
      <trackRevisions>false</trackRevisions>
    </reviewItem>
    <reviewItem>
      <errorID>ad729263-85f4-49dc-af1c-0e7ee9b2895e</errorID>
      <errorWord>附和</errorWord>
      <group>L1_Word</group>
      <groupName>字词问题</groupName>
      <ability>L2_Typo</ability>
      <abilityName>字词错误</abilityName>
      <candidateList>
        <item>附合</item>
      </candidateList>
      <explain>存在发音相同字词的误用。</explain>
      <paraID>3B1F3E0A</paraID>
      <start>230</start>
      <end>232</end>
      <status>modified</status>
      <modifiedWord>附合</modifiedWord>
      <trackRevisions>false</trackRevisions>
    </reviewItem>
    <reviewItem>
      <errorID>2a38f676-ecca-4b97-87e0-dfd155213f3b</errorID>
      <errorWord>其它鸟类</errorWord>
      <group>L1_Word</group>
      <groupName>字词问题</groupName>
      <ability>L2_Alias</ability>
      <abilityName>也作/曾用词</abilityName>
      <candidateList>
        <item>其他鸟类</item>
      </candidateList>
      <explain>词汇[其它鸟类]为不规范表述或旧称，其规范书面表述为[其他鸟类]。</explain>
      <paraID>51D328B1</paraID>
      <start>69</start>
      <end>73</end>
      <status>modified</status>
      <modifiedWord>其他鸟类</modifiedWord>
      <trackRevisions>false</trackRevisions>
    </reviewItem>
    <reviewItem>
      <errorID>17562ccb-be14-42b9-aac7-7309616ef26c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51D328B1</paraID>
      <start>88</start>
      <end>89</end>
      <status>modified</status>
      <modifiedWord>—</modifiedWord>
      <trackRevisions>false</trackRevisions>
    </reviewItem>
    <reviewItem>
      <errorID>461299d9-57d6-4282-84c6-0caaa07ae0a3</errorID>
      <errorWord>被着</errorWord>
      <group>L1_Word</group>
      <groupName>字词问题</groupName>
      <ability>L2_Typo</ability>
      <abilityName>字词错误</abilityName>
      <candidateList>
        <item>被这</item>
      </candidateList>
      <explain/>
      <paraID>51D328B1</paraID>
      <start>104</start>
      <end>106</end>
      <status>modified</status>
      <modifiedWord>被这</modifiedWord>
      <trackRevisions>false</trackRevisions>
    </reviewItem>
    <reviewItem>
      <errorID>ea2f26ca-a431-4a09-ab35-bd1769503c0b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51D328B1</paraID>
      <start>128</start>
      <end>129</end>
      <status>modified</status>
      <modifiedWord>—</modifiedWord>
      <trackRevisions>false</trackRevisions>
    </reviewItem>
    <reviewItem>
      <errorID>ad39afa2-9dbf-4258-b75d-469fd534952f</errorID>
      <errorWord>下体</errorWord>
      <group>L1_Sensitive</group>
      <groupName>敏感问题</groupName>
      <ability>L2_Yellow</ability>
      <abilityName>涉黄内容</abilityName>
      <candidateList/>
      <explain>【涉黄词条】句中包含涉黄敏感词条，请注意甄别。</explain>
      <paraID>2B7D080B</paraID>
      <start>68</start>
      <end>70</end>
      <status>unmodified</status>
      <modifiedWord/>
      <trackRevisions>false</trackRevisions>
    </reviewItem>
    <reviewItem>
      <errorID>edd21804-2454-424d-aa68-78606d0aeb6f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51419923</paraID>
      <start>115</start>
      <end>116</end>
      <status>modified</status>
      <modifiedWord>—</modifiedWord>
      <trackRevisions>false</trackRevisions>
    </reviewItem>
    <reviewItem>
      <errorID>42098d9f-5bf6-421f-803c-86f914743f6f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19CF73CC</paraID>
      <start>11</start>
      <end>12</end>
      <status>modified</status>
      <modifiedWord>—</modifiedWord>
      <trackRevisions>false</trackRevisions>
    </reviewItem>
    <reviewItem>
      <errorID>835534e9-1567-4299-a73e-7ecfb6e8a8ef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19CF73CC</paraID>
      <start>26</start>
      <end>27</end>
      <status>modified</status>
      <modifiedWord>—</modifiedWord>
      <trackRevisions>false</trackRevisions>
    </reviewItem>
    <reviewItem>
      <errorID>fbbed7ce-995b-4516-8ce4-0eeba20028b3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38C6916A</paraID>
      <start>13</start>
      <end>14</end>
      <status>modified</status>
      <modifiedWord>—</modifiedWord>
      <trackRevisions>false</trackRevisions>
    </reviewItem>
    <reviewItem>
      <errorID>159d722d-8a64-47d3-a4be-1f3927d00ce8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38C6916A</paraID>
      <start>130</start>
      <end>131</end>
      <status>modified</status>
      <modifiedWord>—</modifiedWord>
      <trackRevisions>false</trackRevisions>
    </reviewItem>
    <reviewItem>
      <errorID>2b9b4439-50a5-4216-b046-5d7f5810d552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583CF6A2</paraID>
      <start>126</start>
      <end>127</end>
      <status>modified</status>
      <modifiedWord>—</modifiedWord>
      <trackRevisions>false</trackRevisions>
    </reviewItem>
    <reviewItem>
      <errorID>8d5c2044-f633-4043-bf89-d1c9d9adaf64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583CF6A2</paraID>
      <start>136</start>
      <end>137</end>
      <status>modified</status>
      <modifiedWord>—</modifiedWord>
      <trackRevisions>false</trackRevisions>
    </reviewItem>
    <reviewItem>
      <errorID>cdcc0110-885e-452a-9eca-c80834514fd7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53C7E652</paraID>
      <start>10</start>
      <end>11</end>
      <status>modified</status>
      <modifiedWord>—</modifiedWord>
      <trackRevisions>false</trackRevisions>
    </reviewItem>
    <reviewItem>
      <errorID>afa8ba2c-6646-4d1f-bed8-741073605ba4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2CFDCDFA</paraID>
      <start>124</start>
      <end>125</end>
      <status>modified</status>
      <modifiedWord>—</modifiedWord>
      <trackRevisions>false</trackRevisions>
    </reviewItem>
    <reviewItem>
      <errorID>fe0ba6a9-db8c-4600-aba7-0753049f99c6</errorID>
      <errorWord>没</errorWord>
      <group>L1_Word</group>
      <groupName>字词问题</groupName>
      <ability>L2_Typo</ability>
      <abilityName>字词错误</abilityName>
      <candidateList>
        <item>没有</item>
      </candidateList>
      <explain/>
      <paraID>77FA59FA</paraID>
      <start>47</start>
      <end>49</end>
      <status>modified</status>
      <modifiedWord>没有</modifiedWord>
      <trackRevisions>false</trackRevisions>
    </reviewItem>
    <reviewItem>
      <errorID>f8b511a4-ed12-4168-9e20-418d3b2a530f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7146FA95</paraID>
      <start>0</start>
      <end>2</end>
      <status>modified</status>
      <modifiedWord>4.</modifiedWord>
      <trackRevisions>false</trackRevisions>
    </reviewItem>
    <reviewItem>
      <errorID>ced4cc0e-0d0c-4229-b9be-b42906c5639d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7D717B71</paraID>
      <start>0</start>
      <end>2</end>
      <status>modified</status>
      <modifiedWord>5.</modifiedWord>
      <trackRevisions>false</trackRevisions>
    </reviewItem>
    <reviewItem>
      <errorID>7bd64c59-d92f-4f52-b1fe-eecc77308f62</errorID>
      <errorWord>根据表</errorWord>
      <group>L1_Word</group>
      <groupName>字词问题</groupName>
      <ability>L2_Typo</ability>
      <abilityName>字词错误</abilityName>
      <candidateList>
        <item>根据</item>
      </candidateList>
      <explain/>
      <paraID> AC23B8F</paraID>
      <start>0</start>
      <end>2</end>
      <status>modified</status>
      <modifiedWord>根据</modifiedWord>
      <trackRevisions>false</trackRevisions>
    </reviewItem>
    <reviewItem>
      <errorID>85e38365-8b7c-4a06-893f-5c5e564543ba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4EC4EE92</paraID>
      <start>0</start>
      <end>2</end>
      <status>modified</status>
      <modifiedWord>5.</modifiedWord>
      <trackRevisions>false</trackRevisions>
    </reviewItem>
    <reviewItem>
      <errorID>efb986a4-48ce-4e77-99d0-38e13f3749bd</errorID>
      <errorWord>(</errorWord>
      <group>L1_Format</group>
      <groupName>格式问题</groupName>
      <ability>L2_HalfPunc_CN</ability>
      <abilityName>全半角问题</abilityName>
      <candidateList>
        <item>（</item>
      </candidateList>
      <explain>文本全半角错误。</explain>
      <paraID>4AF441D1</paraID>
      <start>22</start>
      <end>23</end>
      <status>modified</status>
      <modifiedWord>（</modifiedWord>
      <trackRevisions>false</trackRevisions>
    </reviewItem>
    <reviewItem>
      <errorID>4e22c5d3-ad9a-4eae-9c0b-d69892821eb4</errorID>
      <errorWord>)</errorWord>
      <group>L1_Format</group>
      <groupName>格式问题</groupName>
      <ability>L2_HalfPunc_CN</ability>
      <abilityName>全半角问题</abilityName>
      <candidateList>
        <item>）</item>
      </candidateList>
      <explain>文本全半角错误。</explain>
      <paraID>4AF441D1</paraID>
      <start>34</start>
      <end>35</end>
      <status>modified</status>
      <modifiedWord>）</modifiedWord>
      <trackRevisions>false</trackRevisions>
    </reviewItem>
    <reviewItem>
      <errorID>a126549f-ba6a-46bd-8b12-f8e316ceb995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F31BF21</paraID>
      <start>0</start>
      <end>2</end>
      <status>modified</status>
      <modifiedWord>6.</modifiedWord>
      <trackRevisions>false</trackRevisions>
    </reviewItem>
    <reviewItem>
      <errorID>bb30aa2f-7a98-48e3-b454-92b6320ecca1</errorID>
      <errorWord>用</errorWord>
      <group>L1_Word</group>
      <groupName>字词问题</groupName>
      <ability>L2_Typo</ability>
      <abilityName>字词错误</abilityName>
      <candidateList>
        <item>用水</item>
      </candidateList>
      <explain/>
      <paraID>4F3D5160</paraID>
      <start>156</start>
      <end>158</end>
      <status>modified</status>
      <modifiedWord>用水</modifiedWord>
      <trackRevisions>false</trackRevisions>
    </reviewItem>
    <reviewItem>
      <errorID>41d3e122-2bb0-4100-a6c1-8c90643fa1c7</errorID>
      <errorWord>《地表水环境质量标准（GB3838-2003）》</errorWord>
      <group>L1_Knowledge</group>
      <groupName>知识性问题</groupName>
      <ability>L2_Knowledge</ability>
      <abilityName>其他知识</abilityName>
      <candidateList>
        <item>《地表水环境质量标准》（GB3838-2003）</item>
      </candidateList>
      <explain>疑似政策文件、法律法规名称等书写不规范，请注意检查。</explain>
      <paraID>4F3D5160</paraID>
      <start>177</start>
      <end>201</end>
      <status>modified</status>
      <modifiedWord>《地表水环境质量标准》（GB3838-2003）</modifiedWord>
      <trackRevisions>false</trackRevisions>
    </reviewItem>
    <reviewItem>
      <errorID>f83085a5-688a-41a1-b2ec-f0a8eb7d5c6f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1888FE3E</paraID>
      <start>40</start>
      <end>41</end>
      <status>modified</status>
      <modifiedWord>—</modifiedWord>
      <trackRevisions>false</trackRevisions>
    </reviewItem>
    <reviewItem>
      <errorID>424fc727-cab0-4171-8bea-34c3725d69e5</errorID>
      <errorWord>引用水</errorWord>
      <group>L1_Word</group>
      <groupName>字词问题</groupName>
      <ability>L2_Typo</ability>
      <abilityName>字词错误</abilityName>
      <candidateList>
        <item>饮用水</item>
      </candidateList>
      <explain/>
      <paraID>1888FE3E</paraID>
      <start>63</start>
      <end>66</end>
      <status>modified</status>
      <modifiedWord>饮用水</modifiedWord>
      <trackRevisions>false</trackRevisions>
    </reviewItem>
    <reviewItem>
      <errorID>0d81bfff-27e3-42ab-8c42-c913960c95a6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15C2404B</paraID>
      <start>2</start>
      <end>3</end>
      <status>modified</status>
      <modifiedWord>—</modifiedWord>
      <trackRevisions>false</trackRevisions>
    </reviewItem>
    <reviewItem>
      <errorID>20404d30-f5a0-4631-b7f1-3b1d0c1192c8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15C2404B</paraID>
      <start>10</start>
      <end>11</end>
      <status>modified</status>
      <modifiedWord>—</modifiedWord>
      <trackRevisions>false</trackRevisions>
    </reviewItem>
    <reviewItem>
      <errorID>2b1e7170-a3ee-4d7f-924c-c3c8233bd9aa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6D9B54CB</paraID>
      <start>0</start>
      <end>2</end>
      <status>modified</status>
      <modifiedWord>7.</modifiedWord>
      <trackRevisions>false</trackRevisions>
    </reviewItem>
    <reviewItem>
      <errorID>788c7509-f68a-4ca3-add3-ab8319e7fb70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3505B94F</paraID>
      <start>0</start>
      <end>2</end>
      <status>modified</status>
      <modifiedWord>1.</modifiedWord>
      <trackRevisions>false</trackRevisions>
    </reviewItem>
    <reviewItem>
      <errorID>5a4bfddf-9e75-4c82-bf41-5cea85131e26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45317730</paraID>
      <start>0</start>
      <end>2</end>
      <status>modified</status>
      <modifiedWord>2.</modifiedWord>
      <trackRevisions>false</trackRevisions>
    </reviewItem>
    <reviewItem>
      <errorID>5f7635db-cfaa-4013-80a2-83df776bfd9a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B5D3BCA</paraID>
      <start>42</start>
      <end>44</end>
      <status>modified</status>
      <modifiedWord>》《</modifiedWord>
      <trackRevisions>false</trackRevisions>
    </reviewItem>
    <reviewItem>
      <errorID>4ec35c6f-acf9-49fc-9db0-bafd992be5c1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B5D3BCA</paraID>
      <start>69</start>
      <end>71</end>
      <status>modified</status>
      <modifiedWord>》《</modifiedWord>
      <trackRevisions>false</trackRevisions>
    </reviewItem>
    <reviewItem>
      <errorID>bcff3721-de53-4ce9-b0f7-01a58894a445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B5D3BCA</paraID>
      <start>112</start>
      <end>114</end>
      <status>modified</status>
      <modifiedWord>》《</modifiedWord>
      <trackRevisions>false</trackRevisions>
    </reviewItem>
    <reviewItem>
      <errorID>62c90325-fe0c-497f-a125-c194ebccaf15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B5D3BCA</paraID>
      <start>139</start>
      <end>141</end>
      <status>modified</status>
      <modifiedWord>》《</modifiedWord>
      <trackRevisions>false</trackRevisions>
    </reviewItem>
    <reviewItem>
      <errorID>ce8ec9f1-2af0-4cea-bc07-9f15631b1345</errorID>
      <errorWord>[2014]50号</errorWord>
      <group>L1_Knowledge</group>
      <groupName>知识性问题</groupName>
      <ability>L2_Knowledge</ability>
      <abilityName>其他知识</abilityName>
      <candidateList>
        <item>〔2014〕50号</item>
      </candidateList>
      <explain>发文字号格式错误。</explain>
      <paraID> B5D3BCA</paraID>
      <start>332</start>
      <end>341</end>
      <status>modified</status>
      <modifiedWord>〔2014〕50号</modifiedWord>
      <trackRevisions>false</trackRevisions>
    </reviewItem>
    <reviewItem>
      <errorID>b33e8032-bc84-4ded-81f1-b87a490a494c</errorID>
      <errorWord>圣境</errorWord>
      <group>L1_Word</group>
      <groupName>字词问题</groupName>
      <ability>L2_Typo</ability>
      <abilityName>字词错误</abilityName>
      <candidateList>
        <item>生境</item>
      </candidateList>
      <explain>存在发音相同字词的误用。</explain>
      <paraID> B5D3BCA</paraID>
      <start>396</start>
      <end>398</end>
      <status>modified</status>
      <modifiedWord>生境</modifiedWord>
      <trackRevisions>false</trackRevisions>
    </reviewItem>
    <reviewItem>
      <errorID>e2408293-62b7-47b3-bea7-cc6ba83122f6</errorID>
      <errorWord>引用水</errorWord>
      <group>L1_Word</group>
      <groupName>字词问题</groupName>
      <ability>L2_Typo</ability>
      <abilityName>字词错误</abilityName>
      <candidateList>
        <item>饮用水</item>
      </candidateList>
      <explain/>
      <paraID>2F5ADB6A</paraID>
      <start>22</start>
      <end>25</end>
      <status>modified</status>
      <modifiedWord>饮用水</modifiedWord>
      <trackRevisions>false</trackRevisions>
    </reviewItem>
    <reviewItem>
      <errorID>7c1d502e-af90-42ae-97b3-755447a58c78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39D65F6F</paraID>
      <start>0</start>
      <end>2</end>
      <status>modified</status>
      <modifiedWord>1.</modifiedWord>
      <trackRevisions>false</trackRevisions>
    </reviewItem>
    <reviewItem>
      <errorID>6adf79a4-ec53-41fd-bce3-ba0a4e352cb6</errorID>
      <errorWord>用</errorWord>
      <group>L1_Word</group>
      <groupName>字词问题</groupName>
      <ability>L2_Typo</ability>
      <abilityName>字词错误</abilityName>
      <candidateList>
        <item>用水</item>
      </candidateList>
      <explain/>
      <paraID>1CE92442</paraID>
      <start>178</start>
      <end>180</end>
      <status>modified</status>
      <modifiedWord>用水</modifiedWord>
      <trackRevisions>false</trackRevisions>
    </reviewItem>
    <reviewItem>
      <errorID>212a09a9-0681-4030-87f8-0e6ead3a224c</errorID>
      <errorWord>《地表水环境质量标准（GB3838-2003）》</errorWord>
      <group>L1_Knowledge</group>
      <groupName>知识性问题</groupName>
      <ability>L2_Knowledge</ability>
      <abilityName>其他知识</abilityName>
      <candidateList>
        <item>《地表水环境质量标准》（GB3838-2003）</item>
      </candidateList>
      <explain>疑似政策文件、法律法规名称等书写不规范，请注意检查。</explain>
      <paraID>1CE92442</paraID>
      <start>199</start>
      <end>223</end>
      <status>modified</status>
      <modifiedWord>《地表水环境质量标准》（GB3838-2003）</modifiedWord>
      <trackRevisions>false</trackRevisions>
    </reviewItem>
    <reviewItem>
      <errorID>61418632-6dab-4d24-9e43-9acd0361bbce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4F6BA2F1</paraID>
      <start>0</start>
      <end>2</end>
      <status>modified</status>
      <modifiedWord>2.</modifiedWord>
      <trackRevisions>false</trackRevisions>
    </reviewItem>
    <reviewItem>
      <errorID>df3d5520-68a6-4af3-bea5-9fa02ce82015</errorID>
      <errorWord>)</errorWord>
      <group>L1_Format</group>
      <groupName>格式问题</groupName>
      <ability>L2_HalfPunc_CN</ability>
      <abilityName>全半角问题</abilityName>
      <candidateList>
        <item>）</item>
      </candidateList>
      <explain>文本全半角错误。</explain>
      <paraID>2140C613</paraID>
      <start>69</start>
      <end>70</end>
      <status>modified</status>
      <modifiedWord>）</modifiedWord>
      <trackRevisions>false</trackRevisions>
    </reviewItem>
    <reviewItem>
      <errorID>03f4200e-b0be-4e3d-9154-1adc8401e368</errorID>
      <errorWord>)</errorWord>
      <group>L1_Format</group>
      <groupName>格式问题</groupName>
      <ability>L2_HalfPunc_CN</ability>
      <abilityName>全半角问题</abilityName>
      <candidateList>
        <item>）</item>
      </candidateList>
      <explain>文本全半角错误。</explain>
      <paraID>2140C613</paraID>
      <start>79</start>
      <end>80</end>
      <status>modified</status>
      <modifiedWord>）</modifiedWord>
      <trackRevisions>false</trackRevisions>
    </reviewItem>
    <reviewItem>
      <errorID>ad3f21d4-2833-4922-a653-b89034b912fb</errorID>
      <errorWord>~</errorWord>
      <group>L1_Format</group>
      <groupName>格式问题</groupName>
      <ability>L2_HalfPunc_CN</ability>
      <abilityName>全半角问题</abilityName>
      <candidateList>
        <item>～</item>
      </candidateList>
      <explain>文本全半角错误。</explain>
      <paraID>5649C7A7</paraID>
      <start>4</start>
      <end>5</end>
      <status>modified</status>
      <modifiedWord>～</modifiedWord>
      <trackRevisions>false</trackRevisions>
    </reviewItem>
    <reviewItem>
      <errorID>accce8c4-7988-4518-a66e-ef7d07b0e93e</errorID>
      <errorWord>（</errorWord>
      <group>L1_Format</group>
      <groupName>格式问题</groupName>
      <ability>L2_HalfPunc_CN</ability>
      <abilityName>全半角问题</abilityName>
      <candidateList>
        <item>(</item>
      </candidateList>
      <explain>文本全半角错误。</explain>
      <paraID> F329E5D</paraID>
      <start>7</start>
      <end>8</end>
      <status>modified</status>
      <modifiedWord>(</modifiedWord>
      <trackRevisions>false</trackRevisions>
    </reviewItem>
    <reviewItem>
      <errorID>6e13824d-62cc-4ca6-a8e1-41676b970254</errorID>
      <errorWord>）</errorWord>
      <group>L1_Format</group>
      <groupName>格式问题</groupName>
      <ability>L2_HalfPunc_CN</ability>
      <abilityName>全半角问题</abilityName>
      <candidateList>
        <item>)</item>
      </candidateList>
      <explain>文本全半角错误。</explain>
      <paraID> F329E5D</paraID>
      <start>13</start>
      <end>14</end>
      <status>modified</status>
      <modifiedWord>)</modifiedWord>
      <trackRevisions>false</trackRevisions>
    </reviewItem>
    <reviewItem>
      <errorID>b988faf9-3a21-4dd9-8190-184b181d92c8</errorID>
      <errorWord>（</errorWord>
      <group>L1_Format</group>
      <groupName>格式问题</groupName>
      <ability>L2_HalfPunc_CN</ability>
      <abilityName>全半角问题</abilityName>
      <candidateList>
        <item>(</item>
      </candidateList>
      <explain>文本全半角错误。</explain>
      <paraID>7EF81FD9</paraID>
      <start>5</start>
      <end>6</end>
      <status>modified</status>
      <modifiedWord>(</modifiedWord>
      <trackRevisions>false</trackRevisions>
    </reviewItem>
    <reviewItem>
      <errorID>37ace5af-76c4-426f-a5ab-c82bcbaef61b</errorID>
      <errorWord>）</errorWord>
      <group>L1_Format</group>
      <groupName>格式问题</groupName>
      <ability>L2_HalfPunc_CN</ability>
      <abilityName>全半角问题</abilityName>
      <candidateList>
        <item>)</item>
      </candidateList>
      <explain>文本全半角错误。</explain>
      <paraID>7EF81FD9</paraID>
      <start>11</start>
      <end>12</end>
      <status>modified</status>
      <modifiedWord>)</modifiedWord>
      <trackRevisions>false</trackRevisions>
    </reviewItem>
    <reviewItem>
      <errorID>bf13be8b-72a0-4f94-9c22-1d204b169cd5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DBCBFA3</paraID>
      <start>0</start>
      <end>2</end>
      <status>modified</status>
      <modifiedWord>1.</modifiedWord>
      <trackRevisions>false</trackRevisions>
    </reviewItem>
    <reviewItem>
      <errorID>8d30aea9-e120-445a-9c65-58da699ab270</errorID>
      <errorWord>施工期</errorWord>
      <group>L1_Word</group>
      <groupName>字词问题</groupName>
      <ability>L2_Typo</ability>
      <abilityName>字词错误</abilityName>
      <candidateList>
        <item>施工</item>
      </candidateList>
      <explain/>
      <paraID>4F8E6864</paraID>
      <start>197</start>
      <end>199</end>
      <status>modified</status>
      <modifiedWord>施工</modifiedWord>
      <trackRevisions>false</trackRevisions>
    </reviewItem>
    <reviewItem>
      <errorID>5255eb5e-9433-4ed0-b4a0-e16385214b85</errorID>
      <errorWord>期</errorWord>
      <group>L1_Word</group>
      <groupName>字词问题</groupName>
      <ability>L2_Typo</ability>
      <abilityName>字词错误</abilityName>
      <candidateList>
        <item>期间</item>
      </candidateList>
      <explain/>
      <paraID>5BFF0FD9</paraID>
      <start>51</start>
      <end>53</end>
      <status>modified</status>
      <modifiedWord>期间</modifiedWord>
      <trackRevisions>false</trackRevisions>
    </reviewItem>
    <reviewItem>
      <errorID>f5ff403a-9a1b-430e-a8f1-336715b004fc</errorID>
      <errorWord>~</errorWord>
      <group>L1_Format</group>
      <groupName>格式问题</groupName>
      <ability>L2_HalfPunc_CN</ability>
      <abilityName>全半角问题</abilityName>
      <candidateList>
        <item>～</item>
      </candidateList>
      <explain>文本全半角错误。</explain>
      <paraID>6B44E537</paraID>
      <start>17</start>
      <end>18</end>
      <status>modified</status>
      <modifiedWord>～</modifiedWord>
      <trackRevisions>false</trackRevisions>
    </reviewItem>
    <reviewItem>
      <errorID>31c59983-df32-45ff-8e10-7f5bf4b719ab</errorID>
      <errorWord>各类</errorWord>
      <group>L1_Word</group>
      <groupName>字词问题</groupName>
      <ability>L2_Typo</ability>
      <abilityName>字词错误</abilityName>
      <candidateList>
        <item>种类</item>
      </candidateList>
      <explain/>
      <paraID>441DAC64</paraID>
      <start>40</start>
      <end>42</end>
      <status>modified</status>
      <modifiedWord>种类</modifiedWord>
      <trackRevisions>false</trackRevisions>
    </reviewItem>
    <reviewItem>
      <errorID>509b1e00-e1b3-44b3-9063-e56e79d9e4bc</errorID>
      <errorWord>其的影响</errorWord>
      <group>L1_Word</group>
      <groupName>字词问题</groupName>
      <ability>L2_Typo</ability>
      <abilityName>字词错误</abilityName>
      <candidateList>
        <item>其影响</item>
      </candidateList>
      <explain/>
      <paraID>441DAC64</paraID>
      <start>53</start>
      <end>56</end>
      <status>modified</status>
      <modifiedWord>其影响</modifiedWord>
      <trackRevisions>false</trackRevisions>
    </reviewItem>
    <reviewItem>
      <errorID>dc46e13f-d290-417a-b266-746af2577a12</errorID>
      <errorWord>没</errorWord>
      <group>L1_Word</group>
      <groupName>字词问题</groupName>
      <ability>L2_Typo</ability>
      <abilityName>字词错误</abilityName>
      <candidateList>
        <item>没有</item>
      </candidateList>
      <explain/>
      <paraID>1C6DB486</paraID>
      <start>431</start>
      <end>433</end>
      <status>modified</status>
      <modifiedWord>没有</modifiedWord>
      <trackRevisions>false</trackRevisions>
    </reviewItem>
    <reviewItem>
      <errorID>be9463aa-2ee1-420a-8f2d-39cf8cabef21</errorID>
      <errorWord>大大减小</errorWord>
      <group>L1_Word</group>
      <groupName>字词问题</groupName>
      <ability>L2_Typo</ability>
      <abilityName>字词错误</abilityName>
      <candidateList>
        <item>大大减少</item>
      </candidateList>
      <explain>存在字形相近字词的误用。</explain>
      <paraID>5FEBD147</paraID>
      <start>47</start>
      <end>51</end>
      <status>modified</status>
      <modifiedWord>大大减少</modifiedWord>
      <trackRevisions>false</trackRevisions>
    </reviewItem>
    <reviewItem>
      <errorID>4be4b4b6-2e9a-44cb-bbb3-077598be1759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5657A955</paraID>
      <start>0</start>
      <end>2</end>
      <status>modified</status>
      <modifiedWord>1.</modifiedWord>
      <trackRevisions>false</trackRevisions>
    </reviewItem>
    <reviewItem>
      <errorID>cd0916eb-9c2c-478c-b336-9f525eacd311</errorID>
      <errorWord>过</errorWord>
      <group>L1_Word</group>
      <groupName>字词问题</groupName>
      <ability>L2_Typo</ability>
      <abilityName>字词错误</abilityName>
      <candidateList>
        <item>过程</item>
      </candidateList>
      <explain/>
      <paraID>2AF7D2A9</paraID>
      <start>7</start>
      <end>9</end>
      <status>modified</status>
      <modifiedWord>过程</modifiedWord>
      <trackRevisions>false</trackRevisions>
    </reviewItem>
    <reviewItem>
      <errorID>f8169769-db65-4038-bc4e-1b9ffc7b0617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49ABBB86</paraID>
      <start>0</start>
      <end>2</end>
      <status>modified</status>
      <modifiedWord>2.</modifiedWord>
      <trackRevisions>false</trackRevisions>
    </reviewItem>
    <reviewItem>
      <errorID>4792d7e6-7cb2-4545-becd-a1c200d87884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71791CE4</paraID>
      <start>0</start>
      <end>2</end>
      <status>modified</status>
      <modifiedWord>3.</modifiedWord>
      <trackRevisions>false</trackRevisions>
    </reviewItem>
    <reviewItem>
      <errorID>8d38e933-8c90-4046-869e-6d5659fb8ca0</errorID>
      <errorWord>主要与</errorWord>
      <group>L1_Word</group>
      <groupName>字词问题</groupName>
      <ability>L2_Typo</ability>
      <abilityName>字词错误</abilityName>
      <candidateList>
        <item>主要</item>
      </candidateList>
      <explain/>
      <paraID> BDB7988</paraID>
      <start>68</start>
      <end>70</end>
      <status>modified</status>
      <modifiedWord>主要</modifiedWord>
      <trackRevisions>false</trackRevisions>
    </reviewItem>
    <reviewItem>
      <errorID>03861742-e2fa-442f-822e-b2a30d3158f5</errorID>
      <errorWord>~</errorWord>
      <group>L1_Format</group>
      <groupName>格式问题</groupName>
      <ability>L2_HalfPunc_CN</ability>
      <abilityName>全半角问题</abilityName>
      <candidateList>
        <item>～</item>
      </candidateList>
      <explain>文本全半角错误。</explain>
      <paraID> BDB7988</paraID>
      <start>141</start>
      <end>142</end>
      <status>modified</status>
      <modifiedWord>～</modifiedWord>
      <trackRevisions>false</trackRevisions>
    </reviewItem>
    <reviewItem>
      <errorID>cae9449f-9099-49c8-bad9-76cf6cee333b</errorID>
      <errorWord>。，</errorWord>
      <group>L1_Punc</group>
      <groupName>标点问题</groupName>
      <ability>L2_Punc_CN</ability>
      <abilityName>标点符号问题</abilityName>
      <candidateList>
        <item>。</item>
      </candidateList>
      <explain/>
      <paraID>6C83A395</paraID>
      <start>199</start>
      <end>200</end>
      <status>modified</status>
      <modifiedWord>。</modifiedWord>
      <trackRevisions>false</trackRevisions>
    </reviewItem>
    <reviewItem>
      <errorID>ce8026bd-13f9-45a4-954a-d23249bb00ee</errorID>
      <errorWord>（</errorWord>
      <group>L1_Format</group>
      <groupName>格式问题</groupName>
      <ability>L2_HalfPunc_CN</ability>
      <abilityName>全半角问题</abilityName>
      <candidateList>
        <item>(</item>
      </candidateList>
      <explain>文本全半角错误。</explain>
      <paraID>18668999</paraID>
      <start>0</start>
      <end>1</end>
      <status>modified</status>
      <modifiedWord>(</modifiedWord>
      <trackRevisions>false</trackRevisions>
    </reviewItem>
    <reviewItem>
      <errorID>9039660d-d4eb-4fed-8aac-7f37caeeed5b</errorID>
      <errorWord>）</errorWord>
      <group>L1_Format</group>
      <groupName>格式问题</groupName>
      <ability>L2_HalfPunc_CN</ability>
      <abilityName>全半角问题</abilityName>
      <candidateList>
        <item>)</item>
      </candidateList>
      <explain>文本全半角错误。</explain>
      <paraID>18668999</paraID>
      <start>2</start>
      <end>3</end>
      <status>modified</status>
      <modifiedWord>)</modifiedWord>
      <trackRevisions>false</trackRevisions>
    </reviewItem>
    <reviewItem>
      <errorID>9137ef4d-e885-4986-81bb-f632e0b2bae0</errorID>
      <errorWord>（</errorWord>
      <group>L1_Format</group>
      <groupName>格式问题</groupName>
      <ability>L2_HalfPunc_CN</ability>
      <abilityName>全半角问题</abilityName>
      <candidateList>
        <item>(</item>
      </candidateList>
      <explain>文本全半角错误。</explain>
      <paraID>3CE25B72</paraID>
      <start>0</start>
      <end>1</end>
      <status>modified</status>
      <modifiedWord>(</modifiedWord>
      <trackRevisions>false</trackRevisions>
    </reviewItem>
    <reviewItem>
      <errorID>65f8530f-9956-432f-9b45-84960719e2b9</errorID>
      <errorWord>）</errorWord>
      <group>L1_Format</group>
      <groupName>格式问题</groupName>
      <ability>L2_HalfPunc_CN</ability>
      <abilityName>全半角问题</abilityName>
      <candidateList>
        <item>)</item>
      </candidateList>
      <explain>文本全半角错误。</explain>
      <paraID>3CE25B72</paraID>
      <start>2</start>
      <end>3</end>
      <status>modified</status>
      <modifiedWord>)</modifiedWord>
      <trackRevisions>false</trackRevisions>
    </reviewItem>
    <reviewItem>
      <errorID>24ee2e85-938f-4df3-8549-fd1364d65c65</errorID>
      <errorWord>消音</errorWord>
      <group>L1_Word</group>
      <groupName>字词问题</groupName>
      <ability>L2_Typo</ability>
      <abilityName>字词错误</abilityName>
      <candidateList>
        <item>消声</item>
      </candidateList>
      <explain/>
      <paraID>3AD90023</paraID>
      <start>281</start>
      <end>283</end>
      <status>modified</status>
      <modifiedWord>消声</modifiedWord>
      <trackRevisions>false</trackRevisions>
    </reviewItem>
    <reviewItem>
      <errorID>23375542-7d87-4c9f-a166-bbb521fadb43</errorID>
      <errorWord>噪音</errorWord>
      <group>L1_Word</group>
      <groupName>字词问题</groupName>
      <ability>L2_Alias</ability>
      <abilityName>也作/曾用词</abilityName>
      <candidateList>
        <item>噪声</item>
      </candidateList>
      <explain>词汇[噪音]为不规范表述或旧称，其规范书面表述为[噪声]。</explain>
      <paraID>3AD90023</paraID>
      <start>318</start>
      <end>320</end>
      <status>modified</status>
      <modifiedWord>噪声</modifiedWord>
      <trackRevisions>false</trackRevisions>
    </reviewItem>
    <reviewItem>
      <errorID>175bb0bd-c189-4dea-af91-2c45a32619e7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7A67EDA1</paraID>
      <start>0</start>
      <end>2</end>
      <status>modified</status>
      <modifiedWord>4.</modifiedWord>
      <trackRevisions>false</trackRevisions>
    </reviewItem>
    <reviewItem>
      <errorID>85a16ece-b591-46bb-bb41-e9b80ef01774</errorID>
      <errorWord>管理台帐</errorWord>
      <group>L1_Word</group>
      <groupName>字词问题</groupName>
      <ability>L2_Alias</ability>
      <abilityName>也作/曾用词</abilityName>
      <candidateList>
        <item>管理台账</item>
      </candidateList>
      <explain>词汇[管理台帐]为不规范表述或旧称，其规范书面表述为[管理台账]。</explain>
      <paraID>64B6ABD6</paraID>
      <start>118</start>
      <end>122</end>
      <status>modified</status>
      <modifiedWord>管理台账</modifiedWord>
      <trackRevisions>false</trackRevisions>
    </reviewItem>
    <reviewItem>
      <errorID>bde73ba1-b6e3-415c-8937-5bab3f4b3d6f</errorID>
      <errorWord>登记台帐</errorWord>
      <group>L1_Word</group>
      <groupName>字词问题</groupName>
      <ability>L2_Alias</ability>
      <abilityName>也作/曾用词</abilityName>
      <candidateList>
        <item>登记台账</item>
      </candidateList>
      <explain>词汇[登记台帐]为不规范表述或旧称，其规范书面表述为[登记台账]。</explain>
      <paraID>64B6ABD6</paraID>
      <start>130</start>
      <end>134</end>
      <status>modified</status>
      <modifiedWord>登记台账</modifiedWord>
      <trackRevisions>false</trackRevisions>
    </reviewItem>
    <reviewItem>
      <errorID>b82833f8-4052-43a8-8eb7-13c360aa2932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3C9D2063</paraID>
      <start>28</start>
      <end>29</end>
      <status>modified</status>
      <modifiedWord>—</modifiedWord>
      <trackRevisions>false</trackRevisions>
    </reviewItem>
    <reviewItem>
      <errorID>11dc3caa-5d78-4b71-b4fd-1c9eb8106760</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3C9D2063</paraID>
      <start>56</start>
      <end>60</end>
      <status>modified</status>
      <modifiedWord>其他人工</modifiedWord>
      <trackRevisions>false</trackRevisions>
    </reviewItem>
    <reviewItem>
      <errorID>0e349513-bdbf-4669-affd-3b2fefdf5476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3C9D2063</paraID>
      <start>70</start>
      <end>71</end>
      <status>modified</status>
      <modifiedWord>—</modifiedWord>
      <trackRevisions>false</trackRevisions>
    </reviewItem>
    <reviewItem>
      <errorID>a42c1b2e-9898-4f6e-be61-05a218418b2d</errorID>
      <errorWord>栖息地的</errorWord>
      <group>L1_Word</group>
      <groupName>字词问题</groupName>
      <ability>L2_Typo</ability>
      <abilityName>字词错误</abilityName>
      <candidateList>
        <item>栖息地</item>
      </candidateList>
      <explain/>
      <paraID>728A2A66</paraID>
      <start>3</start>
      <end>6</end>
      <status>modified</status>
      <modifiedWord>栖息地</modifiedWord>
      <trackRevisions>false</trackRevisions>
    </reviewItem>
    <reviewItem>
      <errorID>13e001b8-f48c-4793-97f0-419b7fa8facc</errorID>
      <errorWord>减少的</errorWord>
      <group>L1_Word</group>
      <groupName>字词问题</groupName>
      <ability>L2_Typo</ability>
      <abilityName>字词错误</abilityName>
      <candidateList>
        <item>减少</item>
      </candidateList>
      <explain/>
      <paraID>728A2A66</paraID>
      <start>6</start>
      <end>8</end>
      <status>modified</status>
      <modifiedWord>减少</modifiedWord>
      <trackRevisions>false</trackRevisions>
    </reviewItem>
    <reviewItem>
      <errorID>f3e1197f-bae3-499b-b7bb-8a07acb28909</errorID>
      <errorWord>到临近的</errorWord>
      <group>L1_Word</group>
      <groupName>字词问题</groupName>
      <ability>L2_Typo</ability>
      <abilityName>字词错误</abilityName>
      <candidateList>
        <item>到邻近的</item>
      </candidateList>
      <explain/>
      <paraID> 9920A79</paraID>
      <start>142</start>
      <end>146</end>
      <status>modified</status>
      <modifiedWord>到邻近的</modifiedWord>
      <trackRevisions>false</trackRevisions>
    </reviewItem>
    <reviewItem>
      <errorID>a2d5e13b-87b9-43e1-8146-b590e71bf8b6</errorID>
      <errorWord>过</errorWord>
      <group>L1_Word</group>
      <groupName>字词问题</groupName>
      <ability>L2_Typo</ability>
      <abilityName>字词错误</abilityName>
      <candidateList>
        <item>过程</item>
      </candidateList>
      <explain/>
      <paraID>1093D9ED</paraID>
      <start>67</start>
      <end>69</end>
      <status>modified</status>
      <modifiedWord>过程</modifiedWord>
      <trackRevisions>false</trackRevisions>
    </reviewItem>
    <reviewItem>
      <errorID>1b809bf5-0d21-47e9-bdcf-379293510d40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1093D9ED</paraID>
      <start>190</start>
      <end>191</end>
      <status>modified</status>
      <modifiedWord>—</modifiedWord>
      <trackRevisions>false</trackRevisions>
    </reviewItem>
    <reviewItem>
      <errorID>eb467f75-0e66-4cc9-b247-a8553236b5ba</errorID>
      <errorWord>，…,</errorWord>
      <group>L1_Punc</group>
      <groupName>标点问题</groupName>
      <ability>L2_Punc_CN</ability>
      <abilityName>标点符号问题</abilityName>
      <candidateList>
        <item>，</item>
      </candidateList>
      <explain/>
      <paraID>410FC468</paraID>
      <start>8</start>
      <end>9</end>
      <status>modified</status>
      <modifiedWord>，</modifiedWord>
      <trackRevisions>false</trackRevisions>
    </reviewItem>
    <reviewItem>
      <errorID>c16d0243-53d8-4d4b-959a-6c2f3ee31220</errorID>
      <errorWord>，…,</errorWord>
      <group>L1_Punc</group>
      <groupName>标点问题</groupName>
      <ability>L2_Punc_CN</ability>
      <abilityName>标点符号问题</abilityName>
      <candidateList>
        <item>，</item>
      </candidateList>
      <explain/>
      <paraID> 295C668</paraID>
      <start>5</start>
      <end>6</end>
      <status>modified</status>
      <modifiedWord>，</modifiedWord>
      <trackRevisions>false</trackRevisions>
    </reviewItem>
    <reviewItem>
      <errorID>4926df57-10ec-4bb3-81a3-b264b9f7a4f9</errorID>
      <errorWord>,</errorWord>
      <group>L1_Format</group>
      <groupName>格式问题</groupName>
      <ability>L2_HalfPunc_CN</ability>
      <abilityName>全半角问题</abilityName>
      <candidateList>
        <item>，</item>
      </candidateList>
      <explain>文本全半角错误。</explain>
      <paraID>74DBC8F4</paraID>
      <start>50</start>
      <end>51</end>
      <status>modified</status>
      <modifiedWord>，</modifiedWord>
      <trackRevisions>false</trackRevisions>
    </reviewItem>
    <reviewItem>
      <errorID>08ea1b81-fb30-41c7-81f3-02fffecf9d63</errorID>
      <errorWord>降低</errorWord>
      <group>L1_Grammar</group>
      <groupName>语法问题</groupName>
      <ability>L2_Grammar</ability>
      <abilityName>语法错误</abilityName>
      <candidateList>
        <item>防止</item>
      </candidateList>
      <explain>“降低～发生”搭配不当，建议修改为“防止～发生”。</explain>
      <paraID> D80D37C</paraID>
      <start>32</start>
      <end>34</end>
      <status>modified</status>
      <modifiedWord>防止</modifiedWord>
      <trackRevisions>false</trackRevisions>
    </reviewItem>
    <reviewItem>
      <errorID>798be2f7-b60d-420d-a073-dce38932ff0e</errorID>
      <errorWord>经</errorWord>
      <group>L1_Word</group>
      <groupName>字词问题</groupName>
      <ability>L2_Typo</ability>
      <abilityName>字词错误</abilityName>
      <candidateList>
        <item>将</item>
      </candidateList>
      <explain>存在发音相近字词的误用。</explain>
      <paraID>3B1F3F4A</paraID>
      <start>26</start>
      <end>27</end>
      <status>modified</status>
      <modifiedWord>将</modifiedWord>
      <trackRevisions>false</trackRevisions>
    </reviewItem>
    <reviewItem>
      <errorID>69a453ef-156c-436b-bc10-0bdb4a6ebf2f</errorID>
      <errorWord>(</errorWord>
      <group>L1_Format</group>
      <groupName>格式问题</groupName>
      <ability>L2_HalfPunc_CN</ability>
      <abilityName>全半角问题</abilityName>
      <candidateList>
        <item>（</item>
      </candidateList>
      <explain>文本全半角错误。</explain>
      <paraID>472E707A</paraID>
      <start>53</start>
      <end>54</end>
      <status>modified</status>
      <modifiedWord>（</modifiedWord>
      <trackRevisions>false</trackRevisions>
    </reviewItem>
    <reviewItem>
      <errorID>f8a9736e-58c7-464c-93fe-9b67171246f3</errorID>
      <errorWord>)</errorWord>
      <group>L1_Format</group>
      <groupName>格式问题</groupName>
      <ability>L2_HalfPunc_CN</ability>
      <abilityName>全半角问题</abilityName>
      <candidateList>
        <item>）</item>
      </candidateList>
      <explain>文本全半角错误。</explain>
      <paraID>472E707A</paraID>
      <start>56</start>
      <end>57</end>
      <status>modified</status>
      <modifiedWord>）</modifiedWord>
      <trackRevisions>false</trackRevisions>
    </reviewItem>
    <reviewItem>
      <errorID>2599537d-842f-441a-ae05-92589dd9ade4</errorID>
      <errorWord>~</errorWord>
      <group>L1_Format</group>
      <groupName>格式问题</groupName>
      <ability>L2_HalfPunc_CN</ability>
      <abilityName>全半角问题</abilityName>
      <candidateList>
        <item>～</item>
      </candidateList>
      <explain>文本全半角错误。</explain>
      <paraID> 4EF07A8</paraID>
      <start>230</start>
      <end>231</end>
      <status>modified</status>
      <modifiedWord>～</modifiedWord>
      <trackRevisions>false</trackRevisions>
    </reviewItem>
    <reviewItem>
      <errorID>b225da61-2117-4f73-a2d7-f5f270e07946</errorID>
      <errorWord>植物种</errorWord>
      <group>L1_Word</group>
      <groupName>字词问题</groupName>
      <ability>L2_Typo</ability>
      <abilityName>字词错误</abilityName>
      <candidateList>
        <item>植物</item>
      </candidateList>
      <explain/>
      <paraID>4721A76E</paraID>
      <start>57</start>
      <end>59</end>
      <status>modified</status>
      <modifiedWord>植物</modifiedWord>
      <trackRevisions>false</trackRevisions>
    </reviewItem>
    <reviewItem>
      <errorID>55eebd3e-0db7-4347-8174-18a5dc43a5d9</errorID>
      <errorWord>~</errorWord>
      <group>L1_Format</group>
      <groupName>格式问题</groupName>
      <ability>L2_HalfPunc_CN</ability>
      <abilityName>全半角问题</abilityName>
      <candidateList>
        <item>～</item>
      </candidateList>
      <explain>文本全半角错误。</explain>
      <paraID>6EF0CE2C</paraID>
      <start>61</start>
      <end>62</end>
      <status>modified</status>
      <modifiedWord>～</modifiedWord>
      <trackRevisions>false</trackRevisions>
    </reviewItem>
    <reviewItem>
      <errorID>85b2ddda-69d4-4115-bcd7-b7d80d02fa2d</errorID>
      <errorWord>的</errorWord>
      <group>L1_Word</group>
      <groupName>字词问题</groupName>
      <ability>L2_DDD</ability>
      <abilityName>的地得用法</abilityName>
      <candidateList>
        <item>地</item>
      </candidateList>
      <explain/>
      <paraID>677993C1</paraID>
      <start>121</start>
      <end>122</end>
      <status>modified</status>
      <modifiedWord>地</modifiedWord>
      <trackRevisions>false</trackRevisions>
    </reviewItem>
    <reviewItem>
      <errorID>c9970e08-123b-405a-b58d-d810eca84dcb</errorID>
      <errorWord>的</errorWord>
      <group>L1_Word</group>
      <groupName>字词问题</groupName>
      <ability>L2_DDD</ability>
      <abilityName>的地得用法</abilityName>
      <candidateList>
        <item>地</item>
      </candidateList>
      <explain/>
      <paraID>677993C1</paraID>
      <start>319</start>
      <end>320</end>
      <status>modified</status>
      <modifiedWord>地</modifiedWord>
      <trackRevisions>false</trackRevisions>
    </reviewItem>
    <reviewItem>
      <errorID>94a48ade-552e-4035-a516-8803d2da0de7</errorID>
      <errorWord>~</errorWord>
      <group>L1_Format</group>
      <groupName>格式问题</groupName>
      <ability>L2_HalfPunc_CN</ability>
      <abilityName>全半角问题</abilityName>
      <candidateList>
        <item>～</item>
      </candidateList>
      <explain>文本全半角错误。</explain>
      <paraID>6C080BF8</paraID>
      <start>37</start>
      <end>38</end>
      <status>modified</status>
      <modifiedWord>～</modifiedWord>
      <trackRevisions>false</trackRevisions>
    </reviewItem>
    <reviewItem>
      <errorID>2e7002b6-d18f-478f-817f-7afd02afc720</errorID>
      <errorWord>提高</errorWord>
      <group>L1_Grammar</group>
      <groupName>语法问题</groupName>
      <ability>L2_Grammar</ability>
      <abilityName>语法错误</abilityName>
      <candidateList>
        <item>增强</item>
      </candidateList>
      <explain>“提高～意识”搭配不当，建议修改为“增强～意识”。</explain>
      <paraID>5491652B</paraID>
      <start>9</start>
      <end>11</end>
      <status>modified</status>
      <modifiedWord>增强</modifiedWord>
      <trackRevisions>false</trackRevisions>
    </reviewItem>
    <reviewItem>
      <errorID>e2c70416-0d46-4401-802f-0cd2ecd89574</errorID>
      <errorWord>造成的</errorWord>
      <group>L1_Word</group>
      <groupName>字词问题</groupName>
      <ability>L2_Typo</ability>
      <abilityName>字词错误</abilityName>
      <candidateList>
        <item>造成</item>
      </candidateList>
      <explain/>
      <paraID> B4A2317</paraID>
      <start>43</start>
      <end>45</end>
      <status>modified</status>
      <modifiedWord>造成</modifiedWord>
      <trackRevisions>false</trackRevisions>
    </reviewItem>
    <reviewItem>
      <errorID>2703c07c-04c3-4636-b371-af7385f397af</errorID>
      <errorWord>等对</errorWord>
      <group>L1_Word</group>
      <groupName>字词问题</groupName>
      <ability>L2_Typo</ability>
      <abilityName>字词错误</abilityName>
      <candidateList>
        <item>等</item>
      </candidateList>
      <explain/>
      <paraID>3D2CFB69</paraID>
      <start>24</start>
      <end>25</end>
      <status>modified</status>
      <modifiedWord>等</modifiedWord>
      <trackRevisions>false</trackRevisions>
    </reviewItem>
    <reviewItem>
      <errorID>561bd28e-bc54-4ebc-b63e-67c4e3dbc2a5</errorID>
      <errorWord>生态环境的</errorWord>
      <group>L1_Word</group>
      <groupName>字词问题</groupName>
      <ability>L2_Typo</ability>
      <abilityName>字词错误</abilityName>
      <candidateList>
        <item>生态环境</item>
      </candidateList>
      <explain/>
      <paraID>7E0A88E5</paraID>
      <start>19</start>
      <end>23</end>
      <status>modified</status>
      <modifiedWord>生态环境</modifiedWord>
      <trackRevisions>false</trackRevisions>
    </reviewItem>
    <reviewItem>
      <errorID>2a39a1e3-2d9d-4374-be3e-3b8385042e4f</errorID>
      <errorWord>树立宣传牌</errorWord>
      <group>L1_Word</group>
      <groupName>字词问题</groupName>
      <ability>L2_Typo</ability>
      <abilityName>字词错误</abilityName>
      <candidateList>
        <item>竖立宣传牌</item>
      </candidateList>
      <explain/>
      <paraID>51438A09</paraID>
      <start>2</start>
      <end>7</end>
      <status>modified</status>
      <modifiedWord>竖立宣传牌</modifiedWord>
      <trackRevisions>false</trackRevisions>
    </reviewItem>
    <reviewItem>
      <errorID>5e945141-0320-4509-a117-967d5c5f29ca</errorID>
      <errorWord>期</errorWord>
      <group>L1_Word</group>
      <groupName>字词问题</groupName>
      <ability>L2_Typo</ability>
      <abilityName>字词错误</abilityName>
      <candidateList>
        <item>期间</item>
      </candidateList>
      <explain/>
      <paraID>6A4AF37A</paraID>
      <start>5</start>
      <end>7</end>
      <status>modified</status>
      <modifiedWord>期间</modifiedWord>
      <trackRevisions>false</trackRevisions>
    </reviewItem>
    <reviewItem>
      <errorID>c7b07bd0-7b1c-432c-b8bb-21a8a34ef9bf</errorID>
      <errorWord>包含有</errorWord>
      <group>L1_Word</group>
      <groupName>字词问题</groupName>
      <ability>L2_Typo</ability>
      <abilityName>字词错误</abilityName>
      <candidateList>
        <item>包含</item>
      </candidateList>
      <explain/>
      <paraID>54583D4B</paraID>
      <start>97</start>
      <end>99</end>
      <status>modified</status>
      <modifiedWord>包含</modifiedWord>
      <trackRevisions>false</trackRevisions>
    </reviewItem>
    <reviewItem>
      <errorID>dd410468-f1c2-4c8e-8a62-6b3b3371c161</errorID>
      <errorWord>其它</errorWord>
      <group>L1_Word</group>
      <groupName>字词问题</groupName>
      <ability>L2_Alias</ability>
      <abilityName>也作/曾用词</abilityName>
      <candidateList>
        <item>其他</item>
      </candidateList>
      <explain>词汇[其它]为不规范表述或旧称，其规范书面表述为[其他]。</explain>
      <paraID>54583D4B</paraID>
      <start>167</start>
      <end>169</end>
      <status>modified</status>
      <modifiedWord>其他</modifiedWord>
      <trackRevisions>false</trackRevisions>
    </reviewItem>
    <reviewItem>
      <errorID>133bcbe5-96cc-4ccb-a06f-f1bd5a9a2a8d</errorID>
      <errorWord>提高</errorWord>
      <group>L1_Grammar</group>
      <groupName>语法问题</groupName>
      <ability>L2_Grammar</ability>
      <abilityName>语法错误</abilityName>
      <candidateList>
        <item>增强</item>
      </candidateList>
      <explain>“提高～意识”搭配不当，建议修改为“增强～意识”。</explain>
      <paraID>50786FA8</paraID>
      <start>16</start>
      <end>18</end>
      <status>modified</status>
      <modifiedWord>增强</modifiedWord>
      <trackRevisions>false</trackRevisions>
    </reviewItem>
    <reviewItem>
      <errorID>1e829231-d5bb-4a89-b7d8-dbdd06c4892d</errorID>
      <errorWord>施工营</errorWord>
      <group>L1_Word</group>
      <groupName>字词问题</groupName>
      <ability>L2_Typo</ability>
      <abilityName>字词错误</abilityName>
      <candidateList>
        <item>施工</item>
      </candidateList>
      <explain/>
      <paraID>254D1F96</paraID>
      <start>47</start>
      <end>49</end>
      <status>modified</status>
      <modifiedWord>施工</modifiedWord>
      <trackRevisions>false</trackRevisions>
    </reviewItem>
    <reviewItem>
      <errorID>d61c0c21-9faf-4b58-bcaf-adb6b7620fe6</errorID>
      <errorWord>加强</errorWord>
      <group>L1_Grammar</group>
      <groupName>语法问题</groupName>
      <ability>L2_Grammar</ability>
      <abilityName>语法错误</abilityName>
      <candidateList>
        <item>加大</item>
      </candidateList>
      <explain>“加强～力度”搭配不当，建议修改为“加大～力度”。</explain>
      <paraID>1A541951</paraID>
      <start>10</start>
      <end>12</end>
      <status>modified</status>
      <modifiedWord>加大</modifiedWord>
      <trackRevisions>false</trackRevisions>
    </reviewItem>
    <reviewItem>
      <errorID>0cc8e7c2-edc2-4802-9914-e161703ecb6a</errorID>
      <errorWord>噪音</errorWord>
      <group>L1_Word</group>
      <groupName>字词问题</groupName>
      <ability>L2_Alias</ability>
      <abilityName>也作/曾用词</abilityName>
      <candidateList>
        <item>噪声</item>
      </candidateList>
      <explain>词汇[噪音]为不规范表述或旧称，其规范书面表述为[噪声]。</explain>
      <paraID>  D0D637</paraID>
      <start>25</start>
      <end>27</end>
      <status>modified</status>
      <modifiedWord>噪声</modifiedWord>
      <trackRevisions>false</trackRevisions>
    </reviewItem>
    <reviewItem>
      <errorID>037cb428-fb6f-458d-980b-44812f666cd0</errorID>
      <errorWord>沉砂池</errorWord>
      <group>L1_Word</group>
      <groupName>字词问题</groupName>
      <ability>L2_Typo</ability>
      <abilityName>字词错误</abilityName>
      <candidateList>
        <item>沉沙池</item>
      </candidateList>
      <explain>存在发音相同字词的误用。</explain>
      <paraID>12A163F5</paraID>
      <start>107</start>
      <end>110</end>
      <status>modified</status>
      <modifiedWord>沉沙池</modifiedWord>
      <trackRevisions>false</trackRevisions>
    </reviewItem>
    <reviewItem>
      <errorID>e75365cf-0d14-479c-b9d9-80200fca9b80</errorID>
      <errorWord>必须严格按</errorWord>
      <group>L1_Word</group>
      <groupName>字词问题</groupName>
      <ability>L2_Typo</ability>
      <abilityName>字词错误</abilityName>
      <candidateList>
        <item>必须严格按照</item>
      </candidateList>
      <explain/>
      <paraID>20A0725E</paraID>
      <start>42</start>
      <end>48</end>
      <status>modified</status>
      <modifiedWord>必须严格按照</modifiedWord>
      <trackRevisions>false</trackRevisions>
    </reviewItem>
    <reviewItem>
      <errorID>08031042-baec-4b1b-acb3-dd59f1587e56</errorID>
      <errorWord>水份</errorWord>
      <group>L1_Word</group>
      <groupName>字词问题</groupName>
      <ability>L2_Variant</ability>
      <abilityName>异形词</abilityName>
      <candidateList>
        <item>水分</item>
      </candidateList>
      <explain>词汇[水份]的规范词形写作[水分]。</explain>
      <paraID> 5AFCB75</paraID>
      <start>402</start>
      <end>404</end>
      <status>modified</status>
      <modifiedWord>水分</modifiedWord>
      <trackRevisions>false</trackRevisions>
    </reviewItem>
    <reviewItem>
      <errorID>b987b4fa-8b0a-4726-b7f0-2dcd65e45d8f</errorID>
      <errorWord>统一在</errorWord>
      <group>L1_Word</group>
      <groupName>字词问题</groupName>
      <ability>L2_Typo</ability>
      <abilityName>字词错误</abilityName>
      <candidateList>
        <item>统一</item>
      </candidateList>
      <explain/>
      <paraID>  26B0A9</paraID>
      <start>35</start>
      <end>37</end>
      <status>modified</status>
      <modifiedWord>统一</modifiedWord>
      <trackRevisions>false</trackRevisions>
    </reviewItem>
    <reviewItem>
      <errorID>ba6afcd1-25bd-43c0-8ac5-8166f8451db5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50C0CB6A</paraID>
      <start>28</start>
      <end>29</end>
      <status>modified</status>
      <modifiedWord>—</modifiedWord>
      <trackRevisions>false</trackRevisions>
    </reviewItem>
    <reviewItem>
      <errorID>17ff1be3-7d25-4047-a5ef-574fd48bcd95</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50C0CB6A</paraID>
      <start>56</start>
      <end>60</end>
      <status>modified</status>
      <modifiedWord>其他人工</modifiedWord>
      <trackRevisions>false</trackRevisions>
    </reviewItem>
    <reviewItem>
      <errorID>1cfcae2a-b536-4f67-b490-b3b15da99942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50C0CB6A</paraID>
      <start>70</start>
      <end>71</end>
      <status>modified</status>
      <modifiedWord>—</modifiedWord>
      <trackRevisions>false</trackRevisions>
    </reviewItem>
    <reviewItem>
      <errorID>9b0a4f61-d309-4507-b87e-d69de2e9c7ac</errorID>
      <errorWord>的</errorWord>
      <group>L1_Word</group>
      <groupName>字词问题</groupName>
      <ability>L2_DDD</ability>
      <abilityName>的地得用法</abilityName>
      <candidateList>
        <item>地</item>
      </candidateList>
      <explain/>
      <paraID>262D5FB3</paraID>
      <start>138</start>
      <end>139</end>
      <status>modified</status>
      <modifiedWord>地</modifiedWord>
      <trackRevisions>false</trackRevisions>
    </reviewItem>
    <reviewItem>
      <errorID>974e499e-8b5b-4732-96e0-2e69fdbc2f9f</errorID>
      <errorWord>备</errorWord>
      <group>L1_Word</group>
      <groupName>字词问题</groupName>
      <ability>L2_Typo</ability>
      <abilityName>字词错误</abilityName>
      <candidateList>
        <item>备专</item>
      </candidateList>
      <explain/>
      <paraID>7EA3671C</paraID>
      <start>30</start>
      <end>32</end>
      <status>modified</status>
      <modifiedWord>备专</modifiedWord>
      <trackRevisions>false</trackRevisions>
    </reviewItem>
    <reviewItem>
      <errorID>cb73668d-4ae7-4e99-8249-0c63cabf7088</errorID>
      <errorWord>国家的</errorWord>
      <group>L1_Word</group>
      <groupName>字词问题</groupName>
      <ability>L2_Typo</ability>
      <abilityName>字词错误</abilityName>
      <candidateList>
        <item>国家</item>
      </candidateList>
      <explain/>
      <paraID>2B173450</paraID>
      <start>5</start>
      <end>7</end>
      <status>modified</status>
      <modifiedWord>国家</modifiedWord>
      <trackRevisions>false</trackRevisions>
    </reviewItem>
    <reviewItem>
      <errorID>cfe9459a-9cae-4b4a-875e-5de1941dbd69</errorID>
      <errorWord>期</errorWord>
      <group>L1_Word</group>
      <groupName>字词问题</groupName>
      <ability>L2_Typo</ability>
      <abilityName>字词错误</abilityName>
      <candidateList>
        <item>期间</item>
      </candidateList>
      <explain/>
      <paraID>35AA7B06</paraID>
      <start>7</start>
      <end>9</end>
      <status>modified</status>
      <modifiedWord>期间</modifiedWord>
      <trackRevisions>false</trackRevisions>
    </reviewItem>
    <reviewItem>
      <errorID>0a5f01ca-faa7-44b5-b316-1a12f6adf3d4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4F950276</paraID>
      <start>0</start>
      <end>2</end>
      <status>modified</status>
      <modifiedWord>1.</modifiedWord>
      <trackRevisions>false</trackRevisions>
    </reviewItem>
    <reviewItem>
      <errorID>9ad1e213-c005-4768-9bd9-495755730c5e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E13A93C</paraID>
      <start>0</start>
      <end>2</end>
      <status>modified</status>
      <modifiedWord>2.</modifiedWord>
      <trackRevisions>false</trackRevisions>
    </reviewItem>
    <reviewItem>
      <errorID>0c41f322-3b56-4dfc-9631-b40f144e7dd1</errorID>
      <errorWord>期</errorWord>
      <group>L1_Word</group>
      <groupName>字词问题</groupName>
      <ability>L2_Typo</ability>
      <abilityName>字词错误</abilityName>
      <candidateList>
        <item>期间</item>
      </candidateList>
      <explain/>
      <paraID>7FFCF630</paraID>
      <start>2</start>
      <end>4</end>
      <status>modified</status>
      <modifiedWord>期间</modifiedWord>
      <trackRevisions>false</trackRevisions>
    </reviewItem>
    <reviewItem>
      <errorID>f1ec66dd-563a-4134-905e-53fdec8aff71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35568730</paraID>
      <start>0</start>
      <end>2</end>
      <status>modified</status>
      <modifiedWord>3.</modifiedWord>
      <trackRevisions>false</trackRevisions>
    </reviewItem>
    <reviewItem>
      <errorID>ca870a19-0cf3-4f7f-9b9a-1e715549e93f</errorID>
      <errorWord>~</errorWord>
      <group>L1_Format</group>
      <groupName>格式问题</groupName>
      <ability>L2_HalfPunc_CN</ability>
      <abilityName>全半角问题</abilityName>
      <candidateList>
        <item>～</item>
      </candidateList>
      <explain>文本全半角错误。</explain>
      <paraID> 5F4D9B2</paraID>
      <start>61</start>
      <end>62</end>
      <status>modified</status>
      <modifiedWord>～</modifiedWord>
      <trackRevisions>false</trackRevisions>
    </reviewItem>
    <reviewItem>
      <errorID>c69ed171-03a0-41a5-80f5-049429402b73</errorID>
      <errorWord>链接</errorWord>
      <group>L1_Word</group>
      <groupName>字词问题</groupName>
      <ability>L2_Typo</ability>
      <abilityName>字词错误</abilityName>
      <candidateList>
        <item>连接</item>
      </candidateList>
      <explain>存在发音相同字词的误用。</explain>
      <paraID>4783B966</paraID>
      <start>107</start>
      <end>109</end>
      <status>modified</status>
      <modifiedWord>连接</modifiedWord>
      <trackRevisions>false</trackRevisions>
    </reviewItem>
    <reviewItem>
      <errorID>d3dc5749-f981-4ecb-bb36-7383cf62a907</errorID>
      <errorWord>防治</errorWord>
      <group>L1_Word</group>
      <groupName>字词问题</groupName>
      <ability>L2_Typo</ability>
      <abilityName>字词错误</abilityName>
      <candidateList>
        <item>防止</item>
      </candidateList>
      <explain>存在发音相同字词的误用。</explain>
      <paraID>4783B966</paraID>
      <start>110</start>
      <end>112</end>
      <status>modified</status>
      <modifiedWord>防止</modifiedWord>
      <trackRevisions>false</trackRevisions>
    </reviewItem>
    <reviewItem>
      <errorID>01fb98ba-67d7-44c0-ae4e-4832c62de0ac</errorID>
      <errorWord>的</errorWord>
      <group>L1_Word</group>
      <groupName>字词问题</groupName>
      <ability>L2_DDD</ability>
      <abilityName>的地得用法</abilityName>
      <candidateList>
        <item>地</item>
      </candidateList>
      <explain/>
      <paraID>4783B966</paraID>
      <start>121</start>
      <end>122</end>
      <status>modified</status>
      <modifiedWord>地</modifiedWord>
      <trackRevisions>false</trackRevisions>
    </reviewItem>
    <reviewItem>
      <errorID>1e43551f-2983-4e91-886e-f57a0215db10</errorID>
      <errorWord>的</errorWord>
      <group>L1_Word</group>
      <groupName>字词问题</groupName>
      <ability>L2_DDD</ability>
      <abilityName>的地得用法</abilityName>
      <candidateList>
        <item>地</item>
      </candidateList>
      <explain/>
      <paraID>4783B966</paraID>
      <start>319</start>
      <end>320</end>
      <status>modified</status>
      <modifiedWord>地</modifiedWord>
      <trackRevisions>false</trackRevisions>
    </reviewItem>
    <reviewItem>
      <errorID>9e117866-e4d0-4082-b666-983a70ac92c6</errorID>
      <errorWord>~</errorWord>
      <group>L1_Format</group>
      <groupName>格式问题</groupName>
      <ability>L2_HalfPunc_CN</ability>
      <abilityName>全半角问题</abilityName>
      <candidateList>
        <item>～</item>
      </candidateList>
      <explain>文本全半角错误。</explain>
      <paraID> 2AD09DD</paraID>
      <start>37</start>
      <end>38</end>
      <status>modified</status>
      <modifiedWord>～</modifiedWord>
      <trackRevisions>false</trackRevisions>
    </reviewItem>
    <reviewItem>
      <errorID>53f5f474-106d-4bf5-a462-da5885a35dec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5544D64D</paraID>
      <start>0</start>
      <end>2</end>
      <status>modified</status>
      <modifiedWord>4.</modifiedWord>
      <trackRevisions>false</trackRevisions>
    </reviewItem>
    <reviewItem>
      <errorID>a9313e79-0a1f-4a13-aab5-1c9c5848af21</errorID>
      <errorWord>提高</errorWord>
      <group>L1_Grammar</group>
      <groupName>语法问题</groupName>
      <ability>L2_Grammar</ability>
      <abilityName>语法错误</abilityName>
      <candidateList>
        <item>增强</item>
      </candidateList>
      <explain>“提高～意识”搭配不当，建议修改为“增强～意识”。</explain>
      <paraID>34BE7134</paraID>
      <start>9</start>
      <end>11</end>
      <status>modified</status>
      <modifiedWord>增强</modifiedWord>
      <trackRevisions>false</trackRevisions>
    </reviewItem>
    <reviewItem>
      <errorID>dde13a34-3025-41bb-a8b9-dd832d623ac9</errorID>
      <errorWord>造成的</errorWord>
      <group>L1_Word</group>
      <groupName>字词问题</groupName>
      <ability>L2_Typo</ability>
      <abilityName>字词错误</abilityName>
      <candidateList>
        <item>造成</item>
      </candidateList>
      <explain/>
      <paraID>294A11D5</paraID>
      <start>43</start>
      <end>45</end>
      <status>modified</status>
      <modifiedWord>造成</modifiedWord>
      <trackRevisions>false</trackRevisions>
    </reviewItem>
    <reviewItem>
      <errorID>98c9b6fb-248d-4e94-9d02-ba0d94dc32f2</errorID>
      <errorWord>等对</errorWord>
      <group>L1_Word</group>
      <groupName>字词问题</groupName>
      <ability>L2_Typo</ability>
      <abilityName>字词错误</abilityName>
      <candidateList>
        <item>等</item>
      </candidateList>
      <explain/>
      <paraID> 67EDC1A</paraID>
      <start>24</start>
      <end>25</end>
      <status>modified</status>
      <modifiedWord>等</modifiedWord>
      <trackRevisions>false</trackRevisions>
    </reviewItem>
    <reviewItem>
      <errorID>bb6ef968-79a7-4766-b678-ad88ccdc4ef7</errorID>
      <errorWord>生态环境的</errorWord>
      <group>L1_Word</group>
      <groupName>字词问题</groupName>
      <ability>L2_Typo</ability>
      <abilityName>字词错误</abilityName>
      <candidateList>
        <item>生态环境</item>
      </candidateList>
      <explain/>
      <paraID>12A68433</paraID>
      <start>19</start>
      <end>23</end>
      <status>modified</status>
      <modifiedWord>生态环境</modifiedWord>
      <trackRevisions>false</trackRevisions>
    </reviewItem>
    <reviewItem>
      <errorID>28dae140-145c-4959-845a-c24421de8365</errorID>
      <errorWord>树立宣传牌</errorWord>
      <group>L1_Word</group>
      <groupName>字词问题</groupName>
      <ability>L2_Typo</ability>
      <abilityName>字词错误</abilityName>
      <candidateList>
        <item>竖立宣传牌</item>
      </candidateList>
      <explain/>
      <paraID>260361A7</paraID>
      <start>2</start>
      <end>7</end>
      <status>modified</status>
      <modifiedWord>竖立宣传牌</modifiedWord>
      <trackRevisions>false</trackRevisions>
    </reviewItem>
    <reviewItem>
      <errorID>8f692ef6-2f1d-421e-904c-2e38fe1065de</errorID>
      <errorWord>水份</errorWord>
      <group>L1_Word</group>
      <groupName>字词问题</groupName>
      <ability>L2_Variant</ability>
      <abilityName>异形词</abilityName>
      <candidateList>
        <item>水分</item>
      </candidateList>
      <explain>词汇[水份]的规范词形写作[水分]。</explain>
      <paraID>35930688</paraID>
      <start>402</start>
      <end>404</end>
      <status>modified</status>
      <modifiedWord>水分</modifiedWord>
      <trackRevisions>false</trackRevisions>
    </reviewItem>
    <reviewItem>
      <errorID>cf58d50a-fcab-45e4-b294-316e5f52b847</errorID>
      <errorWord>沉砂池</errorWord>
      <group>L1_Word</group>
      <groupName>字词问题</groupName>
      <ability>L2_Typo</ability>
      <abilityName>字词错误</abilityName>
      <candidateList>
        <item>沉沙池</item>
      </candidateList>
      <explain>存在发音相同字词的误用。</explain>
      <paraID>42FD1FC3</paraID>
      <start>107</start>
      <end>110</end>
      <status>modified</status>
      <modifiedWord>沉沙池</modifiedWord>
      <trackRevisions>false</trackRevisions>
    </reviewItem>
    <reviewItem>
      <errorID>b83e2623-6895-4eb2-9670-306c5b1d6296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336BD6F2</paraID>
      <start>4</start>
      <end>5</end>
      <status>modified</status>
      <modifiedWord>—</modifiedWord>
      <trackRevisions>false</trackRevisions>
    </reviewItem>
    <reviewItem>
      <errorID>6ddc290e-8242-439f-a419-610233636ebb</errorID>
      <errorWord>。</errorWord>
      <group>L1_Format</group>
      <groupName>格式问题</groupName>
      <ability>L2_HalfPunc_CN</ability>
      <abilityName>全半角问题</abilityName>
      <candidateList>
        <item>.</item>
      </candidateList>
      <explain>文本全半角错误。</explain>
      <paraID>336BD6F2</paraID>
      <start>11</start>
      <end>12</end>
      <status>modified</status>
      <modifiedWord>.</modifiedWord>
      <trackRevisions>false</trackRevisions>
    </reviewItem>
    <reviewItem>
      <errorID>a0638525-ee3e-4bc9-9670-5b89faaeb003</errorID>
      <errorWord>加强</errorWord>
      <group>L1_Grammar</group>
      <groupName>语法问题</groupName>
      <ability>L2_Grammar</ability>
      <abilityName>语法错误</abilityName>
      <candidateList>
        <item>加大</item>
      </candidateList>
      <explain>“加强～力度”搭配不当，建议修改为“加大～力度”。</explain>
      <paraID>75B61D4C</paraID>
      <start>10</start>
      <end>12</end>
      <status>modified</status>
      <modifiedWord>加大</modifiedWord>
      <trackRevisions>false</trackRevisions>
    </reviewItem>
    <reviewItem>
      <errorID>a409de53-18a2-48c8-b7b9-9d873386c609</errorID>
      <errorWord>噪音</errorWord>
      <group>L1_Word</group>
      <groupName>字词问题</groupName>
      <ability>L2_Alias</ability>
      <abilityName>也作/曾用词</abilityName>
      <candidateList>
        <item>噪声</item>
      </candidateList>
      <explain>词汇[噪音]为不规范表述或旧称，其规范书面表述为[噪声]。</explain>
      <paraID>51D2CAAE</paraID>
      <start>25</start>
      <end>27</end>
      <status>modified</status>
      <modifiedWord>噪声</modifiedWord>
      <trackRevisions>false</trackRevisions>
    </reviewItem>
    <reviewItem>
      <errorID>ce44f199-3371-4088-8d0f-e2910ac821f4</errorID>
      <errorWord>(</errorWord>
      <group>L1_Format</group>
      <groupName>格式问题</groupName>
      <ability>L2_HalfPunc_CN</ability>
      <abilityName>全半角问题</abilityName>
      <candidateList>
        <item>（</item>
      </candidateList>
      <explain>文本全半角错误。</explain>
      <paraID>58A04227</paraID>
      <start>3</start>
      <end>4</end>
      <status>modified</status>
      <modifiedWord>（</modifiedWord>
      <trackRevisions>false</trackRevisions>
    </reviewItem>
    <reviewItem>
      <errorID>5d815c8b-b132-48b1-b7d1-f3e401c2afdf</errorID>
      <errorWord>)</errorWord>
      <group>L1_Format</group>
      <groupName>格式问题</groupName>
      <ability>L2_HalfPunc_CN</ability>
      <abilityName>全半角问题</abilityName>
      <candidateList>
        <item>）</item>
      </candidateList>
      <explain>文本全半角错误。</explain>
      <paraID>58A04227</paraID>
      <start>16</start>
      <end>17</end>
      <status>modified</status>
      <modifiedWord>）</modifiedWord>
      <trackRevisions>false</trackRevisions>
    </reviewItem>
    <reviewItem>
      <errorID>71139608-3c62-4150-a1cc-7eb27d09ba0b</errorID>
      <errorWord>提高</errorWord>
      <group>L1_Grammar</group>
      <groupName>语法问题</groupName>
      <ability>L2_Grammar</ability>
      <abilityName>语法错误</abilityName>
      <candidateList>
        <item>增强</item>
      </candidateList>
      <explain>“提高～意识”搭配不当，建议修改为“增强～意识”。</explain>
      <paraID>6212D5BD</paraID>
      <start>16</start>
      <end>18</end>
      <status>modified</status>
      <modifiedWord>增强</modifiedWord>
      <trackRevisions>false</trackRevisions>
    </reviewItem>
    <reviewItem>
      <errorID>84e4365c-f483-4a81-af5c-cff4d9e06244</errorID>
      <errorWord>施工营</errorWord>
      <group>L1_Word</group>
      <groupName>字词问题</groupName>
      <ability>L2_Typo</ability>
      <abilityName>字词错误</abilityName>
      <candidateList>
        <item>施工</item>
      </candidateList>
      <explain/>
      <paraID>4637A681</paraID>
      <start>47</start>
      <end>49</end>
      <status>modified</status>
      <modifiedWord>施工</modifiedWord>
      <trackRevisions>false</trackRevisions>
    </reviewItem>
    <reviewItem>
      <errorID>5be7c6fa-7142-4dae-9980-f4db4ab4a144</errorID>
      <errorWord>过</errorWord>
      <group>L1_Word</group>
      <groupName>字词问题</groupName>
      <ability>L2_Typo</ability>
      <abilityName>字词错误</abilityName>
      <candidateList>
        <item>过程</item>
      </candidateList>
      <explain/>
      <paraID> 7B9EFD7</paraID>
      <start>7</start>
      <end>9</end>
      <status>modified</status>
      <modifiedWord>过程</modifiedWord>
      <trackRevisions>false</trackRevisions>
    </reviewItem>
    <reviewItem>
      <errorID>c5b50052-ee5f-4d9c-967b-a5f6f070f59d</errorID>
      <errorWord>必须严格按</errorWord>
      <group>L1_Word</group>
      <groupName>字词问题</groupName>
      <ability>L2_Typo</ability>
      <abilityName>字词错误</abilityName>
      <candidateList>
        <item>必须严格按照</item>
      </candidateList>
      <explain/>
      <paraID> FCAC738</paraID>
      <start>43</start>
      <end>49</end>
      <status>modified</status>
      <modifiedWord>必须严格按照</modifiedWord>
      <trackRevisions>false</trackRevisions>
    </reviewItem>
    <reviewItem>
      <errorID>fbfe5c93-ae86-4d99-af66-4d378a5b1267</errorID>
      <errorWord>统一在</errorWord>
      <group>L1_Word</group>
      <groupName>字词问题</groupName>
      <ability>L2_Typo</ability>
      <abilityName>字词错误</abilityName>
      <candidateList>
        <item>统一</item>
      </candidateList>
      <explain/>
      <paraID>2D48E209</paraID>
      <start>35</start>
      <end>37</end>
      <status>modified</status>
      <modifiedWord>统一</modifiedWord>
      <trackRevisions>false</trackRevisions>
    </reviewItem>
    <reviewItem>
      <errorID>c58730f9-ac77-47ac-852c-c87ed047c2a4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3721D155</paraID>
      <start>28</start>
      <end>29</end>
      <status>modified</status>
      <modifiedWord>—</modifiedWord>
      <trackRevisions>false</trackRevisions>
    </reviewItem>
    <reviewItem>
      <errorID>f14147c5-df16-436e-b8fa-37842aa37a9f</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3721D155</paraID>
      <start>56</start>
      <end>60</end>
      <status>modified</status>
      <modifiedWord>其他人工</modifiedWord>
      <trackRevisions>false</trackRevisions>
    </reviewItem>
    <reviewItem>
      <errorID>1469f1a1-7955-4560-93c7-18b146ea042d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3721D155</paraID>
      <start>70</start>
      <end>71</end>
      <status>modified</status>
      <modifiedWord>—</modifiedWord>
      <trackRevisions>false</trackRevisions>
    </reviewItem>
    <reviewItem>
      <errorID>be5e104f-a909-4636-a4aa-2a9f6b9f8017</errorID>
      <errorWord>(</errorWord>
      <group>L1_Format</group>
      <groupName>格式问题</groupName>
      <ability>L2_HalfPunc_CN</ability>
      <abilityName>全半角问题</abilityName>
      <candidateList>
        <item>（</item>
      </candidateList>
      <explain>文本全半角错误。</explain>
      <paraID>571BB0BE</paraID>
      <start>10</start>
      <end>11</end>
      <status>modified</status>
      <modifiedWord>（</modifiedWord>
      <trackRevisions>false</trackRevisions>
    </reviewItem>
    <reviewItem>
      <errorID>2ca73324-3296-442c-a227-e0c9cb70fd75</errorID>
      <errorWord>)</errorWord>
      <group>L1_Format</group>
      <groupName>格式问题</groupName>
      <ability>L2_HalfPunc_CN</ability>
      <abilityName>全半角问题</abilityName>
      <candidateList>
        <item>）</item>
      </candidateList>
      <explain>文本全半角错误。</explain>
      <paraID>571BB0BE</paraID>
      <start>22</start>
      <end>23</end>
      <status>modified</status>
      <modifiedWord>）</modifiedWord>
      <trackRevisions>false</trackRevisions>
    </reviewItem>
    <reviewItem>
      <errorID>92e9f3fa-fefd-4f58-80a9-fac92f0426c3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39ACE9F1</paraID>
      <start>0</start>
      <end>2</end>
      <status>modified</status>
      <modifiedWord>1.</modifiedWord>
      <trackRevisions>false</trackRevisions>
    </reviewItem>
    <reviewItem>
      <errorID>ca7275c9-b092-423f-b899-90b94b113882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5269A6D7</paraID>
      <start>0</start>
      <end>2</end>
      <status>modified</status>
      <modifiedWord>2.</modifiedWord>
      <trackRevisions>false</trackRevisions>
    </reviewItem>
    <reviewItem>
      <errorID>10c18c85-c02e-488f-b39a-b5aba2254f0a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5B75831E</paraID>
      <start>0</start>
      <end>2</end>
      <status>modified</status>
      <modifiedWord>1.</modifiedWord>
      <trackRevisions>false</trackRevisions>
    </reviewItem>
    <reviewItem>
      <errorID>2dae2893-e048-4e22-9f69-891b8dec6aaa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325B413A</paraID>
      <start>0</start>
      <end>2</end>
      <status>modified</status>
      <modifiedWord>2.</modifiedWord>
      <trackRevisions>false</trackRevisions>
    </reviewItem>
    <reviewItem>
      <errorID>bc145d96-f7d6-4ab3-b1fc-c88101ec10d4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F474485</paraID>
      <start>0</start>
      <end>2</end>
      <status>modified</status>
      <modifiedWord>3.</modifiedWord>
      <trackRevisions>false</trackRevisions>
    </reviewItem>
    <reviewItem>
      <errorID>38ca8182-a484-46ee-a8ef-254f5e202e53</errorID>
      <errorWord>(</errorWord>
      <group>L1_Format</group>
      <groupName>格式问题</groupName>
      <ability>L2_HalfPunc_CN</ability>
      <abilityName>全半角问题</abilityName>
      <candidateList>
        <item>（</item>
      </candidateList>
      <explain>文本全半角错误。</explain>
      <paraID>644E8CAD</paraID>
      <start>10</start>
      <end>11</end>
      <status>modified</status>
      <modifiedWord>（</modifiedWord>
      <trackRevisions>false</trackRevisions>
    </reviewItem>
    <reviewItem>
      <errorID>6273c59f-684b-46f8-bd1f-2c728fd8db83</errorID>
      <errorWord>)</errorWord>
      <group>L1_Format</group>
      <groupName>格式问题</groupName>
      <ability>L2_HalfPunc_CN</ability>
      <abilityName>全半角问题</abilityName>
      <candidateList>
        <item>）</item>
      </candidateList>
      <explain>文本全半角错误。</explain>
      <paraID>644E8CAD</paraID>
      <start>22</start>
      <end>23</end>
      <status>modified</status>
      <modifiedWord>）</modifiedWord>
      <trackRevisions>false</trackRevisions>
    </reviewItem>
    <reviewItem>
      <errorID>e9fa90e0-e407-43c8-91bc-0e0933a8e755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2BAE9299</paraID>
      <start>0</start>
      <end>2</end>
      <status>modified</status>
      <modifiedWord>1.</modifiedWord>
      <trackRevisions>false</trackRevisions>
    </reviewItem>
    <reviewItem>
      <errorID>dbb4db8b-0d1c-4b3b-be71-9e987581a3cb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466D3F9E</paraID>
      <start>0</start>
      <end>2</end>
      <status>modified</status>
      <modifiedWord>2.</modifiedWord>
      <trackRevisions>false</trackRevisions>
    </reviewItem>
    <reviewItem>
      <errorID>b16df3a9-e490-4874-8812-c18d4a89381c</errorID>
      <errorWord>报至</errorWord>
      <group>L1_Word</group>
      <groupName>字词问题</groupName>
      <ability>L2_Typo</ability>
      <abilityName>字词错误</abilityName>
      <candidateList>
        <item>报</item>
      </candidateList>
      <explain/>
      <paraID>198E4DD6</paraID>
      <start>17</start>
      <end>18</end>
      <status>modified</status>
      <modifiedWord>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42baa0-3555-46c4-898f-a45015a02438}">
  <ds:schemaRefs/>
</ds:datastoreItem>
</file>

<file path=docProps/app.xml><?xml version="1.0" encoding="utf-8"?>
<Properties xmlns="http://schemas.openxmlformats.org/officeDocument/2006/extended-properties" xmlns:vt="http://schemas.openxmlformats.org/officeDocument/2006/docPropsVTypes">
  <Template>Normal.dot</Template>
  <Pages>123</Pages>
  <Words>974</Words>
  <Characters>1123</Characters>
  <Lines>9</Lines>
  <Paragraphs>2</Paragraphs>
  <TotalTime>8</TotalTime>
  <ScaleCrop>false</ScaleCrop>
  <LinksUpToDate>false</LinksUpToDate>
  <CharactersWithSpaces>1148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2020-12-24T01:42:00Z</dcterms:created>
  <dc:creator>尚云环境</dc:creator>
  <cp:lastModifiedBy>郭丽娜</cp:lastModifiedBy>
  <cp:lastPrinted>2020-12-24T01:50:00Z</cp:lastPrinted>
  <dcterms:modified xsi:type="dcterms:W3CDTF">2026-09-15T08:12:05Z</dcterms:modified>
  <dc:title>建设项目环境影响报告表（生态影响类）</dc:title>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eyJoZGlkIjoiYTA0OTFiNTllN2E3YTc2MDc5ZTIwYTg0ZjFlZjFlMWQiLCJ1c2VySWQiOiIzNzMyMDUyODEifQ==</vt:lpwstr>
  </property>
  <property fmtid="{D5CDD505-2E9C-101B-9397-08002B2CF9AE}" pid="4" name="ICV">
    <vt:lpwstr>EBAE9FB9ACCC45A0872C24DC80876806_13</vt:lpwstr>
  </property>
</Properties>
</file>