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0" w:type="auto"/>
        <w:tblInd w:w="-208" w:type="dxa"/>
        <w:tblLayout w:type="fixed"/>
        <w:tblCellMar>
          <w:top w:w="0" w:type="dxa"/>
          <w:left w:w="108" w:type="dxa"/>
          <w:bottom w:w="0" w:type="dxa"/>
          <w:right w:w="108" w:type="dxa"/>
        </w:tblCellMar>
      </w:tblPr>
      <w:tblGrid>
        <w:gridCol w:w="1756"/>
        <w:gridCol w:w="2246"/>
        <w:gridCol w:w="1276"/>
        <w:gridCol w:w="1559"/>
        <w:gridCol w:w="1276"/>
        <w:gridCol w:w="1701"/>
      </w:tblGrid>
      <w:tr w14:paraId="31583F64">
        <w:tblPrEx>
          <w:tblCellMar>
            <w:top w:w="0" w:type="dxa"/>
            <w:left w:w="108" w:type="dxa"/>
            <w:bottom w:w="0" w:type="dxa"/>
            <w:right w:w="108" w:type="dxa"/>
          </w:tblCellMar>
        </w:tblPrEx>
        <w:trPr>
          <w:trHeight w:val="571" w:hRule="atLeast"/>
        </w:trPr>
        <w:tc>
          <w:tcPr>
            <w:tcW w:w="1756" w:type="dxa"/>
            <w:tcBorders>
              <w:top w:val="single" w:color="auto" w:sz="4" w:space="0"/>
              <w:left w:val="single" w:color="auto" w:sz="4" w:space="0"/>
              <w:bottom w:val="single" w:color="auto" w:sz="4" w:space="0"/>
              <w:right w:val="single" w:color="auto" w:sz="4" w:space="0"/>
            </w:tcBorders>
            <w:shd w:val="clear" w:color="auto" w:fill="C0C0C0"/>
            <w:vAlign w:val="center"/>
          </w:tcPr>
          <w:p w14:paraId="1111A4AA">
            <w:pPr>
              <w:widowControl/>
              <w:spacing w:line="280" w:lineRule="exact"/>
              <w:jc w:val="left"/>
              <w:rPr>
                <w:rFonts w:ascii="宋体"/>
                <w:kern w:val="0"/>
                <w:sz w:val="24"/>
                <w:szCs w:val="24"/>
              </w:rPr>
            </w:pPr>
            <w:r>
              <w:rPr>
                <w:rFonts w:hint="eastAsia" w:ascii="宋体"/>
                <w:sz w:val="24"/>
                <w:szCs w:val="24"/>
              </w:rPr>
              <w:t xml:space="preserve"> </w:t>
            </w:r>
            <w:r>
              <w:rPr>
                <w:rFonts w:hint="eastAsia" w:ascii="宋体" w:hAnsi="宋体"/>
                <w:kern w:val="0"/>
                <w:sz w:val="24"/>
                <w:szCs w:val="24"/>
              </w:rPr>
              <w:t>项目名称</w:t>
            </w:r>
          </w:p>
        </w:tc>
        <w:tc>
          <w:tcPr>
            <w:tcW w:w="2246" w:type="dxa"/>
            <w:tcBorders>
              <w:top w:val="single" w:color="auto" w:sz="4" w:space="0"/>
              <w:left w:val="nil"/>
              <w:bottom w:val="single" w:color="auto" w:sz="4" w:space="0"/>
              <w:right w:val="single" w:color="auto" w:sz="4" w:space="0"/>
            </w:tcBorders>
            <w:shd w:val="clear" w:color="auto" w:fill="auto"/>
            <w:vAlign w:val="center"/>
          </w:tcPr>
          <w:p w14:paraId="68A8CC85">
            <w:pPr>
              <w:widowControl/>
              <w:spacing w:line="280" w:lineRule="exact"/>
              <w:jc w:val="left"/>
              <w:rPr>
                <w:rFonts w:hint="eastAsia" w:ascii="Times New Roman" w:hAnsi="Times New Roman"/>
                <w:sz w:val="24"/>
                <w:szCs w:val="24"/>
              </w:rPr>
            </w:pPr>
            <w:r>
              <w:rPr>
                <w:rFonts w:hint="eastAsia" w:ascii="Times New Roman" w:hAnsi="Times New Roman"/>
                <w:sz w:val="24"/>
                <w:szCs w:val="24"/>
              </w:rPr>
              <w:t>罗平阿岗镇青瓦制作技艺改造项目（非物质文化遗产）</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72028C2D">
            <w:pPr>
              <w:widowControl/>
              <w:spacing w:line="280" w:lineRule="exact"/>
              <w:jc w:val="left"/>
              <w:rPr>
                <w:rFonts w:ascii="宋体"/>
                <w:kern w:val="0"/>
                <w:sz w:val="24"/>
                <w:szCs w:val="24"/>
              </w:rPr>
            </w:pPr>
            <w:r>
              <w:rPr>
                <w:rFonts w:hint="eastAsia" w:ascii="宋体" w:hAnsi="宋体"/>
                <w:kern w:val="0"/>
                <w:sz w:val="24"/>
                <w:szCs w:val="24"/>
              </w:rPr>
              <w:t>建设地点</w:t>
            </w:r>
          </w:p>
        </w:tc>
        <w:tc>
          <w:tcPr>
            <w:tcW w:w="1559" w:type="dxa"/>
            <w:tcBorders>
              <w:top w:val="single" w:color="auto" w:sz="4" w:space="0"/>
              <w:left w:val="nil"/>
              <w:bottom w:val="single" w:color="auto" w:sz="4" w:space="0"/>
              <w:right w:val="single" w:color="auto" w:sz="4" w:space="0"/>
            </w:tcBorders>
            <w:shd w:val="clear" w:color="auto" w:fill="auto"/>
            <w:vAlign w:val="center"/>
          </w:tcPr>
          <w:p w14:paraId="664D6CA9">
            <w:pPr>
              <w:widowControl/>
              <w:spacing w:line="280" w:lineRule="exact"/>
              <w:jc w:val="left"/>
              <w:rPr>
                <w:rFonts w:hint="eastAsia" w:ascii="Times New Roman" w:hAnsi="Times New Roman"/>
                <w:sz w:val="24"/>
                <w:szCs w:val="24"/>
              </w:rPr>
            </w:pPr>
            <w:r>
              <w:rPr>
                <w:rFonts w:hint="eastAsia" w:ascii="Times New Roman" w:hAnsi="Times New Roman"/>
                <w:sz w:val="24"/>
                <w:szCs w:val="24"/>
              </w:rPr>
              <w:t>罗平县阿岗镇岗德村委会小岗德村</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5DA44138">
            <w:pPr>
              <w:widowControl/>
              <w:spacing w:line="280" w:lineRule="exact"/>
              <w:jc w:val="left"/>
              <w:rPr>
                <w:rFonts w:ascii="宋体"/>
                <w:kern w:val="0"/>
                <w:sz w:val="24"/>
                <w:szCs w:val="24"/>
              </w:rPr>
            </w:pPr>
            <w:r>
              <w:rPr>
                <w:rFonts w:hint="eastAsia" w:ascii="宋体" w:hAnsi="宋体"/>
                <w:kern w:val="0"/>
                <w:sz w:val="24"/>
                <w:szCs w:val="24"/>
              </w:rPr>
              <w:t>建设单位</w:t>
            </w:r>
          </w:p>
        </w:tc>
        <w:tc>
          <w:tcPr>
            <w:tcW w:w="1701" w:type="dxa"/>
            <w:tcBorders>
              <w:top w:val="single" w:color="auto" w:sz="4" w:space="0"/>
              <w:left w:val="nil"/>
              <w:bottom w:val="single" w:color="auto" w:sz="4" w:space="0"/>
              <w:right w:val="single" w:color="auto" w:sz="4" w:space="0"/>
            </w:tcBorders>
            <w:vAlign w:val="center"/>
          </w:tcPr>
          <w:p w14:paraId="3EC78CB8">
            <w:pPr>
              <w:widowControl/>
              <w:spacing w:line="280" w:lineRule="exact"/>
              <w:jc w:val="center"/>
              <w:rPr>
                <w:rFonts w:hint="eastAsia" w:ascii="Times New Roman" w:hAnsi="Times New Roman"/>
                <w:sz w:val="24"/>
                <w:szCs w:val="24"/>
              </w:rPr>
            </w:pPr>
            <w:r>
              <w:rPr>
                <w:rFonts w:hint="eastAsia" w:ascii="Times New Roman" w:hAnsi="Times New Roman"/>
                <w:sz w:val="24"/>
                <w:szCs w:val="24"/>
              </w:rPr>
              <w:t>罗平县慧联青瓦厂</w:t>
            </w:r>
          </w:p>
        </w:tc>
      </w:tr>
      <w:tr w14:paraId="3521EE2E">
        <w:tblPrEx>
          <w:tblCellMar>
            <w:top w:w="0" w:type="dxa"/>
            <w:left w:w="108" w:type="dxa"/>
            <w:bottom w:w="0" w:type="dxa"/>
            <w:right w:w="108" w:type="dxa"/>
          </w:tblCellMar>
        </w:tblPrEx>
        <w:trPr>
          <w:trHeight w:val="762" w:hRule="atLeast"/>
        </w:trPr>
        <w:tc>
          <w:tcPr>
            <w:tcW w:w="1756" w:type="dxa"/>
            <w:tcBorders>
              <w:top w:val="nil"/>
              <w:left w:val="single" w:color="auto" w:sz="4" w:space="0"/>
              <w:bottom w:val="single" w:color="auto" w:sz="4" w:space="0"/>
              <w:right w:val="single" w:color="auto" w:sz="4" w:space="0"/>
            </w:tcBorders>
            <w:shd w:val="clear" w:color="auto" w:fill="C0C0C0"/>
            <w:vAlign w:val="center"/>
          </w:tcPr>
          <w:p w14:paraId="421228EB">
            <w:pPr>
              <w:widowControl/>
              <w:spacing w:line="280" w:lineRule="exact"/>
              <w:jc w:val="left"/>
              <w:rPr>
                <w:rFonts w:ascii="宋体"/>
                <w:kern w:val="0"/>
                <w:sz w:val="24"/>
                <w:szCs w:val="24"/>
              </w:rPr>
            </w:pPr>
            <w:r>
              <w:rPr>
                <w:rFonts w:hint="eastAsia" w:ascii="宋体" w:hAnsi="宋体"/>
                <w:kern w:val="0"/>
                <w:sz w:val="24"/>
                <w:szCs w:val="24"/>
              </w:rPr>
              <w:t>环评文件类型</w:t>
            </w:r>
          </w:p>
        </w:tc>
        <w:tc>
          <w:tcPr>
            <w:tcW w:w="2246" w:type="dxa"/>
            <w:tcBorders>
              <w:top w:val="nil"/>
              <w:left w:val="nil"/>
              <w:bottom w:val="single" w:color="auto" w:sz="4" w:space="0"/>
              <w:right w:val="single" w:color="auto" w:sz="4" w:space="0"/>
            </w:tcBorders>
            <w:shd w:val="clear" w:color="auto" w:fill="auto"/>
            <w:vAlign w:val="center"/>
          </w:tcPr>
          <w:p w14:paraId="2A6DFB08">
            <w:pPr>
              <w:widowControl/>
              <w:spacing w:line="280" w:lineRule="exact"/>
              <w:jc w:val="center"/>
              <w:rPr>
                <w:rFonts w:hint="default" w:ascii="宋体" w:hAnsi="宋体" w:eastAsia="宋体" w:cs="华文仿宋"/>
                <w:kern w:val="0"/>
                <w:sz w:val="24"/>
                <w:szCs w:val="24"/>
                <w:lang w:val="en-US" w:eastAsia="zh-CN"/>
              </w:rPr>
            </w:pPr>
            <w:r>
              <w:rPr>
                <w:rFonts w:hint="eastAsia" w:ascii="Times New Roman" w:hAnsi="Times New Roman"/>
                <w:sz w:val="24"/>
                <w:szCs w:val="24"/>
                <w:lang w:val="en-US" w:eastAsia="zh-CN"/>
              </w:rPr>
              <w:t>环境影响评价报告表</w:t>
            </w:r>
          </w:p>
        </w:tc>
        <w:tc>
          <w:tcPr>
            <w:tcW w:w="1276" w:type="dxa"/>
            <w:tcBorders>
              <w:top w:val="nil"/>
              <w:left w:val="nil"/>
              <w:bottom w:val="single" w:color="auto" w:sz="4" w:space="0"/>
              <w:right w:val="single" w:color="auto" w:sz="4" w:space="0"/>
            </w:tcBorders>
            <w:shd w:val="clear" w:color="auto" w:fill="C0C0C0"/>
            <w:vAlign w:val="center"/>
          </w:tcPr>
          <w:p w14:paraId="4647010E">
            <w:pPr>
              <w:widowControl/>
              <w:spacing w:line="280" w:lineRule="exact"/>
              <w:jc w:val="left"/>
              <w:rPr>
                <w:rFonts w:ascii="宋体"/>
                <w:kern w:val="0"/>
                <w:sz w:val="24"/>
                <w:szCs w:val="24"/>
              </w:rPr>
            </w:pPr>
            <w:r>
              <w:rPr>
                <w:rFonts w:hint="eastAsia" w:ascii="宋体" w:hAnsi="宋体"/>
                <w:kern w:val="0"/>
                <w:sz w:val="24"/>
                <w:szCs w:val="24"/>
              </w:rPr>
              <w:t>环境影响评价机构</w:t>
            </w:r>
          </w:p>
        </w:tc>
        <w:tc>
          <w:tcPr>
            <w:tcW w:w="4536" w:type="dxa"/>
            <w:gridSpan w:val="3"/>
            <w:tcBorders>
              <w:top w:val="single" w:color="auto" w:sz="4" w:space="0"/>
              <w:left w:val="nil"/>
              <w:bottom w:val="single" w:color="auto" w:sz="4" w:space="0"/>
              <w:right w:val="single" w:color="000000" w:sz="4" w:space="0"/>
            </w:tcBorders>
            <w:vAlign w:val="center"/>
          </w:tcPr>
          <w:p w14:paraId="4882BB4E">
            <w:pPr>
              <w:widowControl/>
              <w:spacing w:line="280" w:lineRule="exact"/>
              <w:jc w:val="center"/>
              <w:rPr>
                <w:rFonts w:hint="default" w:ascii="宋体" w:eastAsia="方正仿宋_GBK"/>
                <w:kern w:val="0"/>
                <w:sz w:val="24"/>
                <w:szCs w:val="24"/>
                <w:lang w:val="en-US" w:eastAsia="zh-CN"/>
              </w:rPr>
            </w:pPr>
            <w:r>
              <w:rPr>
                <w:rFonts w:hint="eastAsia" w:ascii="宋体"/>
                <w:kern w:val="0"/>
                <w:sz w:val="24"/>
                <w:szCs w:val="24"/>
                <w:lang w:val="en-US" w:eastAsia="zh-CN"/>
              </w:rPr>
              <w:t>云南巽通环保科技有限公司</w:t>
            </w:r>
          </w:p>
        </w:tc>
      </w:tr>
      <w:tr w14:paraId="4180DBDE">
        <w:tblPrEx>
          <w:tblCellMar>
            <w:top w:w="0" w:type="dxa"/>
            <w:left w:w="108" w:type="dxa"/>
            <w:bottom w:w="0" w:type="dxa"/>
            <w:right w:w="108" w:type="dxa"/>
          </w:tblCellMar>
        </w:tblPrEx>
        <w:trPr>
          <w:trHeight w:val="46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3447B88E">
            <w:pPr>
              <w:widowControl/>
              <w:spacing w:line="280" w:lineRule="exact"/>
              <w:jc w:val="center"/>
              <w:rPr>
                <w:rFonts w:ascii="宋体"/>
                <w:kern w:val="0"/>
                <w:sz w:val="24"/>
                <w:szCs w:val="24"/>
              </w:rPr>
            </w:pPr>
            <w:r>
              <w:rPr>
                <w:rFonts w:hint="eastAsia" w:ascii="宋体" w:hAnsi="宋体"/>
                <w:kern w:val="0"/>
                <w:sz w:val="24"/>
                <w:szCs w:val="24"/>
              </w:rPr>
              <w:t>项目概况</w:t>
            </w:r>
          </w:p>
        </w:tc>
      </w:tr>
      <w:tr w14:paraId="33600D1F">
        <w:tblPrEx>
          <w:tblCellMar>
            <w:top w:w="0" w:type="dxa"/>
            <w:left w:w="108" w:type="dxa"/>
            <w:bottom w:w="0" w:type="dxa"/>
            <w:right w:w="108" w:type="dxa"/>
          </w:tblCellMar>
        </w:tblPrEx>
        <w:trPr>
          <w:trHeight w:val="606"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765DD49D">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rPr>
            </w:pPr>
            <w:r>
              <w:rPr>
                <w:rFonts w:hint="eastAsia" w:ascii="Times New Roman" w:hAnsi="Times New Roman"/>
                <w:sz w:val="24"/>
                <w:szCs w:val="24"/>
              </w:rPr>
              <w:t>建设地点：</w:t>
            </w:r>
            <w:r>
              <w:rPr>
                <w:rFonts w:hint="eastAsia" w:ascii="Times New Roman" w:hAnsi="Times New Roman"/>
                <w:sz w:val="24"/>
                <w:szCs w:val="24"/>
                <w:lang w:eastAsia="zh-CN"/>
              </w:rPr>
              <w:t>该项目位于</w:t>
            </w:r>
            <w:r>
              <w:rPr>
                <w:rFonts w:hint="eastAsia" w:ascii="Times New Roman" w:hAnsi="Times New Roman"/>
                <w:sz w:val="24"/>
                <w:szCs w:val="24"/>
              </w:rPr>
              <w:t>罗平县阿岗镇岗德村委会小岗德村</w:t>
            </w:r>
            <w:r>
              <w:rPr>
                <w:rFonts w:hint="eastAsia" w:ascii="Times New Roman" w:hAnsi="Times New Roman"/>
                <w:sz w:val="24"/>
                <w:szCs w:val="24"/>
                <w:lang w:eastAsia="zh-CN"/>
              </w:rPr>
              <w:t>，</w:t>
            </w:r>
            <w:r>
              <w:rPr>
                <w:rFonts w:hint="eastAsia" w:ascii="Times New Roman" w:hAnsi="Times New Roman"/>
                <w:sz w:val="24"/>
                <w:szCs w:val="24"/>
              </w:rPr>
              <w:t>现有项目占地面积为38000m</w:t>
            </w:r>
            <w:r>
              <w:rPr>
                <w:rFonts w:hint="eastAsia" w:ascii="Times New Roman" w:hAnsi="Times New Roman"/>
                <w:sz w:val="24"/>
                <w:szCs w:val="24"/>
                <w:vertAlign w:val="superscript"/>
              </w:rPr>
              <w:t>2</w:t>
            </w:r>
            <w:r>
              <w:rPr>
                <w:rFonts w:hint="eastAsia" w:ascii="Times New Roman" w:hAnsi="Times New Roman"/>
                <w:sz w:val="24"/>
                <w:szCs w:val="24"/>
              </w:rPr>
              <w:t>，本次在现有占地范围内改扩建，不新增占地</w:t>
            </w:r>
            <w:r>
              <w:rPr>
                <w:rFonts w:hint="eastAsia" w:ascii="Times New Roman" w:hAnsi="Times New Roman"/>
                <w:sz w:val="24"/>
                <w:szCs w:val="24"/>
                <w:lang w:eastAsia="zh-CN"/>
              </w:rPr>
              <w:t>，主要</w:t>
            </w:r>
            <w:r>
              <w:rPr>
                <w:rFonts w:hint="eastAsia" w:ascii="Times New Roman" w:hAnsi="Times New Roman"/>
                <w:sz w:val="24"/>
                <w:szCs w:val="24"/>
              </w:rPr>
              <w:t>建设内容及规模：①扩建1座4门古建青瓦烧制窑（仿古窑）及配套烟气收集设施；②对现有5座圆窑进行修葺</w:t>
            </w:r>
            <w:r>
              <w:rPr>
                <w:rFonts w:hint="eastAsia" w:ascii="Times New Roman" w:hAnsi="Times New Roman"/>
                <w:sz w:val="24"/>
                <w:szCs w:val="24"/>
                <w:lang w:eastAsia="zh-CN"/>
              </w:rPr>
              <w:t>；</w:t>
            </w:r>
            <w:r>
              <w:rPr>
                <w:rFonts w:hint="eastAsia" w:ascii="Times New Roman" w:hAnsi="Times New Roman"/>
                <w:sz w:val="24"/>
                <w:szCs w:val="24"/>
              </w:rPr>
              <w:t>改扩建完成后规模达到年产3000万片古建青瓦，燃料为生物质。</w:t>
            </w:r>
          </w:p>
        </w:tc>
      </w:tr>
      <w:tr w14:paraId="302F7C5E">
        <w:tblPrEx>
          <w:tblCellMar>
            <w:top w:w="0" w:type="dxa"/>
            <w:left w:w="108" w:type="dxa"/>
            <w:bottom w:w="0" w:type="dxa"/>
            <w:right w:w="108" w:type="dxa"/>
          </w:tblCellMar>
        </w:tblPrEx>
        <w:trPr>
          <w:trHeight w:val="448"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055DF97F">
            <w:pPr>
              <w:widowControl/>
              <w:spacing w:line="280" w:lineRule="exact"/>
              <w:jc w:val="center"/>
              <w:rPr>
                <w:rFonts w:ascii="宋体"/>
                <w:kern w:val="0"/>
                <w:sz w:val="24"/>
                <w:szCs w:val="24"/>
              </w:rPr>
            </w:pPr>
            <w:r>
              <w:rPr>
                <w:rFonts w:hint="eastAsia" w:ascii="宋体" w:hAnsi="宋体"/>
                <w:kern w:val="0"/>
                <w:sz w:val="24"/>
                <w:szCs w:val="24"/>
              </w:rPr>
              <w:t>项目主要环境影响</w:t>
            </w:r>
          </w:p>
        </w:tc>
      </w:tr>
      <w:tr w14:paraId="42EC9E6E">
        <w:tblPrEx>
          <w:tblCellMar>
            <w:top w:w="0" w:type="dxa"/>
            <w:left w:w="108" w:type="dxa"/>
            <w:bottom w:w="0" w:type="dxa"/>
            <w:right w:w="108" w:type="dxa"/>
          </w:tblCellMar>
        </w:tblPrEx>
        <w:trPr>
          <w:trHeight w:val="535"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657809D0">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kern w:val="0"/>
                <w:sz w:val="24"/>
                <w:szCs w:val="24"/>
                <w:lang w:val="en-US" w:eastAsia="zh-CN"/>
              </w:rPr>
            </w:pPr>
            <w:r>
              <w:rPr>
                <w:rFonts w:hint="eastAsia" w:ascii="宋体" w:hAnsi="宋体"/>
                <w:b/>
                <w:bCs/>
                <w:kern w:val="0"/>
                <w:sz w:val="24"/>
                <w:szCs w:val="24"/>
                <w:lang w:val="en-US" w:eastAsia="zh-CN"/>
              </w:rPr>
              <w:t>施工期：</w:t>
            </w:r>
            <w:r>
              <w:rPr>
                <w:rFonts w:hint="eastAsia" w:ascii="宋体" w:hAnsi="宋体"/>
                <w:kern w:val="0"/>
                <w:sz w:val="24"/>
                <w:szCs w:val="24"/>
                <w:lang w:val="en-US" w:eastAsia="zh-CN"/>
              </w:rPr>
              <w:t>圆窑修葺作业产生的少量施工扬尘、施工废水、机械噪声与建筑垃圾；配套环保设施安装过程中产生的施工废水、废弃建材等固体废物。</w:t>
            </w:r>
          </w:p>
          <w:p w14:paraId="70B7077B">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b/>
                <w:bCs/>
                <w:kern w:val="0"/>
                <w:sz w:val="24"/>
                <w:szCs w:val="24"/>
                <w:lang w:val="en-US" w:eastAsia="zh-CN"/>
              </w:rPr>
            </w:pPr>
            <w:r>
              <w:rPr>
                <w:rFonts w:hint="eastAsia" w:ascii="宋体" w:hAnsi="宋体"/>
                <w:b/>
                <w:bCs/>
                <w:kern w:val="0"/>
                <w:sz w:val="24"/>
                <w:szCs w:val="24"/>
                <w:lang w:val="en-US" w:eastAsia="zh-CN"/>
              </w:rPr>
              <w:t>运营期：</w:t>
            </w:r>
          </w:p>
          <w:p w14:paraId="16F780E5">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kern w:val="0"/>
                <w:sz w:val="24"/>
                <w:szCs w:val="24"/>
                <w:lang w:val="en-US" w:eastAsia="zh-CN"/>
              </w:rPr>
            </w:pPr>
            <w:r>
              <w:rPr>
                <w:rFonts w:hint="eastAsia" w:ascii="宋体" w:hAnsi="宋体" w:eastAsia="方正仿宋_GBK" w:cs="Times New Roman"/>
                <w:b/>
                <w:bCs/>
                <w:kern w:val="0"/>
                <w:sz w:val="24"/>
                <w:szCs w:val="24"/>
                <w:lang w:val="en-US" w:eastAsia="zh-CN" w:bidi="ar-SA"/>
              </w:rPr>
              <w:t>（1）</w:t>
            </w:r>
            <w:r>
              <w:rPr>
                <w:rFonts w:hint="eastAsia" w:ascii="宋体" w:hAnsi="宋体"/>
                <w:b/>
                <w:bCs/>
                <w:kern w:val="0"/>
                <w:sz w:val="24"/>
                <w:szCs w:val="24"/>
                <w:lang w:val="en-US" w:eastAsia="zh-CN"/>
              </w:rPr>
              <w:t>废气：</w:t>
            </w:r>
            <w:r>
              <w:rPr>
                <w:rFonts w:hint="eastAsia" w:ascii="宋体" w:hAnsi="宋体"/>
                <w:kern w:val="0"/>
                <w:sz w:val="24"/>
                <w:szCs w:val="24"/>
                <w:lang w:val="en-US" w:eastAsia="zh-CN"/>
              </w:rPr>
              <w:t>原料制备工序包括破碎、筛分、粉磨废气，污染物颗粒物；炉窑烧制过程产的废气，污染物为颗粒物、氮氧化物、二氧化硫、氟化物；原料贮存库扬尘、原料制备工段无组织废气和运输扬尘。</w:t>
            </w:r>
          </w:p>
          <w:p w14:paraId="18166F3A">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kern w:val="0"/>
                <w:sz w:val="24"/>
                <w:szCs w:val="24"/>
                <w:lang w:val="en-US" w:eastAsia="zh-CN"/>
              </w:rPr>
            </w:pPr>
            <w:r>
              <w:rPr>
                <w:rFonts w:hint="default" w:ascii="宋体" w:hAnsi="宋体" w:eastAsia="方正仿宋_GBK" w:cs="Times New Roman"/>
                <w:b/>
                <w:bCs/>
                <w:kern w:val="0"/>
                <w:sz w:val="24"/>
                <w:szCs w:val="24"/>
                <w:lang w:val="en-US" w:eastAsia="zh-CN" w:bidi="ar-SA"/>
              </w:rPr>
              <w:t>（2）</w:t>
            </w:r>
            <w:r>
              <w:rPr>
                <w:rFonts w:hint="eastAsia" w:ascii="宋体" w:hAnsi="宋体"/>
                <w:b/>
                <w:bCs/>
                <w:kern w:val="0"/>
                <w:sz w:val="24"/>
                <w:szCs w:val="24"/>
                <w:lang w:val="en-US" w:eastAsia="zh-CN"/>
              </w:rPr>
              <w:t>废水：</w:t>
            </w:r>
            <w:r>
              <w:rPr>
                <w:rFonts w:hint="eastAsia" w:ascii="宋体" w:hAnsi="宋体"/>
                <w:kern w:val="0"/>
                <w:sz w:val="24"/>
                <w:szCs w:val="24"/>
                <w:lang w:val="en-US" w:eastAsia="zh-CN"/>
              </w:rPr>
              <w:t>脱硫塔废水、生活污水、初期雨水。</w:t>
            </w:r>
          </w:p>
          <w:p w14:paraId="616B9001">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kern w:val="0"/>
                <w:sz w:val="24"/>
                <w:szCs w:val="24"/>
                <w:lang w:val="en-US" w:eastAsia="zh-CN"/>
              </w:rPr>
            </w:pPr>
            <w:r>
              <w:rPr>
                <w:rFonts w:hint="eastAsia" w:ascii="宋体" w:hAnsi="宋体" w:eastAsia="方正仿宋_GBK" w:cs="Times New Roman"/>
                <w:b/>
                <w:bCs/>
                <w:kern w:val="0"/>
                <w:sz w:val="24"/>
                <w:szCs w:val="24"/>
                <w:lang w:val="en-US" w:eastAsia="zh-CN" w:bidi="ar-SA"/>
              </w:rPr>
              <w:t>（3）</w:t>
            </w:r>
            <w:r>
              <w:rPr>
                <w:rFonts w:hint="eastAsia" w:ascii="宋体" w:hAnsi="宋体"/>
                <w:b/>
                <w:bCs/>
                <w:kern w:val="0"/>
                <w:sz w:val="24"/>
                <w:szCs w:val="24"/>
                <w:lang w:val="en-US" w:eastAsia="zh-CN"/>
              </w:rPr>
              <w:t>噪声：</w:t>
            </w:r>
            <w:r>
              <w:rPr>
                <w:rFonts w:hint="eastAsia" w:ascii="宋体" w:hAnsi="宋体"/>
                <w:kern w:val="0"/>
                <w:sz w:val="24"/>
                <w:szCs w:val="24"/>
                <w:lang w:val="en-US" w:eastAsia="zh-CN"/>
              </w:rPr>
              <w:t>设备噪声以及运输交通噪声。</w:t>
            </w:r>
          </w:p>
          <w:p w14:paraId="3B78BBB0">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rPr>
            </w:pPr>
            <w:r>
              <w:rPr>
                <w:rFonts w:hint="eastAsia" w:ascii="宋体" w:hAnsi="宋体" w:eastAsia="方正仿宋_GBK" w:cs="Times New Roman"/>
                <w:b/>
                <w:bCs/>
                <w:kern w:val="0"/>
                <w:sz w:val="24"/>
                <w:szCs w:val="24"/>
                <w:lang w:val="en-US" w:eastAsia="zh-CN" w:bidi="ar-SA"/>
              </w:rPr>
              <w:t>（</w:t>
            </w:r>
            <w:r>
              <w:rPr>
                <w:rFonts w:hint="eastAsia" w:ascii="宋体" w:hAnsi="宋体" w:cs="Times New Roman"/>
                <w:b w:val="0"/>
                <w:bCs w:val="0"/>
                <w:kern w:val="0"/>
                <w:sz w:val="24"/>
                <w:szCs w:val="24"/>
                <w:lang w:val="en-US" w:eastAsia="zh-CN" w:bidi="ar-SA"/>
              </w:rPr>
              <w:t>4</w:t>
            </w:r>
            <w:r>
              <w:rPr>
                <w:rFonts w:hint="eastAsia" w:ascii="宋体" w:hAnsi="宋体" w:eastAsia="方正仿宋_GBK" w:cs="Times New Roman"/>
                <w:b w:val="0"/>
                <w:bCs w:val="0"/>
                <w:kern w:val="0"/>
                <w:sz w:val="24"/>
                <w:szCs w:val="24"/>
                <w:lang w:val="en-US" w:eastAsia="zh-CN" w:bidi="ar-SA"/>
              </w:rPr>
              <w:t>）</w:t>
            </w:r>
            <w:r>
              <w:rPr>
                <w:rFonts w:hint="eastAsia" w:ascii="宋体" w:hAnsi="宋体"/>
                <w:b w:val="0"/>
                <w:bCs w:val="0"/>
                <w:kern w:val="0"/>
                <w:sz w:val="24"/>
                <w:szCs w:val="24"/>
                <w:lang w:val="en-US" w:eastAsia="zh-CN"/>
              </w:rPr>
              <w:t>固体废物：</w:t>
            </w:r>
            <w:r>
              <w:rPr>
                <w:rFonts w:hint="eastAsia" w:ascii="宋体" w:hAnsi="宋体"/>
                <w:kern w:val="0"/>
                <w:sz w:val="24"/>
                <w:szCs w:val="24"/>
                <w:lang w:val="en-US" w:eastAsia="zh-CN"/>
              </w:rPr>
              <w:t>边角料及不合格品、炉渣、脱硫石膏，收尘灰、废布袋、生活垃圾，废机油和废润滑油。</w:t>
            </w:r>
          </w:p>
        </w:tc>
      </w:tr>
      <w:tr w14:paraId="4C0513C5">
        <w:tblPrEx>
          <w:tblCellMar>
            <w:top w:w="0" w:type="dxa"/>
            <w:left w:w="108" w:type="dxa"/>
            <w:bottom w:w="0" w:type="dxa"/>
            <w:right w:w="108" w:type="dxa"/>
          </w:tblCellMar>
        </w:tblPrEx>
        <w:trPr>
          <w:trHeight w:val="38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07F574FD">
            <w:pPr>
              <w:widowControl/>
              <w:spacing w:line="280" w:lineRule="exact"/>
              <w:jc w:val="center"/>
              <w:rPr>
                <w:rFonts w:ascii="宋体"/>
                <w:kern w:val="0"/>
                <w:sz w:val="24"/>
                <w:szCs w:val="24"/>
              </w:rPr>
            </w:pPr>
            <w:r>
              <w:rPr>
                <w:rFonts w:hint="eastAsia" w:ascii="宋体" w:hAnsi="宋体"/>
                <w:kern w:val="0"/>
                <w:sz w:val="24"/>
                <w:szCs w:val="24"/>
              </w:rPr>
              <w:t>项目预防及减轻不良环境影响的对策和措施</w:t>
            </w:r>
          </w:p>
        </w:tc>
      </w:tr>
      <w:tr w14:paraId="12336BCB">
        <w:tblPrEx>
          <w:tblCellMar>
            <w:top w:w="0" w:type="dxa"/>
            <w:left w:w="108" w:type="dxa"/>
            <w:bottom w:w="0" w:type="dxa"/>
            <w:right w:w="108" w:type="dxa"/>
          </w:tblCellMar>
        </w:tblPrEx>
        <w:trPr>
          <w:trHeight w:val="915"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5B3B0226">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ascii="Times New Roman" w:hAnsi="Times New Roman"/>
                <w:sz w:val="24"/>
                <w:szCs w:val="24"/>
              </w:rPr>
            </w:pPr>
            <w:r>
              <w:rPr>
                <w:rFonts w:hint="eastAsia" w:ascii="宋体" w:hAnsi="宋体"/>
                <w:b/>
                <w:bCs/>
                <w:kern w:val="0"/>
                <w:sz w:val="24"/>
                <w:szCs w:val="24"/>
                <w:lang w:val="en-US" w:eastAsia="zh-CN"/>
              </w:rPr>
              <w:t>施工期：</w:t>
            </w:r>
            <w:r>
              <w:rPr>
                <w:rFonts w:hint="eastAsia" w:ascii="宋体" w:hAnsi="宋体"/>
                <w:kern w:val="0"/>
                <w:sz w:val="24"/>
                <w:szCs w:val="24"/>
                <w:lang w:val="en-US" w:eastAsia="zh-CN"/>
              </w:rPr>
              <w:t>项目在现有项目占地范围内进行建设，截至环评介入时，已建成1座4门古建青瓦烧制窑（仿古窑）及配套烟气收集设施，其余内容均未建。后续施工以现有圆窑修葺、配套环境保护设施安装为主。施工期间，采取定期洒水、及时清扫运输路面减小扬尘对周围环境的影响；施工废水收集沉淀回用于施工期场地洒水降尘。施工人员不在厂区内食宿，施工期生活污水依托厂区现有化粪池处理后定期清掏作农肥；施工期尽量使用低噪音设备，合理布置施工作业面和安排施工时间减小噪声对周围环境的影响，项目周边50m范围内均无声敏感点分布；施工期产生的废砖块、设备包装材料等施工垃圾分类集中堆存，能回收利用的部分，回收重复利用；不能回收利用的部分委托资质单位清运到当地城建部门指定的建筑垃圾堆放场；施工人员生活垃圾经厂区内生活垃圾箱收集，由环卫部门定期清运处置。</w:t>
            </w:r>
          </w:p>
          <w:p w14:paraId="75E0678B">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b/>
                <w:bCs/>
                <w:sz w:val="24"/>
                <w:lang w:val="en-US" w:eastAsia="zh-CN"/>
              </w:rPr>
            </w:pPr>
            <w:r>
              <w:rPr>
                <w:rFonts w:hint="eastAsia"/>
                <w:b/>
                <w:bCs/>
                <w:sz w:val="24"/>
                <w:lang w:val="en-US" w:eastAsia="zh-CN"/>
              </w:rPr>
              <w:t>运营期：</w:t>
            </w:r>
          </w:p>
          <w:p w14:paraId="1AAAF631">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kern w:val="0"/>
                <w:sz w:val="24"/>
                <w:szCs w:val="24"/>
                <w:lang w:val="en-US" w:eastAsia="zh-CN"/>
              </w:rPr>
            </w:pPr>
            <w:r>
              <w:rPr>
                <w:rFonts w:hint="eastAsia"/>
                <w:b/>
                <w:bCs/>
                <w:sz w:val="24"/>
                <w:lang w:val="en-US" w:eastAsia="zh-CN"/>
              </w:rPr>
              <w:t>（1）废气：</w:t>
            </w:r>
            <w:r>
              <w:rPr>
                <w:rFonts w:hint="eastAsia"/>
                <w:sz w:val="24"/>
                <w:lang w:val="en-US" w:eastAsia="zh-CN"/>
              </w:rPr>
              <w:t>青瓦烧制过程产生的炉窑废气通过烟气收集管道收集后设置1套“高温脉冲袋式除尘+脱硫塔（石灰石石膏法）”处理后，由1根15m高的排气筒（DA001）排放。原料制备工段破碎、筛分各设置1个集气罩（收集效率不低于60%）收集，粉磨废气设置管道收集，</w:t>
            </w:r>
            <w:r>
              <w:rPr>
                <w:rFonts w:hint="eastAsia" w:ascii="宋体" w:hAnsi="宋体"/>
                <w:kern w:val="0"/>
                <w:sz w:val="24"/>
                <w:szCs w:val="24"/>
                <w:lang w:val="en-US" w:eastAsia="zh-CN"/>
              </w:rPr>
              <w:t>进入1套脉冲袋式除尘器（处理效率不低于90%）处理后设置1根高15m的排气筒（DA002）排放。无组织废气采取原料贮存库北侧和东侧设置封闭围挡+库顶喷雾降尘，物料密闭运输、洒水降尘等措施。</w:t>
            </w:r>
          </w:p>
          <w:p w14:paraId="2876C968">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kern w:val="0"/>
                <w:sz w:val="24"/>
                <w:szCs w:val="24"/>
                <w:lang w:val="en-US" w:eastAsia="zh-CN"/>
              </w:rPr>
            </w:pPr>
            <w:r>
              <w:rPr>
                <w:rFonts w:hint="eastAsia" w:ascii="宋体" w:hAnsi="宋体"/>
                <w:b/>
                <w:bCs/>
                <w:kern w:val="0"/>
                <w:sz w:val="24"/>
                <w:szCs w:val="24"/>
                <w:lang w:val="en-US" w:eastAsia="zh-CN"/>
              </w:rPr>
              <w:t>（2）废水：</w:t>
            </w:r>
            <w:r>
              <w:rPr>
                <w:rFonts w:hint="eastAsia" w:ascii="宋体" w:hAnsi="宋体"/>
                <w:kern w:val="0"/>
                <w:sz w:val="24"/>
                <w:szCs w:val="24"/>
                <w:lang w:val="en-US" w:eastAsia="zh-CN"/>
              </w:rPr>
              <w:t>项目原料搅拌用水随瓦坯进入烧结窑烧结时全部蒸发，炉窑降温用水全部蒸发，无废水产生。脱硫塔损耗水由新鲜水补充，脱硫废水进入容积为80m</w:t>
            </w:r>
            <w:r>
              <w:rPr>
                <w:rFonts w:hint="eastAsia" w:ascii="宋体" w:hAnsi="宋体"/>
                <w:kern w:val="0"/>
                <w:sz w:val="24"/>
                <w:szCs w:val="24"/>
                <w:vertAlign w:val="superscript"/>
                <w:lang w:val="en-US" w:eastAsia="zh-CN"/>
              </w:rPr>
              <w:t>3</w:t>
            </w:r>
            <w:r>
              <w:rPr>
                <w:rFonts w:hint="eastAsia" w:ascii="宋体" w:hAnsi="宋体"/>
                <w:kern w:val="0"/>
                <w:sz w:val="24"/>
                <w:szCs w:val="24"/>
                <w:lang w:val="en-US" w:eastAsia="zh-CN"/>
              </w:rPr>
              <w:t>的循环沉淀池，经中和絮凝沉淀后全部回用于项目搅拌用水，不外排。生活污水经化粪池处理后定期清掏用作农肥。初期雨水经初期雨水收集池（容积为20m</w:t>
            </w:r>
            <w:r>
              <w:rPr>
                <w:rFonts w:hint="eastAsia" w:ascii="宋体" w:hAnsi="宋体"/>
                <w:kern w:val="0"/>
                <w:sz w:val="24"/>
                <w:szCs w:val="24"/>
                <w:vertAlign w:val="superscript"/>
                <w:lang w:val="en-US" w:eastAsia="zh-CN"/>
              </w:rPr>
              <w:t>3</w:t>
            </w:r>
            <w:r>
              <w:rPr>
                <w:rFonts w:hint="eastAsia" w:ascii="宋体" w:hAnsi="宋体"/>
                <w:kern w:val="0"/>
                <w:sz w:val="24"/>
                <w:szCs w:val="24"/>
                <w:lang w:val="en-US" w:eastAsia="zh-CN"/>
              </w:rPr>
              <w:t>）沉淀后全部回用于项目洒水降尘用水及搅拌用水。</w:t>
            </w:r>
          </w:p>
          <w:p w14:paraId="61F5978A">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kern w:val="0"/>
                <w:sz w:val="24"/>
                <w:szCs w:val="24"/>
                <w:lang w:val="en-US" w:eastAsia="zh-CN"/>
              </w:rPr>
            </w:pPr>
            <w:r>
              <w:rPr>
                <w:rFonts w:hint="eastAsia" w:ascii="宋体" w:hAnsi="宋体"/>
                <w:b/>
                <w:bCs/>
                <w:kern w:val="0"/>
                <w:sz w:val="24"/>
                <w:szCs w:val="24"/>
                <w:lang w:val="en-US" w:eastAsia="zh-CN"/>
              </w:rPr>
              <w:t>（3）噪声：</w:t>
            </w:r>
            <w:r>
              <w:rPr>
                <w:rFonts w:hint="eastAsia" w:ascii="宋体" w:hAnsi="宋体"/>
                <w:kern w:val="0"/>
                <w:sz w:val="24"/>
                <w:szCs w:val="24"/>
                <w:lang w:val="en-US" w:eastAsia="zh-CN"/>
              </w:rPr>
              <w:t>营运期确保生产设备正常运转，采取减振、建筑物隔声措施。</w:t>
            </w:r>
          </w:p>
          <w:p w14:paraId="092FF4DA">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pPr>
            <w:r>
              <w:rPr>
                <w:rFonts w:hint="eastAsia" w:ascii="宋体" w:hAnsi="宋体"/>
                <w:b/>
                <w:bCs/>
                <w:kern w:val="0"/>
                <w:sz w:val="24"/>
                <w:szCs w:val="24"/>
                <w:lang w:val="en-US" w:eastAsia="zh-CN"/>
              </w:rPr>
              <w:t>（4）固体废物：</w:t>
            </w:r>
            <w:r>
              <w:rPr>
                <w:rFonts w:hint="eastAsia" w:ascii="宋体" w:hAnsi="宋体"/>
                <w:kern w:val="0"/>
                <w:sz w:val="24"/>
                <w:szCs w:val="24"/>
                <w:lang w:val="en-US" w:eastAsia="zh-CN"/>
              </w:rPr>
              <w:t>边角料及不合格品返回破碎工段作为原料使用。炉窑使用生物质燃料产生少量炉渣，返回原料制备工段作为原料使用；原料制备工段袋式收尘器收尘灰加入搅拌机作原料使用，除尘器布袋由厂家统一更换，更换产生的废布袋由厂家直接带走处理；烟气处理产生的脱硫石膏返回原料制备工段作为原料使用。项目生产设备每半年检修1次，产生的废机油、废润滑油设置1间危险废物暂存间，产生的废机油集中收集后暂存于危险废物暂存间委托有资质的单位清运处置。危险废物暂存间应按《危险废物贮存污染控制标准》（GB18597-2023）进行建设。</w:t>
            </w:r>
          </w:p>
        </w:tc>
      </w:tr>
      <w:tr w14:paraId="43195B0C">
        <w:tblPrEx>
          <w:tblCellMar>
            <w:top w:w="0" w:type="dxa"/>
            <w:left w:w="108" w:type="dxa"/>
            <w:bottom w:w="0" w:type="dxa"/>
            <w:right w:w="108" w:type="dxa"/>
          </w:tblCellMar>
        </w:tblPrEx>
        <w:trPr>
          <w:trHeight w:val="386"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3A841678">
            <w:pPr>
              <w:widowControl/>
              <w:spacing w:line="280" w:lineRule="exact"/>
              <w:jc w:val="center"/>
              <w:rPr>
                <w:rFonts w:ascii="宋体"/>
                <w:kern w:val="0"/>
                <w:sz w:val="24"/>
                <w:szCs w:val="24"/>
              </w:rPr>
            </w:pPr>
            <w:r>
              <w:rPr>
                <w:rFonts w:hint="eastAsia" w:ascii="宋体" w:hAnsi="宋体"/>
                <w:kern w:val="0"/>
                <w:sz w:val="24"/>
                <w:szCs w:val="24"/>
              </w:rPr>
              <w:t>公众参与情况</w:t>
            </w:r>
          </w:p>
        </w:tc>
      </w:tr>
      <w:tr w14:paraId="7EC68B0D">
        <w:tblPrEx>
          <w:tblCellMar>
            <w:top w:w="0" w:type="dxa"/>
            <w:left w:w="108" w:type="dxa"/>
            <w:bottom w:w="0" w:type="dxa"/>
            <w:right w:w="108" w:type="dxa"/>
          </w:tblCellMar>
        </w:tblPrEx>
        <w:trPr>
          <w:trHeight w:val="769"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17053AA4">
            <w:pPr>
              <w:widowControl/>
              <w:spacing w:line="280" w:lineRule="exact"/>
              <w:ind w:firstLine="240" w:firstLineChars="100"/>
              <w:jc w:val="left"/>
            </w:pPr>
            <w:r>
              <w:rPr>
                <w:rFonts w:hint="eastAsia" w:ascii="Times New Roman" w:hAnsi="Times New Roman"/>
                <w:sz w:val="24"/>
                <w:szCs w:val="24"/>
                <w:lang w:val="en-US" w:eastAsia="zh-CN"/>
              </w:rPr>
              <w:t>无。</w:t>
            </w:r>
          </w:p>
        </w:tc>
      </w:tr>
      <w:tr w14:paraId="726EDC15">
        <w:tblPrEx>
          <w:tblCellMar>
            <w:top w:w="0" w:type="dxa"/>
            <w:left w:w="108" w:type="dxa"/>
            <w:bottom w:w="0" w:type="dxa"/>
            <w:right w:w="108" w:type="dxa"/>
          </w:tblCellMar>
        </w:tblPrEx>
        <w:trPr>
          <w:trHeight w:val="429" w:hRule="atLeast"/>
        </w:trPr>
        <w:tc>
          <w:tcPr>
            <w:tcW w:w="4002" w:type="dxa"/>
            <w:gridSpan w:val="2"/>
            <w:tcBorders>
              <w:top w:val="single" w:color="auto" w:sz="4" w:space="0"/>
              <w:left w:val="single" w:color="auto" w:sz="4" w:space="0"/>
              <w:bottom w:val="single" w:color="auto" w:sz="4" w:space="0"/>
              <w:right w:val="single" w:color="auto" w:sz="4" w:space="0"/>
            </w:tcBorders>
            <w:shd w:val="clear" w:color="auto" w:fill="C0C0C0"/>
            <w:vAlign w:val="center"/>
          </w:tcPr>
          <w:p w14:paraId="672EBE65">
            <w:pPr>
              <w:widowControl/>
              <w:spacing w:line="280" w:lineRule="exact"/>
              <w:jc w:val="left"/>
              <w:rPr>
                <w:rFonts w:ascii="宋体"/>
                <w:kern w:val="0"/>
                <w:sz w:val="24"/>
                <w:szCs w:val="24"/>
              </w:rPr>
            </w:pPr>
            <w:r>
              <w:rPr>
                <w:rFonts w:hint="eastAsia" w:ascii="宋体" w:hAnsi="宋体"/>
                <w:kern w:val="0"/>
                <w:sz w:val="24"/>
                <w:szCs w:val="24"/>
              </w:rPr>
              <w:t>建设单位或地方政府所作出的相关承诺文件</w:t>
            </w:r>
          </w:p>
        </w:tc>
        <w:tc>
          <w:tcPr>
            <w:tcW w:w="5812" w:type="dxa"/>
            <w:gridSpan w:val="4"/>
            <w:tcBorders>
              <w:top w:val="single" w:color="auto" w:sz="4" w:space="0"/>
              <w:left w:val="nil"/>
              <w:bottom w:val="single" w:color="auto" w:sz="4" w:space="0"/>
              <w:right w:val="single" w:color="auto" w:sz="4" w:space="0"/>
            </w:tcBorders>
            <w:vAlign w:val="center"/>
          </w:tcPr>
          <w:p w14:paraId="68204ABE">
            <w:pPr>
              <w:pStyle w:val="7"/>
              <w:rPr>
                <w:rFonts w:hint="eastAsia" w:eastAsia="方正仿宋_GBK"/>
                <w:lang w:eastAsia="zh-CN"/>
              </w:rPr>
            </w:pPr>
            <w:r>
              <w:rPr>
                <w:rFonts w:hint="eastAsia" w:ascii="宋体" w:hAnsi="宋体" w:cs="Times New Roman"/>
                <w:snapToGrid/>
                <w:kern w:val="0"/>
                <w:sz w:val="24"/>
                <w:szCs w:val="24"/>
                <w:lang w:val="en-US" w:eastAsia="zh-CN" w:bidi="ar-SA"/>
              </w:rPr>
              <w:t>同意</w:t>
            </w:r>
            <w:r>
              <w:rPr>
                <w:rFonts w:hint="eastAsia" w:ascii="宋体" w:hAnsi="宋体" w:eastAsia="方正仿宋_GBK" w:cs="Times New Roman"/>
                <w:snapToGrid/>
                <w:kern w:val="0"/>
                <w:sz w:val="24"/>
                <w:szCs w:val="24"/>
                <w:lang w:val="en-US" w:eastAsia="zh-CN" w:bidi="ar-SA"/>
              </w:rPr>
              <w:t>信息公开的承诺。</w:t>
            </w:r>
          </w:p>
        </w:tc>
      </w:tr>
      <w:tr w14:paraId="208307BB">
        <w:tblPrEx>
          <w:tblCellMar>
            <w:top w:w="0" w:type="dxa"/>
            <w:left w:w="108" w:type="dxa"/>
            <w:bottom w:w="0" w:type="dxa"/>
            <w:right w:w="108" w:type="dxa"/>
          </w:tblCellMar>
        </w:tblPrEx>
        <w:trPr>
          <w:trHeight w:val="570" w:hRule="atLeast"/>
        </w:trPr>
        <w:tc>
          <w:tcPr>
            <w:tcW w:w="9814" w:type="dxa"/>
            <w:gridSpan w:val="6"/>
            <w:tcBorders>
              <w:top w:val="single" w:color="auto" w:sz="4" w:space="0"/>
              <w:left w:val="nil"/>
              <w:bottom w:val="nil"/>
              <w:right w:val="nil"/>
            </w:tcBorders>
            <w:vAlign w:val="center"/>
          </w:tcPr>
          <w:p w14:paraId="381E1B74">
            <w:pPr>
              <w:widowControl/>
              <w:spacing w:line="280" w:lineRule="exact"/>
              <w:jc w:val="left"/>
              <w:rPr>
                <w:rFonts w:ascii="宋体"/>
                <w:kern w:val="0"/>
                <w:sz w:val="24"/>
                <w:szCs w:val="24"/>
              </w:rPr>
            </w:pPr>
            <w:r>
              <w:rPr>
                <w:rFonts w:hint="eastAsia" w:ascii="宋体" w:hAnsi="宋体"/>
                <w:kern w:val="0"/>
                <w:sz w:val="24"/>
                <w:szCs w:val="24"/>
              </w:rPr>
              <w:t>注:项目概况、项目主要环境影响、项目预防及减轻不良环境影响的对策和措施、公众参与情况、建设单位或地方政府所作出的相关承诺文件部分由建设单位填写。公众反馈意见联系方式部分由行政审批机关填写。</w:t>
            </w:r>
          </w:p>
        </w:tc>
      </w:tr>
    </w:tbl>
    <w:p w14:paraId="35EC1758">
      <w:pPr>
        <w:rPr>
          <w:color w:val="FF0000"/>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392E2078"/>
    <w:rsid w:val="0007389C"/>
    <w:rsid w:val="00150BE9"/>
    <w:rsid w:val="00156B39"/>
    <w:rsid w:val="001A0782"/>
    <w:rsid w:val="001A6B62"/>
    <w:rsid w:val="001B3A2B"/>
    <w:rsid w:val="001F034E"/>
    <w:rsid w:val="001F679B"/>
    <w:rsid w:val="00294DBA"/>
    <w:rsid w:val="002B6C2D"/>
    <w:rsid w:val="002C62B4"/>
    <w:rsid w:val="00322D57"/>
    <w:rsid w:val="00327286"/>
    <w:rsid w:val="00330F90"/>
    <w:rsid w:val="00335349"/>
    <w:rsid w:val="003C1AD7"/>
    <w:rsid w:val="003C4CF8"/>
    <w:rsid w:val="003C6F96"/>
    <w:rsid w:val="003E6693"/>
    <w:rsid w:val="00473C47"/>
    <w:rsid w:val="00485878"/>
    <w:rsid w:val="004A6061"/>
    <w:rsid w:val="004D701F"/>
    <w:rsid w:val="004E159E"/>
    <w:rsid w:val="005010C4"/>
    <w:rsid w:val="005107E1"/>
    <w:rsid w:val="005370B8"/>
    <w:rsid w:val="00542698"/>
    <w:rsid w:val="005A0DCF"/>
    <w:rsid w:val="005B283A"/>
    <w:rsid w:val="0060088D"/>
    <w:rsid w:val="0061485D"/>
    <w:rsid w:val="0062265A"/>
    <w:rsid w:val="006C6412"/>
    <w:rsid w:val="006D5270"/>
    <w:rsid w:val="006E4B40"/>
    <w:rsid w:val="006E5771"/>
    <w:rsid w:val="00702618"/>
    <w:rsid w:val="00705F2D"/>
    <w:rsid w:val="00773626"/>
    <w:rsid w:val="007A0516"/>
    <w:rsid w:val="007C11E2"/>
    <w:rsid w:val="0081762D"/>
    <w:rsid w:val="00833B43"/>
    <w:rsid w:val="00841044"/>
    <w:rsid w:val="00863CCD"/>
    <w:rsid w:val="00871427"/>
    <w:rsid w:val="00872120"/>
    <w:rsid w:val="00873527"/>
    <w:rsid w:val="008A3643"/>
    <w:rsid w:val="008A7183"/>
    <w:rsid w:val="008C224E"/>
    <w:rsid w:val="008C796D"/>
    <w:rsid w:val="008C7996"/>
    <w:rsid w:val="008C7D47"/>
    <w:rsid w:val="008D6010"/>
    <w:rsid w:val="00906E2D"/>
    <w:rsid w:val="009B5EE1"/>
    <w:rsid w:val="009D1793"/>
    <w:rsid w:val="009D3485"/>
    <w:rsid w:val="009D5CDC"/>
    <w:rsid w:val="00A560A2"/>
    <w:rsid w:val="00A7390A"/>
    <w:rsid w:val="00A752B3"/>
    <w:rsid w:val="00A84CD0"/>
    <w:rsid w:val="00AA08DA"/>
    <w:rsid w:val="00B22E4F"/>
    <w:rsid w:val="00B4670A"/>
    <w:rsid w:val="00B547C9"/>
    <w:rsid w:val="00B55F2A"/>
    <w:rsid w:val="00BA1007"/>
    <w:rsid w:val="00BA59BE"/>
    <w:rsid w:val="00BA7231"/>
    <w:rsid w:val="00BC32D8"/>
    <w:rsid w:val="00BD0857"/>
    <w:rsid w:val="00BD1407"/>
    <w:rsid w:val="00C36231"/>
    <w:rsid w:val="00C71183"/>
    <w:rsid w:val="00C96052"/>
    <w:rsid w:val="00CC1BB9"/>
    <w:rsid w:val="00CD2BAA"/>
    <w:rsid w:val="00CD608E"/>
    <w:rsid w:val="00D233CF"/>
    <w:rsid w:val="00DA65D2"/>
    <w:rsid w:val="00DC4E67"/>
    <w:rsid w:val="00DC7CEE"/>
    <w:rsid w:val="00E46C95"/>
    <w:rsid w:val="00E90C9E"/>
    <w:rsid w:val="00ED0EFF"/>
    <w:rsid w:val="00EE1F18"/>
    <w:rsid w:val="00EE5CE6"/>
    <w:rsid w:val="00F530BA"/>
    <w:rsid w:val="00F86E32"/>
    <w:rsid w:val="00FD24C7"/>
    <w:rsid w:val="00FD5740"/>
    <w:rsid w:val="00FF23D3"/>
    <w:rsid w:val="013830D2"/>
    <w:rsid w:val="01437794"/>
    <w:rsid w:val="03344A05"/>
    <w:rsid w:val="034F6CCE"/>
    <w:rsid w:val="05275651"/>
    <w:rsid w:val="05B86C53"/>
    <w:rsid w:val="081E3E37"/>
    <w:rsid w:val="13B34670"/>
    <w:rsid w:val="1A3C46BC"/>
    <w:rsid w:val="1B020E5E"/>
    <w:rsid w:val="1B1C64DA"/>
    <w:rsid w:val="1C8733A0"/>
    <w:rsid w:val="201D4921"/>
    <w:rsid w:val="20547DB6"/>
    <w:rsid w:val="21602F6F"/>
    <w:rsid w:val="22862C6A"/>
    <w:rsid w:val="245D4345"/>
    <w:rsid w:val="24694EB2"/>
    <w:rsid w:val="25502092"/>
    <w:rsid w:val="2B002CE4"/>
    <w:rsid w:val="2CA10B4F"/>
    <w:rsid w:val="2CAD1D69"/>
    <w:rsid w:val="2EE11733"/>
    <w:rsid w:val="2F923676"/>
    <w:rsid w:val="2FC57EA9"/>
    <w:rsid w:val="301D5EC7"/>
    <w:rsid w:val="33682ACB"/>
    <w:rsid w:val="34185686"/>
    <w:rsid w:val="35313D1A"/>
    <w:rsid w:val="38002C65"/>
    <w:rsid w:val="382B190D"/>
    <w:rsid w:val="392E2078"/>
    <w:rsid w:val="39984AC7"/>
    <w:rsid w:val="3B020811"/>
    <w:rsid w:val="3B2E26FF"/>
    <w:rsid w:val="3C272C37"/>
    <w:rsid w:val="3EDD372A"/>
    <w:rsid w:val="4155672C"/>
    <w:rsid w:val="434C3C3E"/>
    <w:rsid w:val="43BD5ED1"/>
    <w:rsid w:val="449625B7"/>
    <w:rsid w:val="45BD33BC"/>
    <w:rsid w:val="47F24AD5"/>
    <w:rsid w:val="4866291F"/>
    <w:rsid w:val="4B402719"/>
    <w:rsid w:val="4B9C7ABA"/>
    <w:rsid w:val="4C985FBF"/>
    <w:rsid w:val="4D2F5EED"/>
    <w:rsid w:val="4DC60339"/>
    <w:rsid w:val="4EC40453"/>
    <w:rsid w:val="4F7B2ACC"/>
    <w:rsid w:val="50153BC8"/>
    <w:rsid w:val="51E81108"/>
    <w:rsid w:val="52385E17"/>
    <w:rsid w:val="54752240"/>
    <w:rsid w:val="555D267C"/>
    <w:rsid w:val="5653575C"/>
    <w:rsid w:val="577942AD"/>
    <w:rsid w:val="58FF0EBE"/>
    <w:rsid w:val="5998453C"/>
    <w:rsid w:val="5A834766"/>
    <w:rsid w:val="5BED57C7"/>
    <w:rsid w:val="5D2E69AB"/>
    <w:rsid w:val="5DCC4393"/>
    <w:rsid w:val="5F257633"/>
    <w:rsid w:val="60EA0DC0"/>
    <w:rsid w:val="614E3CA3"/>
    <w:rsid w:val="63F36BB2"/>
    <w:rsid w:val="64CE0A00"/>
    <w:rsid w:val="66B00A67"/>
    <w:rsid w:val="6AB93F9D"/>
    <w:rsid w:val="6C044E5F"/>
    <w:rsid w:val="6C8A7DA4"/>
    <w:rsid w:val="714078D6"/>
    <w:rsid w:val="715F713D"/>
    <w:rsid w:val="747E39E9"/>
    <w:rsid w:val="74857523"/>
    <w:rsid w:val="77533B6A"/>
    <w:rsid w:val="78CD4DAD"/>
    <w:rsid w:val="79377A43"/>
    <w:rsid w:val="79CC62C5"/>
    <w:rsid w:val="79EF4D86"/>
    <w:rsid w:val="7E5F2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方正仿宋_GBK" w:cs="Times New Roman"/>
      <w:kern w:val="32"/>
      <w:sz w:val="32"/>
      <w:szCs w:val="32"/>
      <w:lang w:val="en-US" w:eastAsia="zh-CN" w:bidi="ar-SA"/>
    </w:rPr>
  </w:style>
  <w:style w:type="paragraph" w:styleId="4">
    <w:name w:val="heading 2"/>
    <w:basedOn w:val="1"/>
    <w:next w:val="1"/>
    <w:link w:val="24"/>
    <w:qFormat/>
    <w:uiPriority w:val="0"/>
    <w:pPr>
      <w:tabs>
        <w:tab w:val="left" w:pos="5882"/>
      </w:tabs>
      <w:adjustRightInd w:val="0"/>
      <w:snapToGrid w:val="0"/>
      <w:spacing w:beforeLines="50"/>
      <w:jc w:val="left"/>
      <w:outlineLvl w:val="1"/>
    </w:pPr>
    <w:rPr>
      <w:rFonts w:ascii="Times New Roman" w:hAnsi="Times New Roman" w:eastAsia="宋体"/>
      <w:b/>
      <w:kern w:val="0"/>
      <w:sz w:val="24"/>
      <w:szCs w:val="24"/>
    </w:rPr>
  </w:style>
  <w:style w:type="paragraph" w:styleId="5">
    <w:name w:val="heading 3"/>
    <w:basedOn w:val="1"/>
    <w:next w:val="1"/>
    <w:link w:val="19"/>
    <w:qFormat/>
    <w:uiPriority w:val="0"/>
    <w:pPr>
      <w:topLinePunct/>
      <w:spacing w:before="120" w:line="480" w:lineRule="exact"/>
      <w:outlineLvl w:val="2"/>
    </w:pPr>
    <w:rPr>
      <w:rFonts w:ascii="Times New Roman" w:hAnsi="Times New Roman" w:eastAsia="楷体_GB2312"/>
      <w:b/>
      <w:bCs/>
      <w:color w:val="000000"/>
      <w:kern w:val="2"/>
      <w:sz w:val="28"/>
      <w:szCs w:val="28"/>
    </w:rPr>
  </w:style>
  <w:style w:type="paragraph" w:styleId="6">
    <w:name w:val="heading 4"/>
    <w:basedOn w:val="1"/>
    <w:next w:val="1"/>
    <w:link w:val="22"/>
    <w:qFormat/>
    <w:uiPriority w:val="0"/>
    <w:pPr>
      <w:keepNext/>
      <w:keepLines/>
      <w:spacing w:before="280" w:after="290" w:line="376" w:lineRule="auto"/>
      <w:outlineLvl w:val="3"/>
    </w:pPr>
    <w:rPr>
      <w:rFonts w:ascii="Arial" w:hAnsi="Arial" w:eastAsia="黑体"/>
      <w:b/>
      <w:bCs/>
      <w:kern w:val="2"/>
      <w:sz w:val="28"/>
      <w:szCs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3"/>
    <w:next w:val="3"/>
    <w:qFormat/>
    <w:uiPriority w:val="1"/>
    <w:rPr>
      <w:sz w:val="24"/>
      <w:szCs w:val="24"/>
    </w:rPr>
  </w:style>
  <w:style w:type="paragraph" w:styleId="3">
    <w:name w:val="Title"/>
    <w:basedOn w:val="1"/>
    <w:qFormat/>
    <w:uiPriority w:val="0"/>
    <w:pPr>
      <w:adjustRightInd w:val="0"/>
      <w:snapToGrid w:val="0"/>
      <w:spacing w:before="240" w:after="60" w:line="360" w:lineRule="auto"/>
      <w:ind w:firstLine="200" w:firstLineChars="200"/>
      <w:jc w:val="center"/>
      <w:outlineLvl w:val="0"/>
    </w:pPr>
    <w:rPr>
      <w:rFonts w:ascii="Cambria" w:hAnsi="Cambria"/>
      <w:b/>
      <w:bCs/>
    </w:rPr>
  </w:style>
  <w:style w:type="paragraph" w:styleId="7">
    <w:name w:val="Plain Text"/>
    <w:basedOn w:val="1"/>
    <w:qFormat/>
    <w:uiPriority w:val="0"/>
    <w:rPr>
      <w:rFonts w:ascii="宋体"/>
      <w:snapToGrid w:val="0"/>
      <w:kern w:val="0"/>
      <w:szCs w:val="20"/>
    </w:rPr>
  </w:style>
  <w:style w:type="paragraph" w:styleId="8">
    <w:name w:val="footer"/>
    <w:basedOn w:val="1"/>
    <w:link w:val="23"/>
    <w:qFormat/>
    <w:uiPriority w:val="0"/>
    <w:pPr>
      <w:tabs>
        <w:tab w:val="center" w:pos="4153"/>
        <w:tab w:val="right" w:pos="8306"/>
      </w:tabs>
      <w:snapToGrid w:val="0"/>
      <w:jc w:val="left"/>
    </w:pPr>
    <w:rPr>
      <w:sz w:val="18"/>
      <w:szCs w:val="18"/>
    </w:rPr>
  </w:style>
  <w:style w:type="paragraph" w:styleId="9">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jc w:val="left"/>
    </w:pPr>
    <w:rPr>
      <w:rFonts w:eastAsia="宋体"/>
      <w:kern w:val="0"/>
      <w:sz w:val="24"/>
    </w:rPr>
  </w:style>
  <w:style w:type="character" w:styleId="13">
    <w:name w:val="Strong"/>
    <w:basedOn w:val="12"/>
    <w:qFormat/>
    <w:uiPriority w:val="0"/>
    <w:rPr>
      <w:b/>
    </w:rPr>
  </w:style>
  <w:style w:type="character" w:styleId="14">
    <w:name w:val="annotation reference"/>
    <w:basedOn w:val="12"/>
    <w:qFormat/>
    <w:uiPriority w:val="0"/>
    <w:rPr>
      <w:sz w:val="21"/>
      <w:szCs w:val="21"/>
    </w:rPr>
  </w:style>
  <w:style w:type="paragraph" w:customStyle="1" w:styleId="15">
    <w:name w:val="Normal Indent1"/>
    <w:basedOn w:val="1"/>
    <w:next w:val="1"/>
    <w:qFormat/>
    <w:uiPriority w:val="99"/>
    <w:pPr>
      <w:ind w:firstLine="420"/>
    </w:pPr>
  </w:style>
  <w:style w:type="paragraph" w:customStyle="1" w:styleId="16">
    <w:name w:val="Default"/>
    <w:basedOn w:val="17"/>
    <w:qFormat/>
    <w:uiPriority w:val="99"/>
    <w:pPr>
      <w:widowControl w:val="0"/>
      <w:autoSpaceDE w:val="0"/>
      <w:autoSpaceDN w:val="0"/>
      <w:adjustRightInd w:val="0"/>
    </w:pPr>
    <w:rPr>
      <w:rFonts w:ascii="宋体" w:cs="宋体"/>
      <w:color w:val="000000"/>
      <w:sz w:val="24"/>
      <w:szCs w:val="24"/>
      <w:lang w:val="en-US" w:eastAsia="zh-CN" w:bidi="ar-SA"/>
    </w:rPr>
  </w:style>
  <w:style w:type="paragraph" w:customStyle="1" w:styleId="17">
    <w:name w:val="纯文本1"/>
    <w:basedOn w:val="1"/>
    <w:qFormat/>
    <w:uiPriority w:val="0"/>
    <w:pPr>
      <w:suppressAutoHyphens/>
    </w:pPr>
    <w:rPr>
      <w:rFonts w:ascii="宋体" w:hAnsi="宋体" w:eastAsia="宋体" w:cs="Times New Roman"/>
      <w:kern w:val="1"/>
      <w:sz w:val="28"/>
      <w:lang w:eastAsia="ar-SA"/>
    </w:rPr>
  </w:style>
  <w:style w:type="paragraph" w:customStyle="1" w:styleId="18">
    <w:name w:val="正本文字"/>
    <w:basedOn w:val="1"/>
    <w:autoRedefine/>
    <w:qFormat/>
    <w:uiPriority w:val="0"/>
    <w:pPr>
      <w:adjustRightInd w:val="0"/>
      <w:snapToGrid w:val="0"/>
      <w:spacing w:line="360" w:lineRule="auto"/>
      <w:ind w:firstLine="480" w:firstLineChars="200"/>
      <w:jc w:val="left"/>
    </w:pPr>
    <w:rPr>
      <w:rFonts w:cs="宋体"/>
      <w:kern w:val="18"/>
      <w:sz w:val="24"/>
    </w:rPr>
  </w:style>
  <w:style w:type="character" w:customStyle="1" w:styleId="19">
    <w:name w:val="标题 3 字符"/>
    <w:link w:val="5"/>
    <w:qFormat/>
    <w:uiPriority w:val="0"/>
    <w:rPr>
      <w:rFonts w:eastAsia="楷体_GB2312"/>
      <w:b/>
      <w:bCs/>
      <w:color w:val="000000"/>
      <w:kern w:val="2"/>
      <w:sz w:val="28"/>
      <w:szCs w:val="28"/>
    </w:rPr>
  </w:style>
  <w:style w:type="character" w:customStyle="1" w:styleId="20">
    <w:name w:val="标题 3 Char"/>
    <w:semiHidden/>
    <w:qFormat/>
    <w:uiPriority w:val="0"/>
    <w:rPr>
      <w:rFonts w:ascii="Calibri" w:hAnsi="Calibri" w:eastAsia="方正仿宋_GBK"/>
      <w:b/>
      <w:bCs/>
      <w:kern w:val="32"/>
      <w:sz w:val="32"/>
      <w:szCs w:val="32"/>
    </w:rPr>
  </w:style>
  <w:style w:type="character" w:customStyle="1" w:styleId="21">
    <w:name w:val="页眉 字符"/>
    <w:link w:val="9"/>
    <w:qFormat/>
    <w:uiPriority w:val="0"/>
    <w:rPr>
      <w:rFonts w:ascii="Calibri" w:hAnsi="Calibri" w:eastAsia="方正仿宋_GBK"/>
      <w:kern w:val="32"/>
      <w:sz w:val="18"/>
      <w:szCs w:val="18"/>
    </w:rPr>
  </w:style>
  <w:style w:type="character" w:customStyle="1" w:styleId="22">
    <w:name w:val="标题 4 字符"/>
    <w:link w:val="6"/>
    <w:qFormat/>
    <w:uiPriority w:val="0"/>
    <w:rPr>
      <w:rFonts w:ascii="Arial" w:hAnsi="Arial" w:eastAsia="黑体"/>
      <w:b/>
      <w:bCs/>
      <w:kern w:val="2"/>
      <w:sz w:val="28"/>
      <w:szCs w:val="28"/>
    </w:rPr>
  </w:style>
  <w:style w:type="character" w:customStyle="1" w:styleId="23">
    <w:name w:val="页脚 字符"/>
    <w:link w:val="8"/>
    <w:qFormat/>
    <w:uiPriority w:val="0"/>
    <w:rPr>
      <w:rFonts w:ascii="Calibri" w:hAnsi="Calibri" w:eastAsia="方正仿宋_GBK"/>
      <w:kern w:val="32"/>
      <w:sz w:val="18"/>
      <w:szCs w:val="18"/>
    </w:rPr>
  </w:style>
  <w:style w:type="character" w:customStyle="1" w:styleId="24">
    <w:name w:val="标题 2 字符"/>
    <w:link w:val="4"/>
    <w:qFormat/>
    <w:uiPriority w:val="0"/>
    <w:rPr>
      <w:rFonts w:eastAsia="宋体"/>
      <w:b/>
      <w:sz w:val="24"/>
      <w:szCs w:val="24"/>
    </w:rPr>
  </w:style>
  <w:style w:type="character" w:customStyle="1" w:styleId="25">
    <w:name w:val="标题 4 Char"/>
    <w:semiHidden/>
    <w:qFormat/>
    <w:uiPriority w:val="0"/>
    <w:rPr>
      <w:rFonts w:ascii="Cambria" w:hAnsi="Cambria" w:eastAsia="宋体" w:cs="Times New Roman"/>
      <w:b/>
      <w:bCs/>
      <w:kern w:val="32"/>
      <w:sz w:val="28"/>
      <w:szCs w:val="28"/>
    </w:rPr>
  </w:style>
  <w:style w:type="character" w:customStyle="1" w:styleId="26">
    <w:name w:val="正文 旺源文字段落 Char"/>
    <w:link w:val="27"/>
    <w:qFormat/>
    <w:uiPriority w:val="0"/>
    <w:rPr>
      <w:rFonts w:ascii="宋体" w:hAnsi="宋体" w:cs="宋体"/>
      <w:kern w:val="24"/>
      <w:sz w:val="24"/>
      <w:szCs w:val="24"/>
    </w:rPr>
  </w:style>
  <w:style w:type="paragraph" w:customStyle="1" w:styleId="27">
    <w:name w:val="正文 旺源文字段落"/>
    <w:basedOn w:val="1"/>
    <w:link w:val="26"/>
    <w:qFormat/>
    <w:uiPriority w:val="0"/>
    <w:pPr>
      <w:spacing w:line="500" w:lineRule="exact"/>
      <w:ind w:firstLine="420"/>
    </w:pPr>
    <w:rPr>
      <w:rFonts w:ascii="宋体" w:hAnsi="宋体" w:eastAsia="宋体"/>
      <w:kern w:val="24"/>
      <w:sz w:val="24"/>
      <w:szCs w:val="24"/>
    </w:rPr>
  </w:style>
  <w:style w:type="paragraph" w:customStyle="1" w:styleId="28">
    <w:name w:val="LH样式"/>
    <w:basedOn w:val="1"/>
    <w:qFormat/>
    <w:uiPriority w:val="0"/>
    <w:pPr>
      <w:spacing w:line="480" w:lineRule="exact"/>
      <w:ind w:firstLine="520" w:firstLineChars="200"/>
    </w:pPr>
    <w:rPr>
      <w:rFonts w:ascii="Times New Roman" w:hAnsi="Times New Roman" w:eastAsia="宋体"/>
      <w:color w:val="00B0F0"/>
      <w:kern w:val="2"/>
      <w:sz w:val="26"/>
      <w:szCs w:val="26"/>
    </w:rPr>
  </w:style>
  <w:style w:type="paragraph" w:customStyle="1" w:styleId="29">
    <w:name w:val="正文2"/>
    <w:basedOn w:val="1"/>
    <w:qFormat/>
    <w:uiPriority w:val="0"/>
    <w:pPr>
      <w:spacing w:line="360" w:lineRule="auto"/>
      <w:ind w:firstLine="200" w:firstLineChars="200"/>
    </w:pPr>
    <w:rPr>
      <w:rFonts w:ascii="Times New Roman" w:hAnsi="Times New Roman" w:eastAsia="宋体"/>
      <w:sz w:val="24"/>
      <w:szCs w:val="20"/>
    </w:rPr>
  </w:style>
  <w:style w:type="paragraph" w:customStyle="1" w:styleId="30">
    <w:name w:val="Table Text"/>
    <w:basedOn w:val="1"/>
    <w:semiHidden/>
    <w:qFormat/>
    <w:uiPriority w:val="0"/>
    <w:rPr>
      <w:rFonts w:ascii="宋体" w:hAnsi="宋体" w:eastAsia="宋体" w:cs="宋体"/>
      <w:sz w:val="21"/>
      <w:szCs w:val="21"/>
      <w:lang w:val="en-US" w:eastAsia="en-US" w:bidi="ar-SA"/>
    </w:rPr>
  </w:style>
  <w:style w:type="paragraph" w:customStyle="1" w:styleId="31">
    <w:name w:val="H正文"/>
    <w:basedOn w:val="1"/>
    <w:qFormat/>
    <w:uiPriority w:val="0"/>
    <w:pPr>
      <w:adjustRightInd w:val="0"/>
      <w:spacing w:line="400" w:lineRule="exact"/>
      <w:ind w:firstLine="200" w:firstLineChars="200"/>
      <w:textAlignment w:val="baseline"/>
    </w:pPr>
    <w:rPr>
      <w:rFonts w:ascii="Times New Roman" w:hAnsi="Times New Roman" w:eastAsia="宋体"/>
      <w:snapToGrid w:val="0"/>
      <w:spacing w:val="6"/>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Pages>
  <Words>1638</Words>
  <Characters>1682</Characters>
  <Lines>97</Lines>
  <Paragraphs>85</Paragraphs>
  <TotalTime>3</TotalTime>
  <ScaleCrop>false</ScaleCrop>
  <LinksUpToDate>false</LinksUpToDate>
  <CharactersWithSpaces>1683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2019-10-22T01:39:00Z</dcterms:created>
  <dc:creator>lenovo</dc:creator>
  <cp:lastModifiedBy>郭丽娜</cp:lastModifiedBy>
  <cp:lastPrinted>2016-09-13T03:08:00Z</cp:lastPrinted>
  <dcterms:modified xsi:type="dcterms:W3CDTF">2026-09-15T07:52:49Z</dcterms:modified>
  <dc:title>曲靖市环境保护局</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12AA6BD48FC14385A0B3FD53024AFA11_13</vt:lpwstr>
  </property>
  <property fmtid="{D5CDD505-2E9C-101B-9397-08002B2CF9AE}" pid="4" name="KSOTemplateDocerSaveRecord">
    <vt:lpwstr>eyJoZGlkIjoiYTA0OTFiNTllN2E3YTc2MDc5ZTIwYTg0ZjFlZjFlMWQiLCJ1c2VySWQiOiIzNzMyMDUyODEifQ==</vt:lpwstr>
  </property>
</Properties>
</file>