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2"/>
        <w:tblW w:w="9447" w:type="dxa"/>
        <w:jc w:val="center"/>
        <w:tblLayout w:type="fixed"/>
        <w:tblCellMar>
          <w:top w:w="0" w:type="dxa"/>
          <w:left w:w="108" w:type="dxa"/>
          <w:bottom w:w="0" w:type="dxa"/>
          <w:right w:w="108" w:type="dxa"/>
        </w:tblCellMar>
      </w:tblPr>
      <w:tblGrid>
        <w:gridCol w:w="1012"/>
        <w:gridCol w:w="2246"/>
        <w:gridCol w:w="1276"/>
        <w:gridCol w:w="1559"/>
        <w:gridCol w:w="1276"/>
        <w:gridCol w:w="2078"/>
      </w:tblGrid>
      <w:tr w14:paraId="3A5FCCD2">
        <w:tblPrEx>
          <w:tblCellMar>
            <w:top w:w="0" w:type="dxa"/>
            <w:left w:w="108" w:type="dxa"/>
            <w:bottom w:w="0" w:type="dxa"/>
            <w:right w:w="108" w:type="dxa"/>
          </w:tblCellMar>
        </w:tblPrEx>
        <w:trPr>
          <w:trHeight w:val="571" w:hRule="atLeast"/>
          <w:jc w:val="center"/>
        </w:trPr>
        <w:tc>
          <w:tcPr>
            <w:tcW w:w="1012" w:type="dxa"/>
            <w:tcBorders>
              <w:top w:val="single" w:color="auto" w:sz="4" w:space="0"/>
              <w:left w:val="single" w:color="auto" w:sz="4" w:space="0"/>
              <w:bottom w:val="single" w:color="auto" w:sz="4" w:space="0"/>
              <w:right w:val="single" w:color="auto" w:sz="4" w:space="0"/>
            </w:tcBorders>
            <w:shd w:val="clear" w:color="auto" w:fill="C0C0C0"/>
            <w:vAlign w:val="center"/>
          </w:tcPr>
          <w:p w14:paraId="2CE4FB7E">
            <w:pPr>
              <w:widowControl/>
              <w:spacing w:line="280" w:lineRule="exact"/>
              <w:jc w:val="center"/>
              <w:rPr>
                <w:rFonts w:ascii="宋体"/>
                <w:kern w:val="0"/>
                <w:sz w:val="24"/>
                <w:szCs w:val="24"/>
              </w:rPr>
            </w:pPr>
            <w:bookmarkStart w:id="0" w:name="_GoBack"/>
            <w:bookmarkEnd w:id="0"/>
            <w:r>
              <w:rPr>
                <w:rFonts w:hint="eastAsia" w:ascii="宋体" w:hAnsi="宋体"/>
                <w:kern w:val="0"/>
                <w:sz w:val="24"/>
                <w:szCs w:val="24"/>
              </w:rPr>
              <w:t>项目名称</w:t>
            </w:r>
          </w:p>
        </w:tc>
        <w:tc>
          <w:tcPr>
            <w:tcW w:w="2246" w:type="dxa"/>
            <w:tcBorders>
              <w:top w:val="single" w:color="auto" w:sz="4" w:space="0"/>
              <w:left w:val="nil"/>
              <w:bottom w:val="single" w:color="auto" w:sz="4" w:space="0"/>
              <w:right w:val="single" w:color="auto" w:sz="4" w:space="0"/>
            </w:tcBorders>
            <w:shd w:val="clear" w:color="auto" w:fill="auto"/>
            <w:vAlign w:val="center"/>
          </w:tcPr>
          <w:p w14:paraId="5F2262D7">
            <w:pPr>
              <w:widowControl/>
              <w:spacing w:line="280" w:lineRule="exact"/>
              <w:jc w:val="center"/>
              <w:rPr>
                <w:rFonts w:ascii="Times New Roman" w:hAnsi="Times New Roman"/>
                <w:sz w:val="24"/>
                <w:szCs w:val="24"/>
              </w:rPr>
            </w:pPr>
            <w:r>
              <w:rPr>
                <w:rFonts w:hint="eastAsia" w:ascii="Times New Roman" w:hAnsi="Times New Roman" w:cs="Times New Roman"/>
                <w:sz w:val="24"/>
                <w:szCs w:val="24"/>
                <w:lang w:val="en-US" w:eastAsia="zh-CN"/>
              </w:rPr>
              <w:t>会泽滇北工贸有限公司升级改造年产150万吨水泥熟料项目外部供电工程</w:t>
            </w:r>
          </w:p>
        </w:tc>
        <w:tc>
          <w:tcPr>
            <w:tcW w:w="1276" w:type="dxa"/>
            <w:tcBorders>
              <w:top w:val="single" w:color="auto" w:sz="4" w:space="0"/>
              <w:left w:val="nil"/>
              <w:bottom w:val="single" w:color="auto" w:sz="4" w:space="0"/>
              <w:right w:val="single" w:color="auto" w:sz="4" w:space="0"/>
            </w:tcBorders>
            <w:shd w:val="clear" w:color="auto" w:fill="C0C0C0"/>
            <w:vAlign w:val="center"/>
          </w:tcPr>
          <w:p w14:paraId="15B6AFB3">
            <w:pPr>
              <w:widowControl/>
              <w:spacing w:line="280" w:lineRule="exact"/>
              <w:jc w:val="center"/>
              <w:rPr>
                <w:rFonts w:ascii="宋体"/>
                <w:kern w:val="0"/>
                <w:sz w:val="24"/>
                <w:szCs w:val="24"/>
              </w:rPr>
            </w:pPr>
            <w:r>
              <w:rPr>
                <w:rFonts w:hint="eastAsia" w:ascii="宋体" w:hAnsi="宋体"/>
                <w:kern w:val="0"/>
                <w:sz w:val="24"/>
                <w:szCs w:val="24"/>
              </w:rPr>
              <w:t>建设地点</w:t>
            </w:r>
          </w:p>
        </w:tc>
        <w:tc>
          <w:tcPr>
            <w:tcW w:w="1559" w:type="dxa"/>
            <w:tcBorders>
              <w:top w:val="single" w:color="auto" w:sz="4" w:space="0"/>
              <w:left w:val="nil"/>
              <w:bottom w:val="single" w:color="auto" w:sz="4" w:space="0"/>
              <w:right w:val="single" w:color="auto" w:sz="4" w:space="0"/>
            </w:tcBorders>
            <w:shd w:val="clear" w:color="auto" w:fill="auto"/>
            <w:vAlign w:val="center"/>
          </w:tcPr>
          <w:p w14:paraId="79336583">
            <w:pPr>
              <w:widowControl/>
              <w:spacing w:line="280" w:lineRule="exact"/>
              <w:jc w:val="center"/>
              <w:rPr>
                <w:rFonts w:hint="eastAsia" w:ascii="Times New Roman" w:hAnsi="Times New Roman" w:eastAsia="方正仿宋_GBK"/>
                <w:sz w:val="24"/>
                <w:szCs w:val="24"/>
                <w:lang w:val="en-US" w:eastAsia="zh-CN"/>
              </w:rPr>
            </w:pPr>
            <w:r>
              <w:rPr>
                <w:rFonts w:hint="eastAsia" w:ascii="Times New Roman" w:hAnsi="Times New Roman"/>
                <w:color w:val="auto"/>
                <w:sz w:val="24"/>
                <w:szCs w:val="24"/>
                <w:lang w:eastAsia="zh-CN"/>
              </w:rPr>
              <w:t>会泽县者海镇新村、发基村、拖木村境内</w:t>
            </w:r>
          </w:p>
        </w:tc>
        <w:tc>
          <w:tcPr>
            <w:tcW w:w="1276" w:type="dxa"/>
            <w:tcBorders>
              <w:top w:val="single" w:color="auto" w:sz="4" w:space="0"/>
              <w:left w:val="nil"/>
              <w:bottom w:val="single" w:color="auto" w:sz="4" w:space="0"/>
              <w:right w:val="single" w:color="auto" w:sz="4" w:space="0"/>
            </w:tcBorders>
            <w:shd w:val="clear" w:color="auto" w:fill="C0C0C0"/>
            <w:vAlign w:val="center"/>
          </w:tcPr>
          <w:p w14:paraId="1A46A112">
            <w:pPr>
              <w:widowControl/>
              <w:spacing w:line="280" w:lineRule="exact"/>
              <w:jc w:val="center"/>
              <w:rPr>
                <w:rFonts w:ascii="宋体"/>
                <w:kern w:val="0"/>
                <w:sz w:val="24"/>
                <w:szCs w:val="24"/>
              </w:rPr>
            </w:pPr>
            <w:r>
              <w:rPr>
                <w:rFonts w:hint="eastAsia" w:ascii="宋体" w:hAnsi="宋体"/>
                <w:kern w:val="0"/>
                <w:sz w:val="24"/>
                <w:szCs w:val="24"/>
              </w:rPr>
              <w:t>建设单位</w:t>
            </w:r>
          </w:p>
        </w:tc>
        <w:tc>
          <w:tcPr>
            <w:tcW w:w="2078" w:type="dxa"/>
            <w:tcBorders>
              <w:top w:val="single" w:color="auto" w:sz="4" w:space="0"/>
              <w:left w:val="nil"/>
              <w:bottom w:val="single" w:color="auto" w:sz="4" w:space="0"/>
              <w:right w:val="single" w:color="auto" w:sz="4" w:space="0"/>
            </w:tcBorders>
            <w:vAlign w:val="center"/>
          </w:tcPr>
          <w:p w14:paraId="49F62080">
            <w:pPr>
              <w:widowControl/>
              <w:spacing w:line="280" w:lineRule="exact"/>
              <w:jc w:val="center"/>
              <w:rPr>
                <w:rFonts w:hint="default" w:ascii="Times New Roman" w:hAnsi="Times New Roman" w:eastAsia="方正仿宋_GBK"/>
                <w:sz w:val="24"/>
                <w:szCs w:val="24"/>
                <w:lang w:val="en-US" w:eastAsia="zh-CN"/>
              </w:rPr>
            </w:pPr>
            <w:r>
              <w:rPr>
                <w:rFonts w:hint="eastAsia" w:ascii="Times New Roman" w:hAnsi="Times New Roman" w:cs="Times New Roman"/>
                <w:sz w:val="24"/>
                <w:szCs w:val="24"/>
                <w:lang w:val="en-US" w:eastAsia="zh-CN"/>
              </w:rPr>
              <w:t>会泽滇北工贸有限公司</w:t>
            </w:r>
          </w:p>
        </w:tc>
      </w:tr>
      <w:tr w14:paraId="21121CC3">
        <w:tblPrEx>
          <w:tblCellMar>
            <w:top w:w="0" w:type="dxa"/>
            <w:left w:w="108" w:type="dxa"/>
            <w:bottom w:w="0" w:type="dxa"/>
            <w:right w:w="108" w:type="dxa"/>
          </w:tblCellMar>
        </w:tblPrEx>
        <w:trPr>
          <w:trHeight w:val="762" w:hRule="atLeast"/>
          <w:jc w:val="center"/>
        </w:trPr>
        <w:tc>
          <w:tcPr>
            <w:tcW w:w="1012" w:type="dxa"/>
            <w:tcBorders>
              <w:top w:val="nil"/>
              <w:left w:val="single" w:color="auto" w:sz="4" w:space="0"/>
              <w:bottom w:val="single" w:color="auto" w:sz="4" w:space="0"/>
              <w:right w:val="single" w:color="auto" w:sz="4" w:space="0"/>
            </w:tcBorders>
            <w:shd w:val="clear" w:color="auto" w:fill="C0C0C0"/>
            <w:vAlign w:val="center"/>
          </w:tcPr>
          <w:p w14:paraId="7DD40256">
            <w:pPr>
              <w:widowControl/>
              <w:spacing w:line="280" w:lineRule="exact"/>
              <w:jc w:val="center"/>
              <w:rPr>
                <w:rFonts w:ascii="宋体"/>
                <w:kern w:val="0"/>
                <w:sz w:val="24"/>
                <w:szCs w:val="24"/>
              </w:rPr>
            </w:pPr>
            <w:r>
              <w:rPr>
                <w:rFonts w:hint="eastAsia" w:ascii="宋体" w:hAnsi="宋体"/>
                <w:kern w:val="0"/>
                <w:sz w:val="24"/>
                <w:szCs w:val="24"/>
              </w:rPr>
              <w:t>环评文件类型</w:t>
            </w:r>
          </w:p>
        </w:tc>
        <w:tc>
          <w:tcPr>
            <w:tcW w:w="2246" w:type="dxa"/>
            <w:tcBorders>
              <w:top w:val="nil"/>
              <w:left w:val="nil"/>
              <w:bottom w:val="single" w:color="auto" w:sz="4" w:space="0"/>
              <w:right w:val="single" w:color="auto" w:sz="4" w:space="0"/>
            </w:tcBorders>
            <w:shd w:val="clear" w:color="auto" w:fill="auto"/>
            <w:vAlign w:val="center"/>
          </w:tcPr>
          <w:p w14:paraId="610276F3">
            <w:pPr>
              <w:widowControl/>
              <w:spacing w:line="280" w:lineRule="exact"/>
              <w:jc w:val="center"/>
              <w:rPr>
                <w:rFonts w:hint="eastAsia" w:ascii="宋体" w:hAnsi="宋体" w:eastAsia="宋体" w:cs="华文仿宋"/>
                <w:kern w:val="0"/>
                <w:sz w:val="24"/>
                <w:szCs w:val="24"/>
                <w:lang w:eastAsia="zh-CN"/>
              </w:rPr>
            </w:pPr>
            <w:r>
              <w:rPr>
                <w:rFonts w:hint="eastAsia" w:ascii="宋体" w:cs="Times New Roman"/>
                <w:kern w:val="0"/>
                <w:sz w:val="24"/>
                <w:szCs w:val="24"/>
                <w:lang w:val="en-US" w:eastAsia="zh-CN"/>
              </w:rPr>
              <w:t>报告表</w:t>
            </w:r>
          </w:p>
        </w:tc>
        <w:tc>
          <w:tcPr>
            <w:tcW w:w="1276" w:type="dxa"/>
            <w:tcBorders>
              <w:top w:val="nil"/>
              <w:left w:val="nil"/>
              <w:bottom w:val="single" w:color="auto" w:sz="4" w:space="0"/>
              <w:right w:val="single" w:color="auto" w:sz="4" w:space="0"/>
            </w:tcBorders>
            <w:shd w:val="clear" w:color="auto" w:fill="C0C0C0"/>
            <w:vAlign w:val="center"/>
          </w:tcPr>
          <w:p w14:paraId="54539539">
            <w:pPr>
              <w:widowControl/>
              <w:spacing w:line="280" w:lineRule="exact"/>
              <w:jc w:val="center"/>
              <w:rPr>
                <w:rFonts w:ascii="宋体"/>
                <w:kern w:val="0"/>
                <w:sz w:val="24"/>
                <w:szCs w:val="24"/>
              </w:rPr>
            </w:pPr>
            <w:r>
              <w:rPr>
                <w:rFonts w:hint="eastAsia" w:ascii="宋体" w:hAnsi="宋体"/>
                <w:kern w:val="0"/>
                <w:sz w:val="24"/>
                <w:szCs w:val="24"/>
              </w:rPr>
              <w:t>环境影响评价机构</w:t>
            </w:r>
          </w:p>
        </w:tc>
        <w:tc>
          <w:tcPr>
            <w:tcW w:w="4913" w:type="dxa"/>
            <w:gridSpan w:val="3"/>
            <w:tcBorders>
              <w:top w:val="single" w:color="auto" w:sz="4" w:space="0"/>
              <w:left w:val="nil"/>
              <w:bottom w:val="single" w:color="auto" w:sz="4" w:space="0"/>
              <w:right w:val="single" w:color="000000" w:sz="4" w:space="0"/>
            </w:tcBorders>
            <w:vAlign w:val="center"/>
          </w:tcPr>
          <w:p w14:paraId="3A8D777C">
            <w:pPr>
              <w:widowControl/>
              <w:spacing w:line="280" w:lineRule="exact"/>
              <w:jc w:val="center"/>
              <w:rPr>
                <w:rFonts w:ascii="宋体"/>
                <w:kern w:val="0"/>
                <w:sz w:val="24"/>
                <w:szCs w:val="24"/>
              </w:rPr>
            </w:pPr>
            <w:r>
              <w:rPr>
                <w:rFonts w:hint="eastAsia" w:ascii="宋体"/>
                <w:kern w:val="0"/>
                <w:sz w:val="24"/>
                <w:szCs w:val="24"/>
              </w:rPr>
              <w:t>云南联创环境工程有限公司</w:t>
            </w:r>
          </w:p>
        </w:tc>
      </w:tr>
      <w:tr w14:paraId="64114DFF">
        <w:tblPrEx>
          <w:tblCellMar>
            <w:top w:w="0" w:type="dxa"/>
            <w:left w:w="108" w:type="dxa"/>
            <w:bottom w:w="0" w:type="dxa"/>
            <w:right w:w="108" w:type="dxa"/>
          </w:tblCellMar>
        </w:tblPrEx>
        <w:trPr>
          <w:trHeight w:val="461" w:hRule="atLeast"/>
          <w:jc w:val="center"/>
        </w:trPr>
        <w:tc>
          <w:tcPr>
            <w:tcW w:w="9447" w:type="dxa"/>
            <w:gridSpan w:val="6"/>
            <w:tcBorders>
              <w:top w:val="single" w:color="auto" w:sz="4" w:space="0"/>
              <w:left w:val="single" w:color="auto" w:sz="4" w:space="0"/>
              <w:bottom w:val="single" w:color="auto" w:sz="4" w:space="0"/>
              <w:right w:val="single" w:color="auto" w:sz="4" w:space="0"/>
            </w:tcBorders>
            <w:shd w:val="clear" w:color="auto" w:fill="C0C0C0"/>
            <w:vAlign w:val="center"/>
          </w:tcPr>
          <w:p w14:paraId="1AF0C116">
            <w:pPr>
              <w:widowControl/>
              <w:spacing w:line="280" w:lineRule="exact"/>
              <w:jc w:val="center"/>
              <w:rPr>
                <w:rFonts w:ascii="宋体"/>
                <w:kern w:val="0"/>
                <w:sz w:val="24"/>
                <w:szCs w:val="24"/>
              </w:rPr>
            </w:pPr>
            <w:r>
              <w:rPr>
                <w:rFonts w:hint="eastAsia" w:ascii="宋体" w:hAnsi="宋体"/>
                <w:kern w:val="0"/>
                <w:sz w:val="24"/>
                <w:szCs w:val="24"/>
              </w:rPr>
              <w:t>项目概况</w:t>
            </w:r>
          </w:p>
        </w:tc>
      </w:tr>
      <w:tr w14:paraId="6E7A11E4">
        <w:tblPrEx>
          <w:tblCellMar>
            <w:top w:w="0" w:type="dxa"/>
            <w:left w:w="108" w:type="dxa"/>
            <w:bottom w:w="0" w:type="dxa"/>
            <w:right w:w="108" w:type="dxa"/>
          </w:tblCellMar>
        </w:tblPrEx>
        <w:trPr>
          <w:trHeight w:val="606" w:hRule="atLeast"/>
          <w:jc w:val="center"/>
        </w:trPr>
        <w:tc>
          <w:tcPr>
            <w:tcW w:w="9447" w:type="dxa"/>
            <w:gridSpan w:val="6"/>
            <w:tcBorders>
              <w:top w:val="single" w:color="auto" w:sz="4" w:space="0"/>
              <w:left w:val="single" w:color="auto" w:sz="4" w:space="0"/>
              <w:bottom w:val="single" w:color="auto" w:sz="4" w:space="0"/>
              <w:right w:val="single" w:color="auto" w:sz="4" w:space="0"/>
            </w:tcBorders>
            <w:vAlign w:val="center"/>
          </w:tcPr>
          <w:p w14:paraId="020C169E">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方正仿宋_GBK" w:hAnsi="方正仿宋_GBK" w:eastAsia="方正仿宋_GBK" w:cs="方正仿宋_GBK"/>
                <w:sz w:val="24"/>
                <w:szCs w:val="24"/>
                <w:lang w:eastAsia="zh-CN"/>
              </w:rPr>
            </w:pPr>
            <w:r>
              <w:rPr>
                <w:rFonts w:hint="eastAsia" w:ascii="方正仿宋_GBK" w:hAnsi="方正仿宋_GBK" w:eastAsia="方正仿宋_GBK" w:cs="方正仿宋_GBK"/>
                <w:sz w:val="24"/>
                <w:szCs w:val="24"/>
                <w:lang w:eastAsia="zh-CN"/>
              </w:rPr>
              <w:t>会泽滇北工贸有限公司升级改造年产150万吨水泥熟料项目外部供电工程项目包含变电部分、线路部分、对侧工程、土建部分。</w:t>
            </w:r>
          </w:p>
          <w:p w14:paraId="1282002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方正仿宋_GBK" w:hAnsi="方正仿宋_GBK" w:eastAsia="方正仿宋_GBK" w:cs="方正仿宋_GBK"/>
                <w:sz w:val="24"/>
                <w:szCs w:val="24"/>
                <w:lang w:eastAsia="zh-CN"/>
              </w:rPr>
            </w:pPr>
            <w:r>
              <w:rPr>
                <w:rFonts w:hint="eastAsia" w:ascii="方正仿宋_GBK" w:hAnsi="方正仿宋_GBK" w:eastAsia="方正仿宋_GBK" w:cs="方正仿宋_GBK"/>
                <w:sz w:val="24"/>
                <w:szCs w:val="24"/>
                <w:lang w:eastAsia="zh-CN"/>
              </w:rPr>
              <w:t>（</w:t>
            </w:r>
            <w:r>
              <w:rPr>
                <w:rFonts w:hint="eastAsia" w:ascii="方正仿宋_GBK" w:hAnsi="方正仿宋_GBK" w:eastAsia="方正仿宋_GBK" w:cs="方正仿宋_GBK"/>
                <w:sz w:val="24"/>
                <w:szCs w:val="24"/>
                <w:lang w:val="en-US" w:eastAsia="zh-CN"/>
              </w:rPr>
              <w:t>1</w:t>
            </w:r>
            <w:r>
              <w:rPr>
                <w:rFonts w:hint="eastAsia" w:ascii="方正仿宋_GBK" w:hAnsi="方正仿宋_GBK" w:eastAsia="方正仿宋_GBK" w:cs="方正仿宋_GBK"/>
                <w:sz w:val="24"/>
                <w:szCs w:val="24"/>
                <w:lang w:eastAsia="zh-CN"/>
              </w:rPr>
              <w:t>）变电部分</w:t>
            </w:r>
          </w:p>
          <w:p w14:paraId="34CDCEB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方正仿宋_GBK" w:hAnsi="方正仿宋_GBK" w:eastAsia="方正仿宋_GBK" w:cs="方正仿宋_GBK"/>
                <w:sz w:val="24"/>
                <w:szCs w:val="24"/>
                <w:lang w:eastAsia="zh-CN"/>
              </w:rPr>
            </w:pPr>
            <w:r>
              <w:rPr>
                <w:rFonts w:hint="eastAsia" w:ascii="方正仿宋_GBK" w:hAnsi="方正仿宋_GBK" w:eastAsia="方正仿宋_GBK" w:cs="方正仿宋_GBK"/>
                <w:sz w:val="24"/>
                <w:szCs w:val="24"/>
                <w:lang w:eastAsia="zh-CN"/>
              </w:rPr>
              <w:t>主变规模2×20MVA，电压等级110kV/10kV，110kV进线1回；110kV侧采用单母线接线，10kV采用单母线分段接线，本期每段10kV母线建成出线间隔8个。</w:t>
            </w:r>
          </w:p>
          <w:p w14:paraId="786CB026">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方正仿宋_GBK" w:hAnsi="方正仿宋_GBK" w:eastAsia="方正仿宋_GBK" w:cs="方正仿宋_GBK"/>
                <w:sz w:val="24"/>
                <w:szCs w:val="24"/>
                <w:lang w:eastAsia="zh-CN"/>
              </w:rPr>
            </w:pPr>
            <w:r>
              <w:rPr>
                <w:rFonts w:hint="eastAsia" w:ascii="方正仿宋_GBK" w:hAnsi="方正仿宋_GBK" w:eastAsia="方正仿宋_GBK" w:cs="方正仿宋_GBK"/>
                <w:sz w:val="24"/>
                <w:szCs w:val="24"/>
                <w:lang w:eastAsia="zh-CN"/>
              </w:rPr>
              <w:t>（</w:t>
            </w:r>
            <w:r>
              <w:rPr>
                <w:rFonts w:hint="eastAsia" w:ascii="方正仿宋_GBK" w:hAnsi="方正仿宋_GBK" w:eastAsia="方正仿宋_GBK" w:cs="方正仿宋_GBK"/>
                <w:sz w:val="24"/>
                <w:szCs w:val="24"/>
                <w:lang w:val="en-US" w:eastAsia="zh-CN"/>
              </w:rPr>
              <w:t>2</w:t>
            </w:r>
            <w:r>
              <w:rPr>
                <w:rFonts w:hint="eastAsia" w:ascii="方正仿宋_GBK" w:hAnsi="方正仿宋_GBK" w:eastAsia="方正仿宋_GBK" w:cs="方正仿宋_GBK"/>
                <w:sz w:val="24"/>
                <w:szCs w:val="24"/>
                <w:lang w:eastAsia="zh-CN"/>
              </w:rPr>
              <w:t>）线路部分</w:t>
            </w:r>
          </w:p>
          <w:p w14:paraId="449EFC83">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方正仿宋_GBK" w:hAnsi="方正仿宋_GBK" w:eastAsia="方正仿宋_GBK" w:cs="方正仿宋_GBK"/>
                <w:sz w:val="24"/>
                <w:szCs w:val="24"/>
                <w:lang w:eastAsia="zh-CN"/>
              </w:rPr>
            </w:pPr>
            <w:r>
              <w:rPr>
                <w:rFonts w:hint="eastAsia" w:ascii="方正仿宋_GBK" w:hAnsi="方正仿宋_GBK" w:eastAsia="方正仿宋_GBK" w:cs="方正仿宋_GBK"/>
                <w:sz w:val="24"/>
                <w:szCs w:val="24"/>
                <w:lang w:eastAsia="zh-CN"/>
              </w:rPr>
              <w:t>从110kV总降变出线连续左转后向西北走线经过者海镇拖木村、发基村后向西南走线经过者海镇新村后山坡上电缆下线沿着者海镇新村敷设接入220kV者海变110kV备用间隔，采用单回路架设，新建线路长约9.72千米（其中电缆1.5千米，架空线8.22千米）。新建2×3列电缆排管0.8千米，新立铁塔32基。</w:t>
            </w:r>
          </w:p>
          <w:p w14:paraId="0EE4490D">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方正仿宋_GBK" w:hAnsi="方正仿宋_GBK" w:eastAsia="方正仿宋_GBK" w:cs="方正仿宋_GBK"/>
                <w:sz w:val="24"/>
                <w:szCs w:val="24"/>
                <w:lang w:eastAsia="zh-CN"/>
              </w:rPr>
            </w:pPr>
            <w:r>
              <w:rPr>
                <w:rFonts w:hint="eastAsia" w:ascii="方正仿宋_GBK" w:hAnsi="方正仿宋_GBK" w:eastAsia="方正仿宋_GBK" w:cs="方正仿宋_GBK"/>
                <w:sz w:val="24"/>
                <w:szCs w:val="24"/>
                <w:lang w:eastAsia="zh-CN"/>
              </w:rPr>
              <w:t>（</w:t>
            </w:r>
            <w:r>
              <w:rPr>
                <w:rFonts w:hint="eastAsia" w:ascii="方正仿宋_GBK" w:hAnsi="方正仿宋_GBK" w:eastAsia="方正仿宋_GBK" w:cs="方正仿宋_GBK"/>
                <w:sz w:val="24"/>
                <w:szCs w:val="24"/>
                <w:lang w:val="en-US" w:eastAsia="zh-CN"/>
              </w:rPr>
              <w:t>3</w:t>
            </w:r>
            <w:r>
              <w:rPr>
                <w:rFonts w:hint="eastAsia" w:ascii="方正仿宋_GBK" w:hAnsi="方正仿宋_GBK" w:eastAsia="方正仿宋_GBK" w:cs="方正仿宋_GBK"/>
                <w:sz w:val="24"/>
                <w:szCs w:val="24"/>
                <w:lang w:eastAsia="zh-CN"/>
              </w:rPr>
              <w:t>）对侧部分</w:t>
            </w:r>
          </w:p>
          <w:p w14:paraId="6DDBCB38">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方正仿宋_GBK" w:hAnsi="方正仿宋_GBK" w:eastAsia="方正仿宋_GBK" w:cs="方正仿宋_GBK"/>
                <w:sz w:val="24"/>
                <w:szCs w:val="24"/>
                <w:lang w:eastAsia="zh-CN"/>
              </w:rPr>
            </w:pPr>
            <w:r>
              <w:rPr>
                <w:rFonts w:hint="eastAsia" w:ascii="方正仿宋_GBK" w:hAnsi="方正仿宋_GBK" w:eastAsia="方正仿宋_GBK" w:cs="方正仿宋_GBK"/>
                <w:sz w:val="24"/>
                <w:szCs w:val="24"/>
                <w:lang w:eastAsia="zh-CN"/>
              </w:rPr>
              <w:t>本期启用220kV者海变备用110kV间隔，该间隔设备满足本期接入需求，本期沿用。</w:t>
            </w:r>
          </w:p>
          <w:p w14:paraId="28F5027D">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方正仿宋_GBK" w:hAnsi="方正仿宋_GBK" w:eastAsia="方正仿宋_GBK" w:cs="方正仿宋_GBK"/>
                <w:sz w:val="24"/>
                <w:szCs w:val="24"/>
                <w:lang w:eastAsia="zh-CN"/>
              </w:rPr>
            </w:pPr>
            <w:r>
              <w:rPr>
                <w:rFonts w:hint="eastAsia" w:ascii="方正仿宋_GBK" w:hAnsi="方正仿宋_GBK" w:eastAsia="方正仿宋_GBK" w:cs="方正仿宋_GBK"/>
                <w:sz w:val="24"/>
                <w:szCs w:val="24"/>
                <w:lang w:eastAsia="zh-CN"/>
              </w:rPr>
              <w:t>（</w:t>
            </w:r>
            <w:r>
              <w:rPr>
                <w:rFonts w:hint="eastAsia" w:ascii="方正仿宋_GBK" w:hAnsi="方正仿宋_GBK" w:eastAsia="方正仿宋_GBK" w:cs="方正仿宋_GBK"/>
                <w:sz w:val="24"/>
                <w:szCs w:val="24"/>
                <w:lang w:val="en-US" w:eastAsia="zh-CN"/>
              </w:rPr>
              <w:t>4</w:t>
            </w:r>
            <w:r>
              <w:rPr>
                <w:rFonts w:hint="eastAsia" w:ascii="方正仿宋_GBK" w:hAnsi="方正仿宋_GBK" w:eastAsia="方正仿宋_GBK" w:cs="方正仿宋_GBK"/>
                <w:sz w:val="24"/>
                <w:szCs w:val="24"/>
                <w:lang w:eastAsia="zh-CN"/>
              </w:rPr>
              <w:t>）土建部分</w:t>
            </w:r>
          </w:p>
          <w:p w14:paraId="0E8B3C4C">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方正仿宋_GBK" w:hAnsi="方正仿宋_GBK" w:eastAsia="方正仿宋_GBK" w:cs="方正仿宋_GBK"/>
                <w:sz w:val="24"/>
                <w:szCs w:val="24"/>
                <w:lang w:eastAsia="zh-CN"/>
              </w:rPr>
            </w:pPr>
            <w:r>
              <w:rPr>
                <w:rFonts w:hint="eastAsia" w:ascii="方正仿宋_GBK" w:hAnsi="方正仿宋_GBK" w:eastAsia="方正仿宋_GBK" w:cs="方正仿宋_GBK"/>
                <w:sz w:val="24"/>
                <w:szCs w:val="24"/>
                <w:lang w:eastAsia="zh-CN"/>
              </w:rPr>
              <w:t>本工程在曲靖会泽滇北工贸有限公司水泥厂内新建1座110kV常规变电站。变电站配电综合楼一楼布置有10kV配电装置室、接地变室、电容器室、主变室、消防器材间、工具间、楼梯间等，二楼布置有二次及通信设备室、休息室、楼梯间等。</w:t>
            </w:r>
          </w:p>
          <w:p w14:paraId="45532718">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sz w:val="24"/>
                <w:szCs w:val="24"/>
              </w:rPr>
            </w:pPr>
            <w:r>
              <w:rPr>
                <w:rFonts w:hint="eastAsia" w:ascii="方正仿宋_GBK" w:hAnsi="方正仿宋_GBK" w:eastAsia="方正仿宋_GBK" w:cs="方正仿宋_GBK"/>
                <w:color w:val="auto"/>
                <w:sz w:val="24"/>
                <w:szCs w:val="24"/>
                <w:highlight w:val="none"/>
              </w:rPr>
              <w:t>总投资</w:t>
            </w:r>
            <w:r>
              <w:rPr>
                <w:rFonts w:hint="eastAsia" w:ascii="方正仿宋_GBK" w:hAnsi="方正仿宋_GBK" w:eastAsia="方正仿宋_GBK" w:cs="方正仿宋_GBK"/>
                <w:color w:val="auto"/>
                <w:sz w:val="24"/>
                <w:szCs w:val="24"/>
                <w:highlight w:val="none"/>
                <w:lang w:val="en-US" w:eastAsia="zh-CN"/>
              </w:rPr>
              <w:t>3106.72</w:t>
            </w:r>
            <w:r>
              <w:rPr>
                <w:rFonts w:hint="eastAsia" w:ascii="方正仿宋_GBK" w:hAnsi="方正仿宋_GBK" w:eastAsia="方正仿宋_GBK" w:cs="方正仿宋_GBK"/>
                <w:color w:val="auto"/>
                <w:sz w:val="24"/>
                <w:szCs w:val="24"/>
                <w:highlight w:val="none"/>
              </w:rPr>
              <w:t>万元，</w:t>
            </w:r>
            <w:r>
              <w:rPr>
                <w:rFonts w:hint="eastAsia" w:ascii="方正仿宋_GBK" w:hAnsi="方正仿宋_GBK" w:eastAsia="方正仿宋_GBK" w:cs="方正仿宋_GBK"/>
                <w:color w:val="auto"/>
                <w:spacing w:val="0"/>
                <w:w w:val="100"/>
                <w:sz w:val="24"/>
                <w:szCs w:val="24"/>
                <w:highlight w:val="none"/>
              </w:rPr>
              <w:t>其中环保投资估算</w:t>
            </w:r>
            <w:r>
              <w:rPr>
                <w:rFonts w:hint="eastAsia" w:ascii="方正仿宋_GBK" w:hAnsi="方正仿宋_GBK" w:eastAsia="方正仿宋_GBK" w:cs="方正仿宋_GBK"/>
                <w:color w:val="auto"/>
                <w:spacing w:val="0"/>
                <w:w w:val="100"/>
                <w:sz w:val="24"/>
                <w:szCs w:val="24"/>
                <w:highlight w:val="none"/>
                <w:lang w:val="en-US" w:eastAsia="zh-CN"/>
              </w:rPr>
              <w:t>69.5</w:t>
            </w:r>
            <w:r>
              <w:rPr>
                <w:rFonts w:hint="eastAsia" w:ascii="方正仿宋_GBK" w:hAnsi="方正仿宋_GBK" w:eastAsia="方正仿宋_GBK" w:cs="方正仿宋_GBK"/>
                <w:color w:val="auto"/>
                <w:spacing w:val="0"/>
                <w:w w:val="100"/>
                <w:sz w:val="24"/>
                <w:szCs w:val="24"/>
                <w:highlight w:val="none"/>
              </w:rPr>
              <w:t>万元，占总投资的比例</w:t>
            </w:r>
            <w:r>
              <w:rPr>
                <w:rFonts w:hint="eastAsia" w:ascii="方正仿宋_GBK" w:hAnsi="方正仿宋_GBK" w:eastAsia="方正仿宋_GBK" w:cs="方正仿宋_GBK"/>
                <w:color w:val="auto"/>
                <w:spacing w:val="0"/>
                <w:w w:val="100"/>
                <w:sz w:val="24"/>
                <w:szCs w:val="24"/>
                <w:highlight w:val="none"/>
                <w:lang w:val="en-US" w:eastAsia="zh-CN"/>
              </w:rPr>
              <w:t>2.23%。</w:t>
            </w:r>
          </w:p>
        </w:tc>
      </w:tr>
      <w:tr w14:paraId="5142541D">
        <w:tblPrEx>
          <w:tblCellMar>
            <w:top w:w="0" w:type="dxa"/>
            <w:left w:w="108" w:type="dxa"/>
            <w:bottom w:w="0" w:type="dxa"/>
            <w:right w:w="108" w:type="dxa"/>
          </w:tblCellMar>
        </w:tblPrEx>
        <w:trPr>
          <w:trHeight w:val="448" w:hRule="atLeast"/>
          <w:jc w:val="center"/>
        </w:trPr>
        <w:tc>
          <w:tcPr>
            <w:tcW w:w="9447" w:type="dxa"/>
            <w:gridSpan w:val="6"/>
            <w:tcBorders>
              <w:top w:val="single" w:color="auto" w:sz="4" w:space="0"/>
              <w:left w:val="single" w:color="auto" w:sz="4" w:space="0"/>
              <w:bottom w:val="single" w:color="auto" w:sz="4" w:space="0"/>
              <w:right w:val="single" w:color="auto" w:sz="4" w:space="0"/>
            </w:tcBorders>
            <w:shd w:val="clear" w:color="auto" w:fill="C0C0C0"/>
            <w:vAlign w:val="center"/>
          </w:tcPr>
          <w:p w14:paraId="3F34545E">
            <w:pPr>
              <w:widowControl/>
              <w:spacing w:line="240" w:lineRule="auto"/>
              <w:jc w:val="center"/>
              <w:rPr>
                <w:rFonts w:ascii="宋体"/>
                <w:kern w:val="0"/>
                <w:sz w:val="24"/>
                <w:szCs w:val="24"/>
              </w:rPr>
            </w:pPr>
            <w:r>
              <w:rPr>
                <w:rFonts w:hint="eastAsia" w:ascii="宋体" w:hAnsi="宋体"/>
                <w:kern w:val="0"/>
                <w:sz w:val="24"/>
                <w:szCs w:val="24"/>
              </w:rPr>
              <w:t>项目主要环境影响</w:t>
            </w:r>
          </w:p>
        </w:tc>
      </w:tr>
      <w:tr w14:paraId="1FCE67B3">
        <w:tblPrEx>
          <w:tblCellMar>
            <w:top w:w="0" w:type="dxa"/>
            <w:left w:w="108" w:type="dxa"/>
            <w:bottom w:w="0" w:type="dxa"/>
            <w:right w:w="108" w:type="dxa"/>
          </w:tblCellMar>
        </w:tblPrEx>
        <w:trPr>
          <w:trHeight w:val="535" w:hRule="atLeast"/>
          <w:jc w:val="center"/>
        </w:trPr>
        <w:tc>
          <w:tcPr>
            <w:tcW w:w="9447" w:type="dxa"/>
            <w:gridSpan w:val="6"/>
            <w:tcBorders>
              <w:top w:val="single" w:color="auto" w:sz="4" w:space="0"/>
              <w:left w:val="single" w:color="auto" w:sz="4" w:space="0"/>
              <w:bottom w:val="single" w:color="auto" w:sz="4" w:space="0"/>
              <w:right w:val="single" w:color="auto" w:sz="4" w:space="0"/>
            </w:tcBorders>
            <w:vAlign w:val="center"/>
          </w:tcPr>
          <w:p w14:paraId="23BA68C4">
            <w:pPr>
              <w:pStyle w:val="33"/>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textAlignment w:val="auto"/>
              <w:rPr>
                <w:rFonts w:hint="eastAsia" w:ascii="方正仿宋_GBK" w:hAnsi="方正仿宋_GBK" w:eastAsia="方正仿宋_GBK" w:cs="方正仿宋_GBK"/>
                <w:b w:val="0"/>
                <w:bCs w:val="0"/>
                <w:color w:val="auto"/>
                <w:sz w:val="24"/>
                <w:szCs w:val="24"/>
                <w:highlight w:val="none"/>
              </w:rPr>
            </w:pPr>
            <w:r>
              <w:rPr>
                <w:rFonts w:hint="eastAsia" w:ascii="方正仿宋_GBK" w:hAnsi="方正仿宋_GBK" w:eastAsia="方正仿宋_GBK" w:cs="方正仿宋_GBK"/>
                <w:b/>
                <w:bCs/>
                <w:color w:val="auto"/>
                <w:sz w:val="24"/>
                <w:szCs w:val="24"/>
                <w:highlight w:val="none"/>
                <w:lang w:val="en-US" w:eastAsia="zh-CN"/>
              </w:rPr>
              <w:t>一、施工期主要环境影响：</w:t>
            </w:r>
            <w:r>
              <w:rPr>
                <w:rFonts w:hint="eastAsia" w:ascii="方正仿宋_GBK" w:hAnsi="方正仿宋_GBK" w:eastAsia="方正仿宋_GBK" w:cs="方正仿宋_GBK"/>
                <w:b w:val="0"/>
                <w:bCs w:val="0"/>
                <w:color w:val="auto"/>
                <w:sz w:val="24"/>
                <w:szCs w:val="24"/>
                <w:highlight w:val="none"/>
              </w:rPr>
              <w:t>施工期</w:t>
            </w:r>
            <w:r>
              <w:rPr>
                <w:rFonts w:hint="eastAsia" w:ascii="方正仿宋_GBK" w:hAnsi="方正仿宋_GBK" w:eastAsia="方正仿宋_GBK" w:cs="方正仿宋_GBK"/>
                <w:b w:val="0"/>
                <w:bCs w:val="0"/>
                <w:color w:val="auto"/>
                <w:sz w:val="24"/>
                <w:szCs w:val="24"/>
                <w:highlight w:val="none"/>
                <w:lang w:eastAsia="zh-CN"/>
              </w:rPr>
              <w:t>主要</w:t>
            </w:r>
            <w:r>
              <w:rPr>
                <w:rFonts w:hint="eastAsia" w:ascii="方正仿宋_GBK" w:hAnsi="方正仿宋_GBK" w:eastAsia="方正仿宋_GBK" w:cs="方正仿宋_GBK"/>
                <w:b w:val="0"/>
                <w:bCs w:val="0"/>
                <w:color w:val="auto"/>
                <w:sz w:val="24"/>
                <w:szCs w:val="24"/>
                <w:highlight w:val="none"/>
              </w:rPr>
              <w:t>产生生态环境影响（包括土地占用、动植物影响等）以及扬尘、施工噪声、废污水以及固体废物等影响。</w:t>
            </w:r>
          </w:p>
          <w:p w14:paraId="64C28521">
            <w:pPr>
              <w:pStyle w:val="33"/>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textAlignment w:val="auto"/>
              <w:rPr>
                <w:rFonts w:hint="default" w:hAnsi="宋体"/>
                <w:snapToGrid/>
                <w:sz w:val="24"/>
                <w:szCs w:val="24"/>
                <w:lang w:val="en-US"/>
              </w:rPr>
            </w:pPr>
            <w:r>
              <w:rPr>
                <w:rFonts w:hint="eastAsia" w:ascii="方正仿宋_GBK" w:hAnsi="方正仿宋_GBK" w:eastAsia="方正仿宋_GBK" w:cs="方正仿宋_GBK"/>
                <w:b/>
                <w:bCs/>
                <w:color w:val="auto"/>
                <w:sz w:val="24"/>
                <w:szCs w:val="24"/>
                <w:highlight w:val="none"/>
              </w:rPr>
              <w:t>二、运营期主要环境影响：</w:t>
            </w:r>
            <w:r>
              <w:rPr>
                <w:rFonts w:hint="eastAsia" w:ascii="方正仿宋_GBK" w:hAnsi="方正仿宋_GBK" w:eastAsia="方正仿宋_GBK" w:cs="方正仿宋_GBK"/>
                <w:b w:val="0"/>
                <w:bCs w:val="0"/>
                <w:color w:val="auto"/>
                <w:sz w:val="24"/>
                <w:szCs w:val="24"/>
                <w:highlight w:val="none"/>
                <w:lang w:val="en-US" w:eastAsia="zh-CN"/>
              </w:rPr>
              <w:t>输电线路工程运营期只是进行电能电压的转变和电能的输送，其产生的污染影响因子主要为工频电场、工频磁场以及噪声。输电线路发生电晕时产生的噪声，可能对声环境及附近居民生活产生影响。项目新建变电站主要产生的为电磁辐射以及固体废物的影响。</w:t>
            </w:r>
          </w:p>
        </w:tc>
      </w:tr>
      <w:tr w14:paraId="7FE60233">
        <w:tblPrEx>
          <w:tblCellMar>
            <w:top w:w="0" w:type="dxa"/>
            <w:left w:w="108" w:type="dxa"/>
            <w:bottom w:w="0" w:type="dxa"/>
            <w:right w:w="108" w:type="dxa"/>
          </w:tblCellMar>
        </w:tblPrEx>
        <w:trPr>
          <w:trHeight w:val="381" w:hRule="atLeast"/>
          <w:jc w:val="center"/>
        </w:trPr>
        <w:tc>
          <w:tcPr>
            <w:tcW w:w="9447" w:type="dxa"/>
            <w:gridSpan w:val="6"/>
            <w:tcBorders>
              <w:top w:val="single" w:color="auto" w:sz="4" w:space="0"/>
              <w:left w:val="single" w:color="auto" w:sz="4" w:space="0"/>
              <w:bottom w:val="single" w:color="auto" w:sz="4" w:space="0"/>
              <w:right w:val="single" w:color="auto" w:sz="4" w:space="0"/>
            </w:tcBorders>
            <w:shd w:val="clear" w:color="auto" w:fill="C0C0C0"/>
            <w:vAlign w:val="center"/>
          </w:tcPr>
          <w:p w14:paraId="21A1E59A">
            <w:pPr>
              <w:widowControl/>
              <w:spacing w:line="280" w:lineRule="exact"/>
              <w:jc w:val="center"/>
              <w:rPr>
                <w:rFonts w:ascii="宋体"/>
                <w:kern w:val="0"/>
                <w:sz w:val="24"/>
                <w:szCs w:val="24"/>
              </w:rPr>
            </w:pPr>
            <w:r>
              <w:rPr>
                <w:rFonts w:hint="eastAsia" w:ascii="宋体" w:hAnsi="宋体"/>
                <w:kern w:val="0"/>
                <w:sz w:val="24"/>
                <w:szCs w:val="24"/>
              </w:rPr>
              <w:t>项目预防及减轻不良环境影响的对策和措施</w:t>
            </w:r>
          </w:p>
        </w:tc>
      </w:tr>
      <w:tr w14:paraId="262530C8">
        <w:tblPrEx>
          <w:tblCellMar>
            <w:top w:w="0" w:type="dxa"/>
            <w:left w:w="108" w:type="dxa"/>
            <w:bottom w:w="0" w:type="dxa"/>
            <w:right w:w="108" w:type="dxa"/>
          </w:tblCellMar>
        </w:tblPrEx>
        <w:trPr>
          <w:trHeight w:val="437" w:hRule="atLeast"/>
          <w:jc w:val="center"/>
        </w:trPr>
        <w:tc>
          <w:tcPr>
            <w:tcW w:w="9447" w:type="dxa"/>
            <w:gridSpan w:val="6"/>
            <w:tcBorders>
              <w:top w:val="single" w:color="auto" w:sz="4" w:space="0"/>
              <w:left w:val="single" w:color="auto" w:sz="4" w:space="0"/>
              <w:bottom w:val="single" w:color="auto" w:sz="4" w:space="0"/>
              <w:right w:val="single" w:color="auto" w:sz="4" w:space="0"/>
            </w:tcBorders>
            <w:vAlign w:val="center"/>
          </w:tcPr>
          <w:p w14:paraId="30224DE7">
            <w:pPr>
              <w:keepNext w:val="0"/>
              <w:keepLines w:val="0"/>
              <w:pageBreakBefore w:val="0"/>
              <w:widowControl/>
              <w:kinsoku/>
              <w:wordWrap/>
              <w:overflowPunct/>
              <w:topLinePunct w:val="0"/>
              <w:autoSpaceDE/>
              <w:autoSpaceDN/>
              <w:bidi w:val="0"/>
              <w:spacing w:line="360" w:lineRule="exact"/>
              <w:jc w:val="left"/>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一、施工期环境保护措施：</w:t>
            </w:r>
          </w:p>
          <w:p w14:paraId="39A3165C">
            <w:pPr>
              <w:keepNext w:val="0"/>
              <w:keepLines w:val="0"/>
              <w:pageBreakBefore w:val="0"/>
              <w:widowControl/>
              <w:kinsoku/>
              <w:wordWrap/>
              <w:overflowPunct/>
              <w:topLinePunct w:val="0"/>
              <w:autoSpaceDE/>
              <w:autoSpaceDN/>
              <w:bidi w:val="0"/>
              <w:spacing w:line="360" w:lineRule="exact"/>
              <w:jc w:val="left"/>
              <w:textAlignment w:val="auto"/>
              <w:rPr>
                <w:rFonts w:hint="eastAsia" w:ascii="方正仿宋_GBK" w:hAnsi="方正仿宋_GBK" w:eastAsia="方正仿宋_GBK" w:cs="方正仿宋_GBK"/>
                <w:b/>
                <w:sz w:val="24"/>
                <w:szCs w:val="24"/>
                <w:lang w:eastAsia="zh-CN"/>
              </w:rPr>
            </w:pPr>
            <w:r>
              <w:rPr>
                <w:rFonts w:hint="eastAsia" w:ascii="方正仿宋_GBK" w:hAnsi="方正仿宋_GBK" w:eastAsia="方正仿宋_GBK" w:cs="方正仿宋_GBK"/>
                <w:b/>
                <w:sz w:val="24"/>
                <w:szCs w:val="24"/>
              </w:rPr>
              <w:t>1、</w:t>
            </w:r>
            <w:r>
              <w:rPr>
                <w:rFonts w:hint="eastAsia" w:ascii="方正仿宋_GBK" w:hAnsi="方正仿宋_GBK" w:eastAsia="方正仿宋_GBK" w:cs="方正仿宋_GBK"/>
                <w:b/>
                <w:sz w:val="24"/>
                <w:szCs w:val="24"/>
                <w:lang w:val="en-US" w:eastAsia="zh-CN"/>
              </w:rPr>
              <w:t>大气环境</w:t>
            </w:r>
          </w:p>
          <w:p w14:paraId="2C4771F7">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eastAsia" w:ascii="方正仿宋_GBK" w:hAnsi="方正仿宋_GBK" w:eastAsia="方正仿宋_GBK" w:cs="方正仿宋_GBK"/>
                <w:b w:val="0"/>
                <w:bCs w:val="0"/>
                <w:color w:val="auto"/>
                <w:sz w:val="24"/>
                <w:szCs w:val="24"/>
                <w:highlight w:val="none"/>
                <w:lang w:val="en-US" w:eastAsia="zh-CN"/>
              </w:rPr>
            </w:pPr>
            <w:r>
              <w:rPr>
                <w:rFonts w:hint="eastAsia" w:ascii="方正仿宋_GBK" w:hAnsi="方正仿宋_GBK" w:eastAsia="方正仿宋_GBK" w:cs="方正仿宋_GBK"/>
                <w:b w:val="0"/>
                <w:bCs w:val="0"/>
                <w:color w:val="auto"/>
                <w:sz w:val="24"/>
                <w:szCs w:val="24"/>
                <w:highlight w:val="none"/>
                <w:lang w:val="en-US" w:eastAsia="zh-CN"/>
              </w:rPr>
              <w:t>为减小工程施工期扬尘对周围环境的影响，施工单位在整个施工期采取如下施工期扬尘防治措施：</w:t>
            </w:r>
          </w:p>
          <w:p w14:paraId="5E4C9C28">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eastAsia" w:ascii="方正仿宋_GBK" w:hAnsi="方正仿宋_GBK" w:eastAsia="方正仿宋_GBK" w:cs="方正仿宋_GBK"/>
                <w:b w:val="0"/>
                <w:bCs w:val="0"/>
                <w:color w:val="auto"/>
                <w:sz w:val="24"/>
                <w:szCs w:val="24"/>
                <w:highlight w:val="none"/>
                <w:lang w:val="en-US" w:eastAsia="zh-CN"/>
              </w:rPr>
            </w:pPr>
            <w:r>
              <w:rPr>
                <w:rFonts w:hint="eastAsia" w:ascii="方正仿宋_GBK" w:hAnsi="方正仿宋_GBK" w:eastAsia="方正仿宋_GBK" w:cs="方正仿宋_GBK"/>
                <w:b w:val="0"/>
                <w:bCs w:val="0"/>
                <w:color w:val="auto"/>
                <w:sz w:val="24"/>
                <w:szCs w:val="24"/>
                <w:highlight w:val="none"/>
                <w:lang w:val="en-US" w:eastAsia="zh-CN"/>
              </w:rPr>
              <w:t>（1）施工单位文明施工，加强施工期的环境管理和环境监控工作。</w:t>
            </w:r>
          </w:p>
          <w:p w14:paraId="78BEFC0B">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eastAsia" w:ascii="方正仿宋_GBK" w:hAnsi="方正仿宋_GBK" w:eastAsia="方正仿宋_GBK" w:cs="方正仿宋_GBK"/>
                <w:b w:val="0"/>
                <w:bCs w:val="0"/>
                <w:color w:val="auto"/>
                <w:sz w:val="24"/>
                <w:szCs w:val="24"/>
                <w:highlight w:val="none"/>
                <w:lang w:val="en-US" w:eastAsia="zh-CN"/>
              </w:rPr>
            </w:pPr>
            <w:r>
              <w:rPr>
                <w:rFonts w:hint="eastAsia" w:ascii="方正仿宋_GBK" w:hAnsi="方正仿宋_GBK" w:eastAsia="方正仿宋_GBK" w:cs="方正仿宋_GBK"/>
                <w:b w:val="0"/>
                <w:bCs w:val="0"/>
                <w:color w:val="auto"/>
                <w:sz w:val="24"/>
                <w:szCs w:val="24"/>
                <w:highlight w:val="none"/>
                <w:lang w:val="en-US" w:eastAsia="zh-CN"/>
              </w:rPr>
              <w:t>（2）施工产生的建筑垃圾等合理堆放，定期清运。</w:t>
            </w:r>
          </w:p>
          <w:p w14:paraId="554A4778">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eastAsia" w:ascii="方正仿宋_GBK" w:hAnsi="方正仿宋_GBK" w:eastAsia="方正仿宋_GBK" w:cs="方正仿宋_GBK"/>
                <w:b w:val="0"/>
                <w:bCs w:val="0"/>
                <w:color w:val="auto"/>
                <w:sz w:val="24"/>
                <w:szCs w:val="24"/>
                <w:highlight w:val="none"/>
                <w:lang w:val="en-US" w:eastAsia="zh-CN"/>
              </w:rPr>
            </w:pPr>
            <w:r>
              <w:rPr>
                <w:rFonts w:hint="eastAsia" w:ascii="方正仿宋_GBK" w:hAnsi="方正仿宋_GBK" w:eastAsia="方正仿宋_GBK" w:cs="方正仿宋_GBK"/>
                <w:b w:val="0"/>
                <w:bCs w:val="0"/>
                <w:color w:val="auto"/>
                <w:sz w:val="24"/>
                <w:szCs w:val="24"/>
                <w:highlight w:val="none"/>
                <w:lang w:val="en-US" w:eastAsia="zh-CN"/>
              </w:rPr>
              <w:t>（3）车辆运输线路施工产生的多余土方或散体材料时，密闭、包扎、覆盖，避免沿途漏撒，并且在规定的时间内按指定路段行驶，控制扬尘污染。</w:t>
            </w:r>
          </w:p>
          <w:p w14:paraId="0776ED1D">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eastAsia" w:ascii="方正仿宋_GBK" w:hAnsi="方正仿宋_GBK" w:eastAsia="方正仿宋_GBK" w:cs="方正仿宋_GBK"/>
                <w:b w:val="0"/>
                <w:bCs w:val="0"/>
                <w:color w:val="auto"/>
                <w:sz w:val="24"/>
                <w:szCs w:val="24"/>
                <w:highlight w:val="none"/>
                <w:lang w:val="en-US" w:eastAsia="zh-CN"/>
              </w:rPr>
            </w:pPr>
            <w:r>
              <w:rPr>
                <w:rFonts w:hint="eastAsia" w:ascii="方正仿宋_GBK" w:hAnsi="方正仿宋_GBK" w:eastAsia="方正仿宋_GBK" w:cs="方正仿宋_GBK"/>
                <w:b w:val="0"/>
                <w:bCs w:val="0"/>
                <w:color w:val="auto"/>
                <w:sz w:val="24"/>
                <w:szCs w:val="24"/>
                <w:highlight w:val="none"/>
                <w:lang w:val="en-US" w:eastAsia="zh-CN"/>
              </w:rPr>
              <w:t>（4）施工期间进出工地的物料、渣土、垃圾运输车辆，装载高度不超过车辆槽帮上沿，车斗用苫布遮盖或者采用密闭车斗；加强材料转运与使用的管理，合理装卸，规范操作。</w:t>
            </w:r>
          </w:p>
          <w:p w14:paraId="2F6E0509">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eastAsia" w:ascii="方正仿宋_GBK" w:hAnsi="方正仿宋_GBK" w:eastAsia="方正仿宋_GBK" w:cs="方正仿宋_GBK"/>
                <w:b w:val="0"/>
                <w:bCs w:val="0"/>
                <w:color w:val="auto"/>
                <w:sz w:val="24"/>
                <w:szCs w:val="24"/>
                <w:highlight w:val="none"/>
                <w:lang w:val="en-US" w:eastAsia="zh-CN"/>
              </w:rPr>
            </w:pPr>
            <w:r>
              <w:rPr>
                <w:rFonts w:hint="eastAsia" w:ascii="方正仿宋_GBK" w:hAnsi="方正仿宋_GBK" w:eastAsia="方正仿宋_GBK" w:cs="方正仿宋_GBK"/>
                <w:b w:val="0"/>
                <w:bCs w:val="0"/>
                <w:color w:val="auto"/>
                <w:sz w:val="24"/>
                <w:szCs w:val="24"/>
                <w:highlight w:val="none"/>
                <w:lang w:val="en-US" w:eastAsia="zh-CN"/>
              </w:rPr>
              <w:t>（5）输电线路附近的道路在车辆进出时洒水，保持湿润，减少或避免产生扬尘。</w:t>
            </w:r>
          </w:p>
          <w:p w14:paraId="2B344041">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eastAsia" w:ascii="方正仿宋_GBK" w:hAnsi="方正仿宋_GBK" w:eastAsia="方正仿宋_GBK" w:cs="方正仿宋_GBK"/>
                <w:b w:val="0"/>
                <w:bCs w:val="0"/>
                <w:color w:val="auto"/>
                <w:sz w:val="24"/>
                <w:szCs w:val="24"/>
                <w:highlight w:val="none"/>
                <w:lang w:val="en-US" w:eastAsia="zh-CN"/>
              </w:rPr>
            </w:pPr>
            <w:r>
              <w:rPr>
                <w:rFonts w:hint="eastAsia" w:ascii="方正仿宋_GBK" w:hAnsi="方正仿宋_GBK" w:eastAsia="方正仿宋_GBK" w:cs="方正仿宋_GBK"/>
                <w:b w:val="0"/>
                <w:bCs w:val="0"/>
                <w:color w:val="auto"/>
                <w:sz w:val="24"/>
                <w:szCs w:val="24"/>
                <w:highlight w:val="none"/>
                <w:lang w:val="en-US" w:eastAsia="zh-CN"/>
              </w:rPr>
              <w:t>（6）临时堆土及时苫盖，干燥天气下易起尘的裸露土地及时洒水抑尘。</w:t>
            </w:r>
          </w:p>
          <w:p w14:paraId="69664A72">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eastAsia" w:ascii="方正仿宋_GBK" w:hAnsi="方正仿宋_GBK" w:eastAsia="方正仿宋_GBK" w:cs="方正仿宋_GBK"/>
                <w:b w:val="0"/>
                <w:bCs w:val="0"/>
                <w:color w:val="auto"/>
                <w:sz w:val="24"/>
                <w:szCs w:val="24"/>
                <w:highlight w:val="none"/>
                <w:lang w:val="en-US" w:eastAsia="zh-CN"/>
              </w:rPr>
            </w:pPr>
            <w:r>
              <w:rPr>
                <w:rFonts w:hint="eastAsia" w:ascii="方正仿宋_GBK" w:hAnsi="方正仿宋_GBK" w:eastAsia="方正仿宋_GBK" w:cs="方正仿宋_GBK"/>
                <w:b w:val="0"/>
                <w:bCs w:val="0"/>
                <w:color w:val="auto"/>
                <w:sz w:val="24"/>
                <w:szCs w:val="24"/>
                <w:highlight w:val="none"/>
                <w:lang w:val="en-US" w:eastAsia="zh-CN"/>
              </w:rPr>
              <w:t>（7）施工过程中产生的建筑垃圾在施工期间及时清运，并按照环境卫生主管部门的规定处置，防止污染环境。</w:t>
            </w:r>
          </w:p>
          <w:p w14:paraId="3D0F84D1">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eastAsia" w:ascii="方正仿宋_GBK" w:hAnsi="方正仿宋_GBK" w:eastAsia="方正仿宋_GBK" w:cs="方正仿宋_GBK"/>
                <w:b w:val="0"/>
                <w:bCs w:val="0"/>
                <w:color w:val="auto"/>
                <w:sz w:val="24"/>
                <w:szCs w:val="24"/>
                <w:highlight w:val="none"/>
                <w:lang w:val="en-US" w:eastAsia="zh-CN"/>
              </w:rPr>
            </w:pPr>
            <w:r>
              <w:rPr>
                <w:rFonts w:hint="eastAsia" w:ascii="方正仿宋_GBK" w:hAnsi="方正仿宋_GBK" w:eastAsia="方正仿宋_GBK" w:cs="方正仿宋_GBK"/>
                <w:b w:val="0"/>
                <w:bCs w:val="0"/>
                <w:color w:val="auto"/>
                <w:sz w:val="24"/>
                <w:szCs w:val="24"/>
                <w:highlight w:val="none"/>
                <w:lang w:val="en-US" w:eastAsia="zh-CN"/>
              </w:rPr>
              <w:t>（8）施工结束后，按“工完、料尽、场地清”的原则立即进行空地碎石铺装或者进行绿化，减少裸露地面面积。</w:t>
            </w:r>
          </w:p>
          <w:p w14:paraId="45CCDD39">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eastAsia" w:ascii="方正仿宋_GBK" w:hAnsi="方正仿宋_GBK" w:eastAsia="方正仿宋_GBK" w:cs="方正仿宋_GBK"/>
                <w:b w:val="0"/>
                <w:bCs w:val="0"/>
                <w:color w:val="auto"/>
                <w:sz w:val="24"/>
                <w:szCs w:val="24"/>
                <w:highlight w:val="none"/>
                <w:lang w:val="en-US" w:eastAsia="zh-CN"/>
              </w:rPr>
            </w:pPr>
            <w:r>
              <w:rPr>
                <w:rFonts w:hint="eastAsia" w:ascii="方正仿宋_GBK" w:hAnsi="方正仿宋_GBK" w:eastAsia="方正仿宋_GBK" w:cs="方正仿宋_GBK"/>
                <w:b w:val="0"/>
                <w:bCs w:val="0"/>
                <w:color w:val="auto"/>
                <w:sz w:val="24"/>
                <w:szCs w:val="24"/>
                <w:highlight w:val="none"/>
                <w:lang w:val="en-US" w:eastAsia="zh-CN"/>
              </w:rPr>
              <w:t>本工程施工期较短且施工地点较分散，在采取上述防护措施后，本工程施工期对环境空气影响较小。</w:t>
            </w:r>
          </w:p>
          <w:p w14:paraId="7CDFCA17">
            <w:pPr>
              <w:keepNext w:val="0"/>
              <w:keepLines w:val="0"/>
              <w:pageBreakBefore w:val="0"/>
              <w:widowControl/>
              <w:kinsoku/>
              <w:wordWrap/>
              <w:overflowPunct/>
              <w:topLinePunct w:val="0"/>
              <w:autoSpaceDE/>
              <w:autoSpaceDN/>
              <w:bidi w:val="0"/>
              <w:spacing w:line="360" w:lineRule="exact"/>
              <w:jc w:val="left"/>
              <w:textAlignment w:val="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b/>
                <w:sz w:val="24"/>
                <w:szCs w:val="24"/>
              </w:rPr>
              <w:t>2、</w:t>
            </w:r>
            <w:r>
              <w:rPr>
                <w:rFonts w:hint="eastAsia" w:ascii="方正仿宋_GBK" w:hAnsi="方正仿宋_GBK" w:eastAsia="方正仿宋_GBK" w:cs="方正仿宋_GBK"/>
                <w:b/>
                <w:sz w:val="24"/>
                <w:szCs w:val="24"/>
                <w:lang w:val="en-US" w:eastAsia="zh-CN"/>
              </w:rPr>
              <w:t>水环境</w:t>
            </w:r>
          </w:p>
          <w:p w14:paraId="0B02EDA0">
            <w:pPr>
              <w:pStyle w:val="33"/>
              <w:keepNext w:val="0"/>
              <w:keepLines w:val="0"/>
              <w:pageBreakBefore w:val="0"/>
              <w:widowControl w:val="0"/>
              <w:kinsoku/>
              <w:wordWrap/>
              <w:overflowPunct/>
              <w:topLinePunct w:val="0"/>
              <w:autoSpaceDE/>
              <w:autoSpaceDN/>
              <w:bidi w:val="0"/>
              <w:spacing w:line="360" w:lineRule="exact"/>
              <w:ind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r>
              <w:rPr>
                <w:rFonts w:hint="eastAsia" w:ascii="方正仿宋_GBK" w:hAnsi="方正仿宋_GBK" w:eastAsia="方正仿宋_GBK" w:cs="方正仿宋_GBK"/>
                <w:b w:val="0"/>
                <w:bCs w:val="0"/>
                <w:color w:val="auto"/>
                <w:sz w:val="24"/>
                <w:szCs w:val="24"/>
                <w:highlight w:val="none"/>
                <w:lang w:val="en-US" w:eastAsia="zh-CN"/>
              </w:rPr>
              <w:t>为减小工程施工期废污水对周围环境的影响，施工单位在整个施工期采取如下施工期废污水防治措施：</w:t>
            </w:r>
          </w:p>
          <w:p w14:paraId="2002D5AC">
            <w:pPr>
              <w:pStyle w:val="33"/>
              <w:keepNext w:val="0"/>
              <w:keepLines w:val="0"/>
              <w:pageBreakBefore w:val="0"/>
              <w:widowControl w:val="0"/>
              <w:kinsoku/>
              <w:wordWrap/>
              <w:overflowPunct/>
              <w:topLinePunct w:val="0"/>
              <w:autoSpaceDE/>
              <w:autoSpaceDN/>
              <w:bidi w:val="0"/>
              <w:spacing w:line="360" w:lineRule="exact"/>
              <w:ind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r>
              <w:rPr>
                <w:rFonts w:hint="eastAsia" w:ascii="方正仿宋_GBK" w:hAnsi="方正仿宋_GBK" w:eastAsia="方正仿宋_GBK" w:cs="方正仿宋_GBK"/>
                <w:b w:val="0"/>
                <w:bCs w:val="0"/>
                <w:color w:val="auto"/>
                <w:sz w:val="24"/>
                <w:szCs w:val="24"/>
                <w:highlight w:val="none"/>
                <w:lang w:val="en-US" w:eastAsia="zh-CN"/>
              </w:rPr>
              <w:t>（1）输电线路施工人员临时租用附近村庄民房或工屋，不单独设置施工营地，生活污水利用当地污水处理系统进行处理。</w:t>
            </w:r>
          </w:p>
          <w:p w14:paraId="0B323BA9">
            <w:pPr>
              <w:pStyle w:val="33"/>
              <w:keepNext w:val="0"/>
              <w:keepLines w:val="0"/>
              <w:pageBreakBefore w:val="0"/>
              <w:widowControl w:val="0"/>
              <w:kinsoku/>
              <w:wordWrap/>
              <w:overflowPunct/>
              <w:topLinePunct w:val="0"/>
              <w:autoSpaceDE/>
              <w:autoSpaceDN/>
              <w:bidi w:val="0"/>
              <w:spacing w:line="360" w:lineRule="exact"/>
              <w:ind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r>
              <w:rPr>
                <w:rFonts w:hint="eastAsia" w:ascii="方正仿宋_GBK" w:hAnsi="方正仿宋_GBK" w:eastAsia="方正仿宋_GBK" w:cs="方正仿宋_GBK"/>
                <w:b w:val="0"/>
                <w:bCs w:val="0"/>
                <w:color w:val="auto"/>
                <w:sz w:val="24"/>
                <w:szCs w:val="24"/>
                <w:highlight w:val="none"/>
                <w:lang w:val="en-US" w:eastAsia="zh-CN"/>
              </w:rPr>
              <w:t>（2施工废水、施工车辆清洗废水经收集、沉砂、澄清处理后回用，不外排。</w:t>
            </w:r>
          </w:p>
          <w:p w14:paraId="017BB4E7">
            <w:pPr>
              <w:pStyle w:val="33"/>
              <w:keepNext w:val="0"/>
              <w:keepLines w:val="0"/>
              <w:pageBreakBefore w:val="0"/>
              <w:widowControl w:val="0"/>
              <w:kinsoku/>
              <w:wordWrap/>
              <w:overflowPunct/>
              <w:topLinePunct w:val="0"/>
              <w:autoSpaceDE/>
              <w:autoSpaceDN/>
              <w:bidi w:val="0"/>
              <w:spacing w:line="360" w:lineRule="exact"/>
              <w:ind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r>
              <w:rPr>
                <w:rFonts w:hint="eastAsia" w:ascii="方正仿宋_GBK" w:hAnsi="方正仿宋_GBK" w:eastAsia="方正仿宋_GBK" w:cs="方正仿宋_GBK"/>
                <w:b w:val="0"/>
                <w:bCs w:val="0"/>
                <w:color w:val="auto"/>
                <w:sz w:val="24"/>
                <w:szCs w:val="24"/>
                <w:highlight w:val="none"/>
                <w:lang w:val="en-US" w:eastAsia="zh-CN"/>
              </w:rPr>
              <w:t>（3）施工单位要做好施工场地周边的拦挡措施，尽量避开雨季土石方作业。</w:t>
            </w:r>
          </w:p>
          <w:p w14:paraId="11E1A690">
            <w:pPr>
              <w:pStyle w:val="33"/>
              <w:keepNext w:val="0"/>
              <w:keepLines w:val="0"/>
              <w:pageBreakBefore w:val="0"/>
              <w:widowControl w:val="0"/>
              <w:kinsoku/>
              <w:wordWrap/>
              <w:overflowPunct/>
              <w:topLinePunct w:val="0"/>
              <w:autoSpaceDE/>
              <w:autoSpaceDN/>
              <w:bidi w:val="0"/>
              <w:spacing w:line="360" w:lineRule="exact"/>
              <w:ind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r>
              <w:rPr>
                <w:rFonts w:hint="eastAsia" w:ascii="方正仿宋_GBK" w:hAnsi="方正仿宋_GBK" w:eastAsia="方正仿宋_GBK" w:cs="方正仿宋_GBK"/>
                <w:b w:val="0"/>
                <w:bCs w:val="0"/>
                <w:color w:val="auto"/>
                <w:sz w:val="24"/>
                <w:szCs w:val="24"/>
                <w:highlight w:val="none"/>
                <w:lang w:val="en-US" w:eastAsia="zh-CN"/>
              </w:rPr>
              <w:t>（4）落实文明施工原则，不漫排施工废水，采取有效的拦蓄措施，防止施工废水进入附近水体。</w:t>
            </w:r>
          </w:p>
          <w:p w14:paraId="30B30EF7">
            <w:pPr>
              <w:pStyle w:val="33"/>
              <w:keepNext w:val="0"/>
              <w:keepLines w:val="0"/>
              <w:pageBreakBefore w:val="0"/>
              <w:widowControl w:val="0"/>
              <w:kinsoku/>
              <w:wordWrap/>
              <w:overflowPunct/>
              <w:topLinePunct w:val="0"/>
              <w:autoSpaceDE/>
              <w:autoSpaceDN/>
              <w:bidi w:val="0"/>
              <w:spacing w:line="360" w:lineRule="exact"/>
              <w:ind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r>
              <w:rPr>
                <w:rFonts w:hint="eastAsia" w:ascii="方正仿宋_GBK" w:hAnsi="方正仿宋_GBK" w:eastAsia="方正仿宋_GBK" w:cs="方正仿宋_GBK"/>
                <w:b w:val="0"/>
                <w:bCs w:val="0"/>
                <w:color w:val="auto"/>
                <w:sz w:val="24"/>
                <w:szCs w:val="24"/>
                <w:highlight w:val="none"/>
                <w:lang w:val="en-US" w:eastAsia="zh-CN"/>
              </w:rPr>
              <w:t>采取上述水环境影响防治措施后，工程施工废污水不会对周边水环境产生不良影响。</w:t>
            </w:r>
          </w:p>
          <w:p w14:paraId="0555E937">
            <w:pPr>
              <w:keepNext w:val="0"/>
              <w:keepLines w:val="0"/>
              <w:pageBreakBefore w:val="0"/>
              <w:widowControl/>
              <w:kinsoku/>
              <w:wordWrap/>
              <w:overflowPunct/>
              <w:topLinePunct w:val="0"/>
              <w:autoSpaceDE/>
              <w:autoSpaceDN/>
              <w:bidi w:val="0"/>
              <w:spacing w:line="360" w:lineRule="exact"/>
              <w:jc w:val="left"/>
              <w:textAlignment w:val="auto"/>
              <w:rPr>
                <w:rFonts w:hint="eastAsia" w:ascii="方正仿宋_GBK" w:hAnsi="方正仿宋_GBK" w:eastAsia="方正仿宋_GBK" w:cs="方正仿宋_GBK"/>
                <w:b/>
                <w:sz w:val="24"/>
                <w:szCs w:val="24"/>
                <w:lang w:eastAsia="zh-CN"/>
              </w:rPr>
            </w:pPr>
            <w:r>
              <w:rPr>
                <w:rFonts w:hint="eastAsia" w:ascii="方正仿宋_GBK" w:hAnsi="方正仿宋_GBK" w:eastAsia="方正仿宋_GBK" w:cs="方正仿宋_GBK"/>
                <w:b/>
                <w:sz w:val="24"/>
                <w:szCs w:val="24"/>
              </w:rPr>
              <w:t>3、</w:t>
            </w:r>
            <w:r>
              <w:rPr>
                <w:rFonts w:hint="eastAsia" w:ascii="方正仿宋_GBK" w:hAnsi="方正仿宋_GBK" w:eastAsia="方正仿宋_GBK" w:cs="方正仿宋_GBK"/>
                <w:b/>
                <w:sz w:val="24"/>
                <w:szCs w:val="24"/>
                <w:lang w:val="en-US" w:eastAsia="zh-CN"/>
              </w:rPr>
              <w:t>声环境</w:t>
            </w:r>
          </w:p>
          <w:p w14:paraId="7E8DB1D0">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eastAsia" w:ascii="方正仿宋_GBK" w:hAnsi="方正仿宋_GBK" w:eastAsia="方正仿宋_GBK" w:cs="方正仿宋_GBK"/>
                <w:b w:val="0"/>
                <w:bCs w:val="0"/>
                <w:color w:val="auto"/>
                <w:sz w:val="24"/>
                <w:szCs w:val="24"/>
                <w:highlight w:val="none"/>
                <w:lang w:val="zh-CN" w:eastAsia="zh-CN"/>
              </w:rPr>
            </w:pPr>
            <w:r>
              <w:rPr>
                <w:rFonts w:hint="eastAsia" w:ascii="方正仿宋_GBK" w:hAnsi="方正仿宋_GBK" w:eastAsia="方正仿宋_GBK" w:cs="方正仿宋_GBK"/>
                <w:b w:val="0"/>
                <w:bCs w:val="0"/>
                <w:color w:val="auto"/>
                <w:sz w:val="24"/>
                <w:szCs w:val="24"/>
                <w:highlight w:val="none"/>
                <w:lang w:val="zh-CN" w:eastAsia="zh-CN"/>
              </w:rPr>
              <w:t>（1）施工单位文明施工，加强施工期的环境管理和环境监控工作，并接受生态环境主管部门的监督管理。</w:t>
            </w:r>
          </w:p>
          <w:p w14:paraId="73AB6703">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eastAsia" w:ascii="方正仿宋_GBK" w:hAnsi="方正仿宋_GBK" w:eastAsia="方正仿宋_GBK" w:cs="方正仿宋_GBK"/>
                <w:b w:val="0"/>
                <w:bCs w:val="0"/>
                <w:color w:val="auto"/>
                <w:sz w:val="24"/>
                <w:szCs w:val="24"/>
                <w:highlight w:val="none"/>
                <w:lang w:val="zh-CN" w:eastAsia="zh-CN"/>
              </w:rPr>
            </w:pPr>
            <w:r>
              <w:rPr>
                <w:rFonts w:hint="eastAsia" w:ascii="方正仿宋_GBK" w:hAnsi="方正仿宋_GBK" w:eastAsia="方正仿宋_GBK" w:cs="方正仿宋_GBK"/>
                <w:b w:val="0"/>
                <w:bCs w:val="0"/>
                <w:color w:val="auto"/>
                <w:sz w:val="24"/>
                <w:szCs w:val="24"/>
                <w:highlight w:val="none"/>
                <w:lang w:val="zh-CN" w:eastAsia="zh-CN"/>
              </w:rPr>
              <w:t>（2）施工单位采用噪声水平满足国家相应标准的施工机械设备，并在施工场周围设置围挡措施以减小施工噪声影响。</w:t>
            </w:r>
          </w:p>
          <w:p w14:paraId="2B9B1584">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eastAsia" w:ascii="方正仿宋_GBK" w:hAnsi="方正仿宋_GBK" w:eastAsia="方正仿宋_GBK" w:cs="方正仿宋_GBK"/>
                <w:b w:val="0"/>
                <w:bCs w:val="0"/>
                <w:color w:val="auto"/>
                <w:sz w:val="24"/>
                <w:szCs w:val="24"/>
                <w:highlight w:val="none"/>
                <w:lang w:val="zh-CN" w:eastAsia="zh-CN"/>
              </w:rPr>
            </w:pPr>
            <w:r>
              <w:rPr>
                <w:rFonts w:hint="eastAsia" w:ascii="方正仿宋_GBK" w:hAnsi="方正仿宋_GBK" w:eastAsia="方正仿宋_GBK" w:cs="方正仿宋_GBK"/>
                <w:b w:val="0"/>
                <w:bCs w:val="0"/>
                <w:color w:val="auto"/>
                <w:sz w:val="24"/>
                <w:szCs w:val="24"/>
                <w:highlight w:val="none"/>
                <w:lang w:val="zh-CN" w:eastAsia="zh-CN"/>
              </w:rPr>
              <w:t>（3）产生高噪声影响的施工作业安排在白天进行，合理安排工期，施工尽量安排在白天进行。</w:t>
            </w:r>
          </w:p>
          <w:p w14:paraId="633A8743">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eastAsia" w:ascii="方正仿宋_GBK" w:hAnsi="方正仿宋_GBK" w:eastAsia="方正仿宋_GBK" w:cs="方正仿宋_GBK"/>
                <w:b w:val="0"/>
                <w:bCs w:val="0"/>
                <w:color w:val="auto"/>
                <w:sz w:val="24"/>
                <w:szCs w:val="24"/>
                <w:highlight w:val="none"/>
                <w:lang w:val="zh-CN" w:eastAsia="zh-CN"/>
              </w:rPr>
            </w:pPr>
            <w:r>
              <w:rPr>
                <w:rFonts w:hint="eastAsia" w:ascii="方正仿宋_GBK" w:hAnsi="方正仿宋_GBK" w:eastAsia="方正仿宋_GBK" w:cs="方正仿宋_GBK"/>
                <w:b w:val="0"/>
                <w:bCs w:val="0"/>
                <w:color w:val="auto"/>
                <w:sz w:val="24"/>
                <w:szCs w:val="24"/>
                <w:highlight w:val="none"/>
                <w:lang w:val="zh-CN" w:eastAsia="zh-CN"/>
              </w:rPr>
              <w:t>（4）加强施工车辆在施工区附近的交通管理，当车辆途经附近居民点时，限速行驶、不高声鸣号，以减少施工车辆行驶对沿途居民点的噪声影响。</w:t>
            </w:r>
          </w:p>
          <w:p w14:paraId="2AF5F901">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eastAsia" w:ascii="方正仿宋_GBK" w:hAnsi="方正仿宋_GBK" w:eastAsia="方正仿宋_GBK" w:cs="方正仿宋_GBK"/>
                <w:b w:val="0"/>
                <w:bCs w:val="0"/>
                <w:color w:val="auto"/>
                <w:sz w:val="24"/>
                <w:szCs w:val="24"/>
                <w:highlight w:val="none"/>
                <w:lang w:val="zh-CN" w:eastAsia="zh-CN"/>
              </w:rPr>
            </w:pPr>
            <w:r>
              <w:rPr>
                <w:rFonts w:hint="eastAsia" w:ascii="方正仿宋_GBK" w:hAnsi="方正仿宋_GBK" w:eastAsia="方正仿宋_GBK" w:cs="方正仿宋_GBK"/>
                <w:b w:val="0"/>
                <w:bCs w:val="0"/>
                <w:color w:val="auto"/>
                <w:sz w:val="24"/>
                <w:szCs w:val="24"/>
                <w:highlight w:val="none"/>
                <w:lang w:val="zh-CN" w:eastAsia="zh-CN"/>
              </w:rPr>
              <w:t>（5）在施工时应合理安排施工工序，减少施工时长，施工时应与敏感目标住户沟通，合理安排施工时间。</w:t>
            </w:r>
          </w:p>
          <w:p w14:paraId="5D42EED5">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eastAsia" w:ascii="方正仿宋_GBK" w:hAnsi="方正仿宋_GBK" w:eastAsia="方正仿宋_GBK" w:cs="方正仿宋_GBK"/>
                <w:b w:val="0"/>
                <w:bCs w:val="0"/>
                <w:color w:val="auto"/>
                <w:sz w:val="24"/>
                <w:szCs w:val="24"/>
                <w:highlight w:val="none"/>
                <w:lang w:val="zh-CN" w:eastAsia="zh-CN"/>
              </w:rPr>
            </w:pPr>
            <w:r>
              <w:rPr>
                <w:rFonts w:hint="eastAsia" w:ascii="方正仿宋_GBK" w:hAnsi="方正仿宋_GBK" w:eastAsia="方正仿宋_GBK" w:cs="方正仿宋_GBK"/>
                <w:b w:val="0"/>
                <w:bCs w:val="0"/>
                <w:color w:val="auto"/>
                <w:sz w:val="24"/>
                <w:szCs w:val="24"/>
                <w:highlight w:val="none"/>
                <w:lang w:val="zh-CN" w:eastAsia="zh-CN"/>
              </w:rPr>
              <w:t>本工程线路塔基处分散施工，单个塔基施工期较短，在采取上述环境保护措施后，本工程施工期对声环境影响可控。</w:t>
            </w:r>
          </w:p>
          <w:p w14:paraId="69A779D6">
            <w:pPr>
              <w:keepNext w:val="0"/>
              <w:keepLines w:val="0"/>
              <w:pageBreakBefore w:val="0"/>
              <w:widowControl/>
              <w:kinsoku/>
              <w:wordWrap/>
              <w:overflowPunct/>
              <w:topLinePunct w:val="0"/>
              <w:autoSpaceDE/>
              <w:autoSpaceDN/>
              <w:bidi w:val="0"/>
              <w:spacing w:line="360" w:lineRule="exact"/>
              <w:jc w:val="left"/>
              <w:textAlignment w:val="auto"/>
              <w:rPr>
                <w:rFonts w:hint="eastAsia" w:ascii="方正仿宋_GBK" w:hAnsi="方正仿宋_GBK" w:eastAsia="方正仿宋_GBK" w:cs="方正仿宋_GBK"/>
                <w:b/>
                <w:sz w:val="24"/>
                <w:szCs w:val="24"/>
                <w:lang w:val="en-US" w:eastAsia="zh-CN"/>
              </w:rPr>
            </w:pPr>
            <w:r>
              <w:rPr>
                <w:rFonts w:hint="eastAsia" w:ascii="方正仿宋_GBK" w:hAnsi="方正仿宋_GBK" w:eastAsia="方正仿宋_GBK" w:cs="方正仿宋_GBK"/>
                <w:b/>
                <w:sz w:val="24"/>
                <w:szCs w:val="24"/>
              </w:rPr>
              <w:t>4、</w:t>
            </w:r>
            <w:r>
              <w:rPr>
                <w:rFonts w:hint="eastAsia" w:ascii="方正仿宋_GBK" w:hAnsi="方正仿宋_GBK" w:eastAsia="方正仿宋_GBK" w:cs="方正仿宋_GBK"/>
                <w:b/>
                <w:sz w:val="24"/>
                <w:szCs w:val="24"/>
                <w:lang w:val="en-US" w:eastAsia="zh-CN"/>
              </w:rPr>
              <w:t>固体废物</w:t>
            </w:r>
          </w:p>
          <w:p w14:paraId="0C7C2288">
            <w:pPr>
              <w:pStyle w:val="31"/>
              <w:keepNext w:val="0"/>
              <w:keepLines w:val="0"/>
              <w:pageBreakBefore w:val="0"/>
              <w:widowControl w:val="0"/>
              <w:kinsoku/>
              <w:wordWrap/>
              <w:overflowPunct/>
              <w:topLinePunct w:val="0"/>
              <w:autoSpaceDE/>
              <w:autoSpaceDN/>
              <w:bidi w:val="0"/>
              <w:adjustRightInd/>
              <w:snapToGrid/>
              <w:spacing w:line="360" w:lineRule="exact"/>
              <w:ind w:left="0" w:right="0" w:firstLine="468" w:firstLineChars="200"/>
              <w:textAlignment w:val="auto"/>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pacing w:val="-3"/>
                <w:sz w:val="24"/>
                <w:szCs w:val="24"/>
              </w:rPr>
              <w:t>（1）新建输电线路塔基</w:t>
            </w:r>
            <w:r>
              <w:rPr>
                <w:rFonts w:hint="eastAsia" w:ascii="方正仿宋_GBK" w:hAnsi="方正仿宋_GBK" w:eastAsia="方正仿宋_GBK" w:cs="方正仿宋_GBK"/>
                <w:color w:val="auto"/>
                <w:spacing w:val="-3"/>
                <w:sz w:val="24"/>
                <w:szCs w:val="24"/>
                <w:lang w:val="en-US" w:eastAsia="zh-CN"/>
              </w:rPr>
              <w:t>、地下管廊、变电站</w:t>
            </w:r>
            <w:r>
              <w:rPr>
                <w:rFonts w:hint="eastAsia" w:ascii="方正仿宋_GBK" w:hAnsi="方正仿宋_GBK" w:eastAsia="方正仿宋_GBK" w:cs="方正仿宋_GBK"/>
                <w:color w:val="auto"/>
                <w:spacing w:val="-3"/>
                <w:sz w:val="24"/>
                <w:szCs w:val="24"/>
              </w:rPr>
              <w:t>开挖多余土方在塔基征地范围内进行平整，同时在表面</w:t>
            </w:r>
            <w:r>
              <w:rPr>
                <w:rFonts w:hint="eastAsia" w:ascii="方正仿宋_GBK" w:hAnsi="方正仿宋_GBK" w:eastAsia="方正仿宋_GBK" w:cs="方正仿宋_GBK"/>
                <w:color w:val="auto"/>
                <w:spacing w:val="-6"/>
                <w:sz w:val="24"/>
                <w:szCs w:val="24"/>
              </w:rPr>
              <w:t>进行绿化恢复</w:t>
            </w:r>
            <w:r>
              <w:rPr>
                <w:rFonts w:hint="eastAsia" w:ascii="方正仿宋_GBK" w:hAnsi="方正仿宋_GBK" w:eastAsia="方正仿宋_GBK" w:cs="方正仿宋_GBK"/>
                <w:color w:val="auto"/>
                <w:spacing w:val="-6"/>
                <w:sz w:val="24"/>
                <w:szCs w:val="24"/>
                <w:lang w:eastAsia="zh-CN"/>
              </w:rPr>
              <w:t>，</w:t>
            </w:r>
            <w:r>
              <w:rPr>
                <w:rFonts w:hint="eastAsia" w:ascii="方正仿宋_GBK" w:hAnsi="方正仿宋_GBK" w:eastAsia="方正仿宋_GBK" w:cs="方正仿宋_GBK"/>
                <w:color w:val="auto"/>
                <w:spacing w:val="-6"/>
                <w:sz w:val="24"/>
                <w:szCs w:val="24"/>
                <w:lang w:val="en-US" w:eastAsia="zh-CN"/>
              </w:rPr>
              <w:t>多余土石方应运至政府指定弃渣场，由于N21-N27塔基段临近生态保护红线，禁止将多余的土石方堆至生态保护红线内</w:t>
            </w:r>
            <w:r>
              <w:rPr>
                <w:rFonts w:hint="eastAsia" w:ascii="方正仿宋_GBK" w:hAnsi="方正仿宋_GBK" w:eastAsia="方正仿宋_GBK" w:cs="方正仿宋_GBK"/>
                <w:color w:val="auto"/>
                <w:spacing w:val="-6"/>
                <w:sz w:val="24"/>
                <w:szCs w:val="24"/>
              </w:rPr>
              <w:t>。</w:t>
            </w:r>
          </w:p>
          <w:p w14:paraId="104366DF">
            <w:pPr>
              <w:pStyle w:val="31"/>
              <w:keepNext w:val="0"/>
              <w:keepLines w:val="0"/>
              <w:pageBreakBefore w:val="0"/>
              <w:widowControl w:val="0"/>
              <w:kinsoku/>
              <w:wordWrap/>
              <w:overflowPunct/>
              <w:topLinePunct w:val="0"/>
              <w:autoSpaceDE/>
              <w:autoSpaceDN/>
              <w:bidi w:val="0"/>
              <w:adjustRightInd/>
              <w:snapToGrid/>
              <w:spacing w:line="360" w:lineRule="exact"/>
              <w:ind w:left="0" w:right="0" w:firstLine="468" w:firstLineChars="200"/>
              <w:textAlignment w:val="auto"/>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pacing w:val="-3"/>
                <w:sz w:val="24"/>
                <w:szCs w:val="24"/>
              </w:rPr>
              <w:t>（2）施工过程中的建筑垃圾及生活垃圾分别收集存放，及时清运。项目施工产生的少许建筑垃圾施工完成后进行收集，运至政府指定的建筑垃圾处置场进行处置。施工过程中产生的生活垃圾日产日清，由施工人员自行带走。</w:t>
            </w:r>
          </w:p>
          <w:p w14:paraId="4B5CE560">
            <w:pPr>
              <w:pStyle w:val="31"/>
              <w:keepNext w:val="0"/>
              <w:keepLines w:val="0"/>
              <w:pageBreakBefore w:val="0"/>
              <w:widowControl w:val="0"/>
              <w:kinsoku/>
              <w:wordWrap/>
              <w:overflowPunct/>
              <w:topLinePunct w:val="0"/>
              <w:autoSpaceDE/>
              <w:autoSpaceDN/>
              <w:bidi w:val="0"/>
              <w:adjustRightInd/>
              <w:snapToGrid/>
              <w:spacing w:line="360" w:lineRule="exact"/>
              <w:ind w:left="0" w:right="0" w:firstLine="476" w:firstLineChars="200"/>
              <w:textAlignment w:val="auto"/>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pacing w:val="-1"/>
                <w:sz w:val="24"/>
                <w:szCs w:val="24"/>
              </w:rPr>
              <w:t>（3）施工结束后对施工区域再次进行清理，做到“工完、料尽、场地清”。</w:t>
            </w:r>
          </w:p>
          <w:p w14:paraId="5E20C4AC">
            <w:pPr>
              <w:pStyle w:val="31"/>
              <w:keepNext w:val="0"/>
              <w:keepLines w:val="0"/>
              <w:pageBreakBefore w:val="0"/>
              <w:widowControl w:val="0"/>
              <w:kinsoku/>
              <w:wordWrap/>
              <w:overflowPunct/>
              <w:topLinePunct w:val="0"/>
              <w:autoSpaceDE/>
              <w:autoSpaceDN/>
              <w:bidi w:val="0"/>
              <w:adjustRightInd/>
              <w:snapToGrid/>
              <w:spacing w:line="360" w:lineRule="exact"/>
              <w:ind w:left="0" w:right="0" w:firstLine="468" w:firstLineChars="200"/>
              <w:textAlignment w:val="auto"/>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pacing w:val="-3"/>
                <w:sz w:val="24"/>
                <w:szCs w:val="24"/>
              </w:rPr>
              <w:t>（</w:t>
            </w:r>
            <w:r>
              <w:rPr>
                <w:rFonts w:hint="eastAsia" w:ascii="方正仿宋_GBK" w:hAnsi="方正仿宋_GBK" w:eastAsia="方正仿宋_GBK" w:cs="方正仿宋_GBK"/>
                <w:color w:val="auto"/>
                <w:spacing w:val="-3"/>
                <w:sz w:val="24"/>
                <w:szCs w:val="24"/>
                <w:lang w:val="en-US" w:eastAsia="zh-CN"/>
              </w:rPr>
              <w:t>4</w:t>
            </w:r>
            <w:r>
              <w:rPr>
                <w:rFonts w:hint="eastAsia" w:ascii="方正仿宋_GBK" w:hAnsi="方正仿宋_GBK" w:eastAsia="方正仿宋_GBK" w:cs="方正仿宋_GBK"/>
                <w:color w:val="auto"/>
                <w:spacing w:val="-3"/>
                <w:sz w:val="24"/>
                <w:szCs w:val="24"/>
              </w:rPr>
              <w:t>）回收可利用的废建材，对于不可回收利用的建材和建筑垃圾由施工单位运送至相关部门指定的地点进行处置。</w:t>
            </w:r>
          </w:p>
          <w:p w14:paraId="17CFE8DF">
            <w:pPr>
              <w:keepNext w:val="0"/>
              <w:keepLines w:val="0"/>
              <w:pageBreakBefore w:val="0"/>
              <w:widowControl/>
              <w:numPr>
                <w:ilvl w:val="0"/>
                <w:numId w:val="1"/>
              </w:numPr>
              <w:kinsoku/>
              <w:wordWrap/>
              <w:overflowPunct/>
              <w:topLinePunct w:val="0"/>
              <w:autoSpaceDE/>
              <w:autoSpaceDN/>
              <w:bidi w:val="0"/>
              <w:spacing w:line="360" w:lineRule="exact"/>
              <w:jc w:val="left"/>
              <w:textAlignment w:val="auto"/>
              <w:rPr>
                <w:rFonts w:hint="eastAsia" w:ascii="方正仿宋_GBK" w:hAnsi="方正仿宋_GBK" w:eastAsia="方正仿宋_GBK" w:cs="方正仿宋_GBK"/>
                <w:b/>
                <w:sz w:val="24"/>
                <w:szCs w:val="24"/>
                <w:lang w:val="en-US" w:eastAsia="zh-CN"/>
              </w:rPr>
            </w:pPr>
            <w:r>
              <w:rPr>
                <w:rFonts w:hint="eastAsia" w:ascii="方正仿宋_GBK" w:hAnsi="方正仿宋_GBK" w:eastAsia="方正仿宋_GBK" w:cs="方正仿宋_GBK"/>
                <w:b/>
                <w:sz w:val="24"/>
                <w:szCs w:val="24"/>
                <w:lang w:val="en-US" w:eastAsia="zh-CN"/>
              </w:rPr>
              <w:t>生态环境</w:t>
            </w:r>
          </w:p>
          <w:p w14:paraId="3863C984">
            <w:pPr>
              <w:pStyle w:val="33"/>
              <w:keepNext w:val="0"/>
              <w:keepLines w:val="0"/>
              <w:pageBreakBefore w:val="0"/>
              <w:widowControl w:val="0"/>
              <w:kinsoku/>
              <w:wordWrap/>
              <w:overflowPunct/>
              <w:topLinePunct w:val="0"/>
              <w:autoSpaceDE/>
              <w:autoSpaceDN/>
              <w:bidi w:val="0"/>
              <w:spacing w:line="360" w:lineRule="exact"/>
              <w:ind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r>
              <w:rPr>
                <w:rFonts w:hint="eastAsia" w:ascii="方正仿宋_GBK" w:hAnsi="方正仿宋_GBK" w:eastAsia="方正仿宋_GBK" w:cs="方正仿宋_GBK"/>
                <w:b w:val="0"/>
                <w:bCs w:val="0"/>
                <w:color w:val="auto"/>
                <w:sz w:val="24"/>
                <w:szCs w:val="24"/>
                <w:highlight w:val="none"/>
                <w:lang w:val="en-US" w:eastAsia="zh-CN"/>
              </w:rPr>
              <w:t>项目的主要植被环境影响集中在架空线路段，地下电缆段基本位于农田区在施工结束后及时恢复为农田，对周边的植被影响甚小，项目植被及植物影响减缓措施如下：</w:t>
            </w:r>
          </w:p>
          <w:p w14:paraId="7B525F5F">
            <w:pPr>
              <w:pStyle w:val="33"/>
              <w:keepNext w:val="0"/>
              <w:keepLines w:val="0"/>
              <w:pageBreakBefore w:val="0"/>
              <w:widowControl w:val="0"/>
              <w:kinsoku/>
              <w:wordWrap/>
              <w:overflowPunct/>
              <w:topLinePunct w:val="0"/>
              <w:autoSpaceDE/>
              <w:autoSpaceDN/>
              <w:bidi w:val="0"/>
              <w:spacing w:line="360" w:lineRule="exact"/>
              <w:ind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r>
              <w:rPr>
                <w:rFonts w:hint="eastAsia" w:ascii="方正仿宋_GBK" w:hAnsi="方正仿宋_GBK" w:eastAsia="方正仿宋_GBK" w:cs="方正仿宋_GBK"/>
                <w:b w:val="0"/>
                <w:bCs w:val="0"/>
                <w:color w:val="auto"/>
                <w:sz w:val="24"/>
                <w:szCs w:val="24"/>
                <w:highlight w:val="none"/>
                <w:lang w:val="en-US" w:eastAsia="zh-CN"/>
              </w:rPr>
              <w:t>（1）严格按照征地范围进行施工，划定最小施工范围，严格划定施工界限，禁止超范围占地，避免超计划占用林地、林木，严禁随意扩大占地范围，严禁施工人员砍伐、破坏工程占地区外的植被，禁止随意踩踏农作物。严禁工程进入生态保护红线等环境敏感区。</w:t>
            </w:r>
          </w:p>
          <w:p w14:paraId="017B511C">
            <w:pPr>
              <w:pStyle w:val="33"/>
              <w:keepNext w:val="0"/>
              <w:keepLines w:val="0"/>
              <w:pageBreakBefore w:val="0"/>
              <w:widowControl w:val="0"/>
              <w:kinsoku/>
              <w:wordWrap/>
              <w:overflowPunct/>
              <w:topLinePunct w:val="0"/>
              <w:autoSpaceDE/>
              <w:autoSpaceDN/>
              <w:bidi w:val="0"/>
              <w:spacing w:line="360" w:lineRule="exact"/>
              <w:ind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r>
              <w:rPr>
                <w:rFonts w:hint="eastAsia" w:ascii="方正仿宋_GBK" w:hAnsi="方正仿宋_GBK" w:eastAsia="方正仿宋_GBK" w:cs="方正仿宋_GBK"/>
                <w:b w:val="0"/>
                <w:bCs w:val="0"/>
                <w:color w:val="auto"/>
                <w:sz w:val="24"/>
                <w:szCs w:val="24"/>
                <w:highlight w:val="none"/>
                <w:lang w:val="en-US" w:eastAsia="zh-CN"/>
              </w:rPr>
              <w:t>（2）尽量利用原有田间道路、机耕路、林区小路等现有道路作为施工便道，必要时采用人抬马驮或架设索道相结合方式进行材料运输，减小施工道路开辟对植物植被及野生动物生境的破坏。</w:t>
            </w:r>
          </w:p>
          <w:p w14:paraId="62BA5D3B">
            <w:pPr>
              <w:pStyle w:val="33"/>
              <w:keepNext w:val="0"/>
              <w:keepLines w:val="0"/>
              <w:pageBreakBefore w:val="0"/>
              <w:widowControl w:val="0"/>
              <w:kinsoku/>
              <w:wordWrap/>
              <w:overflowPunct/>
              <w:topLinePunct w:val="0"/>
              <w:autoSpaceDE/>
              <w:autoSpaceDN/>
              <w:bidi w:val="0"/>
              <w:spacing w:line="360" w:lineRule="exact"/>
              <w:ind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r>
              <w:rPr>
                <w:rFonts w:hint="eastAsia" w:ascii="方正仿宋_GBK" w:hAnsi="方正仿宋_GBK" w:eastAsia="方正仿宋_GBK" w:cs="方正仿宋_GBK"/>
                <w:b w:val="0"/>
                <w:bCs w:val="0"/>
                <w:color w:val="auto"/>
                <w:sz w:val="24"/>
                <w:szCs w:val="24"/>
                <w:highlight w:val="none"/>
                <w:lang w:val="en-US" w:eastAsia="zh-CN"/>
              </w:rPr>
              <w:t>（3）施工期牵张场等临时施工用地尽量选择荒草地或裸露地表处，主动避让林木及耕地，不得占用生态保护红线和永久基本农田。</w:t>
            </w:r>
          </w:p>
          <w:p w14:paraId="6984B042">
            <w:pPr>
              <w:pStyle w:val="33"/>
              <w:keepNext w:val="0"/>
              <w:keepLines w:val="0"/>
              <w:pageBreakBefore w:val="0"/>
              <w:widowControl w:val="0"/>
              <w:kinsoku/>
              <w:wordWrap/>
              <w:overflowPunct/>
              <w:topLinePunct w:val="0"/>
              <w:autoSpaceDE/>
              <w:autoSpaceDN/>
              <w:bidi w:val="0"/>
              <w:spacing w:line="360" w:lineRule="exact"/>
              <w:ind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r>
              <w:rPr>
                <w:rFonts w:hint="eastAsia" w:ascii="方正仿宋_GBK" w:hAnsi="方正仿宋_GBK" w:eastAsia="方正仿宋_GBK" w:cs="方正仿宋_GBK"/>
                <w:b w:val="0"/>
                <w:bCs w:val="0"/>
                <w:color w:val="auto"/>
                <w:sz w:val="24"/>
                <w:szCs w:val="24"/>
                <w:highlight w:val="none"/>
                <w:lang w:val="en-US" w:eastAsia="zh-CN"/>
              </w:rPr>
              <w:t>（4）对线路沿线经过的林地，采取高跨方式通过，保证线路对地弧垂距离树冠（自然生长高度下）不低于4m的安全要求，严禁砍伐通道；输电线路采用先进的架线工艺，如飞艇、无人机、动力伞或溜索等环境友好型施工工艺，减少对线路走廊下方植被的破坏。</w:t>
            </w:r>
          </w:p>
          <w:p w14:paraId="77077596">
            <w:pPr>
              <w:pStyle w:val="33"/>
              <w:keepNext w:val="0"/>
              <w:keepLines w:val="0"/>
              <w:pageBreakBefore w:val="0"/>
              <w:widowControl w:val="0"/>
              <w:kinsoku/>
              <w:wordWrap/>
              <w:overflowPunct/>
              <w:topLinePunct w:val="0"/>
              <w:autoSpaceDE/>
              <w:autoSpaceDN/>
              <w:bidi w:val="0"/>
              <w:spacing w:line="360" w:lineRule="exact"/>
              <w:ind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r>
              <w:rPr>
                <w:rFonts w:hint="eastAsia" w:ascii="方正仿宋_GBK" w:hAnsi="方正仿宋_GBK" w:eastAsia="方正仿宋_GBK" w:cs="方正仿宋_GBK"/>
                <w:b w:val="0"/>
                <w:bCs w:val="0"/>
                <w:color w:val="auto"/>
                <w:sz w:val="24"/>
                <w:szCs w:val="24"/>
                <w:highlight w:val="none"/>
                <w:lang w:val="en-US" w:eastAsia="zh-CN"/>
              </w:rPr>
              <w:t>（5）塔基、电缆管廊施工开挖时应分层开挖，分层堆放，注意表土保护以用于后期植被恢复，施工结束后按原土层顺序分层回填，以利于后期植被恢复。对塔位表层无植被或植被很稀疏的塔基，为防止水土流失，施工结束后通过土地整治、表土覆盖，选择乡土树草种进行植被恢复。</w:t>
            </w:r>
          </w:p>
          <w:p w14:paraId="00FF7E1B">
            <w:pPr>
              <w:pStyle w:val="33"/>
              <w:keepNext w:val="0"/>
              <w:keepLines w:val="0"/>
              <w:pageBreakBefore w:val="0"/>
              <w:widowControl w:val="0"/>
              <w:kinsoku/>
              <w:wordWrap/>
              <w:overflowPunct/>
              <w:topLinePunct w:val="0"/>
              <w:autoSpaceDE/>
              <w:autoSpaceDN/>
              <w:bidi w:val="0"/>
              <w:spacing w:line="360" w:lineRule="exact"/>
              <w:ind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r>
              <w:rPr>
                <w:rFonts w:hint="eastAsia" w:ascii="方正仿宋_GBK" w:hAnsi="方正仿宋_GBK" w:eastAsia="方正仿宋_GBK" w:cs="方正仿宋_GBK"/>
                <w:b w:val="0"/>
                <w:bCs w:val="0"/>
                <w:color w:val="auto"/>
                <w:sz w:val="24"/>
                <w:szCs w:val="24"/>
                <w:highlight w:val="none"/>
                <w:lang w:val="en-US" w:eastAsia="zh-CN"/>
              </w:rPr>
              <w:t>对基本农田的保护措施：</w:t>
            </w:r>
          </w:p>
          <w:p w14:paraId="182E39F5">
            <w:pPr>
              <w:keepNext w:val="0"/>
              <w:keepLines w:val="0"/>
              <w:pageBreakBefore w:val="0"/>
              <w:widowControl/>
              <w:kinsoku/>
              <w:wordWrap/>
              <w:overflowPunct/>
              <w:topLinePunct w:val="0"/>
              <w:autoSpaceDE/>
              <w:autoSpaceDN/>
              <w:bidi w:val="0"/>
              <w:spacing w:line="360" w:lineRule="exact"/>
              <w:jc w:val="left"/>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二、运营期环境保护</w:t>
            </w:r>
            <w:r>
              <w:rPr>
                <w:rFonts w:hint="eastAsia" w:ascii="方正仿宋_GBK" w:hAnsi="方正仿宋_GBK" w:eastAsia="方正仿宋_GBK" w:cs="方正仿宋_GBK"/>
                <w:b/>
                <w:sz w:val="24"/>
                <w:szCs w:val="24"/>
              </w:rPr>
              <w:t>措施</w:t>
            </w:r>
            <w:r>
              <w:rPr>
                <w:rFonts w:hint="eastAsia" w:ascii="方正仿宋_GBK" w:hAnsi="方正仿宋_GBK" w:eastAsia="方正仿宋_GBK" w:cs="方正仿宋_GBK"/>
                <w:b/>
                <w:bCs/>
                <w:sz w:val="24"/>
                <w:szCs w:val="24"/>
              </w:rPr>
              <w:t>：</w:t>
            </w:r>
          </w:p>
          <w:p w14:paraId="0B6D15D7">
            <w:pPr>
              <w:keepNext w:val="0"/>
              <w:keepLines w:val="0"/>
              <w:pageBreakBefore w:val="0"/>
              <w:widowControl/>
              <w:kinsoku/>
              <w:wordWrap/>
              <w:overflowPunct/>
              <w:topLinePunct w:val="0"/>
              <w:autoSpaceDE/>
              <w:autoSpaceDN/>
              <w:bidi w:val="0"/>
              <w:spacing w:line="360" w:lineRule="exact"/>
              <w:jc w:val="left"/>
              <w:textAlignment w:val="auto"/>
              <w:rPr>
                <w:rFonts w:hint="eastAsia" w:ascii="方正仿宋_GBK" w:hAnsi="方正仿宋_GBK" w:eastAsia="方正仿宋_GBK" w:cs="方正仿宋_GBK"/>
                <w:b/>
                <w:sz w:val="24"/>
                <w:szCs w:val="24"/>
                <w:lang w:val="zh-CN" w:eastAsia="zh-CN"/>
              </w:rPr>
            </w:pPr>
            <w:r>
              <w:rPr>
                <w:rFonts w:hint="eastAsia" w:ascii="方正仿宋_GBK" w:hAnsi="方正仿宋_GBK" w:cs="方正仿宋_GBK"/>
                <w:b/>
                <w:sz w:val="24"/>
                <w:szCs w:val="24"/>
                <w:lang w:val="en-US" w:eastAsia="zh-CN"/>
              </w:rPr>
              <w:t>1</w:t>
            </w:r>
            <w:r>
              <w:rPr>
                <w:rFonts w:hint="eastAsia" w:ascii="方正仿宋_GBK" w:hAnsi="方正仿宋_GBK" w:eastAsia="方正仿宋_GBK" w:cs="方正仿宋_GBK"/>
                <w:b/>
                <w:sz w:val="24"/>
                <w:szCs w:val="24"/>
                <w:lang w:val="zh-CN" w:eastAsia="zh-CN"/>
              </w:rPr>
              <w:t>、废水</w:t>
            </w:r>
          </w:p>
          <w:p w14:paraId="5C676CC5">
            <w:pPr>
              <w:pStyle w:val="33"/>
              <w:keepNext w:val="0"/>
              <w:keepLines w:val="0"/>
              <w:pageBreakBefore w:val="0"/>
              <w:widowControl w:val="0"/>
              <w:kinsoku/>
              <w:wordWrap/>
              <w:overflowPunct/>
              <w:topLinePunct w:val="0"/>
              <w:autoSpaceDE/>
              <w:autoSpaceDN/>
              <w:bidi w:val="0"/>
              <w:spacing w:line="360" w:lineRule="exact"/>
              <w:ind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r>
              <w:rPr>
                <w:rFonts w:hint="eastAsia" w:ascii="方正仿宋_GBK" w:hAnsi="方正仿宋_GBK" w:eastAsia="方正仿宋_GBK" w:cs="方正仿宋_GBK"/>
                <w:b w:val="0"/>
                <w:bCs w:val="0"/>
                <w:color w:val="auto"/>
                <w:sz w:val="24"/>
                <w:szCs w:val="24"/>
                <w:highlight w:val="none"/>
                <w:lang w:val="en-US" w:eastAsia="zh-CN"/>
              </w:rPr>
              <w:t>运营期输电线路不产生工业污水，项目产生的生活污水进入现有厂区内的化粪池处理后用于周边农田施肥使用，不会对项目周边水环境产生影响。</w:t>
            </w:r>
          </w:p>
          <w:p w14:paraId="617327FC">
            <w:pPr>
              <w:keepNext w:val="0"/>
              <w:keepLines w:val="0"/>
              <w:pageBreakBefore w:val="0"/>
              <w:widowControl/>
              <w:kinsoku/>
              <w:wordWrap/>
              <w:overflowPunct/>
              <w:topLinePunct w:val="0"/>
              <w:autoSpaceDE/>
              <w:autoSpaceDN/>
              <w:bidi w:val="0"/>
              <w:spacing w:line="360" w:lineRule="exact"/>
              <w:jc w:val="left"/>
              <w:textAlignment w:val="auto"/>
              <w:rPr>
                <w:rFonts w:hint="eastAsia" w:ascii="方正仿宋_GBK" w:hAnsi="方正仿宋_GBK" w:eastAsia="方正仿宋_GBK" w:cs="方正仿宋_GBK"/>
                <w:b/>
                <w:sz w:val="24"/>
                <w:szCs w:val="24"/>
              </w:rPr>
            </w:pPr>
            <w:r>
              <w:rPr>
                <w:rFonts w:hint="eastAsia" w:ascii="方正仿宋_GBK" w:hAnsi="方正仿宋_GBK" w:eastAsia="方正仿宋_GBK" w:cs="方正仿宋_GBK"/>
                <w:b/>
                <w:sz w:val="24"/>
                <w:szCs w:val="24"/>
              </w:rPr>
              <w:t>3、噪声</w:t>
            </w:r>
          </w:p>
          <w:p w14:paraId="40115BDC">
            <w:pPr>
              <w:keepNext w:val="0"/>
              <w:keepLines w:val="0"/>
              <w:pageBreakBefore w:val="0"/>
              <w:widowControl/>
              <w:kinsoku/>
              <w:wordWrap/>
              <w:overflowPunct/>
              <w:topLinePunct w:val="0"/>
              <w:autoSpaceDE/>
              <w:autoSpaceDN/>
              <w:bidi w:val="0"/>
              <w:spacing w:line="360" w:lineRule="exact"/>
              <w:ind w:firstLine="480" w:firstLineChars="200"/>
              <w:jc w:val="left"/>
              <w:textAlignment w:val="auto"/>
              <w:rPr>
                <w:rFonts w:hint="eastAsia" w:ascii="方正仿宋_GBK" w:hAnsi="方正仿宋_GBK" w:eastAsia="方正仿宋_GBK" w:cs="方正仿宋_GBK"/>
                <w:b w:val="0"/>
                <w:bCs w:val="0"/>
                <w:color w:val="auto"/>
                <w:sz w:val="24"/>
                <w:szCs w:val="24"/>
                <w:highlight w:val="none"/>
                <w:lang w:val="en-US" w:eastAsia="zh-CN"/>
              </w:rPr>
            </w:pPr>
            <w:r>
              <w:rPr>
                <w:rFonts w:hint="eastAsia" w:ascii="方正仿宋_GBK" w:hAnsi="方正仿宋_GBK" w:eastAsia="方正仿宋_GBK" w:cs="方正仿宋_GBK"/>
                <w:b w:val="0"/>
                <w:bCs w:val="0"/>
                <w:color w:val="auto"/>
                <w:sz w:val="24"/>
                <w:szCs w:val="24"/>
                <w:highlight w:val="none"/>
                <w:lang w:val="en-US" w:eastAsia="zh-CN"/>
              </w:rPr>
              <w:t>运营期做好设施的维护和运行管理，输电线路沿线的声环境敏感目标处的声环境满足《声环境质量标准》（GB3096-2008）相应功能区标准限值要求。</w:t>
            </w:r>
          </w:p>
          <w:p w14:paraId="33721EC5">
            <w:pPr>
              <w:keepNext w:val="0"/>
              <w:keepLines w:val="0"/>
              <w:pageBreakBefore w:val="0"/>
              <w:widowControl/>
              <w:kinsoku/>
              <w:wordWrap/>
              <w:overflowPunct/>
              <w:topLinePunct w:val="0"/>
              <w:autoSpaceDE/>
              <w:autoSpaceDN/>
              <w:bidi w:val="0"/>
              <w:spacing w:line="360" w:lineRule="exact"/>
              <w:jc w:val="left"/>
              <w:textAlignment w:val="auto"/>
              <w:rPr>
                <w:rFonts w:hint="eastAsia" w:ascii="方正仿宋_GBK" w:hAnsi="方正仿宋_GBK" w:eastAsia="方正仿宋_GBK" w:cs="方正仿宋_GBK"/>
                <w:b/>
                <w:sz w:val="24"/>
                <w:szCs w:val="24"/>
              </w:rPr>
            </w:pPr>
            <w:r>
              <w:rPr>
                <w:rFonts w:hint="eastAsia" w:ascii="方正仿宋_GBK" w:hAnsi="方正仿宋_GBK" w:eastAsia="方正仿宋_GBK" w:cs="方正仿宋_GBK"/>
                <w:b/>
                <w:sz w:val="24"/>
                <w:szCs w:val="24"/>
              </w:rPr>
              <w:t>4、固废</w:t>
            </w:r>
          </w:p>
          <w:p w14:paraId="0214798B">
            <w:pPr>
              <w:pStyle w:val="33"/>
              <w:keepNext w:val="0"/>
              <w:keepLines w:val="0"/>
              <w:pageBreakBefore w:val="0"/>
              <w:widowControl w:val="0"/>
              <w:kinsoku/>
              <w:wordWrap/>
              <w:overflowPunct/>
              <w:topLinePunct w:val="0"/>
              <w:autoSpaceDE/>
              <w:autoSpaceDN/>
              <w:bidi w:val="0"/>
              <w:spacing w:line="360" w:lineRule="exact"/>
              <w:ind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r>
              <w:rPr>
                <w:rFonts w:hint="eastAsia" w:ascii="方正仿宋_GBK" w:hAnsi="方正仿宋_GBK" w:eastAsia="方正仿宋_GBK" w:cs="方正仿宋_GBK"/>
                <w:b w:val="0"/>
                <w:bCs w:val="0"/>
                <w:color w:val="auto"/>
                <w:sz w:val="24"/>
                <w:szCs w:val="24"/>
                <w:highlight w:val="none"/>
                <w:lang w:val="en-US" w:eastAsia="zh-CN"/>
              </w:rPr>
              <w:t>在输电线路运行期，定期巡线过程中，线路的检修可能产生少量固体废物，运行维护过程中产生的废弃绝缘子、生活垃圾等废物不得随意丢弃，线路运维人员应将生活垃圾带至垃圾集中收集点妥善处置，废弃绝缘子等废物回收处理，不会对附近环境产生影响。</w:t>
            </w:r>
          </w:p>
          <w:p w14:paraId="17AF1691">
            <w:pPr>
              <w:pStyle w:val="33"/>
              <w:keepNext w:val="0"/>
              <w:keepLines w:val="0"/>
              <w:pageBreakBefore w:val="0"/>
              <w:widowControl w:val="0"/>
              <w:kinsoku/>
              <w:wordWrap/>
              <w:overflowPunct/>
              <w:topLinePunct w:val="0"/>
              <w:autoSpaceDE/>
              <w:autoSpaceDN/>
              <w:bidi w:val="0"/>
              <w:spacing w:line="360" w:lineRule="exact"/>
              <w:ind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r>
              <w:rPr>
                <w:rFonts w:hint="eastAsia" w:ascii="方正仿宋_GBK" w:hAnsi="方正仿宋_GBK" w:eastAsia="方正仿宋_GBK" w:cs="方正仿宋_GBK"/>
                <w:b w:val="0"/>
                <w:bCs w:val="0"/>
                <w:color w:val="auto"/>
                <w:sz w:val="24"/>
                <w:szCs w:val="24"/>
                <w:highlight w:val="none"/>
                <w:lang w:val="en-US" w:eastAsia="zh-CN"/>
              </w:rPr>
              <w:t>变电站运行过程中，因发生故障或其他原因无法继续使用需要更换时会产生废铅蓄电池，对照《国家危险废物名录》废铅蓄电池属于危险废物，废铅蓄电池的废物类别为HW31含铅废物，危废代码900-052-31，废铅蓄电池产生后由更换电池的单位直接带走，不随意丢弃，对周围环境影响可控。变电站正常运行及检修过程中产生的废变压器油属于危险废物(HW08废矿物油与含矿物油废物900-220-08，应暂存在事故油池内，再进行回收处理，对周围环境影响较小。。</w:t>
            </w:r>
          </w:p>
          <w:p w14:paraId="5A96929D">
            <w:pPr>
              <w:keepNext w:val="0"/>
              <w:keepLines w:val="0"/>
              <w:pageBreakBefore w:val="0"/>
              <w:widowControl/>
              <w:kinsoku/>
              <w:wordWrap/>
              <w:overflowPunct/>
              <w:topLinePunct w:val="0"/>
              <w:autoSpaceDE/>
              <w:autoSpaceDN/>
              <w:bidi w:val="0"/>
              <w:spacing w:line="360" w:lineRule="exact"/>
              <w:jc w:val="left"/>
              <w:textAlignment w:val="auto"/>
              <w:rPr>
                <w:rFonts w:hint="eastAsia" w:ascii="方正仿宋_GBK" w:hAnsi="方正仿宋_GBK" w:eastAsia="方正仿宋_GBK" w:cs="方正仿宋_GBK"/>
                <w:b/>
                <w:sz w:val="24"/>
                <w:szCs w:val="24"/>
                <w:lang w:val="en-US" w:eastAsia="zh-CN"/>
              </w:rPr>
            </w:pPr>
            <w:r>
              <w:rPr>
                <w:rFonts w:hint="eastAsia" w:ascii="方正仿宋_GBK" w:hAnsi="方正仿宋_GBK" w:eastAsia="方正仿宋_GBK" w:cs="方正仿宋_GBK"/>
                <w:b/>
                <w:sz w:val="24"/>
                <w:szCs w:val="24"/>
              </w:rPr>
              <w:t>4、</w:t>
            </w:r>
            <w:r>
              <w:rPr>
                <w:rFonts w:hint="eastAsia" w:ascii="方正仿宋_GBK" w:hAnsi="方正仿宋_GBK" w:eastAsia="方正仿宋_GBK" w:cs="方正仿宋_GBK"/>
                <w:b/>
                <w:sz w:val="24"/>
                <w:szCs w:val="24"/>
                <w:lang w:val="en-US" w:eastAsia="zh-CN"/>
              </w:rPr>
              <w:t>电磁辐射</w:t>
            </w:r>
          </w:p>
          <w:p w14:paraId="7E5DAE19">
            <w:pPr>
              <w:pStyle w:val="33"/>
              <w:keepNext w:val="0"/>
              <w:keepLines w:val="0"/>
              <w:pageBreakBefore w:val="0"/>
              <w:widowControl w:val="0"/>
              <w:kinsoku/>
              <w:wordWrap/>
              <w:overflowPunct/>
              <w:topLinePunct w:val="0"/>
              <w:autoSpaceDE/>
              <w:autoSpaceDN/>
              <w:bidi w:val="0"/>
              <w:spacing w:line="360" w:lineRule="exact"/>
              <w:ind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r>
              <w:rPr>
                <w:rFonts w:hint="eastAsia" w:ascii="方正仿宋_GBK" w:hAnsi="方正仿宋_GBK" w:eastAsia="方正仿宋_GBK" w:cs="方正仿宋_GBK"/>
                <w:b w:val="0"/>
                <w:bCs w:val="0"/>
                <w:color w:val="auto"/>
                <w:sz w:val="24"/>
                <w:szCs w:val="24"/>
                <w:highlight w:val="none"/>
                <w:lang w:val="en-US" w:eastAsia="zh-CN"/>
              </w:rPr>
              <w:t>（1）线路选择时已尽可能避开敏感点，在与其它电力线、通信线、公路等交叉跨越时应严格按规范要求留有净空距离。</w:t>
            </w:r>
          </w:p>
          <w:p w14:paraId="7B8B6BFE">
            <w:pPr>
              <w:pStyle w:val="33"/>
              <w:keepNext w:val="0"/>
              <w:keepLines w:val="0"/>
              <w:pageBreakBefore w:val="0"/>
              <w:widowControl w:val="0"/>
              <w:kinsoku/>
              <w:wordWrap/>
              <w:overflowPunct/>
              <w:topLinePunct w:val="0"/>
              <w:autoSpaceDE/>
              <w:autoSpaceDN/>
              <w:bidi w:val="0"/>
              <w:spacing w:line="360" w:lineRule="exact"/>
              <w:ind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r>
              <w:rPr>
                <w:rFonts w:hint="eastAsia" w:ascii="方正仿宋_GBK" w:hAnsi="方正仿宋_GBK" w:eastAsia="方正仿宋_GBK" w:cs="方正仿宋_GBK"/>
                <w:b w:val="0"/>
                <w:bCs w:val="0"/>
                <w:color w:val="auto"/>
                <w:sz w:val="24"/>
                <w:szCs w:val="24"/>
                <w:highlight w:val="none"/>
                <w:lang w:val="en-US" w:eastAsia="zh-CN"/>
              </w:rPr>
              <w:t>（2）采用良导体的钢芯铝绞线，减小静电感应、对地电压和杂音，减小对通讯线的干扰。</w:t>
            </w:r>
          </w:p>
          <w:p w14:paraId="40D1B630">
            <w:pPr>
              <w:pStyle w:val="33"/>
              <w:keepNext w:val="0"/>
              <w:keepLines w:val="0"/>
              <w:pageBreakBefore w:val="0"/>
              <w:widowControl w:val="0"/>
              <w:kinsoku/>
              <w:wordWrap/>
              <w:overflowPunct/>
              <w:topLinePunct w:val="0"/>
              <w:autoSpaceDE/>
              <w:autoSpaceDN/>
              <w:bidi w:val="0"/>
              <w:spacing w:line="360" w:lineRule="exact"/>
              <w:ind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r>
              <w:rPr>
                <w:rFonts w:hint="eastAsia" w:ascii="方正仿宋_GBK" w:hAnsi="方正仿宋_GBK" w:eastAsia="方正仿宋_GBK" w:cs="方正仿宋_GBK"/>
                <w:b w:val="0"/>
                <w:bCs w:val="0"/>
                <w:color w:val="auto"/>
                <w:sz w:val="24"/>
                <w:szCs w:val="24"/>
                <w:highlight w:val="none"/>
                <w:lang w:val="en-US" w:eastAsia="zh-CN"/>
              </w:rPr>
              <w:t>（3）合理选择导线截面积和相导线结构，降低线路的电晕。</w:t>
            </w:r>
          </w:p>
          <w:p w14:paraId="403068FF">
            <w:pPr>
              <w:pStyle w:val="33"/>
              <w:keepNext w:val="0"/>
              <w:keepLines w:val="0"/>
              <w:pageBreakBefore w:val="0"/>
              <w:widowControl w:val="0"/>
              <w:kinsoku/>
              <w:wordWrap/>
              <w:overflowPunct/>
              <w:topLinePunct w:val="0"/>
              <w:autoSpaceDE/>
              <w:autoSpaceDN/>
              <w:bidi w:val="0"/>
              <w:spacing w:line="360" w:lineRule="exact"/>
              <w:ind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r>
              <w:rPr>
                <w:rFonts w:hint="eastAsia" w:ascii="方正仿宋_GBK" w:hAnsi="方正仿宋_GBK" w:eastAsia="方正仿宋_GBK" w:cs="方正仿宋_GBK"/>
                <w:b w:val="0"/>
                <w:bCs w:val="0"/>
                <w:color w:val="auto"/>
                <w:sz w:val="24"/>
                <w:szCs w:val="24"/>
                <w:highlight w:val="none"/>
                <w:lang w:val="en-US" w:eastAsia="zh-CN"/>
              </w:rPr>
              <w:t>（4）输电线路跨越居民区时，在工频电场强度大于4000V/m且小于10kV/m耕地、园地等公众容易到达的场所区域内设置警示和防护指示标志。</w:t>
            </w:r>
          </w:p>
          <w:p w14:paraId="08ADC2FC">
            <w:pPr>
              <w:pStyle w:val="33"/>
              <w:keepNext w:val="0"/>
              <w:keepLines w:val="0"/>
              <w:pageBreakBefore w:val="0"/>
              <w:widowControl w:val="0"/>
              <w:kinsoku/>
              <w:wordWrap/>
              <w:overflowPunct/>
              <w:topLinePunct w:val="0"/>
              <w:autoSpaceDE/>
              <w:autoSpaceDN/>
              <w:bidi w:val="0"/>
              <w:spacing w:line="360" w:lineRule="exact"/>
              <w:ind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r>
              <w:rPr>
                <w:rFonts w:hint="eastAsia" w:ascii="方正仿宋_GBK" w:hAnsi="方正仿宋_GBK" w:eastAsia="方正仿宋_GBK" w:cs="方正仿宋_GBK"/>
                <w:b w:val="0"/>
                <w:bCs w:val="0"/>
                <w:color w:val="auto"/>
                <w:sz w:val="24"/>
                <w:szCs w:val="24"/>
                <w:highlight w:val="none"/>
                <w:lang w:val="en-US" w:eastAsia="zh-CN"/>
              </w:rPr>
              <w:t>（5）应在线路铁塔座架上醒目位置设置安全警示标志，标明严禁攀登、线下高位操作应有防护措施等安全注意事项，避免人员触碰导线发生意外。</w:t>
            </w:r>
          </w:p>
          <w:p w14:paraId="75E5513B">
            <w:pPr>
              <w:pStyle w:val="33"/>
              <w:keepNext w:val="0"/>
              <w:keepLines w:val="0"/>
              <w:pageBreakBefore w:val="0"/>
              <w:widowControl w:val="0"/>
              <w:kinsoku/>
              <w:wordWrap/>
              <w:overflowPunct/>
              <w:topLinePunct w:val="0"/>
              <w:autoSpaceDE/>
              <w:autoSpaceDN/>
              <w:bidi w:val="0"/>
              <w:spacing w:line="360" w:lineRule="exact"/>
              <w:ind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r>
              <w:rPr>
                <w:rFonts w:hint="eastAsia" w:ascii="方正仿宋_GBK" w:hAnsi="方正仿宋_GBK" w:eastAsia="方正仿宋_GBK" w:cs="方正仿宋_GBK"/>
                <w:b w:val="0"/>
                <w:bCs w:val="0"/>
                <w:color w:val="auto"/>
                <w:sz w:val="24"/>
                <w:szCs w:val="24"/>
                <w:highlight w:val="none"/>
                <w:lang w:val="en-US" w:eastAsia="zh-CN"/>
              </w:rPr>
              <w:t>（1）线路选择时已尽可能避开敏感点，在与其它电力线、通信线、公路等交叉跨越时应严格按规范要求留有净空距离。</w:t>
            </w:r>
          </w:p>
          <w:p w14:paraId="5A84D1B0">
            <w:pPr>
              <w:pStyle w:val="33"/>
              <w:keepNext w:val="0"/>
              <w:keepLines w:val="0"/>
              <w:pageBreakBefore w:val="0"/>
              <w:widowControl w:val="0"/>
              <w:kinsoku/>
              <w:wordWrap/>
              <w:overflowPunct/>
              <w:topLinePunct w:val="0"/>
              <w:autoSpaceDE/>
              <w:autoSpaceDN/>
              <w:bidi w:val="0"/>
              <w:spacing w:line="360" w:lineRule="exact"/>
              <w:ind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r>
              <w:rPr>
                <w:rFonts w:hint="eastAsia" w:ascii="方正仿宋_GBK" w:hAnsi="方正仿宋_GBK" w:eastAsia="方正仿宋_GBK" w:cs="方正仿宋_GBK"/>
                <w:b w:val="0"/>
                <w:bCs w:val="0"/>
                <w:color w:val="auto"/>
                <w:sz w:val="24"/>
                <w:szCs w:val="24"/>
                <w:highlight w:val="none"/>
                <w:lang w:val="en-US" w:eastAsia="zh-CN"/>
              </w:rPr>
              <w:t>（2）采用良导体的钢芯铝绞线，减小静电感应、对地电压和杂音，减小对通讯线的干扰。</w:t>
            </w:r>
          </w:p>
          <w:p w14:paraId="1EA522D6">
            <w:pPr>
              <w:pStyle w:val="33"/>
              <w:keepNext w:val="0"/>
              <w:keepLines w:val="0"/>
              <w:pageBreakBefore w:val="0"/>
              <w:widowControl w:val="0"/>
              <w:kinsoku/>
              <w:wordWrap/>
              <w:overflowPunct/>
              <w:topLinePunct w:val="0"/>
              <w:autoSpaceDE/>
              <w:autoSpaceDN/>
              <w:bidi w:val="0"/>
              <w:spacing w:line="360" w:lineRule="exact"/>
              <w:ind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r>
              <w:rPr>
                <w:rFonts w:hint="eastAsia" w:ascii="方正仿宋_GBK" w:hAnsi="方正仿宋_GBK" w:eastAsia="方正仿宋_GBK" w:cs="方正仿宋_GBK"/>
                <w:b w:val="0"/>
                <w:bCs w:val="0"/>
                <w:color w:val="auto"/>
                <w:sz w:val="24"/>
                <w:szCs w:val="24"/>
                <w:highlight w:val="none"/>
                <w:lang w:val="en-US" w:eastAsia="zh-CN"/>
              </w:rPr>
              <w:t>（3）合理选择导线截面积和相导线结构，降低线路的电晕。</w:t>
            </w:r>
          </w:p>
          <w:p w14:paraId="5287191E">
            <w:pPr>
              <w:pStyle w:val="33"/>
              <w:keepNext w:val="0"/>
              <w:keepLines w:val="0"/>
              <w:pageBreakBefore w:val="0"/>
              <w:widowControl w:val="0"/>
              <w:kinsoku/>
              <w:wordWrap/>
              <w:overflowPunct/>
              <w:topLinePunct w:val="0"/>
              <w:autoSpaceDE/>
              <w:autoSpaceDN/>
              <w:bidi w:val="0"/>
              <w:spacing w:line="360" w:lineRule="exact"/>
              <w:ind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r>
              <w:rPr>
                <w:rFonts w:hint="eastAsia" w:ascii="方正仿宋_GBK" w:hAnsi="方正仿宋_GBK" w:eastAsia="方正仿宋_GBK" w:cs="方正仿宋_GBK"/>
                <w:b w:val="0"/>
                <w:bCs w:val="0"/>
                <w:color w:val="auto"/>
                <w:sz w:val="24"/>
                <w:szCs w:val="24"/>
                <w:highlight w:val="none"/>
                <w:lang w:val="en-US" w:eastAsia="zh-CN"/>
              </w:rPr>
              <w:t>（4）输电线路跨越居民区时，在工频电场强度大于4000V/m且小于10kV/m耕地、园地等公众容易到达的场所区域内设置警示和防护指示标志。</w:t>
            </w:r>
          </w:p>
          <w:p w14:paraId="38B7C3D5">
            <w:pPr>
              <w:pStyle w:val="33"/>
              <w:keepNext w:val="0"/>
              <w:keepLines w:val="0"/>
              <w:pageBreakBefore w:val="0"/>
              <w:widowControl w:val="0"/>
              <w:kinsoku/>
              <w:wordWrap/>
              <w:overflowPunct/>
              <w:topLinePunct w:val="0"/>
              <w:autoSpaceDE/>
              <w:autoSpaceDN/>
              <w:bidi w:val="0"/>
              <w:spacing w:line="360" w:lineRule="exact"/>
              <w:ind w:firstLine="480" w:firstLineChars="200"/>
              <w:textAlignment w:val="auto"/>
              <w:rPr>
                <w:rFonts w:hint="default" w:ascii="Times New Roman" w:hAnsi="Times New Roman" w:eastAsia="宋体" w:cs="Times New Roman"/>
                <w:b w:val="0"/>
                <w:bCs w:val="0"/>
                <w:color w:val="auto"/>
                <w:sz w:val="24"/>
                <w:szCs w:val="24"/>
                <w:highlight w:val="none"/>
                <w:lang w:val="en-US" w:eastAsia="zh-CN"/>
              </w:rPr>
            </w:pPr>
            <w:r>
              <w:rPr>
                <w:rFonts w:hint="eastAsia" w:ascii="方正仿宋_GBK" w:hAnsi="方正仿宋_GBK" w:eastAsia="方正仿宋_GBK" w:cs="方正仿宋_GBK"/>
                <w:b w:val="0"/>
                <w:bCs w:val="0"/>
                <w:color w:val="auto"/>
                <w:sz w:val="24"/>
                <w:szCs w:val="24"/>
                <w:highlight w:val="none"/>
                <w:lang w:val="en-US" w:eastAsia="zh-CN"/>
              </w:rPr>
              <w:t>（5）应在线路铁塔座架上醒目位置设置安全警示标志，标明严禁攀登、线下高位操作应有防护措施等安全注意事项，避免人员触碰导线发生意外。</w:t>
            </w:r>
          </w:p>
        </w:tc>
      </w:tr>
      <w:tr w14:paraId="24892573">
        <w:tblPrEx>
          <w:tblCellMar>
            <w:top w:w="0" w:type="dxa"/>
            <w:left w:w="108" w:type="dxa"/>
            <w:bottom w:w="0" w:type="dxa"/>
            <w:right w:w="108" w:type="dxa"/>
          </w:tblCellMar>
        </w:tblPrEx>
        <w:trPr>
          <w:trHeight w:val="541" w:hRule="atLeast"/>
          <w:jc w:val="center"/>
        </w:trPr>
        <w:tc>
          <w:tcPr>
            <w:tcW w:w="9447" w:type="dxa"/>
            <w:gridSpan w:val="6"/>
            <w:tcBorders>
              <w:top w:val="single" w:color="auto" w:sz="4" w:space="0"/>
              <w:left w:val="single" w:color="auto" w:sz="4" w:space="0"/>
              <w:bottom w:val="single" w:color="auto" w:sz="4" w:space="0"/>
              <w:right w:val="single" w:color="auto" w:sz="4" w:space="0"/>
            </w:tcBorders>
            <w:shd w:val="clear" w:color="auto" w:fill="C0C0C0"/>
            <w:vAlign w:val="center"/>
          </w:tcPr>
          <w:p w14:paraId="3D7A8932">
            <w:pPr>
              <w:widowControl/>
              <w:spacing w:line="280" w:lineRule="exact"/>
              <w:jc w:val="center"/>
              <w:rPr>
                <w:rFonts w:ascii="宋体"/>
                <w:kern w:val="0"/>
                <w:sz w:val="24"/>
                <w:szCs w:val="24"/>
              </w:rPr>
            </w:pPr>
            <w:r>
              <w:rPr>
                <w:rFonts w:hint="eastAsia" w:ascii="宋体" w:hAnsi="宋体"/>
                <w:kern w:val="0"/>
                <w:sz w:val="24"/>
                <w:szCs w:val="24"/>
              </w:rPr>
              <w:t>公众参与情况</w:t>
            </w:r>
          </w:p>
        </w:tc>
      </w:tr>
      <w:tr w14:paraId="48C7BC3F">
        <w:tblPrEx>
          <w:tblCellMar>
            <w:top w:w="0" w:type="dxa"/>
            <w:left w:w="108" w:type="dxa"/>
            <w:bottom w:w="0" w:type="dxa"/>
            <w:right w:w="108" w:type="dxa"/>
          </w:tblCellMar>
        </w:tblPrEx>
        <w:trPr>
          <w:trHeight w:val="1234" w:hRule="atLeast"/>
          <w:jc w:val="center"/>
        </w:trPr>
        <w:tc>
          <w:tcPr>
            <w:tcW w:w="9447" w:type="dxa"/>
            <w:gridSpan w:val="6"/>
            <w:tcBorders>
              <w:top w:val="single" w:color="auto" w:sz="4" w:space="0"/>
              <w:left w:val="single" w:color="auto" w:sz="4" w:space="0"/>
              <w:bottom w:val="single" w:color="auto" w:sz="4" w:space="0"/>
              <w:right w:val="single" w:color="auto" w:sz="4" w:space="0"/>
            </w:tcBorders>
            <w:vAlign w:val="center"/>
          </w:tcPr>
          <w:p w14:paraId="5CDAF5D1">
            <w:pPr>
              <w:pStyle w:val="33"/>
              <w:keepNext w:val="0"/>
              <w:keepLines w:val="0"/>
              <w:pageBreakBefore w:val="0"/>
              <w:widowControl w:val="0"/>
              <w:kinsoku/>
              <w:wordWrap/>
              <w:overflowPunct/>
              <w:topLinePunct w:val="0"/>
              <w:bidi w:val="0"/>
              <w:spacing w:line="240" w:lineRule="auto"/>
              <w:ind w:firstLine="480" w:firstLineChars="200"/>
              <w:textAlignment w:val="auto"/>
              <w:rPr>
                <w:sz w:val="24"/>
                <w:szCs w:val="24"/>
              </w:rPr>
            </w:pPr>
            <w:r>
              <w:rPr>
                <w:rFonts w:hint="eastAsia" w:ascii="方正仿宋_GBK" w:hAnsi="方正仿宋_GBK" w:eastAsia="方正仿宋_GBK" w:cs="方正仿宋_GBK"/>
                <w:b w:val="0"/>
                <w:bCs w:val="0"/>
                <w:color w:val="auto"/>
                <w:sz w:val="24"/>
                <w:szCs w:val="24"/>
                <w:highlight w:val="none"/>
                <w:lang w:val="en-US" w:eastAsia="zh-CN"/>
              </w:rPr>
              <w:t>无。</w:t>
            </w:r>
          </w:p>
        </w:tc>
      </w:tr>
      <w:tr w14:paraId="6E94993E">
        <w:tblPrEx>
          <w:tblCellMar>
            <w:top w:w="0" w:type="dxa"/>
            <w:left w:w="108" w:type="dxa"/>
            <w:bottom w:w="0" w:type="dxa"/>
            <w:right w:w="108" w:type="dxa"/>
          </w:tblCellMar>
        </w:tblPrEx>
        <w:trPr>
          <w:trHeight w:val="429" w:hRule="atLeast"/>
          <w:jc w:val="center"/>
        </w:trPr>
        <w:tc>
          <w:tcPr>
            <w:tcW w:w="3258" w:type="dxa"/>
            <w:gridSpan w:val="2"/>
            <w:tcBorders>
              <w:top w:val="single" w:color="auto" w:sz="4" w:space="0"/>
              <w:left w:val="single" w:color="auto" w:sz="4" w:space="0"/>
              <w:bottom w:val="single" w:color="auto" w:sz="4" w:space="0"/>
              <w:right w:val="single" w:color="auto" w:sz="4" w:space="0"/>
            </w:tcBorders>
            <w:shd w:val="clear" w:color="auto" w:fill="C0C0C0"/>
            <w:vAlign w:val="center"/>
          </w:tcPr>
          <w:p w14:paraId="2B189A81">
            <w:pPr>
              <w:widowControl/>
              <w:spacing w:line="280" w:lineRule="exact"/>
              <w:jc w:val="left"/>
              <w:rPr>
                <w:rFonts w:ascii="宋体"/>
                <w:kern w:val="0"/>
                <w:sz w:val="24"/>
                <w:szCs w:val="24"/>
              </w:rPr>
            </w:pPr>
            <w:r>
              <w:rPr>
                <w:rFonts w:hint="eastAsia" w:ascii="宋体" w:hAnsi="宋体"/>
                <w:kern w:val="0"/>
                <w:sz w:val="24"/>
                <w:szCs w:val="24"/>
              </w:rPr>
              <w:t>建设单位或地方政府所作出的相关承诺文件</w:t>
            </w:r>
          </w:p>
        </w:tc>
        <w:tc>
          <w:tcPr>
            <w:tcW w:w="6189" w:type="dxa"/>
            <w:gridSpan w:val="4"/>
            <w:tcBorders>
              <w:top w:val="single" w:color="auto" w:sz="4" w:space="0"/>
              <w:left w:val="nil"/>
              <w:bottom w:val="single" w:color="auto" w:sz="4" w:space="0"/>
              <w:right w:val="single" w:color="auto" w:sz="4" w:space="0"/>
            </w:tcBorders>
            <w:vAlign w:val="center"/>
          </w:tcPr>
          <w:p w14:paraId="24B8864A">
            <w:pPr>
              <w:pStyle w:val="33"/>
              <w:keepNext w:val="0"/>
              <w:keepLines w:val="0"/>
              <w:pageBreakBefore w:val="0"/>
              <w:widowControl w:val="0"/>
              <w:kinsoku/>
              <w:wordWrap/>
              <w:overflowPunct/>
              <w:topLinePunct w:val="0"/>
              <w:bidi w:val="0"/>
              <w:spacing w:line="540" w:lineRule="exact"/>
              <w:ind w:firstLine="480" w:firstLineChars="200"/>
              <w:jc w:val="center"/>
              <w:textAlignment w:val="auto"/>
              <w:rPr>
                <w:rFonts w:hint="default" w:eastAsia="方正仿宋_GBK"/>
                <w:sz w:val="24"/>
                <w:szCs w:val="24"/>
                <w:lang w:val="en-US" w:eastAsia="zh-CN"/>
              </w:rPr>
            </w:pPr>
            <w:r>
              <w:rPr>
                <w:rFonts w:hint="eastAsia" w:eastAsia="方正仿宋_GBK"/>
                <w:sz w:val="24"/>
                <w:szCs w:val="24"/>
                <w:lang w:val="en-US" w:eastAsia="zh-CN"/>
              </w:rPr>
              <w:t>信息公开同意函。</w:t>
            </w:r>
          </w:p>
        </w:tc>
      </w:tr>
      <w:tr w14:paraId="2FF112C6">
        <w:tblPrEx>
          <w:tblCellMar>
            <w:top w:w="0" w:type="dxa"/>
            <w:left w:w="108" w:type="dxa"/>
            <w:bottom w:w="0" w:type="dxa"/>
            <w:right w:w="108" w:type="dxa"/>
          </w:tblCellMar>
        </w:tblPrEx>
        <w:trPr>
          <w:trHeight w:val="570" w:hRule="atLeast"/>
          <w:jc w:val="center"/>
        </w:trPr>
        <w:tc>
          <w:tcPr>
            <w:tcW w:w="9447" w:type="dxa"/>
            <w:gridSpan w:val="6"/>
            <w:tcBorders>
              <w:top w:val="single" w:color="auto" w:sz="4" w:space="0"/>
              <w:left w:val="nil"/>
              <w:bottom w:val="nil"/>
              <w:right w:val="nil"/>
            </w:tcBorders>
            <w:vAlign w:val="center"/>
          </w:tcPr>
          <w:p w14:paraId="1D0469E6">
            <w:pPr>
              <w:widowControl/>
              <w:spacing w:line="280" w:lineRule="exact"/>
              <w:jc w:val="left"/>
              <w:rPr>
                <w:rFonts w:ascii="宋体"/>
                <w:kern w:val="0"/>
                <w:sz w:val="24"/>
                <w:szCs w:val="24"/>
              </w:rPr>
            </w:pPr>
            <w:r>
              <w:rPr>
                <w:rFonts w:hint="eastAsia" w:ascii="宋体" w:hAnsi="宋体"/>
                <w:kern w:val="0"/>
                <w:sz w:val="24"/>
                <w:szCs w:val="24"/>
              </w:rPr>
              <w:t>注:项目概况、项目主要环境影响、项目预防及减轻不良环境影响的对策和措施、公众参与情况、建设单位或地方政府所作出的相关承诺文件部分由建设单位填写。公众反馈意见联系方式部分由行政审批机关填写。</w:t>
            </w:r>
          </w:p>
        </w:tc>
      </w:tr>
    </w:tbl>
    <w:p w14:paraId="0537C82C">
      <w:pPr>
        <w:rPr>
          <w:color w:val="FF0000"/>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4D"/>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Arial Unicode MS"/>
    <w:panose1 w:val="02000000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_GBK">
    <w:altName w:val="Arial Unicode MS"/>
    <w:panose1 w:val="03000509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Arial Unicode MS">
    <w:panose1 w:val="020B0604020202020204"/>
    <w:charset w:val="86"/>
    <w:family w:val="auto"/>
    <w:pitch w:val="default"/>
    <w:sig w:usb0="FFFFFFFF" w:usb1="E9FFFFFF" w:usb2="0000003F" w:usb3="00000000" w:csb0="603F01FF" w:csb1="FFFF0000"/>
  </w:font>
  <w:font w:name="KSOF51D5AD36">
    <w:panose1 w:val="020B0604020202020204"/>
    <w:charset w:val="86"/>
    <w:family w:val="auto"/>
    <w:pitch w:val="default"/>
    <w:sig w:usb0="00000001" w:usb1="00000000" w:usb2="00000000" w:usb3="00000000" w:csb0="00040001" w:csb1="00000000"/>
  </w:font>
  <w:font w:name="KSOFABDC8F89">
    <w:panose1 w:val="020B0604020202020204"/>
    <w:charset w:val="86"/>
    <w:family w:val="auto"/>
    <w:pitch w:val="default"/>
    <w:sig w:usb0="00000001" w:usb1="00000000" w:usb2="00000000" w:usb3="00000000" w:csb0="00040001" w:csb1="00000000"/>
  </w:font>
  <w:font w:name="KSOF706E71A8">
    <w:panose1 w:val="020B0604020202020204"/>
    <w:charset w:val="86"/>
    <w:family w:val="auto"/>
    <w:pitch w:val="default"/>
    <w:sig w:usb0="00000001"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BAECC2B"/>
    <w:multiLevelType w:val="singleLevel"/>
    <w:tmpl w:val="1BAECC2B"/>
    <w:lvl w:ilvl="0" w:tentative="0">
      <w:start w:val="5"/>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BiYzQ1NDY1YjQ0MjBjMWNmZDQyYjE1NzJjMWYwMDcifQ=="/>
  </w:docVars>
  <w:rsids>
    <w:rsidRoot w:val="392E2078"/>
    <w:rsid w:val="0007389C"/>
    <w:rsid w:val="00150BE9"/>
    <w:rsid w:val="00156B39"/>
    <w:rsid w:val="001A0782"/>
    <w:rsid w:val="001A6B62"/>
    <w:rsid w:val="001B3A2B"/>
    <w:rsid w:val="001F034E"/>
    <w:rsid w:val="001F679B"/>
    <w:rsid w:val="00294DBA"/>
    <w:rsid w:val="002B6C2D"/>
    <w:rsid w:val="002C62B4"/>
    <w:rsid w:val="00322D57"/>
    <w:rsid w:val="00327286"/>
    <w:rsid w:val="00330F90"/>
    <w:rsid w:val="00335349"/>
    <w:rsid w:val="003C1AD7"/>
    <w:rsid w:val="003C4CF8"/>
    <w:rsid w:val="003C6F96"/>
    <w:rsid w:val="003E6693"/>
    <w:rsid w:val="00473C47"/>
    <w:rsid w:val="00485878"/>
    <w:rsid w:val="004A6061"/>
    <w:rsid w:val="004D701F"/>
    <w:rsid w:val="004E159E"/>
    <w:rsid w:val="005010C4"/>
    <w:rsid w:val="005107E1"/>
    <w:rsid w:val="005370B8"/>
    <w:rsid w:val="00542698"/>
    <w:rsid w:val="005A0DCF"/>
    <w:rsid w:val="005B283A"/>
    <w:rsid w:val="0060088D"/>
    <w:rsid w:val="0061485D"/>
    <w:rsid w:val="0062265A"/>
    <w:rsid w:val="006C6412"/>
    <w:rsid w:val="006D5270"/>
    <w:rsid w:val="006E4B40"/>
    <w:rsid w:val="006E5771"/>
    <w:rsid w:val="00702618"/>
    <w:rsid w:val="00705F2D"/>
    <w:rsid w:val="00773626"/>
    <w:rsid w:val="007A0516"/>
    <w:rsid w:val="007C11E2"/>
    <w:rsid w:val="0081762D"/>
    <w:rsid w:val="00833B43"/>
    <w:rsid w:val="00841044"/>
    <w:rsid w:val="00863CCD"/>
    <w:rsid w:val="00871427"/>
    <w:rsid w:val="00872120"/>
    <w:rsid w:val="00873527"/>
    <w:rsid w:val="008A3643"/>
    <w:rsid w:val="008A7183"/>
    <w:rsid w:val="008C224E"/>
    <w:rsid w:val="008C796D"/>
    <w:rsid w:val="008C7996"/>
    <w:rsid w:val="008C7D47"/>
    <w:rsid w:val="008D6010"/>
    <w:rsid w:val="00906E2D"/>
    <w:rsid w:val="009B5EE1"/>
    <w:rsid w:val="009D1793"/>
    <w:rsid w:val="009D3485"/>
    <w:rsid w:val="009D5CDC"/>
    <w:rsid w:val="00A560A2"/>
    <w:rsid w:val="00A7390A"/>
    <w:rsid w:val="00A752B3"/>
    <w:rsid w:val="00A84CD0"/>
    <w:rsid w:val="00AA08DA"/>
    <w:rsid w:val="00B22E4F"/>
    <w:rsid w:val="00B4670A"/>
    <w:rsid w:val="00B547C9"/>
    <w:rsid w:val="00B55F2A"/>
    <w:rsid w:val="00BA1007"/>
    <w:rsid w:val="00BA59BE"/>
    <w:rsid w:val="00BA7231"/>
    <w:rsid w:val="00BC32D8"/>
    <w:rsid w:val="00BD0857"/>
    <w:rsid w:val="00BD1407"/>
    <w:rsid w:val="00C36231"/>
    <w:rsid w:val="00C71183"/>
    <w:rsid w:val="00C96052"/>
    <w:rsid w:val="00CC1BB9"/>
    <w:rsid w:val="00CD2BAA"/>
    <w:rsid w:val="00CD608E"/>
    <w:rsid w:val="00D233CF"/>
    <w:rsid w:val="00DA65D2"/>
    <w:rsid w:val="00DC4E67"/>
    <w:rsid w:val="00DC7CEE"/>
    <w:rsid w:val="00E46C95"/>
    <w:rsid w:val="00E90C9E"/>
    <w:rsid w:val="00ED0EFF"/>
    <w:rsid w:val="00EE1F18"/>
    <w:rsid w:val="00EE5CE6"/>
    <w:rsid w:val="00F530BA"/>
    <w:rsid w:val="00F86E32"/>
    <w:rsid w:val="00FD24C7"/>
    <w:rsid w:val="00FD5740"/>
    <w:rsid w:val="00FF23D3"/>
    <w:rsid w:val="013830D2"/>
    <w:rsid w:val="01437794"/>
    <w:rsid w:val="03344A05"/>
    <w:rsid w:val="05275651"/>
    <w:rsid w:val="05B86C53"/>
    <w:rsid w:val="081E3E37"/>
    <w:rsid w:val="13B34670"/>
    <w:rsid w:val="1A3C46BC"/>
    <w:rsid w:val="1B020E5E"/>
    <w:rsid w:val="1C8733A0"/>
    <w:rsid w:val="201D4921"/>
    <w:rsid w:val="20547DB6"/>
    <w:rsid w:val="21602F6F"/>
    <w:rsid w:val="22862C6A"/>
    <w:rsid w:val="245D4345"/>
    <w:rsid w:val="24694EB2"/>
    <w:rsid w:val="25502092"/>
    <w:rsid w:val="26751547"/>
    <w:rsid w:val="2B002CE4"/>
    <w:rsid w:val="2CA10B4F"/>
    <w:rsid w:val="2CAD1D69"/>
    <w:rsid w:val="2EE11733"/>
    <w:rsid w:val="2F923676"/>
    <w:rsid w:val="2FC57EA9"/>
    <w:rsid w:val="301D5EC7"/>
    <w:rsid w:val="30561A02"/>
    <w:rsid w:val="33682ACB"/>
    <w:rsid w:val="34185686"/>
    <w:rsid w:val="35313D1A"/>
    <w:rsid w:val="38002C65"/>
    <w:rsid w:val="392E2078"/>
    <w:rsid w:val="39984AC7"/>
    <w:rsid w:val="3B020811"/>
    <w:rsid w:val="3B2E26FF"/>
    <w:rsid w:val="3C272C37"/>
    <w:rsid w:val="3EDD372A"/>
    <w:rsid w:val="4155672C"/>
    <w:rsid w:val="43BD5ED1"/>
    <w:rsid w:val="449625B7"/>
    <w:rsid w:val="45BD33BC"/>
    <w:rsid w:val="47F24AD5"/>
    <w:rsid w:val="4866291F"/>
    <w:rsid w:val="4B402719"/>
    <w:rsid w:val="4B9C7ABA"/>
    <w:rsid w:val="4C985FBF"/>
    <w:rsid w:val="4D2F5EED"/>
    <w:rsid w:val="4DC60339"/>
    <w:rsid w:val="4EC40453"/>
    <w:rsid w:val="4F7B2ACC"/>
    <w:rsid w:val="50153BC8"/>
    <w:rsid w:val="51E81108"/>
    <w:rsid w:val="52385E17"/>
    <w:rsid w:val="54752240"/>
    <w:rsid w:val="55367ECE"/>
    <w:rsid w:val="555D267C"/>
    <w:rsid w:val="5653575C"/>
    <w:rsid w:val="577942AD"/>
    <w:rsid w:val="58FF0EBE"/>
    <w:rsid w:val="5998453C"/>
    <w:rsid w:val="5A834766"/>
    <w:rsid w:val="5BED57C7"/>
    <w:rsid w:val="5D2E69AB"/>
    <w:rsid w:val="5DCC4393"/>
    <w:rsid w:val="5E59292F"/>
    <w:rsid w:val="5F257633"/>
    <w:rsid w:val="60EA0DC0"/>
    <w:rsid w:val="614E3CA3"/>
    <w:rsid w:val="64CE0A00"/>
    <w:rsid w:val="66B00A67"/>
    <w:rsid w:val="6AB93F9D"/>
    <w:rsid w:val="6C044E5F"/>
    <w:rsid w:val="6C8A7DA4"/>
    <w:rsid w:val="70AA332D"/>
    <w:rsid w:val="714078D6"/>
    <w:rsid w:val="715F713D"/>
    <w:rsid w:val="747E39E9"/>
    <w:rsid w:val="74857523"/>
    <w:rsid w:val="77533B6A"/>
    <w:rsid w:val="78CD4DAD"/>
    <w:rsid w:val="79377A43"/>
    <w:rsid w:val="79CC62C5"/>
    <w:rsid w:val="79EF4D86"/>
    <w:rsid w:val="7A98BF54"/>
    <w:rsid w:val="7E5F22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方正仿宋_GBK" w:cs="Times New Roman"/>
      <w:kern w:val="32"/>
      <w:sz w:val="32"/>
      <w:szCs w:val="32"/>
      <w:lang w:val="en-US" w:eastAsia="zh-CN" w:bidi="ar-SA"/>
    </w:rPr>
  </w:style>
  <w:style w:type="paragraph" w:styleId="3">
    <w:name w:val="heading 2"/>
    <w:basedOn w:val="1"/>
    <w:next w:val="1"/>
    <w:link w:val="25"/>
    <w:qFormat/>
    <w:uiPriority w:val="0"/>
    <w:pPr>
      <w:tabs>
        <w:tab w:val="left" w:pos="5882"/>
      </w:tabs>
      <w:adjustRightInd w:val="0"/>
      <w:snapToGrid w:val="0"/>
      <w:spacing w:beforeLines="50"/>
      <w:jc w:val="left"/>
      <w:outlineLvl w:val="1"/>
    </w:pPr>
    <w:rPr>
      <w:rFonts w:ascii="Times New Roman" w:hAnsi="Times New Roman" w:eastAsia="宋体"/>
      <w:b/>
      <w:kern w:val="0"/>
      <w:sz w:val="24"/>
      <w:szCs w:val="24"/>
    </w:rPr>
  </w:style>
  <w:style w:type="paragraph" w:styleId="4">
    <w:name w:val="heading 3"/>
    <w:basedOn w:val="1"/>
    <w:next w:val="1"/>
    <w:link w:val="20"/>
    <w:qFormat/>
    <w:uiPriority w:val="0"/>
    <w:pPr>
      <w:topLinePunct/>
      <w:spacing w:before="120" w:line="480" w:lineRule="exact"/>
      <w:outlineLvl w:val="2"/>
    </w:pPr>
    <w:rPr>
      <w:rFonts w:ascii="Times New Roman" w:hAnsi="Times New Roman" w:eastAsia="楷体_GB2312"/>
      <w:b/>
      <w:bCs/>
      <w:color w:val="000000"/>
      <w:kern w:val="2"/>
      <w:sz w:val="28"/>
      <w:szCs w:val="28"/>
    </w:rPr>
  </w:style>
  <w:style w:type="paragraph" w:styleId="5">
    <w:name w:val="heading 4"/>
    <w:basedOn w:val="1"/>
    <w:next w:val="1"/>
    <w:link w:val="23"/>
    <w:qFormat/>
    <w:uiPriority w:val="0"/>
    <w:pPr>
      <w:keepNext/>
      <w:keepLines/>
      <w:spacing w:before="280" w:after="290" w:line="376" w:lineRule="auto"/>
      <w:outlineLvl w:val="3"/>
    </w:pPr>
    <w:rPr>
      <w:rFonts w:ascii="Arial" w:hAnsi="Arial" w:eastAsia="黑体"/>
      <w:b/>
      <w:bCs/>
      <w:kern w:val="2"/>
      <w:sz w:val="28"/>
      <w:szCs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customStyle="1" w:styleId="2">
    <w:name w:val="正文（标准）"/>
    <w:basedOn w:val="1"/>
    <w:next w:val="1"/>
    <w:semiHidden/>
    <w:qFormat/>
    <w:uiPriority w:val="0"/>
    <w:pPr>
      <w:ind w:firstLine="525"/>
    </w:pPr>
    <w:rPr>
      <w:rFonts w:ascii="宋体" w:hAnsi="宋体"/>
    </w:rPr>
  </w:style>
  <w:style w:type="paragraph" w:styleId="6">
    <w:name w:val="Body Text"/>
    <w:basedOn w:val="7"/>
    <w:next w:val="7"/>
    <w:qFormat/>
    <w:uiPriority w:val="1"/>
    <w:rPr>
      <w:sz w:val="24"/>
      <w:szCs w:val="24"/>
    </w:rPr>
  </w:style>
  <w:style w:type="paragraph" w:styleId="7">
    <w:name w:val="Title"/>
    <w:basedOn w:val="1"/>
    <w:qFormat/>
    <w:uiPriority w:val="0"/>
    <w:pPr>
      <w:adjustRightInd w:val="0"/>
      <w:snapToGrid w:val="0"/>
      <w:spacing w:before="240" w:after="60" w:line="360" w:lineRule="auto"/>
      <w:ind w:firstLine="200" w:firstLineChars="200"/>
      <w:jc w:val="center"/>
      <w:outlineLvl w:val="0"/>
    </w:pPr>
    <w:rPr>
      <w:rFonts w:ascii="Cambria" w:hAnsi="Cambria"/>
      <w:b/>
      <w:bCs/>
    </w:rPr>
  </w:style>
  <w:style w:type="paragraph" w:styleId="8">
    <w:name w:val="Plain Text"/>
    <w:basedOn w:val="1"/>
    <w:qFormat/>
    <w:uiPriority w:val="0"/>
    <w:rPr>
      <w:rFonts w:ascii="宋体"/>
      <w:snapToGrid w:val="0"/>
      <w:kern w:val="0"/>
      <w:szCs w:val="20"/>
    </w:rPr>
  </w:style>
  <w:style w:type="paragraph" w:styleId="9">
    <w:name w:val="footer"/>
    <w:basedOn w:val="1"/>
    <w:link w:val="24"/>
    <w:qFormat/>
    <w:uiPriority w:val="0"/>
    <w:pPr>
      <w:tabs>
        <w:tab w:val="center" w:pos="4153"/>
        <w:tab w:val="right" w:pos="8306"/>
      </w:tabs>
      <w:snapToGrid w:val="0"/>
      <w:jc w:val="left"/>
    </w:pPr>
    <w:rPr>
      <w:sz w:val="18"/>
      <w:szCs w:val="18"/>
    </w:rPr>
  </w:style>
  <w:style w:type="paragraph" w:styleId="10">
    <w:name w:val="header"/>
    <w:basedOn w:val="1"/>
    <w:link w:val="22"/>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pPr>
      <w:jc w:val="left"/>
    </w:pPr>
    <w:rPr>
      <w:rFonts w:eastAsia="宋体"/>
      <w:kern w:val="0"/>
      <w:sz w:val="24"/>
    </w:rPr>
  </w:style>
  <w:style w:type="character" w:styleId="14">
    <w:name w:val="Strong"/>
    <w:basedOn w:val="13"/>
    <w:qFormat/>
    <w:uiPriority w:val="0"/>
    <w:rPr>
      <w:b/>
    </w:rPr>
  </w:style>
  <w:style w:type="character" w:styleId="15">
    <w:name w:val="annotation reference"/>
    <w:basedOn w:val="13"/>
    <w:qFormat/>
    <w:uiPriority w:val="0"/>
    <w:rPr>
      <w:sz w:val="21"/>
      <w:szCs w:val="21"/>
    </w:rPr>
  </w:style>
  <w:style w:type="paragraph" w:customStyle="1" w:styleId="16">
    <w:name w:val="Normal Indent1"/>
    <w:basedOn w:val="1"/>
    <w:next w:val="1"/>
    <w:qFormat/>
    <w:uiPriority w:val="99"/>
    <w:pPr>
      <w:ind w:firstLine="420"/>
    </w:pPr>
  </w:style>
  <w:style w:type="paragraph" w:customStyle="1" w:styleId="17">
    <w:name w:val="Default"/>
    <w:basedOn w:val="18"/>
    <w:qFormat/>
    <w:uiPriority w:val="99"/>
    <w:pPr>
      <w:widowControl w:val="0"/>
      <w:autoSpaceDE w:val="0"/>
      <w:autoSpaceDN w:val="0"/>
      <w:adjustRightInd w:val="0"/>
    </w:pPr>
    <w:rPr>
      <w:rFonts w:ascii="宋体" w:cs="宋体"/>
      <w:color w:val="000000"/>
      <w:sz w:val="24"/>
      <w:szCs w:val="24"/>
      <w:lang w:val="en-US" w:eastAsia="zh-CN" w:bidi="ar-SA"/>
    </w:rPr>
  </w:style>
  <w:style w:type="paragraph" w:customStyle="1" w:styleId="18">
    <w:name w:val="纯文本1"/>
    <w:basedOn w:val="1"/>
    <w:qFormat/>
    <w:uiPriority w:val="0"/>
    <w:pPr>
      <w:suppressAutoHyphens/>
    </w:pPr>
    <w:rPr>
      <w:rFonts w:ascii="宋体" w:hAnsi="宋体" w:eastAsia="宋体" w:cs="Times New Roman"/>
      <w:kern w:val="1"/>
      <w:sz w:val="28"/>
      <w:lang w:eastAsia="ar-SA"/>
    </w:rPr>
  </w:style>
  <w:style w:type="paragraph" w:customStyle="1" w:styleId="19">
    <w:name w:val="正本文字"/>
    <w:basedOn w:val="1"/>
    <w:autoRedefine/>
    <w:qFormat/>
    <w:uiPriority w:val="0"/>
    <w:pPr>
      <w:adjustRightInd w:val="0"/>
      <w:snapToGrid w:val="0"/>
      <w:spacing w:line="360" w:lineRule="auto"/>
      <w:ind w:firstLine="480" w:firstLineChars="200"/>
      <w:jc w:val="left"/>
    </w:pPr>
    <w:rPr>
      <w:rFonts w:cs="宋体"/>
      <w:kern w:val="18"/>
      <w:sz w:val="24"/>
    </w:rPr>
  </w:style>
  <w:style w:type="character" w:customStyle="1" w:styleId="20">
    <w:name w:val="标题 3 字符"/>
    <w:link w:val="4"/>
    <w:qFormat/>
    <w:uiPriority w:val="0"/>
    <w:rPr>
      <w:rFonts w:eastAsia="楷体_GB2312"/>
      <w:b/>
      <w:bCs/>
      <w:color w:val="000000"/>
      <w:kern w:val="2"/>
      <w:sz w:val="28"/>
      <w:szCs w:val="28"/>
    </w:rPr>
  </w:style>
  <w:style w:type="character" w:customStyle="1" w:styleId="21">
    <w:name w:val="标题 3 Char"/>
    <w:semiHidden/>
    <w:qFormat/>
    <w:uiPriority w:val="0"/>
    <w:rPr>
      <w:rFonts w:ascii="Calibri" w:hAnsi="Calibri" w:eastAsia="方正仿宋_GBK"/>
      <w:b/>
      <w:bCs/>
      <w:kern w:val="32"/>
      <w:sz w:val="32"/>
      <w:szCs w:val="32"/>
    </w:rPr>
  </w:style>
  <w:style w:type="character" w:customStyle="1" w:styleId="22">
    <w:name w:val="页眉 字符"/>
    <w:link w:val="10"/>
    <w:qFormat/>
    <w:uiPriority w:val="0"/>
    <w:rPr>
      <w:rFonts w:ascii="Calibri" w:hAnsi="Calibri" w:eastAsia="方正仿宋_GBK"/>
      <w:kern w:val="32"/>
      <w:sz w:val="18"/>
      <w:szCs w:val="18"/>
    </w:rPr>
  </w:style>
  <w:style w:type="character" w:customStyle="1" w:styleId="23">
    <w:name w:val="标题 4 字符"/>
    <w:link w:val="5"/>
    <w:qFormat/>
    <w:uiPriority w:val="0"/>
    <w:rPr>
      <w:rFonts w:ascii="Arial" w:hAnsi="Arial" w:eastAsia="黑体"/>
      <w:b/>
      <w:bCs/>
      <w:kern w:val="2"/>
      <w:sz w:val="28"/>
      <w:szCs w:val="28"/>
    </w:rPr>
  </w:style>
  <w:style w:type="character" w:customStyle="1" w:styleId="24">
    <w:name w:val="页脚 字符"/>
    <w:link w:val="9"/>
    <w:qFormat/>
    <w:uiPriority w:val="0"/>
    <w:rPr>
      <w:rFonts w:ascii="Calibri" w:hAnsi="Calibri" w:eastAsia="方正仿宋_GBK"/>
      <w:kern w:val="32"/>
      <w:sz w:val="18"/>
      <w:szCs w:val="18"/>
    </w:rPr>
  </w:style>
  <w:style w:type="character" w:customStyle="1" w:styleId="25">
    <w:name w:val="标题 2 字符"/>
    <w:link w:val="3"/>
    <w:qFormat/>
    <w:uiPriority w:val="0"/>
    <w:rPr>
      <w:rFonts w:eastAsia="宋体"/>
      <w:b/>
      <w:sz w:val="24"/>
      <w:szCs w:val="24"/>
    </w:rPr>
  </w:style>
  <w:style w:type="character" w:customStyle="1" w:styleId="26">
    <w:name w:val="标题 4 Char"/>
    <w:semiHidden/>
    <w:qFormat/>
    <w:uiPriority w:val="0"/>
    <w:rPr>
      <w:rFonts w:ascii="Cambria" w:hAnsi="Cambria" w:eastAsia="宋体" w:cs="Times New Roman"/>
      <w:b/>
      <w:bCs/>
      <w:kern w:val="32"/>
      <w:sz w:val="28"/>
      <w:szCs w:val="28"/>
    </w:rPr>
  </w:style>
  <w:style w:type="character" w:customStyle="1" w:styleId="27">
    <w:name w:val="正文 旺源文字段落 Char"/>
    <w:link w:val="28"/>
    <w:qFormat/>
    <w:uiPriority w:val="0"/>
    <w:rPr>
      <w:rFonts w:ascii="宋体" w:hAnsi="宋体" w:cs="宋体"/>
      <w:kern w:val="24"/>
      <w:sz w:val="24"/>
      <w:szCs w:val="24"/>
    </w:rPr>
  </w:style>
  <w:style w:type="paragraph" w:customStyle="1" w:styleId="28">
    <w:name w:val="正文 旺源文字段落"/>
    <w:basedOn w:val="1"/>
    <w:link w:val="27"/>
    <w:qFormat/>
    <w:uiPriority w:val="0"/>
    <w:pPr>
      <w:spacing w:line="500" w:lineRule="exact"/>
      <w:ind w:firstLine="420"/>
    </w:pPr>
    <w:rPr>
      <w:rFonts w:ascii="宋体" w:hAnsi="宋体" w:eastAsia="宋体"/>
      <w:kern w:val="24"/>
      <w:sz w:val="24"/>
      <w:szCs w:val="24"/>
    </w:rPr>
  </w:style>
  <w:style w:type="paragraph" w:customStyle="1" w:styleId="29">
    <w:name w:val="LH样式"/>
    <w:basedOn w:val="1"/>
    <w:qFormat/>
    <w:uiPriority w:val="0"/>
    <w:pPr>
      <w:spacing w:line="480" w:lineRule="exact"/>
      <w:ind w:firstLine="520" w:firstLineChars="200"/>
    </w:pPr>
    <w:rPr>
      <w:rFonts w:ascii="Times New Roman" w:hAnsi="Times New Roman" w:eastAsia="宋体"/>
      <w:color w:val="00B0F0"/>
      <w:kern w:val="2"/>
      <w:sz w:val="26"/>
      <w:szCs w:val="26"/>
    </w:rPr>
  </w:style>
  <w:style w:type="paragraph" w:customStyle="1" w:styleId="30">
    <w:name w:val="正文2"/>
    <w:basedOn w:val="1"/>
    <w:qFormat/>
    <w:uiPriority w:val="0"/>
    <w:pPr>
      <w:spacing w:line="360" w:lineRule="auto"/>
      <w:ind w:firstLine="200" w:firstLineChars="200"/>
    </w:pPr>
    <w:rPr>
      <w:rFonts w:ascii="Times New Roman" w:hAnsi="Times New Roman" w:eastAsia="宋体"/>
      <w:sz w:val="24"/>
      <w:szCs w:val="20"/>
    </w:rPr>
  </w:style>
  <w:style w:type="paragraph" w:customStyle="1" w:styleId="31">
    <w:name w:val="Table Text"/>
    <w:basedOn w:val="1"/>
    <w:semiHidden/>
    <w:qFormat/>
    <w:uiPriority w:val="0"/>
    <w:rPr>
      <w:rFonts w:ascii="宋体" w:hAnsi="宋体" w:eastAsia="宋体" w:cs="宋体"/>
      <w:sz w:val="21"/>
      <w:szCs w:val="21"/>
      <w:lang w:val="en-US" w:eastAsia="en-US" w:bidi="ar-SA"/>
    </w:rPr>
  </w:style>
  <w:style w:type="paragraph" w:customStyle="1" w:styleId="32">
    <w:name w:val="H正文"/>
    <w:basedOn w:val="1"/>
    <w:qFormat/>
    <w:uiPriority w:val="0"/>
    <w:pPr>
      <w:adjustRightInd w:val="0"/>
      <w:spacing w:line="400" w:lineRule="exact"/>
      <w:ind w:firstLine="200" w:firstLineChars="200"/>
      <w:textAlignment w:val="baseline"/>
    </w:pPr>
    <w:rPr>
      <w:rFonts w:ascii="Times New Roman" w:hAnsi="Times New Roman" w:eastAsia="宋体"/>
      <w:snapToGrid w:val="0"/>
      <w:spacing w:val="6"/>
      <w:kern w:val="2"/>
      <w:sz w:val="21"/>
      <w:szCs w:val="24"/>
    </w:rPr>
  </w:style>
  <w:style w:type="paragraph" w:customStyle="1" w:styleId="33">
    <w:name w:val="正缩1"/>
    <w:basedOn w:val="1"/>
    <w:qFormat/>
    <w:uiPriority w:val="0"/>
    <w:pPr>
      <w:adjustRightInd w:val="0"/>
      <w:snapToGrid w:val="0"/>
      <w:spacing w:line="500" w:lineRule="exact"/>
      <w:ind w:firstLine="567"/>
    </w:pPr>
    <w:rPr>
      <w:rFonts w:ascii="Times New Roman" w:eastAsia="仿宋_GB2312"/>
      <w:color w:val="000000"/>
      <w:kern w:val="2"/>
      <w:sz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4</Pages>
  <Words>3994</Words>
  <Characters>4170</Characters>
  <Lines>97</Lines>
  <Paragraphs>85</Paragraphs>
  <TotalTime>8</TotalTime>
  <ScaleCrop>false</ScaleCrop>
  <LinksUpToDate>false</LinksUpToDate>
  <CharactersWithSpaces>4171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2019-10-22T09:39:00Z</dcterms:created>
  <dc:creator>lenovo</dc:creator>
  <cp:lastModifiedBy>郭丽娜</cp:lastModifiedBy>
  <cp:lastPrinted>2026-09-02T15:01:00Z</cp:lastPrinted>
  <dcterms:modified xsi:type="dcterms:W3CDTF">2026-09-02T08:17:23Z</dcterms:modified>
  <dc:title>曲靖市环境保护局</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253B6FC4BC404358AF951914D67936AB_13</vt:lpwstr>
  </property>
  <property fmtid="{D5CDD505-2E9C-101B-9397-08002B2CF9AE}" pid="4" name="KSOTemplateDocerSaveRecord">
    <vt:lpwstr>eyJoZGlkIjoiYTA0OTFiNTllN2E3YTc2MDc5ZTIwYTg0ZjFlZjFlMWQiLCJ1c2VySWQiOiIzNzMyMDUyODEifQ==</vt:lpwstr>
  </property>
</Properties>
</file>