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11"/>
        <w:tblW w:w="9814" w:type="dxa"/>
        <w:tblInd w:w="-208" w:type="dxa"/>
        <w:tblLayout w:type="fixed"/>
        <w:tblCellMar>
          <w:top w:w="0" w:type="dxa"/>
          <w:left w:w="108" w:type="dxa"/>
          <w:bottom w:w="0" w:type="dxa"/>
          <w:right w:w="108" w:type="dxa"/>
        </w:tblCellMar>
      </w:tblPr>
      <w:tblGrid>
        <w:gridCol w:w="1756"/>
        <w:gridCol w:w="2246"/>
        <w:gridCol w:w="1276"/>
        <w:gridCol w:w="1559"/>
        <w:gridCol w:w="1276"/>
        <w:gridCol w:w="1701"/>
      </w:tblGrid>
      <w:tr w14:paraId="64A856F1">
        <w:tblPrEx>
          <w:tblCellMar>
            <w:top w:w="0" w:type="dxa"/>
            <w:left w:w="108" w:type="dxa"/>
            <w:bottom w:w="0" w:type="dxa"/>
            <w:right w:w="108" w:type="dxa"/>
          </w:tblCellMar>
        </w:tblPrEx>
        <w:trPr>
          <w:trHeight w:val="571" w:hRule="atLeast"/>
        </w:trPr>
        <w:tc>
          <w:tcPr>
            <w:tcW w:w="1756" w:type="dxa"/>
            <w:tcBorders>
              <w:top w:val="single" w:color="auto" w:sz="4" w:space="0"/>
              <w:left w:val="single" w:color="auto" w:sz="4" w:space="0"/>
              <w:bottom w:val="single" w:color="auto" w:sz="4" w:space="0"/>
              <w:right w:val="single" w:color="auto" w:sz="4" w:space="0"/>
            </w:tcBorders>
            <w:shd w:val="clear" w:color="auto" w:fill="C0C0C0"/>
            <w:vAlign w:val="center"/>
          </w:tcPr>
          <w:p w14:paraId="41EAAC26">
            <w:pPr>
              <w:widowControl/>
              <w:spacing w:line="280" w:lineRule="exact"/>
              <w:jc w:val="left"/>
              <w:rPr>
                <w:rFonts w:ascii="宋体"/>
                <w:kern w:val="0"/>
                <w:sz w:val="24"/>
                <w:szCs w:val="24"/>
              </w:rPr>
            </w:pPr>
            <w:bookmarkStart w:id="0" w:name="_GoBack"/>
            <w:bookmarkEnd w:id="0"/>
            <w:r>
              <w:rPr>
                <w:rFonts w:hint="eastAsia" w:ascii="宋体"/>
                <w:sz w:val="24"/>
                <w:szCs w:val="24"/>
              </w:rPr>
              <w:t xml:space="preserve"> </w:t>
            </w:r>
            <w:r>
              <w:rPr>
                <w:rFonts w:hint="eastAsia" w:ascii="宋体" w:hAnsi="宋体"/>
                <w:kern w:val="0"/>
                <w:sz w:val="24"/>
                <w:szCs w:val="24"/>
              </w:rPr>
              <w:t>项目名称</w:t>
            </w:r>
          </w:p>
        </w:tc>
        <w:tc>
          <w:tcPr>
            <w:tcW w:w="2246" w:type="dxa"/>
            <w:tcBorders>
              <w:top w:val="single" w:color="auto" w:sz="4" w:space="0"/>
              <w:left w:val="nil"/>
              <w:bottom w:val="single" w:color="auto" w:sz="4" w:space="0"/>
              <w:right w:val="single" w:color="auto" w:sz="4" w:space="0"/>
            </w:tcBorders>
            <w:vAlign w:val="center"/>
          </w:tcPr>
          <w:p w14:paraId="6882C3E6">
            <w:pPr>
              <w:widowControl/>
              <w:spacing w:line="280" w:lineRule="exact"/>
              <w:jc w:val="left"/>
              <w:rPr>
                <w:rFonts w:ascii="Times New Roman" w:hAnsi="Times New Roman"/>
                <w:sz w:val="24"/>
                <w:szCs w:val="24"/>
              </w:rPr>
            </w:pPr>
            <w:r>
              <w:rPr>
                <w:rFonts w:ascii="Times New Roman" w:hAnsi="Times New Roman"/>
                <w:sz w:val="24"/>
                <w:szCs w:val="24"/>
              </w:rPr>
              <w:t>云南省曲靖中心医院新增一台飞利浦Azurion 3 M15型DSA（Ⅱ类）射线装置</w:t>
            </w:r>
          </w:p>
        </w:tc>
        <w:tc>
          <w:tcPr>
            <w:tcW w:w="1276" w:type="dxa"/>
            <w:tcBorders>
              <w:top w:val="single" w:color="auto" w:sz="4" w:space="0"/>
              <w:left w:val="nil"/>
              <w:bottom w:val="single" w:color="auto" w:sz="4" w:space="0"/>
              <w:right w:val="single" w:color="auto" w:sz="4" w:space="0"/>
            </w:tcBorders>
            <w:shd w:val="clear" w:color="auto" w:fill="C0C0C0"/>
            <w:vAlign w:val="center"/>
          </w:tcPr>
          <w:p w14:paraId="76D5AC81">
            <w:pPr>
              <w:widowControl/>
              <w:spacing w:line="280" w:lineRule="exact"/>
              <w:jc w:val="left"/>
              <w:rPr>
                <w:rFonts w:ascii="宋体"/>
                <w:kern w:val="0"/>
                <w:sz w:val="24"/>
                <w:szCs w:val="24"/>
              </w:rPr>
            </w:pPr>
            <w:r>
              <w:rPr>
                <w:rFonts w:hint="eastAsia" w:ascii="宋体" w:hAnsi="宋体"/>
                <w:kern w:val="0"/>
                <w:sz w:val="24"/>
                <w:szCs w:val="24"/>
              </w:rPr>
              <w:t>建设地点</w:t>
            </w:r>
          </w:p>
        </w:tc>
        <w:tc>
          <w:tcPr>
            <w:tcW w:w="1559" w:type="dxa"/>
            <w:tcBorders>
              <w:top w:val="single" w:color="auto" w:sz="4" w:space="0"/>
              <w:left w:val="nil"/>
              <w:bottom w:val="single" w:color="auto" w:sz="4" w:space="0"/>
              <w:right w:val="single" w:color="auto" w:sz="4" w:space="0"/>
            </w:tcBorders>
            <w:vAlign w:val="center"/>
          </w:tcPr>
          <w:p w14:paraId="5DBD3622">
            <w:pPr>
              <w:widowControl/>
              <w:spacing w:line="280" w:lineRule="exact"/>
              <w:jc w:val="left"/>
              <w:rPr>
                <w:sz w:val="24"/>
              </w:rPr>
            </w:pPr>
            <w:r>
              <w:rPr>
                <w:rFonts w:hint="eastAsia"/>
                <w:sz w:val="24"/>
              </w:rPr>
              <w:t>云南省曲靖中心医院A区1# 门诊急诊楼五层</w:t>
            </w:r>
          </w:p>
        </w:tc>
        <w:tc>
          <w:tcPr>
            <w:tcW w:w="1276" w:type="dxa"/>
            <w:tcBorders>
              <w:top w:val="single" w:color="auto" w:sz="4" w:space="0"/>
              <w:left w:val="nil"/>
              <w:bottom w:val="single" w:color="auto" w:sz="4" w:space="0"/>
              <w:right w:val="single" w:color="auto" w:sz="4" w:space="0"/>
            </w:tcBorders>
            <w:shd w:val="clear" w:color="auto" w:fill="C0C0C0"/>
            <w:vAlign w:val="center"/>
          </w:tcPr>
          <w:p w14:paraId="2EDE2D6E">
            <w:pPr>
              <w:widowControl/>
              <w:spacing w:line="280" w:lineRule="exact"/>
              <w:jc w:val="left"/>
              <w:rPr>
                <w:rFonts w:ascii="宋体"/>
                <w:kern w:val="0"/>
                <w:sz w:val="24"/>
                <w:szCs w:val="24"/>
              </w:rPr>
            </w:pPr>
            <w:r>
              <w:rPr>
                <w:rFonts w:hint="eastAsia" w:ascii="宋体" w:hAnsi="宋体"/>
                <w:kern w:val="0"/>
                <w:sz w:val="24"/>
                <w:szCs w:val="24"/>
              </w:rPr>
              <w:t>建设单位</w:t>
            </w:r>
          </w:p>
        </w:tc>
        <w:tc>
          <w:tcPr>
            <w:tcW w:w="1701" w:type="dxa"/>
            <w:tcBorders>
              <w:top w:val="single" w:color="auto" w:sz="4" w:space="0"/>
              <w:left w:val="nil"/>
              <w:bottom w:val="single" w:color="auto" w:sz="4" w:space="0"/>
              <w:right w:val="single" w:color="auto" w:sz="4" w:space="0"/>
            </w:tcBorders>
            <w:vAlign w:val="center"/>
          </w:tcPr>
          <w:p w14:paraId="7C0EAFDD">
            <w:pPr>
              <w:widowControl/>
              <w:spacing w:line="280" w:lineRule="exact"/>
              <w:jc w:val="center"/>
              <w:rPr>
                <w:rFonts w:ascii="Times New Roman" w:hAnsi="Times New Roman"/>
                <w:sz w:val="24"/>
                <w:szCs w:val="24"/>
              </w:rPr>
            </w:pPr>
            <w:r>
              <w:rPr>
                <w:rFonts w:ascii="Times New Roman" w:hAnsi="Times New Roman"/>
                <w:sz w:val="24"/>
                <w:szCs w:val="24"/>
              </w:rPr>
              <w:t>云南省曲靖中心医院</w:t>
            </w:r>
          </w:p>
        </w:tc>
      </w:tr>
      <w:tr w14:paraId="01121CF6">
        <w:tblPrEx>
          <w:tblCellMar>
            <w:top w:w="0" w:type="dxa"/>
            <w:left w:w="108" w:type="dxa"/>
            <w:bottom w:w="0" w:type="dxa"/>
            <w:right w:w="108" w:type="dxa"/>
          </w:tblCellMar>
        </w:tblPrEx>
        <w:trPr>
          <w:trHeight w:val="762" w:hRule="atLeast"/>
        </w:trPr>
        <w:tc>
          <w:tcPr>
            <w:tcW w:w="1756" w:type="dxa"/>
            <w:tcBorders>
              <w:top w:val="nil"/>
              <w:left w:val="single" w:color="auto" w:sz="4" w:space="0"/>
              <w:bottom w:val="single" w:color="auto" w:sz="4" w:space="0"/>
              <w:right w:val="single" w:color="auto" w:sz="4" w:space="0"/>
            </w:tcBorders>
            <w:shd w:val="clear" w:color="auto" w:fill="C0C0C0"/>
            <w:vAlign w:val="center"/>
          </w:tcPr>
          <w:p w14:paraId="5012EFCD">
            <w:pPr>
              <w:widowControl/>
              <w:spacing w:line="280" w:lineRule="exact"/>
              <w:jc w:val="left"/>
              <w:rPr>
                <w:rFonts w:ascii="宋体"/>
                <w:kern w:val="0"/>
                <w:sz w:val="24"/>
                <w:szCs w:val="24"/>
              </w:rPr>
            </w:pPr>
            <w:r>
              <w:rPr>
                <w:rFonts w:hint="eastAsia" w:ascii="宋体" w:hAnsi="宋体"/>
                <w:kern w:val="0"/>
                <w:sz w:val="24"/>
                <w:szCs w:val="24"/>
              </w:rPr>
              <w:t>环评文件类型</w:t>
            </w:r>
          </w:p>
        </w:tc>
        <w:tc>
          <w:tcPr>
            <w:tcW w:w="2246" w:type="dxa"/>
            <w:tcBorders>
              <w:top w:val="nil"/>
              <w:left w:val="nil"/>
              <w:bottom w:val="single" w:color="auto" w:sz="4" w:space="0"/>
              <w:right w:val="single" w:color="auto" w:sz="4" w:space="0"/>
            </w:tcBorders>
            <w:vAlign w:val="center"/>
          </w:tcPr>
          <w:p w14:paraId="1EE1E9A8">
            <w:pPr>
              <w:widowControl/>
              <w:spacing w:line="280" w:lineRule="exact"/>
              <w:jc w:val="center"/>
              <w:rPr>
                <w:rFonts w:hint="eastAsia" w:ascii="宋体" w:hAnsi="宋体" w:eastAsia="宋体" w:cs="华文仿宋"/>
                <w:kern w:val="0"/>
                <w:sz w:val="24"/>
                <w:szCs w:val="24"/>
              </w:rPr>
            </w:pPr>
            <w:r>
              <w:rPr>
                <w:rFonts w:hint="eastAsia" w:ascii="Times New Roman" w:hAnsi="Times New Roman"/>
                <w:sz w:val="24"/>
                <w:szCs w:val="24"/>
              </w:rPr>
              <w:t>报告表</w:t>
            </w:r>
          </w:p>
        </w:tc>
        <w:tc>
          <w:tcPr>
            <w:tcW w:w="1276" w:type="dxa"/>
            <w:tcBorders>
              <w:top w:val="nil"/>
              <w:left w:val="nil"/>
              <w:bottom w:val="single" w:color="auto" w:sz="4" w:space="0"/>
              <w:right w:val="single" w:color="auto" w:sz="4" w:space="0"/>
            </w:tcBorders>
            <w:shd w:val="clear" w:color="auto" w:fill="C0C0C0"/>
            <w:vAlign w:val="center"/>
          </w:tcPr>
          <w:p w14:paraId="0536848E">
            <w:pPr>
              <w:widowControl/>
              <w:spacing w:line="280" w:lineRule="exact"/>
              <w:jc w:val="left"/>
              <w:rPr>
                <w:rFonts w:ascii="宋体"/>
                <w:kern w:val="0"/>
                <w:sz w:val="24"/>
                <w:szCs w:val="24"/>
              </w:rPr>
            </w:pPr>
            <w:r>
              <w:rPr>
                <w:rFonts w:hint="eastAsia" w:ascii="宋体" w:hAnsi="宋体"/>
                <w:kern w:val="0"/>
                <w:sz w:val="24"/>
                <w:szCs w:val="24"/>
              </w:rPr>
              <w:t>环境影响评价机构</w:t>
            </w:r>
          </w:p>
        </w:tc>
        <w:tc>
          <w:tcPr>
            <w:tcW w:w="4536" w:type="dxa"/>
            <w:gridSpan w:val="3"/>
            <w:tcBorders>
              <w:top w:val="single" w:color="auto" w:sz="4" w:space="0"/>
              <w:left w:val="nil"/>
              <w:bottom w:val="single" w:color="auto" w:sz="4" w:space="0"/>
              <w:right w:val="single" w:color="000000" w:sz="4" w:space="0"/>
            </w:tcBorders>
            <w:vAlign w:val="center"/>
          </w:tcPr>
          <w:p w14:paraId="3B1FA12D">
            <w:pPr>
              <w:widowControl/>
              <w:spacing w:line="280" w:lineRule="exact"/>
              <w:jc w:val="center"/>
              <w:rPr>
                <w:rFonts w:ascii="宋体"/>
                <w:kern w:val="0"/>
                <w:sz w:val="24"/>
                <w:szCs w:val="24"/>
              </w:rPr>
            </w:pPr>
            <w:r>
              <w:rPr>
                <w:rFonts w:ascii="宋体"/>
                <w:kern w:val="0"/>
                <w:sz w:val="24"/>
                <w:szCs w:val="24"/>
              </w:rPr>
              <w:t>中辐环境科技有限公司</w:t>
            </w:r>
          </w:p>
        </w:tc>
      </w:tr>
      <w:tr w14:paraId="4AF7F11A">
        <w:tblPrEx>
          <w:tblCellMar>
            <w:top w:w="0" w:type="dxa"/>
            <w:left w:w="108" w:type="dxa"/>
            <w:bottom w:w="0" w:type="dxa"/>
            <w:right w:w="108" w:type="dxa"/>
          </w:tblCellMar>
        </w:tblPrEx>
        <w:trPr>
          <w:trHeight w:val="616" w:hRule="atLeast"/>
        </w:trPr>
        <w:tc>
          <w:tcPr>
            <w:tcW w:w="9814" w:type="dxa"/>
            <w:gridSpan w:val="6"/>
            <w:tcBorders>
              <w:top w:val="single" w:color="auto" w:sz="4" w:space="0"/>
              <w:left w:val="single" w:color="auto" w:sz="4" w:space="0"/>
              <w:bottom w:val="single" w:color="auto" w:sz="4" w:space="0"/>
              <w:right w:val="single" w:color="auto" w:sz="4" w:space="0"/>
            </w:tcBorders>
            <w:shd w:val="clear" w:color="auto" w:fill="C0C0C0"/>
            <w:vAlign w:val="center"/>
          </w:tcPr>
          <w:p w14:paraId="38D7104A">
            <w:pPr>
              <w:widowControl/>
              <w:spacing w:line="280" w:lineRule="exact"/>
              <w:jc w:val="center"/>
              <w:rPr>
                <w:rFonts w:ascii="宋体"/>
                <w:kern w:val="0"/>
                <w:sz w:val="24"/>
                <w:szCs w:val="24"/>
              </w:rPr>
            </w:pPr>
            <w:r>
              <w:rPr>
                <w:rFonts w:hint="eastAsia" w:ascii="宋体" w:hAnsi="宋体"/>
                <w:kern w:val="0"/>
                <w:sz w:val="24"/>
                <w:szCs w:val="24"/>
              </w:rPr>
              <w:t>项目概况</w:t>
            </w:r>
          </w:p>
        </w:tc>
      </w:tr>
      <w:tr w14:paraId="0A29EA58">
        <w:tblPrEx>
          <w:tblCellMar>
            <w:top w:w="0" w:type="dxa"/>
            <w:left w:w="108" w:type="dxa"/>
            <w:bottom w:w="0" w:type="dxa"/>
            <w:right w:w="108" w:type="dxa"/>
          </w:tblCellMar>
        </w:tblPrEx>
        <w:trPr>
          <w:trHeight w:val="606" w:hRule="atLeast"/>
        </w:trPr>
        <w:tc>
          <w:tcPr>
            <w:tcW w:w="9814" w:type="dxa"/>
            <w:gridSpan w:val="6"/>
            <w:tcBorders>
              <w:top w:val="single" w:color="auto" w:sz="4" w:space="0"/>
              <w:left w:val="single" w:color="auto" w:sz="4" w:space="0"/>
              <w:bottom w:val="single" w:color="auto" w:sz="4" w:space="0"/>
              <w:right w:val="single" w:color="auto" w:sz="4" w:space="0"/>
            </w:tcBorders>
            <w:vAlign w:val="center"/>
          </w:tcPr>
          <w:p w14:paraId="0A392711">
            <w:pPr>
              <w:keepNext w:val="0"/>
              <w:keepLines w:val="0"/>
              <w:pageBreakBefore w:val="0"/>
              <w:widowControl/>
              <w:kinsoku/>
              <w:wordWrap/>
              <w:overflowPunct/>
              <w:topLinePunct w:val="0"/>
              <w:autoSpaceDE/>
              <w:autoSpaceDN/>
              <w:bidi w:val="0"/>
              <w:adjustRightInd/>
              <w:snapToGrid/>
              <w:spacing w:line="360" w:lineRule="exact"/>
              <w:ind w:firstLine="480" w:firstLineChars="200"/>
              <w:jc w:val="left"/>
              <w:textAlignment w:val="auto"/>
            </w:pPr>
            <w:r>
              <w:rPr>
                <w:rFonts w:ascii="Times New Roman" w:hAnsi="Times New Roman"/>
                <w:sz w:val="24"/>
                <w:szCs w:val="24"/>
              </w:rPr>
              <w:t>云南省曲靖中心医院拟将A区1#门诊急诊楼五层手术中心原已通过环评批复的1间中C臂机房（OR9）调整为1间DSA机房，新增使用1台DSA（型号为飞利浦Azurion 3 M15，最大管电压125kV，最大管电流800mA，属Ⅱ类射线装置）。项目总投资为800万元，其中环保投资为10万元，占项目总投资的1.25%。</w:t>
            </w:r>
          </w:p>
        </w:tc>
      </w:tr>
      <w:tr w14:paraId="5B3B237B">
        <w:tblPrEx>
          <w:tblCellMar>
            <w:top w:w="0" w:type="dxa"/>
            <w:left w:w="108" w:type="dxa"/>
            <w:bottom w:w="0" w:type="dxa"/>
            <w:right w:w="108" w:type="dxa"/>
          </w:tblCellMar>
        </w:tblPrEx>
        <w:trPr>
          <w:trHeight w:val="558" w:hRule="atLeast"/>
        </w:trPr>
        <w:tc>
          <w:tcPr>
            <w:tcW w:w="9814" w:type="dxa"/>
            <w:gridSpan w:val="6"/>
            <w:tcBorders>
              <w:top w:val="single" w:color="auto" w:sz="4" w:space="0"/>
              <w:left w:val="single" w:color="auto" w:sz="4" w:space="0"/>
              <w:bottom w:val="single" w:color="auto" w:sz="4" w:space="0"/>
              <w:right w:val="single" w:color="auto" w:sz="4" w:space="0"/>
            </w:tcBorders>
            <w:shd w:val="clear" w:color="auto" w:fill="C0C0C0"/>
            <w:vAlign w:val="center"/>
          </w:tcPr>
          <w:p w14:paraId="7DBCF08E">
            <w:pPr>
              <w:widowControl/>
              <w:spacing w:line="280" w:lineRule="exact"/>
              <w:jc w:val="center"/>
              <w:rPr>
                <w:rFonts w:ascii="宋体"/>
                <w:kern w:val="0"/>
                <w:sz w:val="24"/>
                <w:szCs w:val="24"/>
              </w:rPr>
            </w:pPr>
            <w:r>
              <w:rPr>
                <w:rFonts w:hint="eastAsia" w:ascii="宋体" w:hAnsi="宋体"/>
                <w:kern w:val="0"/>
                <w:sz w:val="24"/>
                <w:szCs w:val="24"/>
              </w:rPr>
              <w:t>项目主要环境影响</w:t>
            </w:r>
          </w:p>
        </w:tc>
      </w:tr>
      <w:tr w14:paraId="124424C9">
        <w:tblPrEx>
          <w:tblCellMar>
            <w:top w:w="0" w:type="dxa"/>
            <w:left w:w="108" w:type="dxa"/>
            <w:bottom w:w="0" w:type="dxa"/>
            <w:right w:w="108" w:type="dxa"/>
          </w:tblCellMar>
        </w:tblPrEx>
        <w:trPr>
          <w:trHeight w:val="535" w:hRule="atLeast"/>
        </w:trPr>
        <w:tc>
          <w:tcPr>
            <w:tcW w:w="9814" w:type="dxa"/>
            <w:gridSpan w:val="6"/>
            <w:tcBorders>
              <w:top w:val="single" w:color="auto" w:sz="4" w:space="0"/>
              <w:left w:val="single" w:color="auto" w:sz="4" w:space="0"/>
              <w:bottom w:val="single" w:color="auto" w:sz="4" w:space="0"/>
              <w:right w:val="single" w:color="auto" w:sz="4" w:space="0"/>
            </w:tcBorders>
            <w:vAlign w:val="center"/>
          </w:tcPr>
          <w:p w14:paraId="7E478D87">
            <w:pPr>
              <w:widowControl/>
              <w:spacing w:line="360" w:lineRule="exact"/>
              <w:jc w:val="left"/>
              <w:rPr>
                <w:rFonts w:ascii="Times New Roman" w:hAnsi="Times New Roman"/>
                <w:b/>
                <w:bCs/>
                <w:sz w:val="24"/>
                <w:szCs w:val="24"/>
              </w:rPr>
            </w:pPr>
            <w:r>
              <w:rPr>
                <w:rFonts w:ascii="Times New Roman" w:hAnsi="Times New Roman"/>
                <w:b/>
                <w:bCs/>
                <w:sz w:val="24"/>
                <w:szCs w:val="24"/>
              </w:rPr>
              <w:t>一、施工期</w:t>
            </w:r>
          </w:p>
          <w:p w14:paraId="293AECA3">
            <w:pPr>
              <w:widowControl/>
              <w:spacing w:line="360" w:lineRule="exact"/>
              <w:ind w:firstLine="480" w:firstLineChars="200"/>
              <w:jc w:val="left"/>
              <w:rPr>
                <w:rFonts w:ascii="Times New Roman" w:hAnsi="Times New Roman"/>
                <w:sz w:val="24"/>
                <w:szCs w:val="24"/>
              </w:rPr>
            </w:pPr>
            <w:r>
              <w:rPr>
                <w:rFonts w:ascii="Times New Roman" w:hAnsi="Times New Roman"/>
                <w:sz w:val="24"/>
                <w:szCs w:val="24"/>
              </w:rPr>
              <w:t>本项目施工内容为将A区1#门诊急诊楼五层手术中心原1间中C臂机房（OR9）调整为DSA机房，设备安装及调试。主要污染物有施工噪声、固体废弃物、扬尘、施工人员产生少量生活污水、少量电离辐射和臭氧</w:t>
            </w:r>
            <w:r>
              <w:rPr>
                <w:rFonts w:hint="eastAsia" w:ascii="Times New Roman" w:hAnsi="Times New Roman"/>
                <w:sz w:val="24"/>
                <w:szCs w:val="24"/>
              </w:rPr>
              <w:t>。</w:t>
            </w:r>
          </w:p>
          <w:p w14:paraId="0C107048">
            <w:pPr>
              <w:widowControl/>
              <w:spacing w:line="360" w:lineRule="exact"/>
              <w:jc w:val="left"/>
              <w:rPr>
                <w:rFonts w:ascii="Times New Roman" w:hAnsi="Times New Roman"/>
                <w:b/>
                <w:bCs/>
                <w:sz w:val="24"/>
                <w:szCs w:val="24"/>
              </w:rPr>
            </w:pPr>
            <w:r>
              <w:rPr>
                <w:rFonts w:hint="eastAsia" w:ascii="Times New Roman" w:hAnsi="Times New Roman"/>
                <w:b/>
                <w:bCs/>
                <w:sz w:val="24"/>
                <w:szCs w:val="24"/>
              </w:rPr>
              <w:t>二、运营期</w:t>
            </w:r>
          </w:p>
          <w:p w14:paraId="1DB817B3">
            <w:pPr>
              <w:widowControl/>
              <w:spacing w:line="360" w:lineRule="exact"/>
              <w:ind w:firstLine="480" w:firstLineChars="200"/>
              <w:jc w:val="left"/>
              <w:rPr>
                <w:rFonts w:ascii="Times New Roman" w:hAnsi="Times New Roman"/>
                <w:sz w:val="24"/>
                <w:szCs w:val="24"/>
              </w:rPr>
            </w:pPr>
            <w:r>
              <w:rPr>
                <w:rFonts w:hint="eastAsia" w:ascii="Times New Roman" w:hAnsi="Times New Roman"/>
                <w:sz w:val="24"/>
                <w:szCs w:val="24"/>
              </w:rPr>
              <w:t>（1）X射线：X射线装置只有在开机并处于出束状态时才会发出X射线。在开机出束时，有用束和漏射、散射的X射线对周围环境造成辐射污染。X射线随设备的开机而产生，关机而消失。</w:t>
            </w:r>
          </w:p>
          <w:p w14:paraId="2E2F4D65">
            <w:pPr>
              <w:widowControl/>
              <w:spacing w:line="360" w:lineRule="exact"/>
              <w:ind w:firstLine="480" w:firstLineChars="200"/>
              <w:jc w:val="left"/>
              <w:rPr>
                <w:rFonts w:ascii="Times New Roman" w:hAnsi="Times New Roman"/>
                <w:sz w:val="24"/>
                <w:szCs w:val="24"/>
              </w:rPr>
            </w:pPr>
            <w:r>
              <w:rPr>
                <w:rFonts w:hint="eastAsia" w:ascii="Times New Roman" w:hAnsi="Times New Roman"/>
                <w:sz w:val="24"/>
                <w:szCs w:val="24"/>
              </w:rPr>
              <w:t>（2）废气（臭氧、氮氧化物）：在X射线装置开机及曝光过程中，X射线穿过空气会导致空气中的O</w:t>
            </w:r>
            <w:r>
              <w:rPr>
                <w:rFonts w:hint="eastAsia" w:ascii="Times New Roman" w:hAnsi="Times New Roman"/>
                <w:sz w:val="24"/>
                <w:szCs w:val="24"/>
                <w:vertAlign w:val="subscript"/>
              </w:rPr>
              <w:t>2</w:t>
            </w:r>
            <w:r>
              <w:rPr>
                <w:rFonts w:hint="eastAsia" w:ascii="Times New Roman" w:hAnsi="Times New Roman"/>
                <w:sz w:val="24"/>
                <w:szCs w:val="24"/>
              </w:rPr>
              <w:t>、N</w:t>
            </w:r>
            <w:r>
              <w:rPr>
                <w:rFonts w:hint="eastAsia" w:ascii="Times New Roman" w:hAnsi="Times New Roman"/>
                <w:sz w:val="24"/>
                <w:szCs w:val="24"/>
                <w:vertAlign w:val="subscript"/>
              </w:rPr>
              <w:t>2</w:t>
            </w:r>
            <w:r>
              <w:rPr>
                <w:rFonts w:hint="eastAsia" w:ascii="Times New Roman" w:hAnsi="Times New Roman"/>
                <w:sz w:val="24"/>
                <w:szCs w:val="24"/>
              </w:rPr>
              <w:t>发生一系列化学反应，产生臭氧和氮氧化物。</w:t>
            </w:r>
          </w:p>
          <w:p w14:paraId="62270371">
            <w:pPr>
              <w:widowControl/>
              <w:spacing w:line="360" w:lineRule="exact"/>
              <w:ind w:firstLine="480" w:firstLineChars="200"/>
              <w:jc w:val="left"/>
              <w:rPr>
                <w:rFonts w:ascii="Times New Roman" w:hAnsi="Times New Roman"/>
                <w:sz w:val="24"/>
                <w:szCs w:val="24"/>
              </w:rPr>
            </w:pPr>
            <w:r>
              <w:rPr>
                <w:rFonts w:hint="eastAsia" w:ascii="Times New Roman" w:hAnsi="Times New Roman"/>
                <w:sz w:val="24"/>
                <w:szCs w:val="24"/>
              </w:rPr>
              <w:t>（3）废水：本项目</w:t>
            </w:r>
            <w:r>
              <w:rPr>
                <w:rFonts w:ascii="Times New Roman" w:hAnsi="Times New Roman"/>
                <w:sz w:val="24"/>
                <w:szCs w:val="24"/>
              </w:rPr>
              <w:t>DSA射线装置</w:t>
            </w:r>
            <w:r>
              <w:rPr>
                <w:rFonts w:hint="eastAsia" w:ascii="Times New Roman" w:hAnsi="Times New Roman"/>
                <w:sz w:val="24"/>
                <w:szCs w:val="24"/>
              </w:rPr>
              <w:t>采用数字成像，不使用显影液和定影液，无洗片过程，无废显、定影液产生。医务人员工作时产生少量的生活废水，介入手术、清洗器械产生少量医疗废水。</w:t>
            </w:r>
          </w:p>
          <w:p w14:paraId="2152A288">
            <w:pPr>
              <w:widowControl/>
              <w:spacing w:line="360" w:lineRule="exact"/>
              <w:ind w:firstLine="480" w:firstLineChars="200"/>
              <w:jc w:val="left"/>
              <w:rPr>
                <w:rFonts w:ascii="Times New Roman" w:hAnsi="Times New Roman"/>
                <w:sz w:val="24"/>
                <w:szCs w:val="24"/>
              </w:rPr>
            </w:pPr>
            <w:r>
              <w:rPr>
                <w:rFonts w:hint="eastAsia" w:ascii="Times New Roman" w:hAnsi="Times New Roman"/>
                <w:sz w:val="24"/>
                <w:szCs w:val="24"/>
              </w:rPr>
              <w:t>（4）噪声：</w:t>
            </w:r>
            <w:r>
              <w:rPr>
                <w:rFonts w:ascii="Times New Roman" w:hAnsi="Times New Roman"/>
                <w:sz w:val="24"/>
                <w:szCs w:val="24"/>
              </w:rPr>
              <w:t>本项目DSA机房依托现有动力排风系统。排气风机选用低噪声型设备，噪声值一般低于65dB(A)，风机采用减震设计并通过建筑墙体隔声及距离衰减降低噪声影响。</w:t>
            </w:r>
          </w:p>
          <w:p w14:paraId="3B78BBB0">
            <w:pPr>
              <w:widowControl/>
              <w:spacing w:line="360" w:lineRule="exact"/>
              <w:ind w:firstLine="480" w:firstLineChars="200"/>
              <w:jc w:val="left"/>
            </w:pPr>
            <w:r>
              <w:rPr>
                <w:rFonts w:hint="eastAsia" w:ascii="Times New Roman" w:hAnsi="Times New Roman"/>
                <w:sz w:val="24"/>
                <w:szCs w:val="24"/>
              </w:rPr>
              <w:t>（5）固体废物：</w:t>
            </w:r>
            <w:r>
              <w:rPr>
                <w:rFonts w:ascii="Times New Roman" w:hAnsi="Times New Roman"/>
                <w:sz w:val="24"/>
                <w:szCs w:val="24"/>
              </w:rPr>
              <w:t>本项目DSA采用数字成像，无废胶片产生；介入手术时会产生少量纱布、手套等医疗废物，年产生量约250kg；医护人员在工作中会产生少量生活垃圾。</w:t>
            </w:r>
          </w:p>
        </w:tc>
      </w:tr>
      <w:tr w14:paraId="7A4A5CE5">
        <w:tblPrEx>
          <w:tblCellMar>
            <w:top w:w="0" w:type="dxa"/>
            <w:left w:w="108" w:type="dxa"/>
            <w:bottom w:w="0" w:type="dxa"/>
            <w:right w:w="108" w:type="dxa"/>
          </w:tblCellMar>
        </w:tblPrEx>
        <w:trPr>
          <w:trHeight w:val="381" w:hRule="atLeast"/>
        </w:trPr>
        <w:tc>
          <w:tcPr>
            <w:tcW w:w="9814" w:type="dxa"/>
            <w:gridSpan w:val="6"/>
            <w:tcBorders>
              <w:top w:val="single" w:color="auto" w:sz="4" w:space="0"/>
              <w:left w:val="single" w:color="auto" w:sz="4" w:space="0"/>
              <w:bottom w:val="single" w:color="auto" w:sz="4" w:space="0"/>
              <w:right w:val="single" w:color="auto" w:sz="4" w:space="0"/>
            </w:tcBorders>
            <w:shd w:val="clear" w:color="auto" w:fill="C0C0C0"/>
            <w:vAlign w:val="center"/>
          </w:tcPr>
          <w:p w14:paraId="2652DC93">
            <w:pPr>
              <w:widowControl/>
              <w:spacing w:line="280" w:lineRule="exact"/>
              <w:jc w:val="center"/>
              <w:rPr>
                <w:rFonts w:ascii="宋体"/>
                <w:kern w:val="0"/>
                <w:sz w:val="24"/>
                <w:szCs w:val="24"/>
              </w:rPr>
            </w:pPr>
            <w:r>
              <w:rPr>
                <w:rFonts w:hint="eastAsia" w:ascii="宋体" w:hAnsi="宋体"/>
                <w:kern w:val="0"/>
                <w:sz w:val="24"/>
                <w:szCs w:val="24"/>
              </w:rPr>
              <w:t>项目预防及减轻不良环境影响的对策和措施</w:t>
            </w:r>
          </w:p>
        </w:tc>
      </w:tr>
      <w:tr w14:paraId="1E8EE4E4">
        <w:tblPrEx>
          <w:tblCellMar>
            <w:top w:w="0" w:type="dxa"/>
            <w:left w:w="108" w:type="dxa"/>
            <w:bottom w:w="0" w:type="dxa"/>
            <w:right w:w="108" w:type="dxa"/>
          </w:tblCellMar>
        </w:tblPrEx>
        <w:trPr>
          <w:trHeight w:val="437" w:hRule="atLeast"/>
        </w:trPr>
        <w:tc>
          <w:tcPr>
            <w:tcW w:w="9814" w:type="dxa"/>
            <w:gridSpan w:val="6"/>
            <w:tcBorders>
              <w:top w:val="single" w:color="auto" w:sz="4" w:space="0"/>
              <w:left w:val="single" w:color="auto" w:sz="4" w:space="0"/>
              <w:bottom w:val="single" w:color="auto" w:sz="4" w:space="0"/>
              <w:right w:val="single" w:color="auto" w:sz="4" w:space="0"/>
            </w:tcBorders>
            <w:vAlign w:val="center"/>
          </w:tcPr>
          <w:p w14:paraId="0C7C8190">
            <w:pPr>
              <w:widowControl/>
              <w:spacing w:line="360" w:lineRule="exact"/>
              <w:jc w:val="left"/>
              <w:rPr>
                <w:rFonts w:ascii="Times New Roman" w:hAnsi="Times New Roman"/>
                <w:b/>
                <w:bCs/>
                <w:sz w:val="24"/>
                <w:szCs w:val="24"/>
              </w:rPr>
            </w:pPr>
            <w:r>
              <w:rPr>
                <w:rFonts w:hint="eastAsia" w:ascii="Times New Roman" w:hAnsi="Times New Roman"/>
                <w:b/>
                <w:bCs/>
                <w:sz w:val="24"/>
                <w:szCs w:val="24"/>
              </w:rPr>
              <w:t>一、辐射影响对策和措施</w:t>
            </w:r>
          </w:p>
          <w:p w14:paraId="5E4501C1">
            <w:pPr>
              <w:widowControl/>
              <w:spacing w:line="360" w:lineRule="exact"/>
              <w:ind w:firstLine="480" w:firstLineChars="200"/>
              <w:jc w:val="left"/>
              <w:rPr>
                <w:rFonts w:ascii="Times New Roman" w:hAnsi="Times New Roman"/>
                <w:sz w:val="24"/>
                <w:szCs w:val="24"/>
              </w:rPr>
            </w:pPr>
            <w:r>
              <w:rPr>
                <w:rFonts w:hint="eastAsia" w:ascii="Times New Roman" w:hAnsi="Times New Roman"/>
                <w:sz w:val="24"/>
                <w:szCs w:val="24"/>
              </w:rPr>
              <w:t>1、工作区域管理</w:t>
            </w:r>
          </w:p>
          <w:p w14:paraId="3D05061C">
            <w:pPr>
              <w:widowControl/>
              <w:spacing w:line="360" w:lineRule="exact"/>
              <w:ind w:firstLine="480" w:firstLineChars="200"/>
              <w:jc w:val="left"/>
              <w:rPr>
                <w:rFonts w:ascii="Times New Roman" w:hAnsi="Times New Roman"/>
                <w:sz w:val="24"/>
                <w:szCs w:val="24"/>
              </w:rPr>
            </w:pPr>
            <w:r>
              <w:rPr>
                <w:rFonts w:ascii="Times New Roman" w:hAnsi="Times New Roman"/>
                <w:sz w:val="24"/>
                <w:szCs w:val="24"/>
              </w:rPr>
              <w:t>为了便于加强管理，切实做好辐射安全防范工作，按《电离辐射防护与辐射源安全基本标准》（GB18871-2002），辐射工作场所分为控制区和监督区。本项目将OR9手术室内划为控制区，西侧设备间、控制室和机房东墙外30cm、南墙外30cm、北墙外30m划为监督区。控制区内禁止外来人员进入，监督区范围内应限制无关人员进入。</w:t>
            </w:r>
          </w:p>
          <w:p w14:paraId="20319ADB">
            <w:pPr>
              <w:widowControl/>
              <w:spacing w:line="360" w:lineRule="exact"/>
              <w:ind w:firstLine="480" w:firstLineChars="200"/>
              <w:jc w:val="left"/>
              <w:rPr>
                <w:rFonts w:ascii="Times New Roman" w:hAnsi="Times New Roman"/>
                <w:sz w:val="24"/>
                <w:szCs w:val="24"/>
              </w:rPr>
            </w:pPr>
            <w:r>
              <w:rPr>
                <w:rFonts w:hint="eastAsia" w:ascii="Times New Roman" w:hAnsi="Times New Roman"/>
                <w:sz w:val="24"/>
                <w:szCs w:val="24"/>
              </w:rPr>
              <w:t>2、辐射安全及防护措施</w:t>
            </w:r>
          </w:p>
          <w:p w14:paraId="38B6D9EA">
            <w:pPr>
              <w:widowControl/>
              <w:spacing w:line="360" w:lineRule="exact"/>
              <w:ind w:firstLine="480" w:firstLineChars="200"/>
              <w:jc w:val="left"/>
              <w:rPr>
                <w:rFonts w:ascii="Times New Roman" w:hAnsi="Times New Roman"/>
                <w:sz w:val="24"/>
                <w:szCs w:val="24"/>
              </w:rPr>
            </w:pPr>
            <w:r>
              <w:rPr>
                <w:rFonts w:hint="eastAsia" w:ascii="Times New Roman" w:hAnsi="Times New Roman"/>
                <w:sz w:val="24"/>
                <w:szCs w:val="24"/>
              </w:rPr>
              <w:t>（1）设备固有措施</w:t>
            </w:r>
          </w:p>
          <w:p w14:paraId="7AF0AF92">
            <w:pPr>
              <w:widowControl/>
              <w:spacing w:line="360" w:lineRule="exact"/>
              <w:ind w:firstLine="480" w:firstLineChars="200"/>
              <w:jc w:val="left"/>
              <w:rPr>
                <w:rFonts w:hint="eastAsia" w:ascii="Times New Roman" w:hAnsi="Times New Roman"/>
                <w:sz w:val="24"/>
                <w:szCs w:val="24"/>
              </w:rPr>
            </w:pPr>
            <w:r>
              <w:rPr>
                <w:rFonts w:hint="eastAsia" w:ascii="Times New Roman" w:hAnsi="Times New Roman"/>
                <w:sz w:val="24"/>
                <w:szCs w:val="24"/>
              </w:rPr>
              <w:t>①本项目DSA装有可调限束装置，使装置发射的线束宽度尽量减小，以减少泄漏辐射。</w:t>
            </w:r>
          </w:p>
          <w:p w14:paraId="7E8C6CF8">
            <w:pPr>
              <w:widowControl/>
              <w:spacing w:line="360" w:lineRule="exact"/>
              <w:ind w:firstLine="480" w:firstLineChars="200"/>
              <w:jc w:val="left"/>
              <w:rPr>
                <w:rFonts w:hint="eastAsia" w:ascii="Times New Roman" w:hAnsi="Times New Roman"/>
                <w:sz w:val="24"/>
                <w:szCs w:val="24"/>
              </w:rPr>
            </w:pPr>
            <w:r>
              <w:rPr>
                <w:rFonts w:hint="eastAsia" w:ascii="Times New Roman" w:hAnsi="Times New Roman"/>
                <w:sz w:val="24"/>
                <w:szCs w:val="24"/>
              </w:rPr>
              <w:t>②采用栅控技术：在每次脉冲曝光间隔向旋转阳极加一负电压，抵消曝光脉冲的启辉与余辉，起到消除软X射线、提高有用射线品质并减少脉冲宽度作用。</w:t>
            </w:r>
          </w:p>
          <w:p w14:paraId="6C3D6CE3">
            <w:pPr>
              <w:widowControl/>
              <w:spacing w:line="360" w:lineRule="exact"/>
              <w:ind w:firstLine="480" w:firstLineChars="200"/>
              <w:jc w:val="left"/>
              <w:rPr>
                <w:rFonts w:hint="eastAsia" w:ascii="Times New Roman" w:hAnsi="Times New Roman"/>
                <w:sz w:val="24"/>
                <w:szCs w:val="24"/>
              </w:rPr>
            </w:pPr>
            <w:r>
              <w:rPr>
                <w:rFonts w:hint="eastAsia" w:ascii="Times New Roman" w:hAnsi="Times New Roman"/>
                <w:sz w:val="24"/>
                <w:szCs w:val="24"/>
              </w:rPr>
              <w:t>③采用光谱过滤技术：在X射线管头放置合适的铅过滤板，以消除软X射线及减少二次散射，优化有用X射线谱。</w:t>
            </w:r>
          </w:p>
          <w:p w14:paraId="5C7476B0">
            <w:pPr>
              <w:widowControl/>
              <w:spacing w:line="360" w:lineRule="exact"/>
              <w:ind w:firstLine="480" w:firstLineChars="200"/>
              <w:jc w:val="left"/>
              <w:rPr>
                <w:rFonts w:ascii="Times New Roman" w:hAnsi="Times New Roman"/>
                <w:sz w:val="24"/>
                <w:szCs w:val="24"/>
              </w:rPr>
            </w:pPr>
            <w:r>
              <w:rPr>
                <w:rFonts w:hint="eastAsia" w:ascii="Times New Roman" w:hAnsi="Times New Roman"/>
                <w:sz w:val="24"/>
                <w:szCs w:val="24"/>
              </w:rPr>
              <w:t>④采用脉冲透视技术：在透视图像数字化基础上实现脉冲透视，改善图像清晰度，并能明显减少透视剂量。</w:t>
            </w:r>
          </w:p>
          <w:p w14:paraId="502BC294">
            <w:pPr>
              <w:widowControl/>
              <w:spacing w:line="360" w:lineRule="exact"/>
              <w:ind w:firstLine="480" w:firstLineChars="200"/>
              <w:jc w:val="left"/>
              <w:rPr>
                <w:rFonts w:hint="eastAsia" w:ascii="Times New Roman" w:hAnsi="Times New Roman"/>
                <w:sz w:val="24"/>
                <w:szCs w:val="24"/>
              </w:rPr>
            </w:pPr>
            <w:r>
              <w:rPr>
                <w:rFonts w:hint="eastAsia" w:ascii="Times New Roman" w:hAnsi="Times New Roman"/>
                <w:sz w:val="24"/>
                <w:szCs w:val="24"/>
              </w:rPr>
              <w:t>⑤采用图像冻结技术：每次透视的最后一帧图像被暂存并保留在监视器上显示，即称之为图像冻结，此技术可缩短总透视时间，达到减少不必要的照射；</w:t>
            </w:r>
          </w:p>
          <w:p w14:paraId="03373A25">
            <w:pPr>
              <w:widowControl/>
              <w:spacing w:line="360" w:lineRule="exact"/>
              <w:ind w:firstLine="480" w:firstLineChars="200"/>
              <w:jc w:val="left"/>
              <w:rPr>
                <w:rFonts w:hint="eastAsia" w:ascii="Times New Roman" w:hAnsi="Times New Roman"/>
                <w:sz w:val="24"/>
                <w:szCs w:val="24"/>
              </w:rPr>
            </w:pPr>
            <w:r>
              <w:rPr>
                <w:rFonts w:hint="eastAsia" w:ascii="Times New Roman" w:hAnsi="Times New Roman"/>
                <w:sz w:val="24"/>
                <w:szCs w:val="24"/>
              </w:rPr>
              <w:t>⑥</w:t>
            </w:r>
            <w:r>
              <w:rPr>
                <w:rFonts w:ascii="Times New Roman" w:hAnsi="Times New Roman"/>
                <w:sz w:val="24"/>
                <w:szCs w:val="24"/>
              </w:rPr>
              <w:t>配备辅助防护设施</w:t>
            </w:r>
            <w:r>
              <w:rPr>
                <w:rFonts w:hint="eastAsia" w:ascii="Times New Roman" w:hAnsi="Times New Roman"/>
                <w:sz w:val="24"/>
                <w:szCs w:val="24"/>
              </w:rPr>
              <w:t>:</w:t>
            </w:r>
            <w:r>
              <w:rPr>
                <w:rFonts w:ascii="Segoe UI" w:hAnsi="Segoe UI" w:cs="Segoe UI"/>
                <w:color w:val="0F1115"/>
                <w:shd w:val="clear" w:color="auto" w:fill="FFFFFF"/>
              </w:rPr>
              <w:t xml:space="preserve"> </w:t>
            </w:r>
            <w:r>
              <w:rPr>
                <w:rFonts w:ascii="Times New Roman" w:hAnsi="Times New Roman"/>
                <w:sz w:val="24"/>
                <w:szCs w:val="24"/>
              </w:rPr>
              <w:t>DSA设备配备有铅悬挂防护屏和床侧防护帘等辅助防护用品与设施，在设备运行中可用于加强对有关人员采取辐射防护与安全措施。</w:t>
            </w:r>
          </w:p>
          <w:p w14:paraId="01E68039">
            <w:pPr>
              <w:widowControl/>
              <w:spacing w:line="360" w:lineRule="exact"/>
              <w:ind w:firstLine="480" w:firstLineChars="200"/>
              <w:jc w:val="left"/>
              <w:rPr>
                <w:rFonts w:ascii="Times New Roman" w:hAnsi="Times New Roman"/>
                <w:sz w:val="24"/>
                <w:szCs w:val="24"/>
              </w:rPr>
            </w:pPr>
            <w:r>
              <w:rPr>
                <w:rFonts w:hint="eastAsia" w:ascii="Times New Roman" w:hAnsi="Times New Roman"/>
                <w:sz w:val="24"/>
                <w:szCs w:val="24"/>
              </w:rPr>
              <w:t>（2）场所设计安全措施</w:t>
            </w:r>
          </w:p>
          <w:p w14:paraId="35611310">
            <w:pPr>
              <w:widowControl/>
              <w:spacing w:line="360" w:lineRule="exact"/>
              <w:ind w:firstLine="480" w:firstLineChars="200"/>
              <w:jc w:val="left"/>
              <w:rPr>
                <w:rFonts w:ascii="Times New Roman" w:hAnsi="Times New Roman"/>
                <w:sz w:val="24"/>
                <w:szCs w:val="24"/>
              </w:rPr>
            </w:pPr>
            <w:r>
              <w:rPr>
                <w:rFonts w:ascii="Times New Roman" w:hAnsi="Times New Roman"/>
                <w:sz w:val="24"/>
                <w:szCs w:val="24"/>
              </w:rPr>
              <w:t>本项目OR9机房四侧墙体为轻钢龙骨+4mm铅板（相当于4mm铅当量）；顶棚为120mm混凝土+3mm铅板（相当于4.4mm铅当量）；地板为120mm混凝土+50mm硫酸钡水泥（相当于3.8mm铅当量）；观察窗为20mm厚铅玻璃（相当于4mm铅当量）；各防护门均为4mm铅当量。机房有效使用面积65.28m²，最小单边长度6.8m，满足《放射诊断放射防护要求》（GBZ130-2020）中相关要求。</w:t>
            </w:r>
          </w:p>
          <w:p w14:paraId="190FF050">
            <w:pPr>
              <w:widowControl/>
              <w:spacing w:line="360" w:lineRule="exact"/>
              <w:ind w:firstLine="480" w:firstLineChars="200"/>
              <w:jc w:val="left"/>
              <w:rPr>
                <w:rFonts w:ascii="Times New Roman" w:hAnsi="Times New Roman"/>
                <w:sz w:val="24"/>
                <w:szCs w:val="24"/>
              </w:rPr>
            </w:pPr>
            <w:r>
              <w:rPr>
                <w:rFonts w:hint="eastAsia" w:ascii="Times New Roman" w:hAnsi="Times New Roman"/>
                <w:sz w:val="24"/>
                <w:szCs w:val="24"/>
              </w:rPr>
              <w:t>（3）紧急停机按钮</w:t>
            </w:r>
          </w:p>
          <w:p w14:paraId="76616E77">
            <w:pPr>
              <w:widowControl/>
              <w:spacing w:line="360" w:lineRule="exact"/>
              <w:ind w:firstLine="480" w:firstLineChars="200"/>
              <w:jc w:val="left"/>
              <w:rPr>
                <w:rFonts w:ascii="Times New Roman" w:hAnsi="Times New Roman"/>
                <w:sz w:val="24"/>
                <w:szCs w:val="24"/>
              </w:rPr>
            </w:pPr>
            <w:r>
              <w:rPr>
                <w:rFonts w:ascii="Times New Roman" w:hAnsi="Times New Roman"/>
                <w:sz w:val="24"/>
                <w:szCs w:val="24"/>
              </w:rPr>
              <w:t>本项目DSA设置紧急停机按钮，1个位于射线装置控制台上，1个位于诊疗床操作面板上。DSA出束过程中，一旦出现异常，按动任一紧急停止按钮，均可停止出束。</w:t>
            </w:r>
          </w:p>
          <w:p w14:paraId="1C4B34A8">
            <w:pPr>
              <w:widowControl/>
              <w:spacing w:line="360" w:lineRule="exact"/>
              <w:ind w:firstLine="480" w:firstLineChars="200"/>
              <w:jc w:val="left"/>
              <w:rPr>
                <w:rFonts w:ascii="Times New Roman" w:hAnsi="Times New Roman"/>
                <w:sz w:val="24"/>
                <w:szCs w:val="24"/>
              </w:rPr>
            </w:pPr>
            <w:r>
              <w:rPr>
                <w:rFonts w:hint="eastAsia" w:ascii="Times New Roman" w:hAnsi="Times New Roman"/>
                <w:sz w:val="24"/>
                <w:szCs w:val="24"/>
              </w:rPr>
              <w:t>（4）门灯联锁装置、电离辐射警示标志</w:t>
            </w:r>
          </w:p>
          <w:p w14:paraId="23592594">
            <w:pPr>
              <w:widowControl/>
              <w:spacing w:line="360" w:lineRule="exact"/>
              <w:ind w:firstLine="480" w:firstLineChars="200"/>
              <w:jc w:val="left"/>
              <w:rPr>
                <w:rFonts w:ascii="Times New Roman" w:hAnsi="Times New Roman"/>
                <w:sz w:val="24"/>
                <w:szCs w:val="24"/>
              </w:rPr>
            </w:pPr>
            <w:r>
              <w:rPr>
                <w:rFonts w:ascii="Times New Roman" w:hAnsi="Times New Roman"/>
                <w:sz w:val="24"/>
                <w:szCs w:val="24"/>
              </w:rPr>
              <w:t>防护门上方设置醒目的工作状态指示灯，灯箱上设置“射线有害、灯亮勿入”的可视警示语句，工作状态指示灯与防护门能有效联动。机房防护门外设置固定的电离辐射警告标志。</w:t>
            </w:r>
          </w:p>
          <w:p w14:paraId="287BAC41">
            <w:pPr>
              <w:widowControl/>
              <w:spacing w:line="360" w:lineRule="exact"/>
              <w:ind w:firstLine="480" w:firstLineChars="200"/>
              <w:jc w:val="left"/>
              <w:rPr>
                <w:rFonts w:ascii="Times New Roman" w:hAnsi="Times New Roman"/>
                <w:sz w:val="24"/>
                <w:szCs w:val="24"/>
              </w:rPr>
            </w:pPr>
            <w:r>
              <w:rPr>
                <w:rFonts w:hint="eastAsia" w:ascii="Times New Roman" w:hAnsi="Times New Roman"/>
                <w:sz w:val="24"/>
                <w:szCs w:val="24"/>
              </w:rPr>
              <w:t>（5）个人防护用品、监测仪器</w:t>
            </w:r>
          </w:p>
          <w:p w14:paraId="614865C3">
            <w:pPr>
              <w:widowControl/>
              <w:spacing w:line="360" w:lineRule="exact"/>
              <w:ind w:firstLine="480" w:firstLineChars="200"/>
              <w:jc w:val="left"/>
              <w:rPr>
                <w:rFonts w:ascii="Times New Roman" w:hAnsi="Times New Roman"/>
                <w:sz w:val="24"/>
                <w:szCs w:val="24"/>
              </w:rPr>
            </w:pPr>
            <w:r>
              <w:rPr>
                <w:rFonts w:ascii="Times New Roman" w:hAnsi="Times New Roman"/>
                <w:sz w:val="24"/>
                <w:szCs w:val="24"/>
              </w:rPr>
              <w:t>本项目拟为辐射工作人员配备0.5mmPb的铅橡胶围裙、铅橡胶颈套、铅防护眼镜各4套，0.025mmPb介入防护手套2套；为受检者配备0.5mmPb铅橡胶性腺防护围裙、铅橡胶颈套、铅橡胶帽子各1套及儿童防护用品各1套；配备个人剂量计、个人剂量报警仪及便携式X-γ辐射巡测仪。</w:t>
            </w:r>
          </w:p>
          <w:p w14:paraId="3F4C0D42">
            <w:pPr>
              <w:widowControl/>
              <w:spacing w:line="360" w:lineRule="exact"/>
              <w:jc w:val="left"/>
              <w:rPr>
                <w:rFonts w:ascii="Times New Roman" w:hAnsi="Times New Roman"/>
                <w:b/>
                <w:bCs/>
                <w:sz w:val="24"/>
                <w:szCs w:val="24"/>
              </w:rPr>
            </w:pPr>
            <w:r>
              <w:rPr>
                <w:rFonts w:hint="eastAsia" w:ascii="Times New Roman" w:hAnsi="Times New Roman"/>
                <w:b/>
                <w:bCs/>
                <w:sz w:val="24"/>
                <w:szCs w:val="24"/>
              </w:rPr>
              <w:t>二、“三废”的治理</w:t>
            </w:r>
          </w:p>
          <w:p w14:paraId="11FBB95B">
            <w:pPr>
              <w:widowControl/>
              <w:spacing w:line="360" w:lineRule="exact"/>
              <w:ind w:firstLine="480" w:firstLineChars="200"/>
              <w:jc w:val="left"/>
              <w:rPr>
                <w:rFonts w:ascii="Times New Roman" w:hAnsi="Times New Roman"/>
                <w:sz w:val="24"/>
                <w:szCs w:val="24"/>
              </w:rPr>
            </w:pPr>
            <w:r>
              <w:rPr>
                <w:rFonts w:hint="eastAsia" w:ascii="Times New Roman" w:hAnsi="Times New Roman"/>
                <w:sz w:val="24"/>
                <w:szCs w:val="24"/>
              </w:rPr>
              <w:t>1、废气治理措施</w:t>
            </w:r>
          </w:p>
          <w:p w14:paraId="2AD9BC37">
            <w:pPr>
              <w:widowControl/>
              <w:spacing w:line="360" w:lineRule="exact"/>
              <w:ind w:firstLine="480" w:firstLineChars="200"/>
              <w:jc w:val="left"/>
              <w:rPr>
                <w:rFonts w:ascii="Times New Roman" w:hAnsi="Times New Roman"/>
                <w:sz w:val="24"/>
                <w:szCs w:val="24"/>
              </w:rPr>
            </w:pPr>
            <w:r>
              <w:rPr>
                <w:rFonts w:ascii="Times New Roman" w:hAnsi="Times New Roman"/>
                <w:sz w:val="24"/>
                <w:szCs w:val="24"/>
              </w:rPr>
              <w:t>OR9 DSA机房依托现有独立的动力排风系统，采用“上送”方式进行送风、“上排”方式进行排风，排风量为600m³/h，排风管道从机房西侧墙体穿出后向上接入六层净化机房排风机，最终排放口位于六层东侧靠北屋面。送、排风管线采用“Z”型穿墙设计，穿墙处采用4mm铅皮包裹管道表面，不影响机房整体屏蔽效果。机房内产生的臭氧和氮氧化物经排风系统抽至室外后可迅速自然分解，对周围大气环境影响很小。</w:t>
            </w:r>
          </w:p>
          <w:p w14:paraId="61CE187F">
            <w:pPr>
              <w:widowControl/>
              <w:spacing w:line="360" w:lineRule="exact"/>
              <w:ind w:firstLine="480" w:firstLineChars="200"/>
              <w:jc w:val="left"/>
              <w:rPr>
                <w:rFonts w:ascii="Times New Roman" w:hAnsi="Times New Roman"/>
                <w:sz w:val="24"/>
                <w:szCs w:val="24"/>
              </w:rPr>
            </w:pPr>
            <w:r>
              <w:rPr>
                <w:rFonts w:hint="eastAsia" w:ascii="Times New Roman" w:hAnsi="Times New Roman"/>
                <w:sz w:val="24"/>
                <w:szCs w:val="24"/>
              </w:rPr>
              <w:t>2、废水治理措施</w:t>
            </w:r>
          </w:p>
          <w:p w14:paraId="7917A2A2">
            <w:pPr>
              <w:widowControl/>
              <w:spacing w:line="360" w:lineRule="exact"/>
              <w:ind w:firstLine="480" w:firstLineChars="200"/>
              <w:jc w:val="left"/>
              <w:rPr>
                <w:rFonts w:ascii="Times New Roman" w:hAnsi="Times New Roman"/>
                <w:sz w:val="24"/>
                <w:szCs w:val="24"/>
              </w:rPr>
            </w:pPr>
            <w:r>
              <w:rPr>
                <w:rFonts w:ascii="Times New Roman" w:hAnsi="Times New Roman"/>
                <w:sz w:val="24"/>
                <w:szCs w:val="24"/>
              </w:rPr>
              <w:t>本项目DSA采用数字成像，无废显、定影液产生。医护人员产生的生活污水及手术器械清洗产生的医疗废水依托A区污水处理站处理，该污水处理站位于医院北侧，设计处理能力为1000m³/d，处理达到《医疗机构水污染物排放标准》（GB18466-2005）表2中预处理标准后，通过市政污水管网进入曲靖西城污水处理厂深度处理。</w:t>
            </w:r>
          </w:p>
          <w:p w14:paraId="6480AC9A">
            <w:pPr>
              <w:widowControl/>
              <w:spacing w:line="360" w:lineRule="exact"/>
              <w:ind w:firstLine="480" w:firstLineChars="200"/>
              <w:jc w:val="left"/>
              <w:rPr>
                <w:rFonts w:ascii="Times New Roman" w:hAnsi="Times New Roman"/>
                <w:sz w:val="24"/>
                <w:szCs w:val="24"/>
              </w:rPr>
            </w:pPr>
            <w:r>
              <w:rPr>
                <w:rFonts w:hint="eastAsia" w:ascii="Times New Roman" w:hAnsi="Times New Roman"/>
                <w:sz w:val="24"/>
                <w:szCs w:val="24"/>
              </w:rPr>
              <w:t>3、固体废弃物治理措施</w:t>
            </w:r>
          </w:p>
          <w:p w14:paraId="6E63FD6D">
            <w:pPr>
              <w:widowControl/>
              <w:spacing w:line="360" w:lineRule="exact"/>
              <w:ind w:firstLine="480" w:firstLineChars="200"/>
              <w:jc w:val="left"/>
              <w:rPr>
                <w:rFonts w:hint="eastAsia" w:ascii="Times New Roman" w:hAnsi="Times New Roman"/>
                <w:sz w:val="24"/>
                <w:szCs w:val="24"/>
              </w:rPr>
            </w:pPr>
            <w:r>
              <w:rPr>
                <w:rFonts w:hint="eastAsia" w:ascii="Times New Roman" w:hAnsi="Times New Roman"/>
                <w:sz w:val="24"/>
                <w:szCs w:val="24"/>
              </w:rPr>
              <w:t>①本项目DSA采用数字成像，无废胶片产生。</w:t>
            </w:r>
          </w:p>
          <w:p w14:paraId="0CFE416D">
            <w:pPr>
              <w:widowControl/>
              <w:spacing w:line="360" w:lineRule="exact"/>
              <w:ind w:firstLine="480" w:firstLineChars="200"/>
              <w:jc w:val="left"/>
              <w:rPr>
                <w:rFonts w:hint="eastAsia" w:ascii="Times New Roman" w:hAnsi="Times New Roman"/>
                <w:sz w:val="24"/>
                <w:szCs w:val="24"/>
              </w:rPr>
            </w:pPr>
            <w:r>
              <w:rPr>
                <w:rFonts w:hint="eastAsia" w:ascii="Times New Roman" w:hAnsi="Times New Roman"/>
                <w:sz w:val="24"/>
                <w:szCs w:val="24"/>
              </w:rPr>
              <w:t>②介入手术时产生的医用器具和药棉、纱布、手套等医疗废物，采用专门的收集容器集中收集后，转移至医疗废物暂存间，按照医疗废物转移联单制度，委托有资质的单位定期统一处置。</w:t>
            </w:r>
          </w:p>
          <w:p w14:paraId="60F647DC">
            <w:pPr>
              <w:widowControl/>
              <w:spacing w:line="360" w:lineRule="exact"/>
              <w:ind w:firstLine="480" w:firstLineChars="200"/>
              <w:jc w:val="left"/>
              <w:rPr>
                <w:rFonts w:ascii="Times New Roman" w:hAnsi="Times New Roman"/>
                <w:sz w:val="24"/>
                <w:szCs w:val="24"/>
              </w:rPr>
            </w:pPr>
            <w:r>
              <w:rPr>
                <w:rFonts w:hint="eastAsia" w:ascii="Times New Roman" w:hAnsi="Times New Roman"/>
                <w:sz w:val="24"/>
                <w:szCs w:val="24"/>
              </w:rPr>
              <w:t>③工作人员产生的生活垃圾由医院集中收集后交由环卫部门统一清运。</w:t>
            </w:r>
          </w:p>
          <w:p w14:paraId="7F1BB36D">
            <w:pPr>
              <w:widowControl/>
              <w:spacing w:line="360" w:lineRule="exact"/>
              <w:ind w:firstLine="480" w:firstLineChars="200"/>
              <w:jc w:val="left"/>
              <w:rPr>
                <w:rFonts w:ascii="Times New Roman" w:hAnsi="Times New Roman"/>
                <w:sz w:val="24"/>
                <w:szCs w:val="24"/>
              </w:rPr>
            </w:pPr>
            <w:r>
              <w:rPr>
                <w:rFonts w:hint="eastAsia" w:ascii="Times New Roman" w:hAnsi="Times New Roman"/>
                <w:sz w:val="24"/>
                <w:szCs w:val="24"/>
              </w:rPr>
              <w:t>4、噪声治理措施</w:t>
            </w:r>
          </w:p>
          <w:p w14:paraId="1A7013AA">
            <w:pPr>
              <w:widowControl/>
              <w:spacing w:line="360" w:lineRule="exact"/>
              <w:ind w:firstLine="480" w:firstLineChars="200"/>
              <w:jc w:val="left"/>
            </w:pPr>
            <w:r>
              <w:rPr>
                <w:rFonts w:ascii="Times New Roman" w:hAnsi="Times New Roman"/>
                <w:sz w:val="24"/>
                <w:szCs w:val="24"/>
              </w:rPr>
              <w:t>本项目依托现有DSA机房通排风系统，风机采用减震设计并通过建筑墙体隔声及距离衰减降低噪声影响后，运行期间厂界噪声可达到《工业企业厂界环境噪声排放标准》（GB12348-2008）1类标准要求。</w:t>
            </w:r>
          </w:p>
        </w:tc>
      </w:tr>
      <w:tr w14:paraId="188C29DA">
        <w:tblPrEx>
          <w:tblCellMar>
            <w:top w:w="0" w:type="dxa"/>
            <w:left w:w="108" w:type="dxa"/>
            <w:bottom w:w="0" w:type="dxa"/>
            <w:right w:w="108" w:type="dxa"/>
          </w:tblCellMar>
        </w:tblPrEx>
        <w:trPr>
          <w:trHeight w:val="386" w:hRule="atLeast"/>
        </w:trPr>
        <w:tc>
          <w:tcPr>
            <w:tcW w:w="9814" w:type="dxa"/>
            <w:gridSpan w:val="6"/>
            <w:tcBorders>
              <w:top w:val="single" w:color="auto" w:sz="4" w:space="0"/>
              <w:left w:val="single" w:color="auto" w:sz="4" w:space="0"/>
              <w:bottom w:val="single" w:color="auto" w:sz="4" w:space="0"/>
              <w:right w:val="single" w:color="auto" w:sz="4" w:space="0"/>
            </w:tcBorders>
            <w:shd w:val="clear" w:color="auto" w:fill="C0C0C0"/>
            <w:vAlign w:val="center"/>
          </w:tcPr>
          <w:p w14:paraId="5BCA91AC">
            <w:pPr>
              <w:widowControl/>
              <w:spacing w:line="280" w:lineRule="exact"/>
              <w:jc w:val="center"/>
              <w:rPr>
                <w:rFonts w:ascii="宋体"/>
                <w:kern w:val="0"/>
                <w:sz w:val="24"/>
                <w:szCs w:val="24"/>
              </w:rPr>
            </w:pPr>
            <w:r>
              <w:rPr>
                <w:rFonts w:hint="eastAsia" w:ascii="宋体" w:hAnsi="宋体"/>
                <w:kern w:val="0"/>
                <w:sz w:val="24"/>
                <w:szCs w:val="24"/>
              </w:rPr>
              <w:t>公众参与情况</w:t>
            </w:r>
          </w:p>
        </w:tc>
      </w:tr>
      <w:tr w14:paraId="53A3A3CF">
        <w:tblPrEx>
          <w:tblCellMar>
            <w:top w:w="0" w:type="dxa"/>
            <w:left w:w="108" w:type="dxa"/>
            <w:bottom w:w="0" w:type="dxa"/>
            <w:right w:w="108" w:type="dxa"/>
          </w:tblCellMar>
        </w:tblPrEx>
        <w:trPr>
          <w:trHeight w:val="743" w:hRule="atLeast"/>
        </w:trPr>
        <w:tc>
          <w:tcPr>
            <w:tcW w:w="9814" w:type="dxa"/>
            <w:gridSpan w:val="6"/>
            <w:tcBorders>
              <w:top w:val="single" w:color="auto" w:sz="4" w:space="0"/>
              <w:left w:val="single" w:color="auto" w:sz="4" w:space="0"/>
              <w:bottom w:val="single" w:color="auto" w:sz="4" w:space="0"/>
              <w:right w:val="single" w:color="auto" w:sz="4" w:space="0"/>
            </w:tcBorders>
            <w:vAlign w:val="center"/>
          </w:tcPr>
          <w:p w14:paraId="2A4360F3">
            <w:pPr>
              <w:pStyle w:val="7"/>
              <w:ind w:firstLine="480" w:firstLineChars="200"/>
            </w:pPr>
            <w:r>
              <w:rPr>
                <w:rFonts w:hint="eastAsia" w:ascii="Times New Roman" w:hAnsi="Times New Roman"/>
                <w:snapToGrid/>
                <w:kern w:val="32"/>
                <w:sz w:val="24"/>
                <w:szCs w:val="24"/>
              </w:rPr>
              <w:t>无。</w:t>
            </w:r>
          </w:p>
        </w:tc>
      </w:tr>
      <w:tr w14:paraId="648E6F9F">
        <w:tblPrEx>
          <w:tblCellMar>
            <w:top w:w="0" w:type="dxa"/>
            <w:left w:w="108" w:type="dxa"/>
            <w:bottom w:w="0" w:type="dxa"/>
            <w:right w:w="108" w:type="dxa"/>
          </w:tblCellMar>
        </w:tblPrEx>
        <w:trPr>
          <w:trHeight w:val="429" w:hRule="atLeast"/>
        </w:trPr>
        <w:tc>
          <w:tcPr>
            <w:tcW w:w="4002" w:type="dxa"/>
            <w:gridSpan w:val="2"/>
            <w:tcBorders>
              <w:top w:val="single" w:color="auto" w:sz="4" w:space="0"/>
              <w:left w:val="single" w:color="auto" w:sz="4" w:space="0"/>
              <w:bottom w:val="single" w:color="auto" w:sz="4" w:space="0"/>
              <w:right w:val="single" w:color="auto" w:sz="4" w:space="0"/>
            </w:tcBorders>
            <w:shd w:val="clear" w:color="auto" w:fill="C0C0C0"/>
            <w:vAlign w:val="center"/>
          </w:tcPr>
          <w:p w14:paraId="24FDDCE4">
            <w:pPr>
              <w:widowControl/>
              <w:spacing w:line="280" w:lineRule="exact"/>
              <w:jc w:val="left"/>
              <w:rPr>
                <w:rFonts w:ascii="宋体"/>
                <w:kern w:val="0"/>
                <w:sz w:val="24"/>
                <w:szCs w:val="24"/>
              </w:rPr>
            </w:pPr>
            <w:r>
              <w:rPr>
                <w:rFonts w:hint="eastAsia" w:ascii="宋体" w:hAnsi="宋体"/>
                <w:kern w:val="0"/>
                <w:sz w:val="24"/>
                <w:szCs w:val="24"/>
              </w:rPr>
              <w:t>建设单位或地方政府所作出的相关承诺文件</w:t>
            </w:r>
          </w:p>
        </w:tc>
        <w:tc>
          <w:tcPr>
            <w:tcW w:w="5812" w:type="dxa"/>
            <w:gridSpan w:val="4"/>
            <w:tcBorders>
              <w:top w:val="single" w:color="auto" w:sz="4" w:space="0"/>
              <w:left w:val="nil"/>
              <w:bottom w:val="single" w:color="auto" w:sz="4" w:space="0"/>
              <w:right w:val="single" w:color="auto" w:sz="4" w:space="0"/>
            </w:tcBorders>
            <w:vAlign w:val="center"/>
          </w:tcPr>
          <w:p w14:paraId="0CD64214">
            <w:pPr>
              <w:pStyle w:val="7"/>
              <w:ind w:firstLine="480" w:firstLineChars="200"/>
            </w:pPr>
            <w:r>
              <w:rPr>
                <w:rFonts w:hint="eastAsia" w:ascii="Times New Roman" w:hAnsi="Times New Roman"/>
                <w:snapToGrid/>
                <w:kern w:val="32"/>
                <w:sz w:val="24"/>
                <w:szCs w:val="24"/>
              </w:rPr>
              <w:t>信息公开同意函。</w:t>
            </w:r>
          </w:p>
        </w:tc>
      </w:tr>
      <w:tr w14:paraId="115A0E70">
        <w:tblPrEx>
          <w:tblCellMar>
            <w:top w:w="0" w:type="dxa"/>
            <w:left w:w="108" w:type="dxa"/>
            <w:bottom w:w="0" w:type="dxa"/>
            <w:right w:w="108" w:type="dxa"/>
          </w:tblCellMar>
        </w:tblPrEx>
        <w:trPr>
          <w:trHeight w:val="570" w:hRule="atLeast"/>
        </w:trPr>
        <w:tc>
          <w:tcPr>
            <w:tcW w:w="9814" w:type="dxa"/>
            <w:gridSpan w:val="6"/>
            <w:tcBorders>
              <w:top w:val="single" w:color="auto" w:sz="4" w:space="0"/>
              <w:left w:val="nil"/>
              <w:bottom w:val="nil"/>
              <w:right w:val="nil"/>
            </w:tcBorders>
            <w:vAlign w:val="center"/>
          </w:tcPr>
          <w:p w14:paraId="629C1CAC">
            <w:pPr>
              <w:widowControl/>
              <w:spacing w:line="280" w:lineRule="exact"/>
              <w:jc w:val="left"/>
              <w:rPr>
                <w:rFonts w:ascii="宋体"/>
                <w:kern w:val="0"/>
                <w:sz w:val="24"/>
                <w:szCs w:val="24"/>
              </w:rPr>
            </w:pPr>
            <w:r>
              <w:rPr>
                <w:rFonts w:hint="eastAsia" w:ascii="宋体" w:hAnsi="宋体"/>
                <w:kern w:val="0"/>
                <w:sz w:val="24"/>
                <w:szCs w:val="24"/>
              </w:rPr>
              <w:t>注:项目概况、项目主要环境影响、项目预防及减轻不良环境影响的对策和措施、公众参与情况、建设单位或地方政府所作出的相关承诺文件部分由建设单位填写。公众反馈意见联系方式部分由行政审批机关填写。</w:t>
            </w:r>
          </w:p>
        </w:tc>
      </w:tr>
    </w:tbl>
    <w:p w14:paraId="03245326">
      <w:pPr>
        <w:rPr>
          <w:color w:val="FF0000"/>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K">
    <w:altName w:val="Arial Unicode MS"/>
    <w:panose1 w:val="02000000000000000000"/>
    <w:charset w:val="86"/>
    <w:family w:val="script"/>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方正小标宋_GBK">
    <w:altName w:val="Arial Unicode MS"/>
    <w:panose1 w:val="03000509000000000000"/>
    <w:charset w:val="86"/>
    <w:family w:val="script"/>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华文仿宋">
    <w:panose1 w:val="02010600040101010101"/>
    <w:charset w:val="86"/>
    <w:family w:val="auto"/>
    <w:pitch w:val="default"/>
    <w:sig w:usb0="00000287" w:usb1="080F0000" w:usb2="00000000" w:usb3="00000000" w:csb0="0004009F" w:csb1="DFD70000"/>
  </w:font>
  <w:font w:name="Segoe UI">
    <w:panose1 w:val="020B0502040204020203"/>
    <w:charset w:val="00"/>
    <w:family w:val="swiss"/>
    <w:pitch w:val="default"/>
    <w:sig w:usb0="E4002EFF" w:usb1="C000E47F" w:usb2="00000009" w:usb3="00000000" w:csb0="200001FF" w:csb1="00000000"/>
  </w:font>
  <w:font w:name="Arial Unicode MS">
    <w:panose1 w:val="020B0604020202020204"/>
    <w:charset w:val="86"/>
    <w:family w:val="auto"/>
    <w:pitch w:val="default"/>
    <w:sig w:usb0="FFFFFFFF" w:usb1="E9FFFFFF" w:usb2="0000003F" w:usb3="00000000" w:csb0="603F01FF" w:csb1="FFFF0000"/>
  </w:font>
  <w:font w:name="KSOF51D5AD36">
    <w:panose1 w:val="020B0604020202020204"/>
    <w:charset w:val="86"/>
    <w:family w:val="auto"/>
    <w:pitch w:val="default"/>
    <w:sig w:usb0="00000001" w:usb1="00000000" w:usb2="00000000" w:usb3="00000000" w:csb0="00040001"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BiYzQ1NDY1YjQ0MjBjMWNmZDQyYjE1NzJjMWYwMDcifQ=="/>
  </w:docVars>
  <w:rsids>
    <w:rsidRoot w:val="392E2078"/>
    <w:rsid w:val="0007389C"/>
    <w:rsid w:val="00150BE9"/>
    <w:rsid w:val="00156B39"/>
    <w:rsid w:val="001A0782"/>
    <w:rsid w:val="001A6B62"/>
    <w:rsid w:val="001B3A2B"/>
    <w:rsid w:val="001F034E"/>
    <w:rsid w:val="001F679B"/>
    <w:rsid w:val="00294DBA"/>
    <w:rsid w:val="002B6C2D"/>
    <w:rsid w:val="002C62B4"/>
    <w:rsid w:val="00322D57"/>
    <w:rsid w:val="00327286"/>
    <w:rsid w:val="00330F90"/>
    <w:rsid w:val="00335349"/>
    <w:rsid w:val="003C1AD7"/>
    <w:rsid w:val="003C4CF8"/>
    <w:rsid w:val="003C6F96"/>
    <w:rsid w:val="003E6693"/>
    <w:rsid w:val="00473C47"/>
    <w:rsid w:val="00485878"/>
    <w:rsid w:val="004A6061"/>
    <w:rsid w:val="004D701F"/>
    <w:rsid w:val="004E159E"/>
    <w:rsid w:val="005010C4"/>
    <w:rsid w:val="005107E1"/>
    <w:rsid w:val="005370B8"/>
    <w:rsid w:val="00542698"/>
    <w:rsid w:val="005A0DCF"/>
    <w:rsid w:val="005B283A"/>
    <w:rsid w:val="0060088D"/>
    <w:rsid w:val="0061485D"/>
    <w:rsid w:val="0062265A"/>
    <w:rsid w:val="006C6412"/>
    <w:rsid w:val="006D5270"/>
    <w:rsid w:val="006E4B40"/>
    <w:rsid w:val="006E5771"/>
    <w:rsid w:val="00702618"/>
    <w:rsid w:val="00705F2D"/>
    <w:rsid w:val="00773626"/>
    <w:rsid w:val="007A0516"/>
    <w:rsid w:val="007C11E2"/>
    <w:rsid w:val="0081762D"/>
    <w:rsid w:val="00833B43"/>
    <w:rsid w:val="00841044"/>
    <w:rsid w:val="00863CCD"/>
    <w:rsid w:val="00871427"/>
    <w:rsid w:val="00872120"/>
    <w:rsid w:val="00873527"/>
    <w:rsid w:val="008A3643"/>
    <w:rsid w:val="008A7183"/>
    <w:rsid w:val="008C224E"/>
    <w:rsid w:val="008C796D"/>
    <w:rsid w:val="008C7996"/>
    <w:rsid w:val="008C7D47"/>
    <w:rsid w:val="008D6010"/>
    <w:rsid w:val="00906E2D"/>
    <w:rsid w:val="009B5EE1"/>
    <w:rsid w:val="009D1793"/>
    <w:rsid w:val="009D3485"/>
    <w:rsid w:val="009D5CDC"/>
    <w:rsid w:val="00A560A2"/>
    <w:rsid w:val="00A7390A"/>
    <w:rsid w:val="00A752B3"/>
    <w:rsid w:val="00A84CD0"/>
    <w:rsid w:val="00AA08DA"/>
    <w:rsid w:val="00B22E4F"/>
    <w:rsid w:val="00B4670A"/>
    <w:rsid w:val="00B547C9"/>
    <w:rsid w:val="00B55F2A"/>
    <w:rsid w:val="00BA1007"/>
    <w:rsid w:val="00BA59BE"/>
    <w:rsid w:val="00BA7231"/>
    <w:rsid w:val="00BC32D8"/>
    <w:rsid w:val="00BD0857"/>
    <w:rsid w:val="00BD1407"/>
    <w:rsid w:val="00C36231"/>
    <w:rsid w:val="00C71183"/>
    <w:rsid w:val="00C96052"/>
    <w:rsid w:val="00CC1BB9"/>
    <w:rsid w:val="00CD2BAA"/>
    <w:rsid w:val="00CD608E"/>
    <w:rsid w:val="00D233CF"/>
    <w:rsid w:val="00DA65D2"/>
    <w:rsid w:val="00DC4E67"/>
    <w:rsid w:val="00DC7CEE"/>
    <w:rsid w:val="00E46C95"/>
    <w:rsid w:val="00E90C9E"/>
    <w:rsid w:val="00ED0EFF"/>
    <w:rsid w:val="00EE1F18"/>
    <w:rsid w:val="00EE5CE6"/>
    <w:rsid w:val="00F530BA"/>
    <w:rsid w:val="00F86E32"/>
    <w:rsid w:val="00FD24C7"/>
    <w:rsid w:val="00FD5740"/>
    <w:rsid w:val="00FF23D3"/>
    <w:rsid w:val="013830D2"/>
    <w:rsid w:val="01437794"/>
    <w:rsid w:val="03344A05"/>
    <w:rsid w:val="05275651"/>
    <w:rsid w:val="05B86C53"/>
    <w:rsid w:val="081E3E37"/>
    <w:rsid w:val="13B34670"/>
    <w:rsid w:val="179254D6"/>
    <w:rsid w:val="1A3C46BC"/>
    <w:rsid w:val="1B020E5E"/>
    <w:rsid w:val="1C8733A0"/>
    <w:rsid w:val="201D4921"/>
    <w:rsid w:val="20547DB6"/>
    <w:rsid w:val="21602F6F"/>
    <w:rsid w:val="22862C6A"/>
    <w:rsid w:val="245D4345"/>
    <w:rsid w:val="24694EB2"/>
    <w:rsid w:val="25502092"/>
    <w:rsid w:val="26751547"/>
    <w:rsid w:val="2A46431F"/>
    <w:rsid w:val="2B002CE4"/>
    <w:rsid w:val="2CA10B4F"/>
    <w:rsid w:val="2CAD1D69"/>
    <w:rsid w:val="2EE11733"/>
    <w:rsid w:val="2F923676"/>
    <w:rsid w:val="2FC57EA9"/>
    <w:rsid w:val="301D5EC7"/>
    <w:rsid w:val="33682ACB"/>
    <w:rsid w:val="34185686"/>
    <w:rsid w:val="35313D1A"/>
    <w:rsid w:val="38002C65"/>
    <w:rsid w:val="392E2078"/>
    <w:rsid w:val="39984AC7"/>
    <w:rsid w:val="39E63AD4"/>
    <w:rsid w:val="3B020811"/>
    <w:rsid w:val="3B2E26FF"/>
    <w:rsid w:val="3C272C37"/>
    <w:rsid w:val="3EDD372A"/>
    <w:rsid w:val="4155672C"/>
    <w:rsid w:val="43BD5ED1"/>
    <w:rsid w:val="449625B7"/>
    <w:rsid w:val="45BD33BC"/>
    <w:rsid w:val="47F24AD5"/>
    <w:rsid w:val="4866291F"/>
    <w:rsid w:val="4B402719"/>
    <w:rsid w:val="4B9C7ABA"/>
    <w:rsid w:val="4C985FBF"/>
    <w:rsid w:val="4D2F5EED"/>
    <w:rsid w:val="4DC60339"/>
    <w:rsid w:val="4EC40453"/>
    <w:rsid w:val="4F7B2ACC"/>
    <w:rsid w:val="50153BC8"/>
    <w:rsid w:val="51E81108"/>
    <w:rsid w:val="52385E17"/>
    <w:rsid w:val="54752240"/>
    <w:rsid w:val="55367ECE"/>
    <w:rsid w:val="555D267C"/>
    <w:rsid w:val="5653575C"/>
    <w:rsid w:val="577942AD"/>
    <w:rsid w:val="58FF0EBE"/>
    <w:rsid w:val="5998453C"/>
    <w:rsid w:val="5A834766"/>
    <w:rsid w:val="5BED57C7"/>
    <w:rsid w:val="5D2E69AB"/>
    <w:rsid w:val="5DCC4393"/>
    <w:rsid w:val="5E59292F"/>
    <w:rsid w:val="5F257633"/>
    <w:rsid w:val="60EA0DC0"/>
    <w:rsid w:val="614E3CA3"/>
    <w:rsid w:val="64CE0A00"/>
    <w:rsid w:val="66B00A67"/>
    <w:rsid w:val="6AB93F9D"/>
    <w:rsid w:val="6C044E5F"/>
    <w:rsid w:val="6C8A7DA4"/>
    <w:rsid w:val="70AA332D"/>
    <w:rsid w:val="714078D6"/>
    <w:rsid w:val="715F713D"/>
    <w:rsid w:val="747E39E9"/>
    <w:rsid w:val="74857523"/>
    <w:rsid w:val="77533B6A"/>
    <w:rsid w:val="78CD4DAD"/>
    <w:rsid w:val="79377A43"/>
    <w:rsid w:val="79CC62C5"/>
    <w:rsid w:val="79EF4D86"/>
    <w:rsid w:val="7E5F22E5"/>
    <w:rsid w:val="7FBF6C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方正仿宋_GBK" w:cs="Times New Roman"/>
      <w:kern w:val="32"/>
      <w:sz w:val="32"/>
      <w:szCs w:val="32"/>
      <w:lang w:val="en-US" w:eastAsia="zh-CN" w:bidi="ar-SA"/>
    </w:rPr>
  </w:style>
  <w:style w:type="paragraph" w:styleId="2">
    <w:name w:val="heading 2"/>
    <w:basedOn w:val="1"/>
    <w:next w:val="1"/>
    <w:link w:val="25"/>
    <w:qFormat/>
    <w:uiPriority w:val="0"/>
    <w:pPr>
      <w:tabs>
        <w:tab w:val="left" w:pos="5882"/>
      </w:tabs>
      <w:adjustRightInd w:val="0"/>
      <w:snapToGrid w:val="0"/>
      <w:spacing w:beforeLines="50"/>
      <w:jc w:val="left"/>
      <w:outlineLvl w:val="1"/>
    </w:pPr>
    <w:rPr>
      <w:rFonts w:ascii="Times New Roman" w:hAnsi="Times New Roman" w:eastAsia="宋体"/>
      <w:b/>
      <w:kern w:val="0"/>
      <w:sz w:val="24"/>
      <w:szCs w:val="24"/>
    </w:rPr>
  </w:style>
  <w:style w:type="paragraph" w:styleId="3">
    <w:name w:val="heading 3"/>
    <w:basedOn w:val="1"/>
    <w:next w:val="1"/>
    <w:link w:val="20"/>
    <w:qFormat/>
    <w:uiPriority w:val="0"/>
    <w:pPr>
      <w:topLinePunct/>
      <w:spacing w:before="120" w:line="480" w:lineRule="exact"/>
      <w:outlineLvl w:val="2"/>
    </w:pPr>
    <w:rPr>
      <w:rFonts w:ascii="Times New Roman" w:hAnsi="Times New Roman" w:eastAsia="楷体_GB2312"/>
      <w:b/>
      <w:bCs/>
      <w:color w:val="000000"/>
      <w:kern w:val="2"/>
      <w:sz w:val="28"/>
      <w:szCs w:val="28"/>
    </w:rPr>
  </w:style>
  <w:style w:type="paragraph" w:styleId="4">
    <w:name w:val="heading 4"/>
    <w:basedOn w:val="1"/>
    <w:next w:val="1"/>
    <w:link w:val="23"/>
    <w:qFormat/>
    <w:uiPriority w:val="0"/>
    <w:pPr>
      <w:keepNext/>
      <w:keepLines/>
      <w:spacing w:before="280" w:after="290" w:line="376" w:lineRule="auto"/>
      <w:outlineLvl w:val="3"/>
    </w:pPr>
    <w:rPr>
      <w:rFonts w:ascii="Arial" w:hAnsi="Arial" w:eastAsia="黑体"/>
      <w:b/>
      <w:bCs/>
      <w:kern w:val="2"/>
      <w:sz w:val="28"/>
      <w:szCs w:val="28"/>
    </w:rPr>
  </w:style>
  <w:style w:type="character" w:default="1" w:styleId="12">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5">
    <w:name w:val="Body Text"/>
    <w:basedOn w:val="6"/>
    <w:next w:val="6"/>
    <w:qFormat/>
    <w:uiPriority w:val="1"/>
    <w:rPr>
      <w:sz w:val="24"/>
      <w:szCs w:val="24"/>
    </w:rPr>
  </w:style>
  <w:style w:type="paragraph" w:styleId="6">
    <w:name w:val="Title"/>
    <w:basedOn w:val="1"/>
    <w:qFormat/>
    <w:uiPriority w:val="0"/>
    <w:pPr>
      <w:adjustRightInd w:val="0"/>
      <w:snapToGrid w:val="0"/>
      <w:spacing w:before="240" w:after="60" w:line="360" w:lineRule="auto"/>
      <w:ind w:firstLine="200" w:firstLineChars="200"/>
      <w:jc w:val="center"/>
      <w:outlineLvl w:val="0"/>
    </w:pPr>
    <w:rPr>
      <w:rFonts w:ascii="Cambria" w:hAnsi="Cambria"/>
      <w:b/>
      <w:bCs/>
    </w:rPr>
  </w:style>
  <w:style w:type="paragraph" w:styleId="7">
    <w:name w:val="Plain Text"/>
    <w:basedOn w:val="1"/>
    <w:qFormat/>
    <w:uiPriority w:val="0"/>
    <w:rPr>
      <w:rFonts w:ascii="宋体"/>
      <w:snapToGrid w:val="0"/>
      <w:kern w:val="0"/>
      <w:szCs w:val="20"/>
    </w:rPr>
  </w:style>
  <w:style w:type="paragraph" w:styleId="8">
    <w:name w:val="footer"/>
    <w:basedOn w:val="1"/>
    <w:link w:val="24"/>
    <w:qFormat/>
    <w:uiPriority w:val="0"/>
    <w:pPr>
      <w:tabs>
        <w:tab w:val="center" w:pos="4153"/>
        <w:tab w:val="right" w:pos="8306"/>
      </w:tabs>
      <w:snapToGrid w:val="0"/>
      <w:jc w:val="left"/>
    </w:pPr>
    <w:rPr>
      <w:sz w:val="18"/>
      <w:szCs w:val="18"/>
    </w:rPr>
  </w:style>
  <w:style w:type="paragraph" w:styleId="9">
    <w:name w:val="header"/>
    <w:basedOn w:val="1"/>
    <w:link w:val="22"/>
    <w:qFormat/>
    <w:uiPriority w:val="0"/>
    <w:pPr>
      <w:pBdr>
        <w:bottom w:val="single" w:color="auto" w:sz="6" w:space="1"/>
      </w:pBdr>
      <w:tabs>
        <w:tab w:val="center" w:pos="4153"/>
        <w:tab w:val="right" w:pos="8306"/>
      </w:tabs>
      <w:snapToGrid w:val="0"/>
      <w:jc w:val="center"/>
    </w:pPr>
    <w:rPr>
      <w:sz w:val="18"/>
      <w:szCs w:val="18"/>
    </w:rPr>
  </w:style>
  <w:style w:type="paragraph" w:styleId="10">
    <w:name w:val="Normal (Web)"/>
    <w:basedOn w:val="1"/>
    <w:qFormat/>
    <w:uiPriority w:val="0"/>
    <w:pPr>
      <w:jc w:val="left"/>
    </w:pPr>
    <w:rPr>
      <w:rFonts w:eastAsia="宋体"/>
      <w:kern w:val="0"/>
      <w:sz w:val="24"/>
    </w:rPr>
  </w:style>
  <w:style w:type="character" w:styleId="13">
    <w:name w:val="Strong"/>
    <w:basedOn w:val="12"/>
    <w:qFormat/>
    <w:uiPriority w:val="0"/>
    <w:rPr>
      <w:b/>
    </w:rPr>
  </w:style>
  <w:style w:type="character" w:styleId="14">
    <w:name w:val="annotation reference"/>
    <w:basedOn w:val="12"/>
    <w:qFormat/>
    <w:uiPriority w:val="0"/>
    <w:rPr>
      <w:sz w:val="21"/>
      <w:szCs w:val="21"/>
    </w:rPr>
  </w:style>
  <w:style w:type="paragraph" w:customStyle="1" w:styleId="15">
    <w:name w:val="正文（标准）"/>
    <w:basedOn w:val="1"/>
    <w:next w:val="1"/>
    <w:semiHidden/>
    <w:qFormat/>
    <w:uiPriority w:val="0"/>
    <w:pPr>
      <w:ind w:firstLine="525"/>
    </w:pPr>
    <w:rPr>
      <w:rFonts w:ascii="宋体" w:hAnsi="宋体"/>
    </w:rPr>
  </w:style>
  <w:style w:type="paragraph" w:customStyle="1" w:styleId="16">
    <w:name w:val="Normal Indent1"/>
    <w:basedOn w:val="1"/>
    <w:next w:val="1"/>
    <w:qFormat/>
    <w:uiPriority w:val="99"/>
    <w:pPr>
      <w:ind w:firstLine="420"/>
    </w:pPr>
  </w:style>
  <w:style w:type="paragraph" w:customStyle="1" w:styleId="17">
    <w:name w:val="Default"/>
    <w:basedOn w:val="18"/>
    <w:qFormat/>
    <w:uiPriority w:val="99"/>
    <w:pPr>
      <w:widowControl w:val="0"/>
      <w:autoSpaceDE w:val="0"/>
      <w:autoSpaceDN w:val="0"/>
      <w:adjustRightInd w:val="0"/>
    </w:pPr>
    <w:rPr>
      <w:rFonts w:ascii="宋体" w:cs="宋体"/>
      <w:color w:val="000000"/>
      <w:sz w:val="24"/>
      <w:szCs w:val="24"/>
      <w:lang w:val="en-US" w:eastAsia="zh-CN" w:bidi="ar-SA"/>
    </w:rPr>
  </w:style>
  <w:style w:type="paragraph" w:customStyle="1" w:styleId="18">
    <w:name w:val="纯文本1"/>
    <w:basedOn w:val="1"/>
    <w:qFormat/>
    <w:uiPriority w:val="0"/>
    <w:pPr>
      <w:suppressAutoHyphens/>
    </w:pPr>
    <w:rPr>
      <w:rFonts w:ascii="宋体" w:hAnsi="宋体" w:eastAsia="宋体" w:cs="Times New Roman"/>
      <w:kern w:val="1"/>
      <w:sz w:val="28"/>
      <w:lang w:eastAsia="ar-SA"/>
    </w:rPr>
  </w:style>
  <w:style w:type="paragraph" w:customStyle="1" w:styleId="19">
    <w:name w:val="正本文字"/>
    <w:basedOn w:val="1"/>
    <w:autoRedefine/>
    <w:qFormat/>
    <w:uiPriority w:val="0"/>
    <w:pPr>
      <w:adjustRightInd w:val="0"/>
      <w:snapToGrid w:val="0"/>
      <w:spacing w:line="360" w:lineRule="auto"/>
      <w:ind w:firstLine="480" w:firstLineChars="200"/>
      <w:jc w:val="left"/>
    </w:pPr>
    <w:rPr>
      <w:rFonts w:cs="宋体"/>
      <w:kern w:val="18"/>
      <w:sz w:val="24"/>
    </w:rPr>
  </w:style>
  <w:style w:type="character" w:customStyle="1" w:styleId="20">
    <w:name w:val="标题 3 字符"/>
    <w:link w:val="3"/>
    <w:qFormat/>
    <w:uiPriority w:val="0"/>
    <w:rPr>
      <w:rFonts w:eastAsia="楷体_GB2312"/>
      <w:b/>
      <w:bCs/>
      <w:color w:val="000000"/>
      <w:kern w:val="2"/>
      <w:sz w:val="28"/>
      <w:szCs w:val="28"/>
    </w:rPr>
  </w:style>
  <w:style w:type="character" w:customStyle="1" w:styleId="21">
    <w:name w:val="标题 3 Char"/>
    <w:semiHidden/>
    <w:qFormat/>
    <w:uiPriority w:val="0"/>
    <w:rPr>
      <w:rFonts w:ascii="Calibri" w:hAnsi="Calibri" w:eastAsia="方正仿宋_GBK"/>
      <w:b/>
      <w:bCs/>
      <w:kern w:val="32"/>
      <w:sz w:val="32"/>
      <w:szCs w:val="32"/>
    </w:rPr>
  </w:style>
  <w:style w:type="character" w:customStyle="1" w:styleId="22">
    <w:name w:val="页眉 字符"/>
    <w:link w:val="9"/>
    <w:qFormat/>
    <w:uiPriority w:val="0"/>
    <w:rPr>
      <w:rFonts w:ascii="Calibri" w:hAnsi="Calibri" w:eastAsia="方正仿宋_GBK"/>
      <w:kern w:val="32"/>
      <w:sz w:val="18"/>
      <w:szCs w:val="18"/>
    </w:rPr>
  </w:style>
  <w:style w:type="character" w:customStyle="1" w:styleId="23">
    <w:name w:val="标题 4 字符"/>
    <w:link w:val="4"/>
    <w:qFormat/>
    <w:uiPriority w:val="0"/>
    <w:rPr>
      <w:rFonts w:ascii="Arial" w:hAnsi="Arial" w:eastAsia="黑体"/>
      <w:b/>
      <w:bCs/>
      <w:kern w:val="2"/>
      <w:sz w:val="28"/>
      <w:szCs w:val="28"/>
    </w:rPr>
  </w:style>
  <w:style w:type="character" w:customStyle="1" w:styleId="24">
    <w:name w:val="页脚 字符"/>
    <w:link w:val="8"/>
    <w:qFormat/>
    <w:uiPriority w:val="0"/>
    <w:rPr>
      <w:rFonts w:ascii="Calibri" w:hAnsi="Calibri" w:eastAsia="方正仿宋_GBK"/>
      <w:kern w:val="32"/>
      <w:sz w:val="18"/>
      <w:szCs w:val="18"/>
    </w:rPr>
  </w:style>
  <w:style w:type="character" w:customStyle="1" w:styleId="25">
    <w:name w:val="标题 2 字符"/>
    <w:link w:val="2"/>
    <w:qFormat/>
    <w:uiPriority w:val="0"/>
    <w:rPr>
      <w:rFonts w:eastAsia="宋体"/>
      <w:b/>
      <w:sz w:val="24"/>
      <w:szCs w:val="24"/>
    </w:rPr>
  </w:style>
  <w:style w:type="character" w:customStyle="1" w:styleId="26">
    <w:name w:val="标题 4 Char"/>
    <w:semiHidden/>
    <w:qFormat/>
    <w:uiPriority w:val="0"/>
    <w:rPr>
      <w:rFonts w:ascii="Cambria" w:hAnsi="Cambria" w:eastAsia="宋体" w:cs="Times New Roman"/>
      <w:b/>
      <w:bCs/>
      <w:kern w:val="32"/>
      <w:sz w:val="28"/>
      <w:szCs w:val="28"/>
    </w:rPr>
  </w:style>
  <w:style w:type="character" w:customStyle="1" w:styleId="27">
    <w:name w:val="正文 旺源文字段落 Char"/>
    <w:link w:val="28"/>
    <w:qFormat/>
    <w:uiPriority w:val="0"/>
    <w:rPr>
      <w:rFonts w:ascii="宋体" w:hAnsi="宋体" w:cs="宋体"/>
      <w:kern w:val="24"/>
      <w:sz w:val="24"/>
      <w:szCs w:val="24"/>
    </w:rPr>
  </w:style>
  <w:style w:type="paragraph" w:customStyle="1" w:styleId="28">
    <w:name w:val="正文 旺源文字段落"/>
    <w:basedOn w:val="1"/>
    <w:link w:val="27"/>
    <w:qFormat/>
    <w:uiPriority w:val="0"/>
    <w:pPr>
      <w:spacing w:line="500" w:lineRule="exact"/>
      <w:ind w:firstLine="420"/>
    </w:pPr>
    <w:rPr>
      <w:rFonts w:ascii="宋体" w:hAnsi="宋体" w:eastAsia="宋体"/>
      <w:kern w:val="24"/>
      <w:sz w:val="24"/>
      <w:szCs w:val="24"/>
    </w:rPr>
  </w:style>
  <w:style w:type="paragraph" w:customStyle="1" w:styleId="29">
    <w:name w:val="LH样式"/>
    <w:basedOn w:val="1"/>
    <w:qFormat/>
    <w:uiPriority w:val="0"/>
    <w:pPr>
      <w:spacing w:line="480" w:lineRule="exact"/>
      <w:ind w:firstLine="520" w:firstLineChars="200"/>
    </w:pPr>
    <w:rPr>
      <w:rFonts w:ascii="Times New Roman" w:hAnsi="Times New Roman" w:eastAsia="宋体"/>
      <w:color w:val="00B0F0"/>
      <w:kern w:val="2"/>
      <w:sz w:val="26"/>
      <w:szCs w:val="26"/>
    </w:rPr>
  </w:style>
  <w:style w:type="paragraph" w:customStyle="1" w:styleId="30">
    <w:name w:val="正文2"/>
    <w:basedOn w:val="1"/>
    <w:qFormat/>
    <w:uiPriority w:val="0"/>
    <w:pPr>
      <w:spacing w:line="360" w:lineRule="auto"/>
      <w:ind w:firstLine="200" w:firstLineChars="200"/>
    </w:pPr>
    <w:rPr>
      <w:rFonts w:ascii="Times New Roman" w:hAnsi="Times New Roman" w:eastAsia="宋体"/>
      <w:sz w:val="24"/>
      <w:szCs w:val="20"/>
    </w:rPr>
  </w:style>
  <w:style w:type="paragraph" w:customStyle="1" w:styleId="31">
    <w:name w:val="Table Text"/>
    <w:basedOn w:val="1"/>
    <w:semiHidden/>
    <w:qFormat/>
    <w:uiPriority w:val="0"/>
    <w:rPr>
      <w:rFonts w:ascii="宋体" w:hAnsi="宋体" w:eastAsia="宋体" w:cs="宋体"/>
      <w:sz w:val="21"/>
      <w:szCs w:val="21"/>
      <w:lang w:val="en-US" w:eastAsia="en-US" w:bidi="ar-SA"/>
    </w:rPr>
  </w:style>
  <w:style w:type="paragraph" w:customStyle="1" w:styleId="32">
    <w:name w:val="H正文"/>
    <w:basedOn w:val="1"/>
    <w:qFormat/>
    <w:uiPriority w:val="0"/>
    <w:pPr>
      <w:adjustRightInd w:val="0"/>
      <w:spacing w:line="400" w:lineRule="exact"/>
      <w:ind w:firstLine="200" w:firstLineChars="200"/>
      <w:textAlignment w:val="baseline"/>
    </w:pPr>
    <w:rPr>
      <w:rFonts w:ascii="Times New Roman" w:hAnsi="Times New Roman" w:eastAsia="宋体"/>
      <w:snapToGrid w:val="0"/>
      <w:spacing w:val="6"/>
      <w:kern w:val="2"/>
      <w:sz w:val="21"/>
      <w:szCs w:val="24"/>
    </w:rPr>
  </w:style>
  <w:style w:type="paragraph" w:customStyle="1" w:styleId="33">
    <w:name w:val="正缩1"/>
    <w:basedOn w:val="1"/>
    <w:qFormat/>
    <w:uiPriority w:val="0"/>
    <w:pPr>
      <w:adjustRightInd w:val="0"/>
      <w:snapToGrid w:val="0"/>
      <w:spacing w:line="500" w:lineRule="exact"/>
      <w:ind w:firstLine="567"/>
    </w:pPr>
    <w:rPr>
      <w:rFonts w:ascii="Times New Roman" w:eastAsia="仿宋_GB2312"/>
      <w:color w:val="000000"/>
      <w:kern w:val="2"/>
      <w:sz w:val="2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china</Company>
  <Pages>3</Pages>
  <Words>2662</Words>
  <Characters>2920</Characters>
  <Lines>97</Lines>
  <Paragraphs>85</Paragraphs>
  <TotalTime>3</TotalTime>
  <ScaleCrop>false</ScaleCrop>
  <LinksUpToDate>false</LinksUpToDate>
  <CharactersWithSpaces>2931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2019-10-22T09:39:00Z</dcterms:created>
  <dc:creator>lenovo</dc:creator>
  <cp:lastModifiedBy>郭丽娜</cp:lastModifiedBy>
  <cp:lastPrinted>2016-09-13T11:08:00Z</cp:lastPrinted>
  <dcterms:modified xsi:type="dcterms:W3CDTF">2026-09-02T08:05:40Z</dcterms:modified>
  <dc:title>曲靖市环境保护局</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5DA7A84E61994C55B6A8E1AFC19F0775_13</vt:lpwstr>
  </property>
  <property fmtid="{D5CDD505-2E9C-101B-9397-08002B2CF9AE}" pid="4" name="KSOTemplateDocerSaveRecord">
    <vt:lpwstr>eyJoZGlkIjoiYTA0OTFiNTllN2E3YTc2MDc5ZTIwYTg0ZjFlZjFlMWQiLCJ1c2VySWQiOiIzNzMyMDUyODEifQ==</vt:lpwstr>
  </property>
</Properties>
</file>