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0020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仿宋_GBK" w:hAnsi="方正仿宋_GBK" w:eastAsia="方正仿宋_GBK" w:cs="方正仿宋_GBK"/>
          <w:color w:val="auto"/>
          <w:sz w:val="32"/>
          <w:szCs w:val="32"/>
          <w:lang w:val="en-US" w:eastAsia="zh-CN"/>
        </w:rPr>
      </w:pPr>
      <w:r>
        <w:rPr>
          <w:rFonts w:hint="default" w:ascii="Times New Roman" w:hAnsi="Times New Roman" w:eastAsia="方正仿宋_GBK" w:cs="Times New Roman"/>
          <w:color w:val="auto"/>
          <w:sz w:val="32"/>
          <w:szCs w:val="32"/>
          <w:lang w:val="en-US" w:eastAsia="zh-CN"/>
        </w:rPr>
        <w:t>附件</w:t>
      </w:r>
      <w:r>
        <w:rPr>
          <w:rFonts w:hint="eastAsia" w:ascii="Times New Roman" w:hAnsi="Times New Roman" w:eastAsia="方正仿宋_GBK" w:cs="Times New Roman"/>
          <w:color w:val="auto"/>
          <w:sz w:val="32"/>
          <w:szCs w:val="32"/>
          <w:lang w:val="en-US" w:eastAsia="zh-CN"/>
        </w:rPr>
        <w:t>1</w:t>
      </w:r>
    </w:p>
    <w:p w14:paraId="0DE056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color w:val="auto"/>
          <w:sz w:val="44"/>
          <w:szCs w:val="44"/>
          <w:lang w:val="en-US" w:eastAsia="zh-CN"/>
        </w:rPr>
      </w:pPr>
    </w:p>
    <w:p w14:paraId="29D016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color w:val="auto"/>
          <w:sz w:val="44"/>
          <w:szCs w:val="44"/>
          <w:lang w:val="en-US" w:eastAsia="zh-CN"/>
        </w:rPr>
      </w:pPr>
      <w:r>
        <w:rPr>
          <w:rFonts w:hint="eastAsia" w:ascii="Times New Roman" w:hAnsi="Times New Roman" w:eastAsia="方正小标宋_GBK" w:cs="Times New Roman"/>
          <w:color w:val="auto"/>
          <w:sz w:val="44"/>
          <w:szCs w:val="44"/>
          <w:lang w:val="en-US" w:eastAsia="zh-CN"/>
        </w:rPr>
        <w:t>《关于</w:t>
      </w:r>
      <w:r>
        <w:rPr>
          <w:rFonts w:hint="default" w:ascii="Times New Roman" w:hAnsi="Times New Roman" w:eastAsia="方正小标宋_GBK" w:cs="Times New Roman"/>
          <w:color w:val="auto"/>
          <w:sz w:val="44"/>
          <w:szCs w:val="44"/>
          <w:lang w:val="en-US" w:eastAsia="zh-CN"/>
        </w:rPr>
        <w:t>进一步加强和规范</w:t>
      </w:r>
      <w:r>
        <w:rPr>
          <w:rFonts w:hint="eastAsia" w:ascii="Times New Roman" w:hAnsi="Times New Roman" w:eastAsia="方正小标宋_GBK" w:cs="Times New Roman"/>
          <w:color w:val="auto"/>
          <w:sz w:val="44"/>
          <w:szCs w:val="44"/>
          <w:lang w:val="en-US" w:eastAsia="zh-CN"/>
        </w:rPr>
        <w:t>全市国土空间</w:t>
      </w:r>
      <w:r>
        <w:rPr>
          <w:rFonts w:hint="default" w:ascii="Times New Roman" w:hAnsi="Times New Roman" w:eastAsia="方正小标宋_GBK" w:cs="Times New Roman"/>
          <w:color w:val="auto"/>
          <w:sz w:val="44"/>
          <w:szCs w:val="44"/>
          <w:lang w:val="en-US" w:eastAsia="zh-CN"/>
        </w:rPr>
        <w:t>详细规划编制管理的通知</w:t>
      </w:r>
      <w:r>
        <w:rPr>
          <w:rFonts w:hint="eastAsia" w:ascii="Times New Roman" w:hAnsi="Times New Roman" w:eastAsia="方正小标宋_GBK" w:cs="Times New Roman"/>
          <w:color w:val="auto"/>
          <w:sz w:val="44"/>
          <w:szCs w:val="44"/>
          <w:lang w:val="en-US" w:eastAsia="zh-CN"/>
        </w:rPr>
        <w:t>（征求意见稿）》起草说明</w:t>
      </w:r>
    </w:p>
    <w:p w14:paraId="7AAD45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color w:val="auto"/>
          <w:sz w:val="44"/>
          <w:szCs w:val="44"/>
          <w:lang w:val="en-US" w:eastAsia="zh-CN"/>
        </w:rPr>
      </w:pPr>
    </w:p>
    <w:p w14:paraId="7BE47A35">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Times New Roman" w:hAnsi="Times New Roman" w:eastAsia="方正黑体_GBK" w:cs="方正黑体_GBK"/>
          <w:color w:val="auto"/>
          <w:sz w:val="32"/>
          <w:szCs w:val="32"/>
          <w:lang w:val="en-US" w:eastAsia="zh-CN"/>
        </w:rPr>
      </w:pPr>
      <w:r>
        <w:rPr>
          <w:rFonts w:hint="eastAsia" w:ascii="Times New Roman" w:hAnsi="Times New Roman" w:eastAsia="方正黑体_GBK" w:cs="方正黑体_GBK"/>
          <w:color w:val="auto"/>
          <w:sz w:val="32"/>
          <w:szCs w:val="32"/>
          <w:lang w:val="en-US" w:eastAsia="zh-CN"/>
        </w:rPr>
        <w:t>一、起草背景</w:t>
      </w:r>
    </w:p>
    <w:p w14:paraId="431554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方正楷体_GBK" w:cs="Times New Roman"/>
          <w:b/>
          <w:bCs/>
          <w:color w:val="auto"/>
          <w:sz w:val="32"/>
          <w:szCs w:val="32"/>
          <w:lang w:val="en-US" w:eastAsia="zh-CN"/>
        </w:rPr>
      </w:pPr>
      <w:r>
        <w:rPr>
          <w:rFonts w:hint="eastAsia" w:ascii="Times New Roman" w:hAnsi="Times New Roman" w:eastAsia="方正楷体_GBK" w:cs="Times New Roman"/>
          <w:b/>
          <w:bCs/>
          <w:color w:val="auto"/>
          <w:sz w:val="32"/>
          <w:szCs w:val="32"/>
          <w:lang w:val="en-US" w:eastAsia="zh-CN"/>
        </w:rPr>
        <w:t>（一）</w:t>
      </w:r>
      <w:r>
        <w:rPr>
          <w:rFonts w:hint="default" w:ascii="Times New Roman" w:hAnsi="Times New Roman" w:eastAsia="方正楷体_GBK" w:cs="Times New Roman"/>
          <w:b/>
          <w:bCs/>
          <w:color w:val="auto"/>
          <w:sz w:val="32"/>
          <w:szCs w:val="32"/>
          <w:lang w:val="en-US" w:eastAsia="zh-CN"/>
        </w:rPr>
        <w:t>上位政策有要求</w:t>
      </w:r>
    </w:p>
    <w:p w14:paraId="257E9A5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2025年中央城市工作会议明确指出，我国城镇化正从快速增长期转向稳定发展期，城市发展正从大规模增量扩张阶段转向存量提质增效为主的阶段。国家、省针对城市更新、低效用地试点等政策文件中均提出要细化简化详细规划</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调整</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程序。</w:t>
      </w:r>
    </w:p>
    <w:p w14:paraId="7B9F36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方正楷体_GBK"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楷体_GBK" w:cs="Times New Roman"/>
          <w:b/>
          <w:bCs/>
          <w:color w:val="000000" w:themeColor="text1"/>
          <w:sz w:val="32"/>
          <w:szCs w:val="32"/>
          <w:lang w:val="en-US" w:eastAsia="zh-CN"/>
          <w14:textFill>
            <w14:solidFill>
              <w14:schemeClr w14:val="tx1"/>
            </w14:solidFill>
          </w14:textFill>
        </w:rPr>
        <w:t>（二）地方管理有需求</w:t>
      </w:r>
    </w:p>
    <w:p w14:paraId="5CC4324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2026年3月，市</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人民</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政府主要领导组织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研究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规划土地管理提质增效专题</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工作</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关于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进一步加强和规范全市国土空间详细规划编制管理的通知（征求意见稿）》</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（以下简称“《通知》”）</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是推动中心城区规划审批和土地供应</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提速提质增效</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”重要制度</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措施之一。</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《通知》</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进一步完善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了</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详细规划动态管理机制，深化细化中心城区详细规划管理内容，分级分类明确</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详细</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规划动态调整的情形，优化动态调整审批流程</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填补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全市</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详细规划编制管理制度空白。</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《通知》着力</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推动解决因详细规划动态调整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决策流程繁琐</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审批周期过长</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而</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影响项目落地进度的问题。</w:t>
      </w:r>
    </w:p>
    <w:p w14:paraId="7D6D985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default" w:ascii="Times New Roman" w:hAnsi="Times New Roman" w:eastAsia="方正楷体_GBK"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黑体_GBK" w:cs="方正黑体_GBK"/>
          <w:color w:val="000000" w:themeColor="text1"/>
          <w:sz w:val="32"/>
          <w:szCs w:val="32"/>
          <w:lang w:val="en-US" w:eastAsia="zh-CN"/>
          <w14:textFill>
            <w14:solidFill>
              <w14:schemeClr w14:val="tx1"/>
            </w14:solidFill>
          </w14:textFill>
        </w:rPr>
        <w:t>二、制定依据</w:t>
      </w:r>
    </w:p>
    <w:p w14:paraId="2ED543F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《通知》严格遵循国家、省、市相关</w:t>
      </w:r>
      <w:r>
        <w:rPr>
          <w:rFonts w:hint="eastAsia" w:ascii="Times New Roman" w:hAnsi="Times New Roman" w:eastAsia="方正仿宋_GBK" w:cs="方正仿宋_GBK"/>
          <w:color w:val="000000" w:themeColor="text1"/>
          <w:kern w:val="2"/>
          <w:sz w:val="32"/>
          <w:szCs w:val="32"/>
          <w:lang w:val="en-US" w:eastAsia="zh-CN" w:bidi="ar-SA"/>
          <w14:textFill>
            <w14:solidFill>
              <w14:schemeClr w14:val="tx1"/>
            </w14:solidFill>
          </w14:textFill>
        </w:rPr>
        <w:t>法律法规、标准规范及</w:t>
      </w:r>
      <w:r>
        <w:rPr>
          <w:rFonts w:hint="eastAsia" w:ascii="Times New Roman" w:hAnsi="Times New Roman" w:eastAsia="方正仿宋_GBK" w:cs="方正仿宋_GBK"/>
          <w:color w:val="auto"/>
          <w:kern w:val="2"/>
          <w:sz w:val="32"/>
          <w:szCs w:val="32"/>
          <w:lang w:val="en-US" w:eastAsia="zh-CN" w:bidi="ar-SA"/>
        </w:rPr>
        <w:t>政策文件，结合曲靖详细规划编制管理实际制定，主要依据如下：</w:t>
      </w:r>
    </w:p>
    <w:p w14:paraId="14BA756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《中华人民共和国城乡规划法》</w:t>
      </w:r>
    </w:p>
    <w:p w14:paraId="1CE2A89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《自然资源部关于加强和规范规划实施监督管理工作的通知》（自然资发〔2023〕237号）</w:t>
      </w:r>
    </w:p>
    <w:p w14:paraId="20C7272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《自然资源部　住房城乡建设部关于进一步支持城市更新行动若干措施的通知》（自然资发〔2025〕</w:t>
      </w:r>
      <w:r>
        <w:rPr>
          <w:rFonts w:hint="eastAsia" w:ascii="Times New Roman" w:hAnsi="Times New Roman" w:eastAsia="方正仿宋_GBK" w:cs="方正仿宋_GBK"/>
          <w:color w:val="auto"/>
          <w:kern w:val="2"/>
          <w:sz w:val="32"/>
          <w:szCs w:val="32"/>
          <w:lang w:val="en-US" w:eastAsia="zh-CN" w:bidi="ar-SA"/>
        </w:rPr>
        <w:t>226</w:t>
      </w:r>
      <w:r>
        <w:rPr>
          <w:rFonts w:hint="default" w:ascii="Times New Roman" w:hAnsi="Times New Roman" w:eastAsia="方正仿宋_GBK" w:cs="方正仿宋_GBK"/>
          <w:color w:val="auto"/>
          <w:kern w:val="2"/>
          <w:sz w:val="32"/>
          <w:szCs w:val="32"/>
          <w:lang w:val="en-US" w:eastAsia="zh-CN" w:bidi="ar-SA"/>
        </w:rPr>
        <w:t>号）</w:t>
      </w:r>
    </w:p>
    <w:p w14:paraId="51AED12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《自然资源部关于扩大深化低效用地再开发试点工作的通知》（自然资发〔2025〕83号）</w:t>
      </w:r>
    </w:p>
    <w:p w14:paraId="7632423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《自然资源部关于加强国土空间详细规划工作的通知》（自然资发〔2023〕43号）</w:t>
      </w:r>
    </w:p>
    <w:p w14:paraId="5DE6CD6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《国家林业和草原局自然资源部关于进一步做好自然资源要素保障的通知》（自然资发〔2026〕38号）</w:t>
      </w:r>
    </w:p>
    <w:p w14:paraId="54073B6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《城市存量空间盘活优化规划指南》</w:t>
      </w:r>
    </w:p>
    <w:p w14:paraId="19C9EF8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《云南省土地管理条例》</w:t>
      </w:r>
    </w:p>
    <w:p w14:paraId="00EA9F3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《云南省国土空间详细规划编制导则（试行）》</w:t>
      </w:r>
    </w:p>
    <w:p w14:paraId="7060B2E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《云南省自然资源厅关于进一步加强和规范规划许可及相关事项管理的通知》（云自然资空规〔2025〕43号）</w:t>
      </w:r>
    </w:p>
    <w:p w14:paraId="71C3908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《云南省自然资源厅关于规范特殊地块详细规划编制工作的通知</w:t>
      </w:r>
      <w:r>
        <w:rPr>
          <w:rFonts w:hint="eastAsia" w:ascii="Times New Roman" w:hAnsi="Times New Roman" w:eastAsia="方正仿宋_GBK" w:cs="方正仿宋_GBK"/>
          <w:color w:val="auto"/>
          <w:kern w:val="2"/>
          <w:sz w:val="32"/>
          <w:szCs w:val="32"/>
          <w:lang w:val="en-US" w:eastAsia="zh-CN" w:bidi="ar-SA"/>
        </w:rPr>
        <w:t>（</w:t>
      </w:r>
      <w:r>
        <w:rPr>
          <w:rFonts w:hint="default" w:ascii="Times New Roman" w:hAnsi="Times New Roman" w:eastAsia="方正仿宋_GBK" w:cs="方正仿宋_GBK"/>
          <w:color w:val="auto"/>
          <w:kern w:val="2"/>
          <w:sz w:val="32"/>
          <w:szCs w:val="32"/>
          <w:lang w:val="en-US" w:eastAsia="zh-CN" w:bidi="ar-SA"/>
        </w:rPr>
        <w:t>试行</w:t>
      </w:r>
      <w:r>
        <w:rPr>
          <w:rFonts w:hint="eastAsia" w:ascii="Times New Roman" w:hAnsi="Times New Roman" w:eastAsia="方正仿宋_GBK" w:cs="方正仿宋_GBK"/>
          <w:color w:val="auto"/>
          <w:kern w:val="2"/>
          <w:sz w:val="32"/>
          <w:szCs w:val="32"/>
          <w:lang w:val="en-US" w:eastAsia="zh-CN" w:bidi="ar-SA"/>
        </w:rPr>
        <w:t>）</w:t>
      </w:r>
      <w:bookmarkStart w:id="0" w:name="_GoBack"/>
      <w:bookmarkEnd w:id="0"/>
      <w:r>
        <w:rPr>
          <w:rFonts w:hint="default" w:ascii="Times New Roman" w:hAnsi="Times New Roman" w:eastAsia="方正仿宋_GBK" w:cs="方正仿宋_GBK"/>
          <w:color w:val="auto"/>
          <w:kern w:val="2"/>
          <w:sz w:val="32"/>
          <w:szCs w:val="32"/>
          <w:lang w:val="en-US" w:eastAsia="zh-CN" w:bidi="ar-SA"/>
        </w:rPr>
        <w:t>（云自然资空规》（〔2026〕123号）</w:t>
      </w:r>
    </w:p>
    <w:p w14:paraId="4877063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《中共曲靖市委办公室 曲靖市人民政府办公室关于进一步完善曲靖中心城市规划和土地储备供应管理体制机制的通知》（曲办通〔2023〕19号）</w:t>
      </w:r>
    </w:p>
    <w:p w14:paraId="16FBA66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方正仿宋_GBK"/>
          <w:color w:val="auto"/>
          <w:kern w:val="2"/>
          <w:sz w:val="32"/>
          <w:szCs w:val="32"/>
          <w:lang w:val="en-US" w:eastAsia="zh-CN" w:bidi="ar-SA"/>
        </w:rPr>
      </w:pPr>
      <w:r>
        <w:rPr>
          <w:rFonts w:hint="default" w:ascii="Times New Roman" w:hAnsi="Times New Roman" w:eastAsia="方正仿宋_GBK" w:cs="方正仿宋_GBK"/>
          <w:color w:val="auto"/>
          <w:kern w:val="2"/>
          <w:sz w:val="32"/>
          <w:szCs w:val="32"/>
          <w:lang w:val="en-US" w:eastAsia="zh-CN" w:bidi="ar-SA"/>
        </w:rPr>
        <w:t>《曲靖市人民政府办公室关于印发〈曲靖市低效用地再开发试点实施方案〉的通知》（曲政办发〔2026〕27号）</w:t>
      </w:r>
    </w:p>
    <w:p w14:paraId="39B736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Times New Roman" w:hAnsi="Times New Roman" w:eastAsia="方正黑体_GBK" w:cs="方正黑体_GBK"/>
          <w:b w:val="0"/>
          <w:bCs w:val="0"/>
          <w:kern w:val="0"/>
          <w:sz w:val="32"/>
          <w:szCs w:val="32"/>
          <w:highlight w:val="none"/>
          <w:lang w:val="en-US" w:eastAsia="zh-CN"/>
        </w:rPr>
      </w:pPr>
      <w:r>
        <w:rPr>
          <w:rFonts w:hint="eastAsia" w:ascii="Times New Roman" w:hAnsi="Times New Roman" w:eastAsia="方正黑体_GBK" w:cs="方正黑体_GBK"/>
          <w:b w:val="0"/>
          <w:bCs w:val="0"/>
          <w:kern w:val="0"/>
          <w:sz w:val="32"/>
          <w:szCs w:val="32"/>
          <w:highlight w:val="none"/>
          <w:lang w:val="en-US" w:eastAsia="zh-CN"/>
        </w:rPr>
        <w:t>三、主要内容及框架说明</w:t>
      </w:r>
    </w:p>
    <w:p w14:paraId="1CE0922A">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本</w:t>
      </w:r>
      <w:r>
        <w:rPr>
          <w:rFonts w:hint="eastAsia" w:ascii="Times New Roman" w:hAnsi="Times New Roman" w:eastAsia="方正仿宋_GBK" w:cs="Times New Roman"/>
          <w:color w:val="auto"/>
          <w:sz w:val="32"/>
          <w:szCs w:val="32"/>
          <w:lang w:val="en-US" w:eastAsia="zh-CN"/>
        </w:rPr>
        <w:t>《通知》</w:t>
      </w:r>
      <w:r>
        <w:rPr>
          <w:rFonts w:hint="eastAsia" w:ascii="Times New Roman" w:hAnsi="Times New Roman" w:eastAsia="方正仿宋_GBK" w:cs="方正仿宋_GBK"/>
          <w:color w:val="auto"/>
          <w:kern w:val="2"/>
          <w:sz w:val="32"/>
          <w:szCs w:val="32"/>
          <w:lang w:val="en-US" w:eastAsia="zh-CN" w:bidi="ar-SA"/>
        </w:rPr>
        <w:t>共分为四个部分，主要内容如下：</w:t>
      </w:r>
    </w:p>
    <w:p w14:paraId="5181F0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lang w:eastAsia="zh-CN"/>
        </w:rPr>
      </w:pPr>
      <w:r>
        <w:rPr>
          <w:rFonts w:hint="eastAsia" w:ascii="仿宋" w:hAnsi="仿宋" w:eastAsia="仿宋" w:cs="仿宋"/>
          <w:b/>
          <w:bCs/>
          <w:i w:val="0"/>
          <w:iCs w:val="0"/>
          <w:caps w:val="0"/>
          <w:color w:val="222222"/>
          <w:spacing w:val="0"/>
          <w:sz w:val="32"/>
          <w:szCs w:val="32"/>
          <w:shd w:val="clear" w:fill="FFFFFF"/>
          <w:lang w:val="en-US" w:eastAsia="zh-CN"/>
        </w:rPr>
        <w:t>第一部分为总体要求。</w:t>
      </w:r>
      <w:r>
        <w:rPr>
          <w:rFonts w:hint="eastAsia" w:ascii="仿宋" w:hAnsi="仿宋" w:eastAsia="仿宋" w:cs="仿宋"/>
          <w:i w:val="0"/>
          <w:iCs w:val="0"/>
          <w:caps w:val="0"/>
          <w:color w:val="222222"/>
          <w:spacing w:val="0"/>
          <w:sz w:val="32"/>
          <w:szCs w:val="32"/>
          <w:shd w:val="clear" w:fill="FFFFFF"/>
          <w:lang w:val="en-US" w:eastAsia="zh-CN"/>
        </w:rPr>
        <w:t>提出</w:t>
      </w:r>
      <w:r>
        <w:rPr>
          <w:rFonts w:hint="default" w:ascii="Times New Roman" w:hAnsi="Times New Roman" w:eastAsia="方正仿宋_GBK" w:cs="Times New Roman"/>
          <w:color w:val="auto"/>
          <w:sz w:val="32"/>
          <w:szCs w:val="32"/>
          <w:lang w:val="en-US" w:eastAsia="zh-CN"/>
        </w:rPr>
        <w:t>详细规划编制应</w:t>
      </w:r>
      <w:r>
        <w:rPr>
          <w:rFonts w:hint="default" w:ascii="Times New Roman" w:hAnsi="Times New Roman" w:eastAsia="方正仿宋_GBK" w:cs="Times New Roman"/>
          <w:color w:val="auto"/>
          <w:sz w:val="32"/>
          <w:szCs w:val="32"/>
        </w:rPr>
        <w:t>以人民为中心，落实总体规划，衔接专项规划</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国民经济和社会发展规划</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统筹存量和增量建设用地</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切实</w:t>
      </w:r>
      <w:r>
        <w:rPr>
          <w:rFonts w:hint="default" w:ascii="Times New Roman" w:hAnsi="Times New Roman" w:eastAsia="方正仿宋_GBK" w:cs="Times New Roman"/>
          <w:color w:val="auto"/>
          <w:sz w:val="32"/>
          <w:szCs w:val="32"/>
        </w:rPr>
        <w:t>提高详细规划的针对性和可</w:t>
      </w:r>
      <w:r>
        <w:rPr>
          <w:rFonts w:hint="default" w:ascii="Times New Roman" w:hAnsi="Times New Roman" w:eastAsia="方正仿宋_GBK" w:cs="Times New Roman"/>
          <w:color w:val="auto"/>
          <w:sz w:val="32"/>
          <w:szCs w:val="32"/>
          <w:lang w:eastAsia="zh-CN"/>
        </w:rPr>
        <w:t>实施性，发挥详细规划法定作用。</w:t>
      </w:r>
    </w:p>
    <w:p w14:paraId="07D11E98">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i w:val="0"/>
          <w:iCs w:val="0"/>
          <w:caps w:val="0"/>
          <w:color w:val="222222"/>
          <w:spacing w:val="0"/>
          <w:sz w:val="32"/>
          <w:szCs w:val="32"/>
          <w:shd w:val="clear" w:fill="FFFFFF"/>
          <w:lang w:val="en-US" w:eastAsia="zh-CN"/>
        </w:rPr>
      </w:pPr>
      <w:r>
        <w:rPr>
          <w:rFonts w:hint="eastAsia" w:ascii="仿宋" w:hAnsi="仿宋" w:eastAsia="仿宋" w:cs="仿宋"/>
          <w:b/>
          <w:bCs/>
          <w:i w:val="0"/>
          <w:iCs w:val="0"/>
          <w:caps w:val="0"/>
          <w:color w:val="222222"/>
          <w:spacing w:val="0"/>
          <w:sz w:val="32"/>
          <w:szCs w:val="32"/>
          <w:shd w:val="clear" w:fill="FFFFFF"/>
          <w:lang w:val="en-US" w:eastAsia="zh-CN"/>
        </w:rPr>
        <w:t>第二部分为详细规划编制。</w:t>
      </w:r>
      <w:r>
        <w:rPr>
          <w:rFonts w:hint="eastAsia" w:ascii="仿宋" w:hAnsi="仿宋" w:eastAsia="仿宋" w:cs="仿宋"/>
          <w:i w:val="0"/>
          <w:iCs w:val="0"/>
          <w:caps w:val="0"/>
          <w:color w:val="222222"/>
          <w:spacing w:val="0"/>
          <w:sz w:val="32"/>
          <w:szCs w:val="32"/>
          <w:shd w:val="clear" w:fill="FFFFFF"/>
          <w:lang w:val="en-US" w:eastAsia="zh-CN"/>
        </w:rPr>
        <w:t>提出</w:t>
      </w:r>
      <w:r>
        <w:rPr>
          <w:rFonts w:hint="default" w:ascii="Times New Roman" w:hAnsi="Times New Roman" w:eastAsia="方正仿宋_GBK" w:cs="Times New Roman"/>
          <w:color w:val="auto"/>
          <w:sz w:val="32"/>
          <w:szCs w:val="32"/>
          <w:lang w:eastAsia="zh-CN"/>
        </w:rPr>
        <w:t>建立“单元层次—地块层次”的详细规划传导体系</w:t>
      </w:r>
      <w:r>
        <w:rPr>
          <w:rFonts w:hint="eastAsia" w:ascii="Times New Roman" w:hAnsi="Times New Roman" w:eastAsia="方正仿宋_GBK" w:cs="Times New Roman"/>
          <w:color w:val="auto"/>
          <w:sz w:val="32"/>
          <w:szCs w:val="32"/>
          <w:lang w:eastAsia="zh-CN"/>
        </w:rPr>
        <w:t>，</w:t>
      </w:r>
      <w:r>
        <w:rPr>
          <w:rFonts w:hint="eastAsia" w:ascii="仿宋" w:hAnsi="仿宋" w:eastAsia="仿宋" w:cs="仿宋"/>
          <w:i w:val="0"/>
          <w:iCs w:val="0"/>
          <w:caps w:val="0"/>
          <w:color w:val="222222"/>
          <w:spacing w:val="0"/>
          <w:sz w:val="32"/>
          <w:szCs w:val="32"/>
          <w:shd w:val="clear" w:fill="FFFFFF"/>
          <w:lang w:val="en-US" w:eastAsia="zh-CN"/>
        </w:rPr>
        <w:t>明确</w:t>
      </w:r>
      <w:r>
        <w:rPr>
          <w:rFonts w:hint="eastAsia" w:ascii="Times New Roman" w:hAnsi="Times New Roman" w:eastAsia="方正仿宋_GBK" w:cs="Times New Roman"/>
          <w:b w:val="0"/>
          <w:bCs/>
          <w:i w:val="0"/>
          <w:caps w:val="0"/>
          <w:color w:val="auto"/>
          <w:spacing w:val="0"/>
          <w:sz w:val="32"/>
          <w:szCs w:val="32"/>
          <w:lang w:val="en-US" w:eastAsia="zh-CN"/>
        </w:rPr>
        <w:t>各类别的</w:t>
      </w:r>
      <w:r>
        <w:rPr>
          <w:rFonts w:hint="default" w:ascii="Times New Roman" w:hAnsi="Times New Roman" w:eastAsia="方正仿宋_GBK" w:cs="Times New Roman"/>
          <w:b w:val="0"/>
          <w:bCs/>
          <w:i w:val="0"/>
          <w:caps w:val="0"/>
          <w:color w:val="auto"/>
          <w:spacing w:val="0"/>
          <w:sz w:val="32"/>
          <w:szCs w:val="32"/>
          <w:lang w:val="en-US" w:eastAsia="zh-CN"/>
        </w:rPr>
        <w:t>详细规划</w:t>
      </w:r>
      <w:r>
        <w:rPr>
          <w:rFonts w:hint="eastAsia" w:ascii="Times New Roman" w:hAnsi="Times New Roman" w:eastAsia="方正仿宋_GBK" w:cs="Times New Roman"/>
          <w:b w:val="0"/>
          <w:bCs/>
          <w:i w:val="0"/>
          <w:caps w:val="0"/>
          <w:color w:val="auto"/>
          <w:spacing w:val="0"/>
          <w:sz w:val="32"/>
          <w:szCs w:val="32"/>
          <w:lang w:val="en-US" w:eastAsia="zh-CN"/>
        </w:rPr>
        <w:t>单元的</w:t>
      </w:r>
      <w:r>
        <w:rPr>
          <w:rFonts w:hint="eastAsia" w:ascii="仿宋" w:hAnsi="仿宋" w:eastAsia="仿宋" w:cs="仿宋"/>
          <w:i w:val="0"/>
          <w:iCs w:val="0"/>
          <w:caps w:val="0"/>
          <w:color w:val="222222"/>
          <w:spacing w:val="0"/>
          <w:sz w:val="32"/>
          <w:szCs w:val="32"/>
          <w:shd w:val="clear" w:fill="FFFFFF"/>
          <w:lang w:val="en-US" w:eastAsia="zh-CN"/>
        </w:rPr>
        <w:t>编制主体，明确编制审批专家论证、公示、报批和备案等相关程序，提出规划成果入库相关要求。</w:t>
      </w:r>
    </w:p>
    <w:p w14:paraId="44C94C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i w:val="0"/>
          <w:caps w:val="0"/>
          <w:color w:val="auto"/>
          <w:spacing w:val="0"/>
          <w:sz w:val="32"/>
          <w:szCs w:val="32"/>
          <w:lang w:eastAsia="zh-CN"/>
        </w:rPr>
      </w:pPr>
      <w:r>
        <w:rPr>
          <w:rFonts w:hint="eastAsia" w:ascii="仿宋" w:hAnsi="仿宋" w:eastAsia="仿宋" w:cs="仿宋"/>
          <w:b/>
          <w:bCs/>
          <w:i w:val="0"/>
          <w:iCs w:val="0"/>
          <w:caps w:val="0"/>
          <w:color w:val="222222"/>
          <w:spacing w:val="0"/>
          <w:sz w:val="32"/>
          <w:szCs w:val="32"/>
          <w:shd w:val="clear" w:fill="FFFFFF"/>
          <w:lang w:val="en-US" w:eastAsia="zh-CN"/>
        </w:rPr>
        <w:t>第三部分为详细规划调整。</w:t>
      </w:r>
      <w:r>
        <w:rPr>
          <w:rFonts w:hint="eastAsia" w:ascii="仿宋" w:hAnsi="仿宋" w:eastAsia="仿宋" w:cs="仿宋"/>
          <w:i w:val="0"/>
          <w:iCs w:val="0"/>
          <w:caps w:val="0"/>
          <w:color w:val="222222"/>
          <w:spacing w:val="0"/>
          <w:sz w:val="32"/>
          <w:szCs w:val="32"/>
          <w:shd w:val="clear" w:fill="FFFFFF"/>
          <w:lang w:val="en-US" w:eastAsia="zh-CN"/>
        </w:rPr>
        <w:t>明确</w:t>
      </w:r>
      <w:r>
        <w:rPr>
          <w:rFonts w:hint="default" w:ascii="Times New Roman" w:hAnsi="Times New Roman" w:eastAsia="方正仿宋_GBK" w:cs="Times New Roman"/>
          <w:color w:val="auto"/>
          <w:sz w:val="32"/>
          <w:szCs w:val="32"/>
        </w:rPr>
        <w:t>详细规划调整分为修改、维</w:t>
      </w:r>
      <w:r>
        <w:rPr>
          <w:rFonts w:hint="default" w:ascii="仿宋" w:hAnsi="仿宋" w:eastAsia="仿宋" w:cs="仿宋"/>
          <w:i w:val="0"/>
          <w:iCs w:val="0"/>
          <w:caps w:val="0"/>
          <w:color w:val="222222"/>
          <w:spacing w:val="0"/>
          <w:sz w:val="32"/>
          <w:szCs w:val="32"/>
          <w:shd w:val="clear" w:fill="FFFFFF"/>
          <w:lang w:val="en-US" w:eastAsia="zh-CN"/>
        </w:rPr>
        <w:t>护和勘误三种类型。</w:t>
      </w:r>
      <w:r>
        <w:rPr>
          <w:rFonts w:hint="eastAsia" w:ascii="仿宋" w:hAnsi="仿宋" w:eastAsia="仿宋" w:cs="仿宋"/>
          <w:i w:val="0"/>
          <w:iCs w:val="0"/>
          <w:caps w:val="0"/>
          <w:color w:val="222222"/>
          <w:spacing w:val="0"/>
          <w:sz w:val="32"/>
          <w:szCs w:val="32"/>
          <w:shd w:val="clear" w:fill="FFFFFF"/>
          <w:lang w:val="en-US" w:eastAsia="zh-CN"/>
        </w:rPr>
        <w:t>其中，</w:t>
      </w:r>
      <w:r>
        <w:rPr>
          <w:rFonts w:hint="default" w:ascii="仿宋" w:hAnsi="仿宋" w:eastAsia="仿宋" w:cs="仿宋"/>
          <w:i w:val="0"/>
          <w:iCs w:val="0"/>
          <w:caps w:val="0"/>
          <w:color w:val="222222"/>
          <w:spacing w:val="0"/>
          <w:sz w:val="32"/>
          <w:szCs w:val="32"/>
          <w:shd w:val="clear" w:fill="FFFFFF"/>
          <w:lang w:val="en-US" w:eastAsia="zh-CN"/>
        </w:rPr>
        <w:t>详细规划</w:t>
      </w:r>
      <w:r>
        <w:rPr>
          <w:rFonts w:hint="eastAsia" w:ascii="仿宋" w:hAnsi="仿宋" w:eastAsia="仿宋" w:cs="仿宋"/>
          <w:i w:val="0"/>
          <w:iCs w:val="0"/>
          <w:caps w:val="0"/>
          <w:color w:val="222222"/>
          <w:spacing w:val="0"/>
          <w:sz w:val="32"/>
          <w:szCs w:val="32"/>
          <w:shd w:val="clear" w:fill="FFFFFF"/>
          <w:lang w:val="en-US" w:eastAsia="zh-CN"/>
        </w:rPr>
        <w:t>修改情形共4类，修改程序为</w:t>
      </w:r>
      <w:r>
        <w:rPr>
          <w:rFonts w:hint="default" w:ascii="仿宋" w:hAnsi="仿宋" w:eastAsia="仿宋" w:cs="仿宋"/>
          <w:i w:val="0"/>
          <w:iCs w:val="0"/>
          <w:caps w:val="0"/>
          <w:color w:val="222222"/>
          <w:spacing w:val="0"/>
          <w:sz w:val="32"/>
          <w:szCs w:val="32"/>
          <w:shd w:val="clear" w:fill="FFFFFF"/>
          <w:lang w:val="en-US" w:eastAsia="zh-CN"/>
        </w:rPr>
        <w:t>必要性论证与启动</w:t>
      </w:r>
      <w:r>
        <w:rPr>
          <w:rFonts w:hint="eastAsia" w:ascii="仿宋" w:hAnsi="仿宋" w:eastAsia="仿宋" w:cs="仿宋"/>
          <w:i w:val="0"/>
          <w:iCs w:val="0"/>
          <w:caps w:val="0"/>
          <w:color w:val="222222"/>
          <w:spacing w:val="0"/>
          <w:sz w:val="32"/>
          <w:szCs w:val="32"/>
          <w:shd w:val="clear" w:fill="FFFFFF"/>
          <w:lang w:val="en-US" w:eastAsia="zh-CN"/>
        </w:rPr>
        <w:t>、</w:t>
      </w:r>
      <w:r>
        <w:rPr>
          <w:rFonts w:hint="default" w:ascii="仿宋" w:hAnsi="仿宋" w:eastAsia="仿宋" w:cs="仿宋"/>
          <w:i w:val="0"/>
          <w:iCs w:val="0"/>
          <w:caps w:val="0"/>
          <w:color w:val="222222"/>
          <w:spacing w:val="0"/>
          <w:sz w:val="32"/>
          <w:szCs w:val="32"/>
          <w:shd w:val="clear" w:fill="FFFFFF"/>
          <w:lang w:val="en-US" w:eastAsia="zh-CN"/>
        </w:rPr>
        <w:t>方案编制与报批</w:t>
      </w:r>
      <w:r>
        <w:rPr>
          <w:rFonts w:hint="eastAsia" w:ascii="仿宋" w:hAnsi="仿宋" w:eastAsia="仿宋" w:cs="仿宋"/>
          <w:i w:val="0"/>
          <w:iCs w:val="0"/>
          <w:caps w:val="0"/>
          <w:color w:val="222222"/>
          <w:spacing w:val="0"/>
          <w:sz w:val="32"/>
          <w:szCs w:val="32"/>
          <w:shd w:val="clear" w:fill="FFFFFF"/>
          <w:lang w:val="en-US" w:eastAsia="zh-CN"/>
        </w:rPr>
        <w:t>、</w:t>
      </w:r>
      <w:r>
        <w:rPr>
          <w:rFonts w:hint="default" w:ascii="仿宋" w:hAnsi="仿宋" w:eastAsia="仿宋" w:cs="仿宋"/>
          <w:i w:val="0"/>
          <w:iCs w:val="0"/>
          <w:caps w:val="0"/>
          <w:color w:val="222222"/>
          <w:spacing w:val="0"/>
          <w:sz w:val="32"/>
          <w:szCs w:val="32"/>
          <w:shd w:val="clear" w:fill="FFFFFF"/>
          <w:lang w:val="en-US" w:eastAsia="zh-CN"/>
        </w:rPr>
        <w:t>审批与入库备案</w:t>
      </w:r>
      <w:r>
        <w:rPr>
          <w:rFonts w:hint="eastAsia" w:ascii="仿宋" w:hAnsi="仿宋" w:eastAsia="仿宋" w:cs="仿宋"/>
          <w:i w:val="0"/>
          <w:iCs w:val="0"/>
          <w:caps w:val="0"/>
          <w:color w:val="222222"/>
          <w:spacing w:val="0"/>
          <w:sz w:val="32"/>
          <w:szCs w:val="32"/>
          <w:shd w:val="clear" w:fill="FFFFFF"/>
          <w:lang w:val="en-US" w:eastAsia="zh-CN"/>
        </w:rPr>
        <w:t>。</w:t>
      </w:r>
      <w:r>
        <w:rPr>
          <w:rFonts w:hint="default" w:ascii="仿宋" w:hAnsi="仿宋" w:eastAsia="仿宋" w:cs="仿宋"/>
          <w:i w:val="0"/>
          <w:iCs w:val="0"/>
          <w:caps w:val="0"/>
          <w:color w:val="222222"/>
          <w:spacing w:val="0"/>
          <w:sz w:val="32"/>
          <w:szCs w:val="32"/>
          <w:shd w:val="clear" w:fill="FFFFFF"/>
          <w:lang w:val="en-US" w:eastAsia="zh-CN"/>
        </w:rPr>
        <w:t>详细规划</w:t>
      </w:r>
      <w:r>
        <w:rPr>
          <w:rFonts w:hint="eastAsia" w:ascii="仿宋" w:hAnsi="仿宋" w:eastAsia="仿宋" w:cs="仿宋"/>
          <w:i w:val="0"/>
          <w:iCs w:val="0"/>
          <w:caps w:val="0"/>
          <w:color w:val="222222"/>
          <w:spacing w:val="0"/>
          <w:sz w:val="32"/>
          <w:szCs w:val="32"/>
          <w:shd w:val="clear" w:fill="FFFFFF"/>
          <w:lang w:val="en-US" w:eastAsia="zh-CN"/>
        </w:rPr>
        <w:t>维护情形共9类，维护程序为</w:t>
      </w:r>
      <w:r>
        <w:rPr>
          <w:rFonts w:hint="default" w:ascii="仿宋" w:hAnsi="仿宋" w:eastAsia="仿宋" w:cs="仿宋"/>
          <w:i w:val="0"/>
          <w:iCs w:val="0"/>
          <w:caps w:val="0"/>
          <w:color w:val="222222"/>
          <w:spacing w:val="0"/>
          <w:sz w:val="32"/>
          <w:szCs w:val="32"/>
          <w:shd w:val="clear" w:fill="FFFFFF"/>
          <w:lang w:val="en-US" w:eastAsia="zh-CN"/>
        </w:rPr>
        <w:t>必要性论证与方案编制</w:t>
      </w:r>
      <w:r>
        <w:rPr>
          <w:rFonts w:hint="eastAsia" w:ascii="仿宋" w:hAnsi="仿宋" w:eastAsia="仿宋" w:cs="仿宋"/>
          <w:i w:val="0"/>
          <w:iCs w:val="0"/>
          <w:caps w:val="0"/>
          <w:color w:val="222222"/>
          <w:spacing w:val="0"/>
          <w:sz w:val="32"/>
          <w:szCs w:val="32"/>
          <w:shd w:val="clear" w:fill="FFFFFF"/>
          <w:lang w:val="en-US" w:eastAsia="zh-CN"/>
        </w:rPr>
        <w:t>、</w:t>
      </w:r>
      <w:r>
        <w:rPr>
          <w:rFonts w:hint="default" w:ascii="仿宋" w:hAnsi="仿宋" w:eastAsia="仿宋" w:cs="仿宋"/>
          <w:i w:val="0"/>
          <w:iCs w:val="0"/>
          <w:caps w:val="0"/>
          <w:color w:val="222222"/>
          <w:spacing w:val="0"/>
          <w:sz w:val="32"/>
          <w:szCs w:val="32"/>
          <w:shd w:val="clear" w:fill="FFFFFF"/>
          <w:lang w:val="en-US" w:eastAsia="zh-CN"/>
        </w:rPr>
        <w:t>方案论证与审定</w:t>
      </w:r>
      <w:r>
        <w:rPr>
          <w:rFonts w:hint="eastAsia" w:ascii="仿宋" w:hAnsi="仿宋" w:eastAsia="仿宋" w:cs="仿宋"/>
          <w:i w:val="0"/>
          <w:iCs w:val="0"/>
          <w:caps w:val="0"/>
          <w:color w:val="222222"/>
          <w:spacing w:val="0"/>
          <w:sz w:val="32"/>
          <w:szCs w:val="32"/>
          <w:shd w:val="clear" w:fill="FFFFFF"/>
          <w:lang w:val="en-US" w:eastAsia="zh-CN"/>
        </w:rPr>
        <w:t>、</w:t>
      </w:r>
      <w:r>
        <w:rPr>
          <w:rFonts w:hint="default" w:ascii="仿宋" w:hAnsi="仿宋" w:eastAsia="仿宋" w:cs="仿宋"/>
          <w:i w:val="0"/>
          <w:iCs w:val="0"/>
          <w:caps w:val="0"/>
          <w:color w:val="222222"/>
          <w:spacing w:val="0"/>
          <w:sz w:val="32"/>
          <w:szCs w:val="32"/>
          <w:shd w:val="clear" w:fill="FFFFFF"/>
          <w:lang w:val="en-US" w:eastAsia="zh-CN"/>
        </w:rPr>
        <w:t>入库备案</w:t>
      </w:r>
      <w:r>
        <w:rPr>
          <w:rFonts w:hint="eastAsia" w:ascii="仿宋" w:hAnsi="仿宋" w:eastAsia="仿宋" w:cs="仿宋"/>
          <w:i w:val="0"/>
          <w:iCs w:val="0"/>
          <w:caps w:val="0"/>
          <w:color w:val="222222"/>
          <w:spacing w:val="0"/>
          <w:sz w:val="32"/>
          <w:szCs w:val="32"/>
          <w:shd w:val="clear" w:fill="FFFFFF"/>
          <w:lang w:val="en-US" w:eastAsia="zh-CN"/>
        </w:rPr>
        <w:t>。详细规划勘误情形共6类，勘误程序为</w:t>
      </w:r>
      <w:r>
        <w:rPr>
          <w:rFonts w:hint="default" w:ascii="仿宋" w:hAnsi="仿宋" w:eastAsia="仿宋" w:cs="仿宋"/>
          <w:i w:val="0"/>
          <w:iCs w:val="0"/>
          <w:caps w:val="0"/>
          <w:color w:val="222222"/>
          <w:spacing w:val="0"/>
          <w:sz w:val="32"/>
          <w:szCs w:val="32"/>
          <w:shd w:val="clear" w:fill="FFFFFF"/>
          <w:lang w:val="en-US" w:eastAsia="zh-CN"/>
        </w:rPr>
        <w:t>技术审核</w:t>
      </w:r>
      <w:r>
        <w:rPr>
          <w:rFonts w:hint="eastAsia" w:ascii="仿宋" w:hAnsi="仿宋" w:eastAsia="仿宋" w:cs="仿宋"/>
          <w:i w:val="0"/>
          <w:iCs w:val="0"/>
          <w:caps w:val="0"/>
          <w:color w:val="222222"/>
          <w:spacing w:val="0"/>
          <w:sz w:val="32"/>
          <w:szCs w:val="32"/>
          <w:shd w:val="clear" w:fill="FFFFFF"/>
          <w:lang w:val="en-US" w:eastAsia="zh-CN"/>
        </w:rPr>
        <w:t>、</w:t>
      </w:r>
      <w:r>
        <w:rPr>
          <w:rFonts w:hint="default" w:ascii="仿宋" w:hAnsi="仿宋" w:eastAsia="仿宋" w:cs="仿宋"/>
          <w:i w:val="0"/>
          <w:iCs w:val="0"/>
          <w:caps w:val="0"/>
          <w:color w:val="222222"/>
          <w:spacing w:val="0"/>
          <w:sz w:val="32"/>
          <w:szCs w:val="32"/>
          <w:shd w:val="clear" w:fill="FFFFFF"/>
          <w:lang w:val="en-US" w:eastAsia="zh-CN"/>
        </w:rPr>
        <w:t>勘误</w:t>
      </w:r>
      <w:r>
        <w:rPr>
          <w:rFonts w:hint="eastAsia" w:ascii="仿宋" w:hAnsi="仿宋" w:eastAsia="仿宋" w:cs="仿宋"/>
          <w:i w:val="0"/>
          <w:iCs w:val="0"/>
          <w:caps w:val="0"/>
          <w:color w:val="222222"/>
          <w:spacing w:val="0"/>
          <w:sz w:val="32"/>
          <w:szCs w:val="32"/>
          <w:shd w:val="clear" w:fill="FFFFFF"/>
          <w:lang w:val="en-US" w:eastAsia="zh-CN"/>
        </w:rPr>
        <w:t>审批</w:t>
      </w:r>
      <w:r>
        <w:rPr>
          <w:rFonts w:hint="default" w:ascii="仿宋" w:hAnsi="仿宋" w:eastAsia="仿宋" w:cs="仿宋"/>
          <w:i w:val="0"/>
          <w:iCs w:val="0"/>
          <w:caps w:val="0"/>
          <w:color w:val="222222"/>
          <w:spacing w:val="0"/>
          <w:sz w:val="32"/>
          <w:szCs w:val="32"/>
          <w:shd w:val="clear" w:fill="FFFFFF"/>
          <w:lang w:val="en-US" w:eastAsia="zh-CN"/>
        </w:rPr>
        <w:t>意见书</w:t>
      </w:r>
      <w:r>
        <w:rPr>
          <w:rFonts w:hint="eastAsia" w:ascii="仿宋" w:hAnsi="仿宋" w:eastAsia="仿宋" w:cs="仿宋"/>
          <w:i w:val="0"/>
          <w:iCs w:val="0"/>
          <w:caps w:val="0"/>
          <w:color w:val="222222"/>
          <w:spacing w:val="0"/>
          <w:sz w:val="32"/>
          <w:szCs w:val="32"/>
          <w:shd w:val="clear" w:fill="FFFFFF"/>
          <w:lang w:val="en-US" w:eastAsia="zh-CN"/>
        </w:rPr>
        <w:t>出具、</w:t>
      </w:r>
      <w:r>
        <w:rPr>
          <w:rFonts w:hint="default" w:ascii="仿宋" w:hAnsi="仿宋" w:eastAsia="仿宋" w:cs="仿宋"/>
          <w:i w:val="0"/>
          <w:iCs w:val="0"/>
          <w:caps w:val="0"/>
          <w:color w:val="222222"/>
          <w:spacing w:val="0"/>
          <w:sz w:val="32"/>
          <w:szCs w:val="32"/>
          <w:shd w:val="clear" w:fill="FFFFFF"/>
          <w:lang w:val="en-US" w:eastAsia="zh-CN"/>
        </w:rPr>
        <w:t>入库备案。</w:t>
      </w:r>
    </w:p>
    <w:p w14:paraId="23264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i w:val="0"/>
          <w:caps w:val="0"/>
          <w:color w:val="auto"/>
          <w:spacing w:val="0"/>
          <w:sz w:val="32"/>
          <w:szCs w:val="32"/>
          <w:lang w:val="en-US" w:eastAsia="zh-CN"/>
        </w:rPr>
      </w:pPr>
      <w:r>
        <w:rPr>
          <w:rFonts w:hint="eastAsia" w:ascii="Times New Roman" w:hAnsi="Times New Roman" w:eastAsia="方正仿宋_GBK" w:cs="Times New Roman"/>
          <w:b/>
          <w:bCs w:val="0"/>
          <w:i w:val="0"/>
          <w:caps w:val="0"/>
          <w:color w:val="auto"/>
          <w:spacing w:val="0"/>
          <w:sz w:val="32"/>
          <w:szCs w:val="32"/>
          <w:lang w:val="en-US" w:eastAsia="zh-CN"/>
        </w:rPr>
        <w:t>第四部分为其他事项</w:t>
      </w:r>
      <w:r>
        <w:rPr>
          <w:rFonts w:hint="eastAsia" w:ascii="Times New Roman" w:hAnsi="Times New Roman" w:eastAsia="方正仿宋_GBK" w:cs="Times New Roman"/>
          <w:b w:val="0"/>
          <w:bCs/>
          <w:i w:val="0"/>
          <w:caps w:val="0"/>
          <w:color w:val="auto"/>
          <w:spacing w:val="0"/>
          <w:sz w:val="32"/>
          <w:szCs w:val="32"/>
          <w:lang w:val="en-US" w:eastAsia="zh-CN"/>
        </w:rPr>
        <w:t>。提出规划衔接、规划条件管理相关要求，明确了施行日期和解释权限。</w:t>
      </w:r>
    </w:p>
    <w:p w14:paraId="2FA9B42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方正仿宋_GBK" w:cs="仿宋"/>
          <w:i w:val="0"/>
          <w:iCs w:val="0"/>
          <w:caps w:val="0"/>
          <w:color w:val="222222"/>
          <w:spacing w:val="0"/>
          <w:sz w:val="31"/>
          <w:szCs w:val="31"/>
          <w:shd w:val="clear" w:fill="FFFFFF"/>
          <w:lang w:val="en-US" w:eastAsia="zh-CN"/>
        </w:rPr>
      </w:pPr>
    </w:p>
    <w:p w14:paraId="76CEFFC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仿宋" w:cs="仿宋"/>
          <w:i w:val="0"/>
          <w:iCs w:val="0"/>
          <w:caps w:val="0"/>
          <w:color w:val="222222"/>
          <w:spacing w:val="0"/>
          <w:sz w:val="31"/>
          <w:szCs w:val="31"/>
          <w:shd w:val="clear" w:fill="FFFFFF"/>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script"/>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97D30"/>
    <w:rsid w:val="00CD3816"/>
    <w:rsid w:val="05D33A7B"/>
    <w:rsid w:val="07FF290D"/>
    <w:rsid w:val="0F952C52"/>
    <w:rsid w:val="11876F95"/>
    <w:rsid w:val="21C51DB5"/>
    <w:rsid w:val="22497BD8"/>
    <w:rsid w:val="28A24A26"/>
    <w:rsid w:val="319636F2"/>
    <w:rsid w:val="32A95902"/>
    <w:rsid w:val="48992EE5"/>
    <w:rsid w:val="4C6670F8"/>
    <w:rsid w:val="5D4A60BE"/>
    <w:rsid w:val="6D522179"/>
    <w:rsid w:val="6E4A00AF"/>
    <w:rsid w:val="78E344CD"/>
    <w:rsid w:val="DFC58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方正小标宋_GBK" w:hAnsi="方正小标宋_GBK" w:eastAsia="方正小标宋_GBK" w:cs="方正小标宋_GBK"/>
      <w:sz w:val="133"/>
      <w:szCs w:val="133"/>
      <w:lang w:val="zh-CN" w:eastAsia="zh-CN" w:bidi="zh-CN"/>
    </w:rPr>
  </w:style>
  <w:style w:type="paragraph" w:styleId="3">
    <w:name w:val="toc 5"/>
    <w:basedOn w:val="1"/>
    <w:next w:val="1"/>
    <w:semiHidden/>
    <w:qFormat/>
    <w:uiPriority w:val="99"/>
    <w:pPr>
      <w:ind w:left="1680"/>
    </w:pPr>
    <w:rPr>
      <w:rFonts w:cs="Calibri"/>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1360</Words>
  <Characters>1405</Characters>
  <Lines>0</Lines>
  <Paragraphs>0</Paragraphs>
  <TotalTime>1</TotalTime>
  <ScaleCrop>false</ScaleCrop>
  <LinksUpToDate>false</LinksUpToDate>
  <CharactersWithSpaces>1407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2026-04-14T09:31:00Z</dcterms:created>
  <dc:creator>flay</dc:creator>
  <cp:lastModifiedBy>郭丽娜</cp:lastModifiedBy>
  <dcterms:modified xsi:type="dcterms:W3CDTF">2026-09-02T03:23:31Z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2992F7C163D84390A98A1B70029EF211_13</vt:lpwstr>
  </property>
  <property fmtid="{D5CDD505-2E9C-101B-9397-08002B2CF9AE}" pid="4" name="KSOTemplateDocerSaveRecord">
    <vt:lpwstr>eyJoZGlkIjoiYTA0OTFiNTllN2E3YTc2MDc5ZTIwYTg0ZjFlZjFlMWQiLCJ1c2VySWQiOiIzNzMyMDUyODEifQ==</vt:lpwstr>
  </property>
</Properties>
</file>